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BEA9C98">
      <w:pPr>
        <w:jc w:val="center"/>
        <w:rPr>
          <w:rFonts w:hint="eastAsia" w:ascii="宋体" w:hAnsi="宋体" w:eastAsia="宋体" w:cs="宋体"/>
          <w:b/>
          <w:bCs/>
          <w:kern w:val="0"/>
          <w:sz w:val="44"/>
          <w:szCs w:val="44"/>
          <w:lang w:eastAsia="zh-CN"/>
        </w:rPr>
      </w:pPr>
      <w:bookmarkStart w:id="122" w:name="_GoBack"/>
      <w:bookmarkEnd w:id="122"/>
    </w:p>
    <w:p w14:paraId="44432BC5">
      <w:pPr>
        <w:jc w:val="center"/>
        <w:rPr>
          <w:rFonts w:hint="eastAsia" w:ascii="微软雅黑" w:hAnsi="微软雅黑" w:eastAsia="微软雅黑" w:cs="微软雅黑"/>
          <w:b w:val="0"/>
          <w:bCs w:val="0"/>
          <w:kern w:val="0"/>
          <w:sz w:val="44"/>
          <w:szCs w:val="44"/>
          <w:lang w:eastAsia="zh-CN"/>
        </w:rPr>
      </w:pPr>
      <w:r>
        <w:rPr>
          <w:rFonts w:hint="eastAsia" w:ascii="微软雅黑" w:hAnsi="微软雅黑" w:eastAsia="微软雅黑" w:cs="微软雅黑"/>
          <w:b w:val="0"/>
          <w:bCs w:val="0"/>
          <w:kern w:val="0"/>
          <w:sz w:val="44"/>
          <w:szCs w:val="44"/>
          <w:lang w:eastAsia="zh-CN"/>
        </w:rPr>
        <w:t>洛浦县统计局</w:t>
      </w:r>
    </w:p>
    <w:p w14:paraId="248A3310">
      <w:pPr>
        <w:jc w:val="center"/>
        <w:rPr>
          <w:rFonts w:hint="eastAsia" w:ascii="微软雅黑" w:hAnsi="微软雅黑" w:eastAsia="微软雅黑" w:cs="微软雅黑"/>
          <w:b w:val="0"/>
          <w:bCs w:val="0"/>
          <w:kern w:val="0"/>
          <w:sz w:val="44"/>
          <w:szCs w:val="44"/>
          <w:lang w:eastAsia="zh-CN"/>
        </w:rPr>
      </w:pPr>
      <w:r>
        <w:rPr>
          <w:rFonts w:hint="eastAsia" w:ascii="微软雅黑" w:hAnsi="微软雅黑" w:eastAsia="微软雅黑" w:cs="微软雅黑"/>
          <w:b w:val="0"/>
          <w:bCs w:val="0"/>
          <w:kern w:val="0"/>
          <w:sz w:val="44"/>
          <w:szCs w:val="44"/>
          <w:lang w:eastAsia="zh-CN"/>
        </w:rPr>
        <w:t>第七次全国人口普查项目</w:t>
      </w:r>
    </w:p>
    <w:p w14:paraId="66F7E5F2">
      <w:pPr>
        <w:pStyle w:val="2"/>
        <w:rPr>
          <w:rFonts w:hint="eastAsia" w:ascii="宋体" w:hAnsi="宋体" w:eastAsia="宋体" w:cs="宋体"/>
          <w:b/>
          <w:bCs/>
          <w:kern w:val="0"/>
          <w:sz w:val="44"/>
          <w:szCs w:val="44"/>
          <w:lang w:eastAsia="zh-CN"/>
        </w:rPr>
      </w:pPr>
    </w:p>
    <w:p w14:paraId="26C6EE40">
      <w:pPr>
        <w:rPr>
          <w:rFonts w:hint="eastAsia" w:ascii="宋体" w:hAnsi="宋体" w:eastAsia="宋体" w:cs="宋体"/>
          <w:b/>
          <w:bCs/>
          <w:kern w:val="0"/>
          <w:sz w:val="44"/>
          <w:szCs w:val="44"/>
          <w:lang w:eastAsia="zh-CN"/>
        </w:rPr>
      </w:pPr>
    </w:p>
    <w:p w14:paraId="592354AD">
      <w:pPr>
        <w:pStyle w:val="2"/>
        <w:rPr>
          <w:rFonts w:hint="eastAsia"/>
          <w:lang w:eastAsia="zh-CN"/>
        </w:rPr>
      </w:pPr>
    </w:p>
    <w:p w14:paraId="494AE1A7">
      <w:pPr>
        <w:jc w:val="center"/>
        <w:rPr>
          <w:rFonts w:hint="eastAsia" w:ascii="宋体" w:hAnsi="宋体" w:eastAsia="宋体" w:cs="宋体"/>
          <w:b/>
          <w:bCs/>
          <w:kern w:val="0"/>
          <w:sz w:val="72"/>
          <w:szCs w:val="72"/>
          <w:lang w:eastAsia="zh-CN"/>
        </w:rPr>
      </w:pPr>
    </w:p>
    <w:p w14:paraId="5851F2E2">
      <w:pPr>
        <w:jc w:val="center"/>
        <w:rPr>
          <w:rFonts w:hint="eastAsia" w:ascii="宋体" w:hAnsi="宋体" w:eastAsia="宋体" w:cs="宋体"/>
          <w:b/>
          <w:bCs/>
          <w:kern w:val="0"/>
          <w:sz w:val="72"/>
          <w:szCs w:val="72"/>
          <w:lang w:eastAsia="zh-CN"/>
        </w:rPr>
      </w:pPr>
    </w:p>
    <w:p w14:paraId="2D804410">
      <w:pPr>
        <w:jc w:val="center"/>
        <w:rPr>
          <w:rFonts w:hint="eastAsia" w:ascii="宋体" w:hAnsi="宋体" w:eastAsia="宋体" w:cs="宋体"/>
          <w:b/>
          <w:bCs/>
          <w:kern w:val="0"/>
          <w:sz w:val="72"/>
          <w:szCs w:val="72"/>
          <w:lang w:eastAsia="zh-CN"/>
        </w:rPr>
      </w:pPr>
      <w:r>
        <w:rPr>
          <w:rFonts w:hint="eastAsia" w:ascii="宋体" w:hAnsi="宋体" w:eastAsia="宋体" w:cs="宋体"/>
          <w:b/>
          <w:bCs/>
          <w:kern w:val="0"/>
          <w:sz w:val="72"/>
          <w:szCs w:val="72"/>
          <w:lang w:eastAsia="zh-CN"/>
        </w:rPr>
        <w:t>绩效评价报告</w:t>
      </w:r>
    </w:p>
    <w:p w14:paraId="3CA32B9D">
      <w:pPr>
        <w:jc w:val="center"/>
        <w:rPr>
          <w:rFonts w:hint="eastAsia" w:ascii="宋体" w:hAnsi="宋体" w:eastAsia="宋体" w:cs="宋体"/>
          <w:b/>
          <w:bCs/>
          <w:kern w:val="0"/>
          <w:sz w:val="72"/>
          <w:szCs w:val="72"/>
        </w:rPr>
      </w:pPr>
    </w:p>
    <w:p w14:paraId="2A3BE9A6">
      <w:pPr>
        <w:jc w:val="center"/>
        <w:rPr>
          <w:rFonts w:hint="eastAsia" w:ascii="宋体" w:hAnsi="宋体" w:eastAsia="宋体" w:cs="宋体"/>
          <w:b/>
          <w:bCs/>
          <w:kern w:val="0"/>
          <w:sz w:val="72"/>
          <w:szCs w:val="72"/>
        </w:rPr>
      </w:pPr>
    </w:p>
    <w:p w14:paraId="3E1C3F53">
      <w:pPr>
        <w:rPr>
          <w:rFonts w:ascii="Times New Roman" w:hAnsi="黑体" w:eastAsia="黑体" w:cs="宋体"/>
          <w:kern w:val="0"/>
          <w:sz w:val="24"/>
        </w:rPr>
      </w:pPr>
    </w:p>
    <w:p w14:paraId="3C0DBA21">
      <w:pPr>
        <w:rPr>
          <w:rFonts w:ascii="Times New Roman" w:hAnsi="黑体" w:eastAsia="黑体" w:cs="宋体"/>
          <w:kern w:val="0"/>
          <w:sz w:val="24"/>
        </w:rPr>
      </w:pPr>
    </w:p>
    <w:p w14:paraId="46FCC137">
      <w:pPr>
        <w:jc w:val="center"/>
        <w:rPr>
          <w:rFonts w:ascii="Times New Roman" w:hAnsi="黑体" w:eastAsia="黑体" w:cs="宋体"/>
          <w:kern w:val="0"/>
          <w:sz w:val="24"/>
        </w:rPr>
      </w:pPr>
    </w:p>
    <w:p w14:paraId="4891AC9B"/>
    <w:p w14:paraId="5B24D511">
      <w:pPr>
        <w:spacing w:line="400" w:lineRule="exact"/>
        <w:ind w:firstLine="2040" w:firstLineChars="850"/>
        <w:jc w:val="left"/>
        <w:rPr>
          <w:rFonts w:ascii="黑体" w:hAnsi="黑体" w:eastAsia="黑体" w:cs="宋体"/>
          <w:kern w:val="0"/>
          <w:sz w:val="24"/>
        </w:rPr>
      </w:pPr>
      <w:r>
        <w:rPr>
          <w:rFonts w:hint="eastAsia" w:ascii="黑体" w:hAnsi="黑体" w:eastAsia="黑体" w:cs="宋体"/>
          <w:kern w:val="0"/>
          <w:sz w:val="24"/>
        </w:rPr>
        <w:t>报告编号：</w:t>
      </w:r>
      <w:r>
        <w:rPr>
          <w:rFonts w:hint="eastAsia" w:ascii="黑体" w:hAnsi="黑体" w:eastAsia="黑体" w:cs="宋体"/>
          <w:kern w:val="0"/>
          <w:sz w:val="24"/>
          <w:highlight w:val="none"/>
        </w:rPr>
        <w:t>中瑞诚喀绩评字[202</w:t>
      </w:r>
      <w:r>
        <w:rPr>
          <w:rFonts w:hint="eastAsia" w:ascii="黑体" w:hAnsi="黑体" w:eastAsia="黑体" w:cs="宋体"/>
          <w:kern w:val="0"/>
          <w:sz w:val="24"/>
          <w:highlight w:val="none"/>
          <w:lang w:val="en-US" w:eastAsia="zh-CN"/>
        </w:rPr>
        <w:t>2</w:t>
      </w:r>
      <w:r>
        <w:rPr>
          <w:rFonts w:hint="eastAsia" w:ascii="黑体" w:hAnsi="黑体" w:eastAsia="黑体" w:cs="宋体"/>
          <w:kern w:val="0"/>
          <w:sz w:val="24"/>
          <w:highlight w:val="none"/>
        </w:rPr>
        <w:t>]</w:t>
      </w:r>
      <w:r>
        <w:rPr>
          <w:rFonts w:hint="eastAsia" w:ascii="黑体" w:hAnsi="黑体" w:eastAsia="黑体" w:cs="宋体"/>
          <w:kern w:val="0"/>
          <w:sz w:val="24"/>
          <w:highlight w:val="none"/>
          <w:lang w:val="en-US" w:eastAsia="zh-CN"/>
        </w:rPr>
        <w:t>145</w:t>
      </w:r>
      <w:r>
        <w:rPr>
          <w:rFonts w:hint="eastAsia" w:ascii="黑体" w:hAnsi="黑体" w:eastAsia="黑体" w:cs="宋体"/>
          <w:kern w:val="0"/>
          <w:sz w:val="24"/>
          <w:highlight w:val="none"/>
        </w:rPr>
        <w:t>号</w:t>
      </w:r>
    </w:p>
    <w:p w14:paraId="1990366F">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委托单位：</w:t>
      </w:r>
      <w:r>
        <w:rPr>
          <w:rFonts w:hint="eastAsia" w:ascii="黑体" w:hAnsi="黑体" w:eastAsia="黑体" w:cs="宋体"/>
          <w:kern w:val="0"/>
          <w:sz w:val="24"/>
          <w:lang w:eastAsia="zh-CN"/>
        </w:rPr>
        <w:t>洛浦</w:t>
      </w:r>
      <w:r>
        <w:rPr>
          <w:rFonts w:hint="eastAsia" w:ascii="黑体" w:hAnsi="黑体" w:eastAsia="黑体" w:cs="宋体"/>
          <w:kern w:val="0"/>
          <w:sz w:val="24"/>
        </w:rPr>
        <w:t>县财政局</w:t>
      </w:r>
    </w:p>
    <w:p w14:paraId="3D8AD934">
      <w:pPr>
        <w:spacing w:line="400" w:lineRule="exact"/>
        <w:ind w:firstLine="2040" w:firstLineChars="850"/>
        <w:jc w:val="left"/>
      </w:pPr>
      <w:r>
        <w:rPr>
          <w:rFonts w:hint="eastAsia" w:ascii="黑体" w:hAnsi="黑体" w:eastAsia="黑体" w:cs="宋体"/>
          <w:kern w:val="0"/>
          <w:sz w:val="24"/>
        </w:rPr>
        <w:t>评价机构：中瑞诚会计师事务所</w:t>
      </w:r>
      <w:r>
        <w:rPr>
          <w:rFonts w:hint="eastAsia" w:ascii="黑体" w:hAnsi="黑体" w:eastAsia="黑体" w:cs="宋体"/>
          <w:kern w:val="0"/>
          <w:sz w:val="24"/>
          <w:lang w:eastAsia="zh-CN"/>
        </w:rPr>
        <w:t>（特殊普通合伙）</w:t>
      </w:r>
      <w:r>
        <w:rPr>
          <w:rFonts w:hint="eastAsia" w:ascii="黑体" w:hAnsi="黑体" w:eastAsia="黑体" w:cs="宋体"/>
          <w:kern w:val="0"/>
          <w:sz w:val="24"/>
        </w:rPr>
        <w:t>喀什分所</w:t>
      </w:r>
    </w:p>
    <w:p w14:paraId="10C8A239">
      <w:pPr>
        <w:spacing w:line="400" w:lineRule="exact"/>
        <w:ind w:firstLine="2040" w:firstLineChars="850"/>
        <w:jc w:val="left"/>
        <w:rPr>
          <w:highlight w:val="none"/>
        </w:rPr>
      </w:pPr>
      <w:r>
        <w:rPr>
          <w:rFonts w:hint="eastAsia" w:ascii="黑体" w:hAnsi="黑体" w:eastAsia="黑体" w:cs="宋体"/>
          <w:kern w:val="0"/>
          <w:sz w:val="24"/>
        </w:rPr>
        <w:t>报告时间：</w:t>
      </w:r>
      <w:r>
        <w:rPr>
          <w:rFonts w:hint="eastAsia" w:ascii="黑体" w:hAnsi="黑体" w:eastAsia="黑体" w:cs="宋体"/>
          <w:kern w:val="0"/>
          <w:sz w:val="24"/>
          <w:lang w:eastAsia="zh-CN"/>
        </w:rPr>
        <w:t>202</w:t>
      </w:r>
      <w:r>
        <w:rPr>
          <w:rFonts w:hint="eastAsia" w:ascii="黑体" w:hAnsi="黑体" w:eastAsia="黑体" w:cs="宋体"/>
          <w:kern w:val="0"/>
          <w:sz w:val="24"/>
          <w:lang w:val="en-US" w:eastAsia="zh-CN"/>
        </w:rPr>
        <w:t>2</w:t>
      </w:r>
      <w:r>
        <w:rPr>
          <w:rFonts w:hint="eastAsia" w:ascii="黑体" w:hAnsi="黑体" w:eastAsia="黑体" w:cs="宋体"/>
          <w:kern w:val="0"/>
          <w:sz w:val="24"/>
        </w:rPr>
        <w:t>年</w:t>
      </w:r>
      <w:r>
        <w:rPr>
          <w:rFonts w:hint="eastAsia" w:ascii="黑体" w:hAnsi="黑体" w:eastAsia="黑体" w:cs="宋体"/>
          <w:kern w:val="0"/>
          <w:sz w:val="24"/>
          <w:lang w:val="en-US" w:eastAsia="zh-CN"/>
        </w:rPr>
        <w:t>06</w:t>
      </w:r>
      <w:r>
        <w:rPr>
          <w:rFonts w:hint="eastAsia" w:ascii="黑体" w:hAnsi="黑体" w:eastAsia="黑体" w:cs="宋体"/>
          <w:kern w:val="0"/>
          <w:sz w:val="24"/>
        </w:rPr>
        <w:t>月</w:t>
      </w:r>
      <w:r>
        <w:rPr>
          <w:rFonts w:hint="eastAsia" w:ascii="黑体" w:hAnsi="黑体" w:eastAsia="黑体" w:cs="宋体"/>
          <w:kern w:val="0"/>
          <w:sz w:val="24"/>
          <w:lang w:val="en-US" w:eastAsia="zh-CN"/>
        </w:rPr>
        <w:t>30</w:t>
      </w:r>
      <w:r>
        <w:rPr>
          <w:rFonts w:hint="eastAsia" w:ascii="黑体" w:hAnsi="黑体" w:eastAsia="黑体" w:cs="宋体"/>
          <w:kern w:val="0"/>
          <w:sz w:val="24"/>
        </w:rPr>
        <w:t>日</w:t>
      </w:r>
    </w:p>
    <w:tbl>
      <w:tblPr>
        <w:tblStyle w:val="19"/>
        <w:tblpPr w:leftFromText="180" w:rightFromText="180" w:vertAnchor="text" w:horzAnchor="margin" w:tblpX="1" w:tblpY="-77"/>
        <w:tblOverlap w:val="never"/>
        <w:tblW w:w="8983" w:type="dxa"/>
        <w:tblInd w:w="0" w:type="dxa"/>
        <w:tblLayout w:type="fixed"/>
        <w:tblCellMar>
          <w:top w:w="15" w:type="dxa"/>
          <w:left w:w="15" w:type="dxa"/>
          <w:bottom w:w="15" w:type="dxa"/>
          <w:right w:w="15" w:type="dxa"/>
        </w:tblCellMar>
      </w:tblPr>
      <w:tblGrid>
        <w:gridCol w:w="1291"/>
        <w:gridCol w:w="954"/>
        <w:gridCol w:w="180"/>
        <w:gridCol w:w="284"/>
        <w:gridCol w:w="850"/>
        <w:gridCol w:w="851"/>
        <w:gridCol w:w="81"/>
        <w:gridCol w:w="202"/>
        <w:gridCol w:w="992"/>
        <w:gridCol w:w="709"/>
        <w:gridCol w:w="343"/>
        <w:gridCol w:w="994"/>
        <w:gridCol w:w="1252"/>
      </w:tblGrid>
      <w:tr w14:paraId="36A230A9">
        <w:tblPrEx>
          <w:tblCellMar>
            <w:top w:w="15" w:type="dxa"/>
            <w:left w:w="15" w:type="dxa"/>
            <w:bottom w:w="15" w:type="dxa"/>
            <w:right w:w="15" w:type="dxa"/>
          </w:tblCellMar>
        </w:tblPrEx>
        <w:trPr>
          <w:trHeight w:val="309" w:hRule="atLeast"/>
        </w:trPr>
        <w:tc>
          <w:tcPr>
            <w:tcW w:w="8983" w:type="dxa"/>
            <w:gridSpan w:val="13"/>
            <w:shd w:val="clear" w:color="auto" w:fill="auto"/>
            <w:vAlign w:val="center"/>
          </w:tcPr>
          <w:p w14:paraId="6A36D5F5">
            <w:pPr>
              <w:widowControl/>
              <w:jc w:val="left"/>
              <w:textAlignment w:val="center"/>
              <w:rPr>
                <w:rFonts w:hint="eastAsia" w:ascii="黑体" w:hAnsi="宋体" w:eastAsia="黑体" w:cs="黑体"/>
                <w:color w:val="000000"/>
                <w:sz w:val="24"/>
                <w:highlight w:val="none"/>
                <w:lang w:val="en-US" w:eastAsia="zh-CN"/>
              </w:rPr>
            </w:pPr>
            <w:r>
              <w:rPr>
                <w:rFonts w:hint="eastAsia" w:ascii="黑体" w:hAnsi="宋体" w:eastAsia="黑体" w:cs="黑体"/>
                <w:color w:val="000000"/>
                <w:kern w:val="0"/>
                <w:sz w:val="24"/>
                <w:highlight w:val="none"/>
              </w:rPr>
              <w:t>评价分值：</w:t>
            </w:r>
            <w:r>
              <w:rPr>
                <w:rFonts w:hint="eastAsia" w:ascii="黑体" w:hAnsi="宋体" w:eastAsia="黑体" w:cs="黑体"/>
                <w:color w:val="000000"/>
                <w:kern w:val="0"/>
                <w:sz w:val="24"/>
                <w:highlight w:val="none"/>
                <w:lang w:val="en-US" w:eastAsia="zh-CN"/>
              </w:rPr>
              <w:t>98.5</w:t>
            </w:r>
            <w:r>
              <w:rPr>
                <w:rStyle w:val="30"/>
                <w:rFonts w:hint="eastAsia" w:hAnsi="宋体"/>
                <w:highlight w:val="none"/>
              </w:rPr>
              <w:t xml:space="preserve"> </w:t>
            </w:r>
            <w:r>
              <w:rPr>
                <w:rFonts w:hint="eastAsia" w:ascii="黑体" w:hAnsi="宋体" w:eastAsia="黑体" w:cs="黑体"/>
                <w:color w:val="000000"/>
                <w:kern w:val="0"/>
                <w:sz w:val="24"/>
                <w:highlight w:val="none"/>
              </w:rPr>
              <w:t>评价等级：</w:t>
            </w:r>
            <w:r>
              <w:rPr>
                <w:rFonts w:hint="eastAsia" w:ascii="黑体" w:hAnsi="宋体" w:eastAsia="黑体" w:cs="黑体"/>
                <w:color w:val="000000"/>
                <w:kern w:val="0"/>
                <w:sz w:val="24"/>
                <w:highlight w:val="none"/>
                <w:lang w:val="en-US" w:eastAsia="zh-CN"/>
              </w:rPr>
              <w:t>优</w:t>
            </w:r>
          </w:p>
        </w:tc>
      </w:tr>
      <w:tr w14:paraId="4B7926B2">
        <w:tblPrEx>
          <w:tblCellMar>
            <w:top w:w="15" w:type="dxa"/>
            <w:left w:w="15" w:type="dxa"/>
            <w:bottom w:w="15" w:type="dxa"/>
            <w:right w:w="15" w:type="dxa"/>
          </w:tblCellMar>
        </w:tblPrEx>
        <w:trPr>
          <w:trHeight w:val="510" w:hRule="atLeast"/>
        </w:trPr>
        <w:tc>
          <w:tcPr>
            <w:tcW w:w="8983" w:type="dxa"/>
            <w:gridSpan w:val="13"/>
            <w:shd w:val="clear" w:color="auto" w:fill="auto"/>
            <w:vAlign w:val="center"/>
          </w:tcPr>
          <w:p w14:paraId="601819A2">
            <w:pPr>
              <w:widowControl/>
              <w:jc w:val="center"/>
              <w:textAlignment w:val="center"/>
              <w:rPr>
                <w:rFonts w:ascii="黑体" w:hAnsi="宋体" w:eastAsia="黑体" w:cs="黑体"/>
                <w:b/>
                <w:color w:val="000000"/>
                <w:sz w:val="36"/>
                <w:szCs w:val="36"/>
                <w:highlight w:val="none"/>
              </w:rPr>
            </w:pPr>
            <w:r>
              <w:rPr>
                <w:rFonts w:hint="eastAsia" w:ascii="黑体" w:hAnsi="宋体" w:eastAsia="黑体" w:cs="黑体"/>
                <w:b/>
                <w:color w:val="000000"/>
                <w:kern w:val="0"/>
                <w:sz w:val="36"/>
                <w:szCs w:val="36"/>
                <w:highlight w:val="none"/>
              </w:rPr>
              <w:t>概   要</w:t>
            </w:r>
          </w:p>
        </w:tc>
      </w:tr>
      <w:tr w14:paraId="21FBB6EA">
        <w:tblPrEx>
          <w:tblCellMar>
            <w:top w:w="15" w:type="dxa"/>
            <w:left w:w="15" w:type="dxa"/>
            <w:bottom w:w="15" w:type="dxa"/>
            <w:right w:w="15" w:type="dxa"/>
          </w:tblCellMar>
        </w:tblPrEx>
        <w:trPr>
          <w:trHeight w:val="330" w:hRule="atLeast"/>
        </w:trPr>
        <w:tc>
          <w:tcPr>
            <w:tcW w:w="8983" w:type="dxa"/>
            <w:gridSpan w:val="13"/>
            <w:shd w:val="clear" w:color="auto" w:fill="auto"/>
            <w:vAlign w:val="center"/>
          </w:tcPr>
          <w:p w14:paraId="1496664D">
            <w:pPr>
              <w:widowControl/>
              <w:jc w:val="left"/>
              <w:textAlignment w:val="center"/>
              <w:rPr>
                <w:rFonts w:ascii="黑体" w:hAnsi="黑体" w:eastAsia="黑体" w:cs="仿宋_GB2312"/>
                <w:color w:val="000000"/>
                <w:sz w:val="22"/>
                <w:highlight w:val="none"/>
              </w:rPr>
            </w:pPr>
            <w:r>
              <w:rPr>
                <w:rFonts w:hint="eastAsia" w:ascii="黑体" w:hAnsi="黑体" w:eastAsia="黑体" w:cs="仿宋_GB2312"/>
                <w:color w:val="000000"/>
                <w:kern w:val="0"/>
                <w:sz w:val="22"/>
                <w:highlight w:val="none"/>
              </w:rPr>
              <w:t>评价机构全称（盖章）：中瑞诚会计师事务所</w:t>
            </w:r>
            <w:r>
              <w:rPr>
                <w:rFonts w:hint="eastAsia" w:ascii="黑体" w:hAnsi="黑体" w:eastAsia="黑体" w:cs="仿宋_GB2312"/>
                <w:color w:val="000000"/>
                <w:kern w:val="0"/>
                <w:sz w:val="22"/>
                <w:highlight w:val="none"/>
                <w:lang w:eastAsia="zh-CN"/>
              </w:rPr>
              <w:t>（特殊普通合伙）</w:t>
            </w:r>
            <w:r>
              <w:rPr>
                <w:rFonts w:hint="eastAsia" w:ascii="黑体" w:hAnsi="黑体" w:eastAsia="黑体" w:cs="仿宋_GB2312"/>
                <w:color w:val="000000"/>
                <w:kern w:val="0"/>
                <w:sz w:val="22"/>
                <w:highlight w:val="none"/>
              </w:rPr>
              <w:t xml:space="preserve">喀什分所 </w:t>
            </w:r>
            <w:r>
              <w:rPr>
                <w:rFonts w:hint="eastAsia" w:ascii="黑体" w:hAnsi="黑体" w:eastAsia="黑体" w:cs="仿宋_GB2312"/>
                <w:color w:val="000000"/>
                <w:kern w:val="0"/>
                <w:sz w:val="22"/>
                <w:highlight w:val="none"/>
                <w:lang w:val="en-US" w:eastAsia="zh-CN"/>
              </w:rPr>
              <w:t xml:space="preserve">   </w:t>
            </w:r>
            <w:r>
              <w:rPr>
                <w:rFonts w:hint="eastAsia" w:ascii="黑体" w:hAnsi="黑体" w:eastAsia="黑体" w:cs="仿宋_GB2312"/>
                <w:color w:val="000000"/>
                <w:kern w:val="0"/>
                <w:sz w:val="22"/>
                <w:highlight w:val="none"/>
              </w:rPr>
              <w:t>单位：万元、类、个</w:t>
            </w:r>
          </w:p>
        </w:tc>
      </w:tr>
      <w:tr w14:paraId="383421FC">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044E3D">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项目名称</w:t>
            </w:r>
          </w:p>
        </w:tc>
        <w:tc>
          <w:tcPr>
            <w:tcW w:w="5103" w:type="dxa"/>
            <w:gridSpan w:val="9"/>
            <w:tcBorders>
              <w:top w:val="single" w:color="000000" w:sz="4" w:space="0"/>
              <w:left w:val="single" w:color="000000" w:sz="4" w:space="0"/>
              <w:bottom w:val="single" w:color="000000" w:sz="4" w:space="0"/>
              <w:right w:val="single" w:color="000000" w:sz="4" w:space="0"/>
            </w:tcBorders>
            <w:shd w:val="clear" w:color="auto" w:fill="auto"/>
            <w:vAlign w:val="center"/>
          </w:tcPr>
          <w:p w14:paraId="68F2DD84">
            <w:pPr>
              <w:widowControl/>
              <w:spacing w:line="240" w:lineRule="exact"/>
              <w:jc w:val="center"/>
              <w:textAlignment w:val="center"/>
              <w:rPr>
                <w:rFonts w:hint="eastAsia" w:ascii="仿宋_GB2312" w:hAnsi="宋体" w:eastAsia="仿宋_GB2312" w:cs="仿宋_GB2312"/>
                <w:color w:val="000000"/>
                <w:sz w:val="20"/>
                <w:szCs w:val="20"/>
                <w:highlight w:val="none"/>
                <w:lang w:eastAsia="zh-CN"/>
              </w:rPr>
            </w:pPr>
            <w:r>
              <w:rPr>
                <w:rFonts w:hint="eastAsia" w:ascii="仿宋_GB2312" w:hAnsi="宋体" w:eastAsia="仿宋_GB2312" w:cs="仿宋_GB2312"/>
                <w:color w:val="000000"/>
                <w:sz w:val="20"/>
                <w:szCs w:val="20"/>
                <w:highlight w:val="none"/>
                <w:lang w:eastAsia="zh-CN"/>
              </w:rPr>
              <w:t>第七次全国人口普查项目项目</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FD2B08C">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评价年度</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8844BA">
            <w:pPr>
              <w:widowControl/>
              <w:spacing w:line="240" w:lineRule="exact"/>
              <w:jc w:val="center"/>
              <w:textAlignment w:val="center"/>
              <w:rPr>
                <w:rFonts w:hint="eastAsia" w:ascii="仿宋_GB2312" w:hAnsi="宋体" w:eastAsia="仿宋_GB2312" w:cs="仿宋_GB2312"/>
                <w:color w:val="000000"/>
                <w:sz w:val="20"/>
                <w:szCs w:val="20"/>
                <w:highlight w:val="none"/>
                <w:lang w:eastAsia="zh-CN"/>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p>
        </w:tc>
      </w:tr>
      <w:tr w14:paraId="79877A52">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D1F322">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财政主管处室</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22B0FD88">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绩效股</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551C695A">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0D4103B">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高月仙15713865046</w:t>
            </w:r>
          </w:p>
        </w:tc>
      </w:tr>
      <w:tr w14:paraId="5791D2CE">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66D927">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主管部门</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33D5DC32">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洛浦县统计局</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44AA33D4">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CBEB004">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阿布力孜15199775553</w:t>
            </w:r>
          </w:p>
        </w:tc>
      </w:tr>
      <w:tr w14:paraId="252EFEF0">
        <w:tblPrEx>
          <w:tblCellMar>
            <w:top w:w="15" w:type="dxa"/>
            <w:left w:w="15" w:type="dxa"/>
            <w:bottom w:w="15" w:type="dxa"/>
            <w:right w:w="15" w:type="dxa"/>
          </w:tblCellMar>
        </w:tblPrEx>
        <w:trPr>
          <w:trHeight w:val="376"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3DAE79">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自评方式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C8A5CEB">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 xml:space="preserve"> 实地调研、文件研读等方式</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76B97D8">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自评分值</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9C3696B">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100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8BA20BF">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自评等级</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1CF3B9">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优</w:t>
            </w:r>
          </w:p>
        </w:tc>
      </w:tr>
      <w:tr w14:paraId="7EAD5A98">
        <w:tblPrEx>
          <w:tblCellMar>
            <w:top w:w="15" w:type="dxa"/>
            <w:left w:w="15" w:type="dxa"/>
            <w:bottom w:w="15" w:type="dxa"/>
            <w:right w:w="15" w:type="dxa"/>
          </w:tblCellMar>
        </w:tblPrEx>
        <w:trPr>
          <w:trHeight w:val="615"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3D72CA">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各级资金</w:t>
            </w:r>
          </w:p>
          <w:p w14:paraId="7D228846">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投入总数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BC4F455">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146.40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283424D">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抽查资金总数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68B3CC9F">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lang w:val="en-US" w:eastAsia="zh-CN"/>
              </w:rPr>
              <w:t>146.40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98B7A4D">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7D4ABB">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14:paraId="0AE527C5">
        <w:tblPrEx>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98BA30">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14:paraId="059FEE27">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9B3CBB0">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FC9EAC2">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14:paraId="3164105E">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55752DFC">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lang w:val="en-US" w:eastAsia="zh-CN"/>
              </w:rPr>
              <w:t>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865F7F6">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自治区</w:t>
            </w:r>
            <w:r>
              <w:rPr>
                <w:rFonts w:hint="eastAsia" w:ascii="黑体" w:hAnsi="宋体" w:eastAsia="黑体" w:cs="黑体"/>
                <w:color w:val="000000"/>
                <w:kern w:val="0"/>
                <w:sz w:val="20"/>
                <w:szCs w:val="20"/>
              </w:rPr>
              <w:t>财政资金</w:t>
            </w:r>
          </w:p>
          <w:p w14:paraId="5D8570D5">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DF8447">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100%</w:t>
            </w:r>
          </w:p>
        </w:tc>
      </w:tr>
      <w:tr w14:paraId="013A2B35">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331C5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项目类别</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E0E1D16">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经费类</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BE85C7F">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抽查类别</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024CFB96">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经费类</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0AD72F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类别抽查占比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A13C3A">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100%</w:t>
            </w:r>
          </w:p>
        </w:tc>
      </w:tr>
      <w:tr w14:paraId="007D1E42">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A64625">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项目数量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97558E6">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46AA630">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抽查项目数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92BA2AF">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7733DD0">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126E7B">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100%</w:t>
            </w:r>
          </w:p>
        </w:tc>
      </w:tr>
      <w:tr w14:paraId="35995291">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4E39E547">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涉及市县数</w:t>
            </w:r>
          </w:p>
          <w:p w14:paraId="4EFD852D">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0471840F">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60CD6258">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抽查市县数</w:t>
            </w:r>
          </w:p>
          <w:p w14:paraId="18A610C9">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14:paraId="339BCDDF">
            <w:pPr>
              <w:widowControl/>
              <w:spacing w:line="240" w:lineRule="exact"/>
              <w:jc w:val="center"/>
              <w:textAlignment w:val="center"/>
              <w:rPr>
                <w:rFonts w:hint="default" w:ascii="黑体" w:hAnsi="宋体" w:eastAsia="仿宋_GB2312" w:cs="黑体"/>
                <w:color w:val="000000"/>
                <w:kern w:val="0"/>
                <w:sz w:val="20"/>
                <w:szCs w:val="20"/>
                <w:lang w:val="en-US" w:eastAsia="zh-CN"/>
              </w:rPr>
            </w:pPr>
            <w:r>
              <w:rPr>
                <w:rFonts w:hint="eastAsia" w:ascii="黑体" w:hAnsi="宋体" w:eastAsia="仿宋_GB2312" w:cs="黑体"/>
                <w:color w:val="000000"/>
                <w:kern w:val="0"/>
                <w:sz w:val="20"/>
                <w:szCs w:val="20"/>
                <w:lang w:val="en-US" w:eastAsia="zh-CN"/>
              </w:rPr>
              <w:t>1</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14:paraId="2D5F31BD">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w:t>
            </w:r>
          </w:p>
          <w:p w14:paraId="2D218EE9">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区域</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14:paraId="4CA7EDFF">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洛浦县9个乡镇，1个街道</w:t>
            </w:r>
          </w:p>
        </w:tc>
      </w:tr>
      <w:tr w14:paraId="56FF199A">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34F8506D">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发放调查</w:t>
            </w:r>
          </w:p>
          <w:p w14:paraId="752E4B41">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问卷</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291AD8C2">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450</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71AFF815">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有效调查</w:t>
            </w:r>
          </w:p>
          <w:p w14:paraId="42CA8054">
            <w:pPr>
              <w:widowControl/>
              <w:spacing w:line="240" w:lineRule="exact"/>
              <w:jc w:val="center"/>
              <w:textAlignment w:val="center"/>
              <w:rPr>
                <w:rFonts w:ascii="黑体" w:hAnsi="黑体" w:eastAsia="黑体" w:cs="仿宋_GB2312"/>
                <w:color w:val="000000"/>
                <w:kern w:val="0"/>
                <w:sz w:val="20"/>
                <w:szCs w:val="20"/>
              </w:rPr>
            </w:pPr>
            <w:r>
              <w:rPr>
                <w:rFonts w:hint="eastAsia" w:ascii="黑体" w:hAnsi="宋体" w:eastAsia="黑体" w:cs="黑体"/>
                <w:color w:val="000000"/>
                <w:kern w:val="0"/>
                <w:sz w:val="20"/>
                <w:szCs w:val="20"/>
              </w:rPr>
              <w:t>问卷</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14:paraId="41CA7DBE">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450</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14:paraId="7EEA6271">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满意度</w:t>
            </w:r>
          </w:p>
          <w:p w14:paraId="2AE8F311">
            <w:pPr>
              <w:widowControl/>
              <w:spacing w:line="240" w:lineRule="exact"/>
              <w:jc w:val="center"/>
              <w:textAlignment w:val="center"/>
              <w:rPr>
                <w:rFonts w:ascii="仿宋_GB2312" w:hAnsi="宋体" w:eastAsia="仿宋_GB2312" w:cs="仿宋_GB2312"/>
                <w:color w:val="000000"/>
                <w:kern w:val="0"/>
                <w:sz w:val="20"/>
                <w:szCs w:val="20"/>
              </w:rPr>
            </w:pPr>
            <w:r>
              <w:rPr>
                <w:rFonts w:hint="eastAsia" w:ascii="黑体" w:hAnsi="宋体" w:eastAsia="黑体" w:cs="黑体"/>
                <w:color w:val="000000"/>
                <w:kern w:val="0"/>
                <w:sz w:val="20"/>
                <w:szCs w:val="20"/>
              </w:rPr>
              <w:t>情况</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14:paraId="44F18B09">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100%</w:t>
            </w:r>
          </w:p>
        </w:tc>
      </w:tr>
      <w:tr w14:paraId="1826DE72">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14:paraId="6BECB48E">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绩效目标</w:t>
            </w:r>
          </w:p>
          <w:p w14:paraId="0F7F0D49">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实现情况</w:t>
            </w:r>
          </w:p>
        </w:tc>
        <w:tc>
          <w:tcPr>
            <w:tcW w:w="7692" w:type="dxa"/>
            <w:gridSpan w:val="12"/>
            <w:tcBorders>
              <w:top w:val="single" w:color="000000" w:sz="4" w:space="0"/>
              <w:left w:val="single" w:color="000000" w:sz="4" w:space="0"/>
              <w:bottom w:val="single" w:color="auto" w:sz="4" w:space="0"/>
              <w:right w:val="single" w:color="000000" w:sz="4" w:space="0"/>
            </w:tcBorders>
            <w:shd w:val="clear" w:color="auto" w:fill="auto"/>
            <w:vAlign w:val="center"/>
          </w:tcPr>
          <w:p w14:paraId="16920988">
            <w:pPr>
              <w:keepNext w:val="0"/>
              <w:keepLines w:val="0"/>
              <w:pageBreakBefore w:val="0"/>
              <w:widowControl w:val="0"/>
              <w:kinsoku/>
              <w:wordWrap/>
              <w:overflowPunct/>
              <w:topLinePunct w:val="0"/>
              <w:autoSpaceDE/>
              <w:autoSpaceDN/>
              <w:bidi w:val="0"/>
              <w:adjustRightInd/>
              <w:snapToGrid/>
              <w:spacing w:line="240" w:lineRule="exact"/>
              <w:textAlignment w:val="auto"/>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完成了对全县开展第七次全国人口普查工作，参加普查工作人数为1450人，普查对象为30万人以上。</w:t>
            </w:r>
            <w:r>
              <w:rPr>
                <w:rFonts w:hint="eastAsia" w:ascii="仿宋_GB2312" w:hAnsi="宋体" w:eastAsia="仿宋_GB2312" w:cs="仿宋_GB2312"/>
                <w:color w:val="000000"/>
                <w:sz w:val="20"/>
                <w:szCs w:val="20"/>
                <w:lang w:val="en-US" w:eastAsia="zh-CN"/>
              </w:rPr>
              <w:t>通过该项目实施，</w:t>
            </w:r>
            <w:r>
              <w:rPr>
                <w:rFonts w:hint="eastAsia" w:ascii="仿宋_GB2312" w:hAnsi="仿宋_GB2312" w:eastAsia="仿宋_GB2312" w:cs="仿宋_GB2312"/>
                <w:kern w:val="2"/>
                <w:sz w:val="20"/>
                <w:szCs w:val="20"/>
                <w:lang w:val="en-US" w:eastAsia="zh-CN" w:bidi="ar"/>
              </w:rPr>
              <w:t>促进了人口长期均衡发展，完善了人口发展战略和发展体系，推动了经济高质量发展，开启了全面建设社会新征程。</w:t>
            </w:r>
          </w:p>
        </w:tc>
      </w:tr>
      <w:tr w14:paraId="66A9FFA2">
        <w:tblPrEx>
          <w:tblCellMar>
            <w:top w:w="15" w:type="dxa"/>
            <w:left w:w="15" w:type="dxa"/>
            <w:bottom w:w="15" w:type="dxa"/>
            <w:right w:w="15" w:type="dxa"/>
          </w:tblCellMar>
        </w:tblPrEx>
        <w:trPr>
          <w:trHeight w:val="540"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14:paraId="5FEEAAC8">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评价问题</w:t>
            </w:r>
          </w:p>
          <w:p w14:paraId="0A208539">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简要情况</w:t>
            </w:r>
          </w:p>
        </w:tc>
        <w:tc>
          <w:tcPr>
            <w:tcW w:w="7692"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14:paraId="6D3AD902">
            <w:pPr>
              <w:keepNext w:val="0"/>
              <w:keepLines w:val="0"/>
              <w:pageBreakBefore w:val="0"/>
              <w:widowControl/>
              <w:kinsoku/>
              <w:wordWrap/>
              <w:overflowPunct/>
              <w:topLinePunct w:val="0"/>
              <w:autoSpaceDE/>
              <w:autoSpaceDN/>
              <w:bidi w:val="0"/>
              <w:adjustRightInd/>
              <w:snapToGrid/>
              <w:spacing w:line="240" w:lineRule="exact"/>
              <w:jc w:val="left"/>
              <w:textAlignment w:val="center"/>
              <w:rPr>
                <w:rFonts w:hint="eastAsia" w:ascii="仿宋_GB2312" w:hAnsi="宋体" w:eastAsia="仿宋_GB2312" w:cs="仿宋_GB2312"/>
                <w:color w:val="000000"/>
                <w:sz w:val="20"/>
                <w:szCs w:val="20"/>
                <w:highlight w:val="yellow"/>
                <w:lang w:eastAsia="zh-CN"/>
              </w:rPr>
            </w:pPr>
            <w:r>
              <w:rPr>
                <w:rFonts w:hint="eastAsia" w:ascii="仿宋_GB2312" w:hAnsi="仿宋_GB2312" w:eastAsia="仿宋_GB2312" w:cs="仿宋_GB2312"/>
                <w:kern w:val="2"/>
                <w:sz w:val="20"/>
                <w:szCs w:val="20"/>
                <w:lang w:val="en-US" w:eastAsia="zh-CN" w:bidi="ar"/>
              </w:rPr>
              <w:t>洛浦县统计局对项目资料归档不够重视，项目资料归档不及时。</w:t>
            </w:r>
          </w:p>
        </w:tc>
      </w:tr>
      <w:tr w14:paraId="49934750">
        <w:tblPrEx>
          <w:tblCellMar>
            <w:top w:w="15" w:type="dxa"/>
            <w:left w:w="15" w:type="dxa"/>
            <w:bottom w:w="15" w:type="dxa"/>
            <w:right w:w="15" w:type="dxa"/>
          </w:tblCellMar>
        </w:tblPrEx>
        <w:trPr>
          <w:trHeight w:val="512"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14:paraId="2BA73BDA">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评价问题</w:t>
            </w:r>
          </w:p>
          <w:p w14:paraId="4CADA9D5">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简要建议</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14:paraId="7828882C">
            <w:pPr>
              <w:keepNext w:val="0"/>
              <w:keepLines w:val="0"/>
              <w:pageBreakBefore w:val="0"/>
              <w:widowControl/>
              <w:kinsoku/>
              <w:wordWrap/>
              <w:overflowPunct/>
              <w:topLinePunct w:val="0"/>
              <w:autoSpaceDE/>
              <w:autoSpaceDN/>
              <w:bidi w:val="0"/>
              <w:adjustRightInd/>
              <w:snapToGrid/>
              <w:spacing w:line="240" w:lineRule="exact"/>
              <w:jc w:val="left"/>
              <w:textAlignment w:val="center"/>
              <w:rPr>
                <w:rFonts w:hint="eastAsia" w:ascii="仿宋_GB2312" w:hAnsi="宋体" w:eastAsia="仿宋_GB2312" w:cs="仿宋_GB2312"/>
                <w:color w:val="000000"/>
                <w:sz w:val="20"/>
                <w:szCs w:val="20"/>
                <w:lang w:eastAsia="zh-CN"/>
              </w:rPr>
            </w:pPr>
            <w:r>
              <w:rPr>
                <w:rFonts w:hint="eastAsia" w:ascii="仿宋_GB2312" w:hAnsi="仿宋_GB2312" w:eastAsia="仿宋_GB2312" w:cs="仿宋_GB2312"/>
                <w:sz w:val="20"/>
                <w:szCs w:val="20"/>
                <w:lang w:val="en-US" w:eastAsia="zh-CN"/>
              </w:rPr>
              <w:t>建议项目实施主管单位严格遵守相关项目管理办法，在项目实施过程中，项目资料的收集与项目实施进度保持同步，严格要求各乡镇及时报送资料，避免出现有乡镇漏报资料。</w:t>
            </w:r>
          </w:p>
        </w:tc>
      </w:tr>
      <w:tr w14:paraId="19E823AD">
        <w:tblPrEx>
          <w:tblCellMar>
            <w:top w:w="15" w:type="dxa"/>
            <w:left w:w="15" w:type="dxa"/>
            <w:bottom w:w="15" w:type="dxa"/>
            <w:right w:w="15" w:type="dxa"/>
          </w:tblCellMar>
        </w:tblPrEx>
        <w:trPr>
          <w:trHeight w:val="962" w:hRule="atLeast"/>
        </w:trPr>
        <w:tc>
          <w:tcPr>
            <w:tcW w:w="1291" w:type="dxa"/>
            <w:tcBorders>
              <w:top w:val="single" w:color="auto" w:sz="4" w:space="0"/>
              <w:left w:val="single" w:color="000000" w:sz="4" w:space="0"/>
              <w:bottom w:val="single" w:color="auto" w:sz="4" w:space="0"/>
              <w:right w:val="single" w:color="000000" w:sz="4" w:space="0"/>
            </w:tcBorders>
            <w:shd w:val="clear" w:color="auto" w:fill="auto"/>
            <w:vAlign w:val="center"/>
          </w:tcPr>
          <w:p w14:paraId="728D5DFA">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评价结果</w:t>
            </w:r>
          </w:p>
          <w:p w14:paraId="7B2F1E77">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应用建议</w:t>
            </w:r>
          </w:p>
        </w:tc>
        <w:tc>
          <w:tcPr>
            <w:tcW w:w="7692" w:type="dxa"/>
            <w:gridSpan w:val="12"/>
            <w:tcBorders>
              <w:top w:val="single" w:color="auto" w:sz="4" w:space="0"/>
              <w:left w:val="single" w:color="000000" w:sz="4" w:space="0"/>
              <w:bottom w:val="single" w:color="auto" w:sz="4" w:space="0"/>
              <w:right w:val="single" w:color="000000" w:sz="4" w:space="0"/>
            </w:tcBorders>
            <w:shd w:val="clear" w:color="auto" w:fill="auto"/>
            <w:vAlign w:val="center"/>
          </w:tcPr>
          <w:p w14:paraId="2B5C2349">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1.建议将此次绩效评价过程中发现的问题进行及时整改；</w:t>
            </w:r>
          </w:p>
          <w:p w14:paraId="4A8B31D2">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2.建议加大对绩效评价结果的应用，此次绩效评价结果，可作为202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年各部门（单位）改进管理、调整财政支出方向、预算编制和安排财政资金的重要依据；</w:t>
            </w:r>
          </w:p>
          <w:p w14:paraId="501EE580">
            <w:pPr>
              <w:widowControl/>
              <w:spacing w:line="240" w:lineRule="exact"/>
              <w:jc w:val="left"/>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highlight w:val="none"/>
              </w:rPr>
              <w:t>3.建议建立绩效评价结果应用制度，将</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年绩效评价结果进行公示、公开。</w:t>
            </w:r>
          </w:p>
        </w:tc>
      </w:tr>
      <w:tr w14:paraId="7A2E9AA9">
        <w:tblPrEx>
          <w:tblCellMar>
            <w:top w:w="15" w:type="dxa"/>
            <w:left w:w="15" w:type="dxa"/>
            <w:bottom w:w="15" w:type="dxa"/>
            <w:right w:w="15" w:type="dxa"/>
          </w:tblCellMar>
        </w:tblPrEx>
        <w:trPr>
          <w:trHeight w:val="424" w:hRule="atLeast"/>
        </w:trPr>
        <w:tc>
          <w:tcPr>
            <w:tcW w:w="2245"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14:paraId="30EDA5A1">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评价时间</w:t>
            </w:r>
          </w:p>
        </w:tc>
        <w:tc>
          <w:tcPr>
            <w:tcW w:w="2246" w:type="dxa"/>
            <w:gridSpan w:val="5"/>
            <w:tcBorders>
              <w:top w:val="single" w:color="auto" w:sz="4" w:space="0"/>
              <w:left w:val="single" w:color="000000" w:sz="4" w:space="0"/>
              <w:bottom w:val="single" w:color="auto" w:sz="4" w:space="0"/>
              <w:right w:val="single" w:color="000000" w:sz="4" w:space="0"/>
            </w:tcBorders>
            <w:shd w:val="clear" w:color="auto" w:fill="auto"/>
            <w:vAlign w:val="center"/>
          </w:tcPr>
          <w:p w14:paraId="02BA63D9">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日至</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06</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30</w:t>
            </w:r>
            <w:r>
              <w:rPr>
                <w:rFonts w:hint="eastAsia" w:ascii="仿宋_GB2312" w:hAnsi="宋体" w:eastAsia="仿宋_GB2312" w:cs="仿宋_GB2312"/>
                <w:color w:val="000000"/>
                <w:sz w:val="20"/>
                <w:szCs w:val="20"/>
                <w:highlight w:val="none"/>
              </w:rPr>
              <w:t>日</w:t>
            </w:r>
          </w:p>
        </w:tc>
        <w:tc>
          <w:tcPr>
            <w:tcW w:w="2246" w:type="dxa"/>
            <w:gridSpan w:val="4"/>
            <w:tcBorders>
              <w:top w:val="single" w:color="auto" w:sz="4" w:space="0"/>
              <w:left w:val="single" w:color="000000" w:sz="4" w:space="0"/>
              <w:bottom w:val="single" w:color="auto" w:sz="4" w:space="0"/>
              <w:right w:val="single" w:color="000000" w:sz="4" w:space="0"/>
            </w:tcBorders>
            <w:shd w:val="clear" w:color="auto" w:fill="auto"/>
            <w:vAlign w:val="center"/>
          </w:tcPr>
          <w:p w14:paraId="3D522895">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评价机构报告编号</w:t>
            </w:r>
          </w:p>
        </w:tc>
        <w:tc>
          <w:tcPr>
            <w:tcW w:w="2246"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14:paraId="13419D7A">
            <w:pPr>
              <w:widowControl/>
              <w:spacing w:line="240" w:lineRule="exact"/>
              <w:jc w:val="center"/>
              <w:textAlignment w:val="center"/>
              <w:rPr>
                <w:rFonts w:hint="eastAsia" w:ascii="黑体" w:hAnsi="黑体" w:eastAsia="黑体" w:cs="仿宋_GB2312"/>
                <w:color w:val="000000"/>
                <w:sz w:val="20"/>
                <w:szCs w:val="20"/>
              </w:rPr>
            </w:pPr>
            <w:r>
              <w:rPr>
                <w:rFonts w:hint="eastAsia" w:ascii="黑体" w:hAnsi="黑体" w:eastAsia="黑体" w:cs="仿宋_GB2312"/>
                <w:color w:val="000000"/>
                <w:sz w:val="20"/>
                <w:szCs w:val="20"/>
              </w:rPr>
              <w:t>中瑞诚喀绩评字[202</w:t>
            </w:r>
            <w:r>
              <w:rPr>
                <w:rFonts w:hint="eastAsia" w:ascii="黑体" w:hAnsi="黑体" w:eastAsia="黑体" w:cs="仿宋_GB2312"/>
                <w:color w:val="000000"/>
                <w:sz w:val="20"/>
                <w:szCs w:val="20"/>
                <w:lang w:val="en-US" w:eastAsia="zh-CN"/>
              </w:rPr>
              <w:t>2</w:t>
            </w:r>
            <w:r>
              <w:rPr>
                <w:rFonts w:hint="eastAsia" w:ascii="黑体" w:hAnsi="黑体" w:eastAsia="黑体" w:cs="仿宋_GB2312"/>
                <w:color w:val="000000"/>
                <w:sz w:val="20"/>
                <w:szCs w:val="20"/>
              </w:rPr>
              <w:t>]</w:t>
            </w:r>
            <w:r>
              <w:rPr>
                <w:rFonts w:hint="eastAsia" w:ascii="黑体" w:hAnsi="黑体" w:eastAsia="黑体" w:cs="仿宋_GB2312"/>
                <w:color w:val="000000"/>
                <w:sz w:val="20"/>
                <w:szCs w:val="20"/>
                <w:lang w:val="en-US" w:eastAsia="zh-CN"/>
              </w:rPr>
              <w:t>145</w:t>
            </w:r>
            <w:r>
              <w:rPr>
                <w:rFonts w:hint="eastAsia" w:ascii="黑体" w:hAnsi="黑体" w:eastAsia="黑体" w:cs="仿宋_GB2312"/>
                <w:color w:val="000000"/>
                <w:sz w:val="20"/>
                <w:szCs w:val="20"/>
              </w:rPr>
              <w:t>号</w:t>
            </w:r>
          </w:p>
        </w:tc>
      </w:tr>
      <w:tr w14:paraId="319FBD50">
        <w:tblPrEx>
          <w:tblCellMar>
            <w:top w:w="15" w:type="dxa"/>
            <w:left w:w="15" w:type="dxa"/>
            <w:bottom w:w="15" w:type="dxa"/>
            <w:right w:w="15" w:type="dxa"/>
          </w:tblCellMar>
        </w:tblPrEx>
        <w:trPr>
          <w:trHeight w:val="955" w:hRule="atLeast"/>
        </w:trPr>
        <w:tc>
          <w:tcPr>
            <w:tcW w:w="2245"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4DE3F015">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项目负责人（签字）</w:t>
            </w:r>
          </w:p>
          <w:p w14:paraId="4C77C8C3">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5"/>
            <w:tcBorders>
              <w:top w:val="single" w:color="auto" w:sz="4" w:space="0"/>
              <w:left w:val="single" w:color="000000" w:sz="4" w:space="0"/>
              <w:bottom w:val="single" w:color="000000" w:sz="4" w:space="0"/>
              <w:right w:val="single" w:color="000000" w:sz="4" w:space="0"/>
            </w:tcBorders>
            <w:shd w:val="clear" w:color="auto" w:fill="auto"/>
            <w:vAlign w:val="center"/>
          </w:tcPr>
          <w:p w14:paraId="097306CF">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highlight w:val="none"/>
                <w:lang w:val="en-US" w:eastAsia="zh-CN"/>
              </w:rPr>
              <w:t>古丽热依汉 13079918673</w:t>
            </w:r>
          </w:p>
        </w:tc>
        <w:tc>
          <w:tcPr>
            <w:tcW w:w="2246" w:type="dxa"/>
            <w:gridSpan w:val="4"/>
            <w:tcBorders>
              <w:top w:val="single" w:color="auto" w:sz="4" w:space="0"/>
              <w:left w:val="single" w:color="000000" w:sz="4" w:space="0"/>
              <w:bottom w:val="single" w:color="000000" w:sz="4" w:space="0"/>
              <w:right w:val="single" w:color="000000" w:sz="4" w:space="0"/>
            </w:tcBorders>
            <w:shd w:val="clear" w:color="auto" w:fill="auto"/>
            <w:vAlign w:val="center"/>
          </w:tcPr>
          <w:p w14:paraId="0C7FC1CA">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法定代表人（签字）</w:t>
            </w:r>
          </w:p>
          <w:p w14:paraId="463B46F0">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4FF1F128">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叶金玲 13899129971</w:t>
            </w:r>
          </w:p>
        </w:tc>
      </w:tr>
    </w:tbl>
    <w:p w14:paraId="3B22125B">
      <w:pPr>
        <w:pStyle w:val="13"/>
        <w:tabs>
          <w:tab w:val="right" w:leader="dot" w:pos="8302"/>
        </w:tabs>
        <w:jc w:val="center"/>
        <w:rPr>
          <w:rFonts w:hint="eastAsia" w:ascii="宋体" w:hAnsi="宋体" w:eastAsia="宋体" w:cs="宋体"/>
          <w:sz w:val="44"/>
          <w:szCs w:val="44"/>
        </w:rPr>
      </w:pPr>
    </w:p>
    <w:p w14:paraId="7B6AB675">
      <w:pPr>
        <w:pStyle w:val="13"/>
        <w:tabs>
          <w:tab w:val="right" w:leader="dot" w:pos="8302"/>
        </w:tabs>
        <w:jc w:val="center"/>
        <w:rPr>
          <w:rFonts w:hint="eastAsia" w:ascii="微软雅黑" w:hAnsi="微软雅黑" w:eastAsia="微软雅黑" w:cs="微软雅黑"/>
          <w:b/>
          <w:bCs/>
          <w:sz w:val="44"/>
          <w:szCs w:val="44"/>
        </w:rPr>
      </w:pPr>
      <w:r>
        <w:rPr>
          <w:rFonts w:hint="eastAsia" w:ascii="微软雅黑" w:hAnsi="微软雅黑" w:eastAsia="微软雅黑" w:cs="微软雅黑"/>
          <w:b w:val="0"/>
          <w:bCs w:val="0"/>
          <w:sz w:val="44"/>
          <w:szCs w:val="44"/>
        </w:rPr>
        <w:t>摘   要</w:t>
      </w:r>
    </w:p>
    <w:p w14:paraId="6DF528ED">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ascii="仿宋" w:hAnsi="仿宋" w:eastAsia="仿宋" w:cs="仿宋"/>
          <w:sz w:val="32"/>
          <w:szCs w:val="32"/>
        </w:rPr>
      </w:pPr>
      <w:r>
        <w:rPr>
          <w:rFonts w:hint="eastAsia" w:ascii="仿宋_GB2312" w:hAnsi="仿宋_GB2312" w:eastAsia="仿宋_GB2312" w:cs="仿宋_GB2312"/>
          <w:sz w:val="32"/>
          <w:szCs w:val="32"/>
          <w:highlight w:val="none"/>
        </w:rPr>
        <w:t>为规范和加强财政资金的管理，</w:t>
      </w:r>
      <w:r>
        <w:rPr>
          <w:rFonts w:hint="eastAsia" w:ascii="仿宋_GB2312" w:hAnsi="仿宋_GB2312" w:eastAsia="仿宋_GB2312" w:cs="仿宋_GB2312"/>
          <w:sz w:val="32"/>
          <w:szCs w:val="32"/>
          <w:highlight w:val="none"/>
          <w:lang w:eastAsia="zh-CN"/>
        </w:rPr>
        <w:t>优化财政支出结构、</w:t>
      </w:r>
      <w:r>
        <w:rPr>
          <w:rFonts w:hint="eastAsia" w:ascii="仿宋_GB2312" w:hAnsi="仿宋_GB2312" w:eastAsia="仿宋_GB2312" w:cs="仿宋_GB2312"/>
          <w:sz w:val="32"/>
          <w:szCs w:val="32"/>
          <w:highlight w:val="none"/>
        </w:rPr>
        <w:t>进一步发挥绩效管理工作对财政资金使用管理的导向和激励作用，提高资金使用效益</w:t>
      </w:r>
      <w:r>
        <w:rPr>
          <w:rFonts w:hint="eastAsia" w:ascii="仿宋_GB2312" w:hAnsi="仿宋_GB2312" w:eastAsia="仿宋_GB2312" w:cs="仿宋_GB2312"/>
          <w:sz w:val="32"/>
          <w:szCs w:val="32"/>
          <w:highlight w:val="none"/>
          <w:lang w:eastAsia="zh-CN"/>
        </w:rPr>
        <w:t>，根据财政部《项目支出绩效评价管理办法》（财预〔2020〕10 号）</w:t>
      </w:r>
      <w:r>
        <w:rPr>
          <w:rFonts w:hint="eastAsia" w:ascii="仿宋_GB2312" w:hAnsi="仿宋_GB2312" w:eastAsia="仿宋_GB2312" w:cs="仿宋_GB2312"/>
          <w:sz w:val="32"/>
          <w:szCs w:val="32"/>
          <w:highlight w:val="none"/>
          <w:lang w:val="en-US" w:eastAsia="zh-CN"/>
        </w:rPr>
        <w:t>及</w:t>
      </w:r>
      <w:r>
        <w:rPr>
          <w:rFonts w:hint="eastAsia" w:ascii="仿宋_GB2312" w:hAnsi="仿宋_GB2312" w:eastAsia="仿宋_GB2312" w:cs="仿宋_GB2312"/>
          <w:sz w:val="32"/>
          <w:szCs w:val="32"/>
          <w:highlight w:val="none"/>
          <w:lang w:eastAsia="zh-CN"/>
        </w:rPr>
        <w:t>《自治区财政支出绩效评价管理暂行办法》（新财预〔2018〕189号）</w:t>
      </w:r>
      <w:r>
        <w:rPr>
          <w:rFonts w:hint="eastAsia" w:ascii="仿宋_GB2312" w:hAnsi="仿宋_GB2312" w:eastAsia="仿宋_GB2312" w:cs="仿宋_GB2312"/>
          <w:spacing w:val="-5"/>
          <w:sz w:val="32"/>
          <w:szCs w:val="32"/>
          <w:highlight w:val="none"/>
        </w:rPr>
        <w:t>相关规定，</w:t>
      </w:r>
      <w:r>
        <w:rPr>
          <w:rFonts w:hint="eastAsia" w:ascii="仿宋_GB2312" w:hAnsi="宋体" w:eastAsia="仿宋_GB2312" w:cs="仿宋_GB2312"/>
          <w:color w:val="000000"/>
          <w:sz w:val="32"/>
          <w:szCs w:val="32"/>
          <w:highlight w:val="none"/>
          <w:lang w:val="en-US" w:eastAsia="zh-CN"/>
        </w:rPr>
        <w:t>受洛浦县财政局委托，中瑞诚会计师事务所（特殊普通合伙）喀什分所作为第三方评价机构于2021年01月01日至2022年06月30日对洛浦县统计局管理的第七次全国人口普查项目（以下简称“该项目”）开展了绩效评价，评价情况如下：</w:t>
      </w:r>
    </w:p>
    <w:p w14:paraId="74010C45">
      <w:pPr>
        <w:numPr>
          <w:ilvl w:val="0"/>
          <w:numId w:val="3"/>
        </w:numPr>
        <w:adjustRightInd w:val="0"/>
        <w:snapToGrid w:val="0"/>
        <w:spacing w:line="560" w:lineRule="exact"/>
        <w:ind w:firstLine="640" w:firstLineChars="200"/>
        <w:jc w:val="left"/>
        <w:outlineLvl w:val="0"/>
        <w:rPr>
          <w:rFonts w:hint="eastAsia" w:ascii="黑体" w:hAnsi="黑体" w:eastAsia="黑体" w:cs="宋体"/>
          <w:sz w:val="32"/>
          <w:szCs w:val="32"/>
        </w:rPr>
      </w:pPr>
      <w:bookmarkStart w:id="0" w:name="_Toc1784"/>
      <w:r>
        <w:rPr>
          <w:rFonts w:hint="eastAsia" w:ascii="黑体" w:hAnsi="黑体" w:eastAsia="黑体" w:cs="宋体"/>
          <w:sz w:val="32"/>
          <w:szCs w:val="32"/>
        </w:rPr>
        <w:t>项目概述</w:t>
      </w:r>
      <w:bookmarkEnd w:id="0"/>
      <w:bookmarkStart w:id="1" w:name="_Toc4382"/>
    </w:p>
    <w:p w14:paraId="2DAFA875">
      <w:pPr>
        <w:numPr>
          <w:ilvl w:val="0"/>
          <w:numId w:val="0"/>
        </w:numPr>
        <w:adjustRightInd w:val="0"/>
        <w:snapToGrid w:val="0"/>
        <w:spacing w:line="560" w:lineRule="exact"/>
        <w:ind w:firstLine="640" w:firstLineChars="200"/>
        <w:jc w:val="left"/>
        <w:outlineLvl w:val="0"/>
        <w:rPr>
          <w:rFonts w:hint="eastAsia" w:ascii="仿宋_GB2312" w:hAnsi="宋体" w:eastAsia="仿宋_GB2312" w:cs="仿宋_GB2312"/>
          <w:color w:val="000000"/>
          <w:sz w:val="32"/>
          <w:szCs w:val="32"/>
          <w:highlight w:val="none"/>
          <w:lang w:val="en-US" w:eastAsia="zh-CN"/>
        </w:rPr>
      </w:pPr>
      <w:r>
        <w:rPr>
          <w:rFonts w:hint="eastAsia" w:ascii="仿宋_GB2312" w:hAnsi="宋体" w:eastAsia="仿宋_GB2312" w:cs="仿宋_GB2312"/>
          <w:color w:val="000000"/>
          <w:sz w:val="32"/>
          <w:szCs w:val="32"/>
          <w:highlight w:val="none"/>
          <w:lang w:val="en-US" w:eastAsia="zh-CN"/>
        </w:rPr>
        <w:t>《全国人口普查条例》规定，人口普查每10年进行一次。2021年我县开展第七次全国人口普查，这是我县人口发展进入深入转型阶段后首次对全国人口基本情况做全面盘点，普查数据质量的好坏对准确判断我县人口发展变化情况、科学制定经济社会发展规划、促进人口长期均衡发展具有重大影响。因此，必须立足我县经济社会发展实际，继承和发扬以往人口普查成功的经验，提早谋划、统筹部署、精心准备，充分发挥各部门职能，形成推动普查工作的强大合力，确保在新形势下高质量完成人口普查工作。</w:t>
      </w:r>
    </w:p>
    <w:p w14:paraId="3E83E218">
      <w:pPr>
        <w:numPr>
          <w:ilvl w:val="0"/>
          <w:numId w:val="0"/>
        </w:numPr>
        <w:adjustRightInd w:val="0"/>
        <w:snapToGrid w:val="0"/>
        <w:spacing w:line="560" w:lineRule="exact"/>
        <w:ind w:firstLine="640" w:firstLineChars="200"/>
        <w:jc w:val="left"/>
        <w:outlineLvl w:val="0"/>
        <w:rPr>
          <w:rFonts w:hint="eastAsia" w:ascii="仿宋_GB2312" w:hAnsi="宋体" w:eastAsia="仿宋_GB2312" w:cs="仿宋_GB2312"/>
          <w:color w:val="000000"/>
          <w:sz w:val="32"/>
          <w:szCs w:val="32"/>
          <w:highlight w:val="none"/>
          <w:lang w:val="en-US" w:eastAsia="zh-CN"/>
        </w:rPr>
      </w:pPr>
      <w:r>
        <w:rPr>
          <w:rFonts w:hint="eastAsia" w:ascii="仿宋_GB2312" w:hAnsi="宋体" w:eastAsia="仿宋_GB2312" w:cs="仿宋_GB2312"/>
          <w:color w:val="000000"/>
          <w:sz w:val="32"/>
          <w:szCs w:val="32"/>
          <w:highlight w:val="none"/>
          <w:lang w:val="en-US" w:eastAsia="zh-CN"/>
        </w:rPr>
        <w:t>通过该项目实施，全面查清我县人口数量、结构、分布、城乡住房等方面情况，为完善人口发展战略和政策体系，促进人口长期均衡发展，科学制定国民经济和社会发展规划，推动经济高质量发展，开启全面建设社会主义现代化国家新征程，向第二个百年奋斗目标进军，提供科学准确的统计信息支持。</w:t>
      </w:r>
    </w:p>
    <w:p w14:paraId="36571F33">
      <w:pPr>
        <w:numPr>
          <w:ilvl w:val="0"/>
          <w:numId w:val="0"/>
        </w:numPr>
        <w:adjustRightInd w:val="0"/>
        <w:snapToGrid w:val="0"/>
        <w:spacing w:line="560" w:lineRule="exact"/>
        <w:ind w:firstLine="640" w:firstLineChars="200"/>
        <w:jc w:val="left"/>
        <w:outlineLvl w:val="0"/>
        <w:rPr>
          <w:rFonts w:hint="eastAsia" w:ascii="仿宋_GB2312" w:hAnsi="宋体" w:eastAsia="仿宋_GB2312" w:cs="仿宋_GB2312"/>
          <w:color w:val="000000"/>
          <w:sz w:val="32"/>
          <w:szCs w:val="32"/>
          <w:highlight w:val="none"/>
          <w:lang w:val="en-US" w:eastAsia="zh-CN"/>
        </w:rPr>
      </w:pPr>
      <w:r>
        <w:rPr>
          <w:rFonts w:hint="eastAsia" w:ascii="仿宋_GB2312" w:hAnsi="宋体" w:eastAsia="仿宋_GB2312" w:cs="仿宋_GB2312"/>
          <w:color w:val="000000"/>
          <w:sz w:val="32"/>
          <w:szCs w:val="32"/>
          <w:highlight w:val="none"/>
          <w:lang w:val="en-US" w:eastAsia="zh-CN"/>
        </w:rPr>
        <w:t>该项目根据《关于提前下达第七次人口普查2021年经费的通知》（和地财行〔2021〕14号）文件精神和主管县领导主要批示要求等文件精神立项并实施。</w:t>
      </w:r>
    </w:p>
    <w:p w14:paraId="135764EE">
      <w:pPr>
        <w:pStyle w:val="2"/>
        <w:rPr>
          <w:rFonts w:hint="eastAsia" w:ascii="黑体" w:hAnsi="黑体" w:eastAsia="黑体" w:cs="宋体"/>
          <w:sz w:val="32"/>
          <w:szCs w:val="32"/>
          <w:highlight w:val="yellow"/>
          <w:lang w:eastAsia="zh-CN"/>
        </w:rPr>
      </w:pPr>
      <w:r>
        <w:rPr>
          <w:rFonts w:hint="eastAsia"/>
          <w:lang w:val="en-US" w:eastAsia="zh-CN"/>
        </w:rPr>
        <w:t xml:space="preserve">   </w:t>
      </w:r>
      <w:r>
        <w:rPr>
          <w:rFonts w:hint="eastAsia" w:ascii="黑体" w:hAnsi="黑体" w:eastAsia="黑体" w:cs="宋体"/>
          <w:b w:val="0"/>
          <w:bCs w:val="0"/>
          <w:sz w:val="32"/>
          <w:szCs w:val="32"/>
        </w:rPr>
        <w:t>二、评价工作简述</w:t>
      </w:r>
      <w:bookmarkEnd w:id="1"/>
    </w:p>
    <w:p w14:paraId="2FC1E90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eastAsia="zh-CN"/>
        </w:rPr>
      </w:pPr>
      <w:bookmarkStart w:id="2" w:name="_Toc13087"/>
      <w:r>
        <w:rPr>
          <w:rFonts w:hint="eastAsia" w:ascii="仿宋_GB2312" w:hAnsi="仿宋_GB2312" w:eastAsia="仿宋_GB2312" w:cs="仿宋_GB2312"/>
          <w:sz w:val="32"/>
          <w:szCs w:val="32"/>
          <w:highlight w:val="none"/>
        </w:rPr>
        <w:t>评价组自承接本项目后，立足于</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项目特点，本次评价关注重点：一是针对预算编制、资金执行的相关情况评价项目预算编制、财务核算是否到位</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二是评价</w:t>
      </w:r>
      <w:r>
        <w:rPr>
          <w:rFonts w:hint="eastAsia" w:ascii="仿宋_GB2312" w:hAnsi="仿宋_GB2312" w:eastAsia="仿宋_GB2312" w:cs="仿宋_GB2312"/>
          <w:sz w:val="32"/>
          <w:szCs w:val="32"/>
          <w:highlight w:val="none"/>
          <w:lang w:eastAsia="zh-CN"/>
        </w:rPr>
        <w:t>项目实施</w:t>
      </w:r>
      <w:r>
        <w:rPr>
          <w:rFonts w:hint="eastAsia" w:ascii="仿宋_GB2312" w:hAnsi="仿宋_GB2312" w:eastAsia="仿宋_GB2312" w:cs="仿宋_GB2312"/>
          <w:sz w:val="32"/>
          <w:szCs w:val="32"/>
          <w:highlight w:val="none"/>
        </w:rPr>
        <w:t>单位的管理制度、监管考核机制是否健全；三是评价项目是否按照目标执行，项目实施效果是否达到预期目标</w:t>
      </w:r>
      <w:r>
        <w:rPr>
          <w:rFonts w:hint="eastAsia" w:ascii="仿宋_GB2312" w:hAnsi="仿宋_GB2312" w:eastAsia="仿宋_GB2312" w:cs="仿宋_GB2312"/>
          <w:sz w:val="32"/>
          <w:szCs w:val="32"/>
          <w:highlight w:val="none"/>
          <w:lang w:eastAsia="zh-CN"/>
        </w:rPr>
        <w:t>。</w:t>
      </w:r>
    </w:p>
    <w:p w14:paraId="07FF1356">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default"/>
          <w:highlight w:val="yellow"/>
          <w:lang w:val="en-US" w:eastAsia="zh-CN"/>
        </w:rPr>
      </w:pPr>
      <w:r>
        <w:rPr>
          <w:rFonts w:hint="eastAsia" w:ascii="仿宋_GB2312" w:hAnsi="仿宋_GB2312" w:eastAsia="仿宋_GB2312" w:cs="仿宋_GB2312"/>
          <w:sz w:val="32"/>
          <w:szCs w:val="32"/>
          <w:highlight w:val="none"/>
          <w:lang w:val="en-US" w:eastAsia="zh-CN"/>
        </w:rPr>
        <w:t>评价工作组通过前期调研，</w:t>
      </w:r>
      <w:r>
        <w:rPr>
          <w:rFonts w:hint="eastAsia" w:ascii="仿宋_GB2312" w:hAnsi="仿宋_GB2312" w:eastAsia="仿宋_GB2312" w:cs="仿宋_GB2312"/>
          <w:sz w:val="32"/>
          <w:szCs w:val="32"/>
          <w:highlight w:val="none"/>
        </w:rPr>
        <w:t>了解项目管理流程及效果</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lang w:val="en-US" w:eastAsia="zh-CN"/>
        </w:rPr>
        <w:t>从项目决策、项目过程、项目产出和项目效益四个维度制定了工作方案，明确了评价的目的、方法、原则、指标、标准、社会调查方案等，重点对该项目的实施情况及效益进行了核实；评价工作组本着科学规范的绩效评价原则，运用成本效益分析法、比较分析法等方法，严格按照工作方案，经过数据采集、问卷调查、实地调研、数据分析和报告撰写等环节，完成了绩效评价工作。</w:t>
      </w:r>
    </w:p>
    <w:p w14:paraId="609111AA">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三、绩效评价分析</w:t>
      </w:r>
      <w:bookmarkEnd w:id="2"/>
    </w:p>
    <w:p w14:paraId="0BA779A4">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3" w:name="_Toc24046"/>
      <w:bookmarkStart w:id="4" w:name="_Toc4082"/>
      <w:r>
        <w:rPr>
          <w:rFonts w:hint="eastAsia" w:ascii="仿宋_GB2312" w:hAnsi="仿宋_GB2312" w:eastAsia="仿宋_GB2312" w:cs="仿宋_GB2312"/>
          <w:sz w:val="32"/>
          <w:szCs w:val="32"/>
          <w:highlight w:val="none"/>
          <w:lang w:val="en-US" w:eastAsia="zh-CN"/>
        </w:rPr>
        <w:t>依据《自治区财政支出绩效评价管理暂行办法》（新财预〔2018〕189号）文件精神，评价工作组从绩效目标、绩效控制、产出及效果进行评价分析。绩效目标主要针对目标明确性、目标合理性和目标细化程度进行分析；绩效控制主要针对资金使用及管理情况、项目组织情况、项目管理情况进行分析；项目产出及效果主要针对项目的经济性、效率性和效益性进行分析。</w:t>
      </w:r>
    </w:p>
    <w:bookmarkEnd w:id="3"/>
    <w:p w14:paraId="161F1F4B">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四、评价结论</w:t>
      </w:r>
      <w:bookmarkEnd w:id="4"/>
    </w:p>
    <w:p w14:paraId="1A37CB6F">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经综合评价，项目得分为98.5分，其中：项目决策得分20分、项目过程得分18.5分；项目产出得分30分、项目效益得分30分，评价等级为优。</w:t>
      </w:r>
    </w:p>
    <w:p w14:paraId="056C6D98">
      <w:pPr>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项目立项较规范，绩效目标合理绩效指标明确，项目管理制度较健全。该项目预算资金</w:t>
      </w:r>
      <w:r>
        <w:rPr>
          <w:rFonts w:hint="eastAsia" w:ascii="仿宋_GB2312" w:hAnsi="仿宋_GB2312" w:eastAsia="仿宋_GB2312" w:cs="仿宋_GB2312"/>
          <w:color w:val="000000"/>
          <w:kern w:val="0"/>
          <w:sz w:val="32"/>
          <w:szCs w:val="32"/>
          <w:highlight w:val="none"/>
          <w:lang w:val="en-US" w:eastAsia="zh-CN"/>
        </w:rPr>
        <w:t>146.40</w:t>
      </w:r>
      <w:r>
        <w:rPr>
          <w:rFonts w:hint="eastAsia" w:ascii="仿宋_GB2312" w:hAnsi="仿宋_GB2312" w:eastAsia="仿宋_GB2312" w:cs="仿宋_GB2312"/>
          <w:sz w:val="32"/>
          <w:szCs w:val="32"/>
          <w:highlight w:val="none"/>
          <w:lang w:val="en-US" w:eastAsia="zh-CN"/>
        </w:rPr>
        <w:t>万元，实际支出146.40万元，预算资金执行率100%。通过文件研读、实地调研、数据分析等方式，全面了解该项目的使用效果，项目管理过程较规范；总的来看，通过该项目的实施，促进了人口长期均衡发展，完善了人口发展战略和发展体系，推动了经济高质量发展，开启了全面建设社会新征程。</w:t>
      </w:r>
    </w:p>
    <w:p w14:paraId="4A5A3185">
      <w:pPr>
        <w:adjustRightInd w:val="0"/>
        <w:snapToGrid w:val="0"/>
        <w:spacing w:line="560" w:lineRule="exact"/>
        <w:ind w:firstLine="960" w:firstLineChars="300"/>
        <w:jc w:val="left"/>
        <w:outlineLvl w:val="0"/>
        <w:rPr>
          <w:rFonts w:hint="eastAsia" w:ascii="黑体" w:hAnsi="黑体" w:eastAsia="黑体" w:cs="宋体"/>
          <w:sz w:val="32"/>
          <w:szCs w:val="32"/>
          <w:highlight w:val="none"/>
        </w:rPr>
      </w:pPr>
      <w:bookmarkStart w:id="5" w:name="_Toc25703"/>
      <w:r>
        <w:rPr>
          <w:rFonts w:hint="eastAsia" w:ascii="黑体" w:hAnsi="黑体" w:eastAsia="黑体" w:cs="宋体"/>
          <w:sz w:val="32"/>
          <w:szCs w:val="32"/>
          <w:highlight w:val="none"/>
          <w:lang w:val="en-US" w:eastAsia="zh-CN"/>
        </w:rPr>
        <w:t>五、</w:t>
      </w:r>
      <w:r>
        <w:rPr>
          <w:rFonts w:hint="eastAsia" w:ascii="黑体" w:hAnsi="黑体" w:eastAsia="黑体" w:cs="宋体"/>
          <w:sz w:val="32"/>
          <w:szCs w:val="32"/>
          <w:highlight w:val="none"/>
        </w:rPr>
        <w:t>问题</w:t>
      </w:r>
      <w:r>
        <w:rPr>
          <w:rFonts w:hint="eastAsia" w:ascii="黑体" w:hAnsi="黑体" w:eastAsia="黑体" w:cs="宋体"/>
          <w:sz w:val="32"/>
          <w:szCs w:val="32"/>
          <w:highlight w:val="none"/>
          <w:lang w:val="en-US" w:eastAsia="zh-CN"/>
        </w:rPr>
        <w:t>及</w:t>
      </w:r>
      <w:r>
        <w:rPr>
          <w:rFonts w:hint="eastAsia" w:ascii="黑体" w:hAnsi="黑体" w:eastAsia="黑体" w:cs="宋体"/>
          <w:sz w:val="32"/>
          <w:szCs w:val="32"/>
          <w:highlight w:val="none"/>
        </w:rPr>
        <w:t>建议</w:t>
      </w:r>
      <w:bookmarkEnd w:id="5"/>
    </w:p>
    <w:p w14:paraId="1F83C11F">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 w:name="_Toc5400"/>
      <w:bookmarkStart w:id="7" w:name="_Toc19437"/>
      <w:bookmarkStart w:id="8" w:name="_Toc11063"/>
      <w:bookmarkStart w:id="9" w:name="_Toc24350"/>
      <w:bookmarkStart w:id="10" w:name="_Toc22139"/>
      <w:bookmarkStart w:id="11" w:name="_Toc6009"/>
      <w:r>
        <w:rPr>
          <w:rFonts w:hint="eastAsia" w:ascii="仿宋_GB2312" w:hAnsi="仿宋" w:eastAsia="仿宋_GB2312" w:cs="宋体"/>
          <w:b/>
          <w:bCs/>
          <w:sz w:val="32"/>
          <w:szCs w:val="32"/>
          <w:highlight w:val="none"/>
        </w:rPr>
        <w:t>（一）问题</w:t>
      </w:r>
      <w:bookmarkEnd w:id="6"/>
      <w:bookmarkEnd w:id="7"/>
      <w:bookmarkEnd w:id="8"/>
      <w:bookmarkEnd w:id="9"/>
      <w:bookmarkEnd w:id="10"/>
      <w:bookmarkEnd w:id="11"/>
    </w:p>
    <w:p w14:paraId="6FA34C1C">
      <w:pPr>
        <w:pStyle w:val="33"/>
        <w:adjustRightInd w:val="0"/>
        <w:snapToGrid w:val="0"/>
        <w:spacing w:line="560" w:lineRule="exact"/>
        <w:ind w:left="0" w:leftChars="0" w:firstLine="640" w:firstLineChars="200"/>
        <w:outlineLvl w:val="1"/>
        <w:rPr>
          <w:rFonts w:hint="eastAsia" w:ascii="仿宋_GB2312" w:hAnsi="仿宋_GB2312" w:eastAsia="仿宋_GB2312" w:cs="仿宋_GB2312"/>
          <w:sz w:val="32"/>
          <w:szCs w:val="32"/>
          <w:highlight w:val="none"/>
          <w:lang w:val="en-US" w:eastAsia="zh-CN"/>
        </w:rPr>
      </w:pPr>
      <w:bookmarkStart w:id="12" w:name="_Toc25341"/>
      <w:bookmarkStart w:id="13" w:name="_Toc32170"/>
      <w:bookmarkStart w:id="14" w:name="_Toc23428"/>
      <w:bookmarkStart w:id="15" w:name="_Toc3933"/>
      <w:bookmarkStart w:id="16" w:name="_Toc13719"/>
      <w:bookmarkStart w:id="17" w:name="_Toc21456"/>
      <w:r>
        <w:rPr>
          <w:rFonts w:hint="eastAsia" w:ascii="仿宋_GB2312" w:hAnsi="仿宋_GB2312" w:eastAsia="仿宋_GB2312" w:cs="仿宋_GB2312"/>
          <w:sz w:val="32"/>
          <w:szCs w:val="32"/>
          <w:highlight w:val="none"/>
          <w:lang w:val="en-US" w:eastAsia="zh-CN"/>
        </w:rPr>
        <w:t>洛浦县统计局对项目资料归档不够重视，项目资料归档不及时。</w:t>
      </w:r>
    </w:p>
    <w:p w14:paraId="04F41352">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eastAsia="zh-CN"/>
        </w:rPr>
        <w:t>二</w:t>
      </w:r>
      <w:r>
        <w:rPr>
          <w:rFonts w:hint="eastAsia" w:ascii="仿宋_GB2312" w:hAnsi="仿宋" w:eastAsia="仿宋_GB2312" w:cs="宋体"/>
          <w:b/>
          <w:bCs/>
          <w:sz w:val="32"/>
          <w:szCs w:val="32"/>
          <w:highlight w:val="none"/>
        </w:rPr>
        <w:t>）意见和建议</w:t>
      </w:r>
      <w:bookmarkEnd w:id="12"/>
      <w:bookmarkEnd w:id="13"/>
      <w:bookmarkEnd w:id="14"/>
      <w:bookmarkEnd w:id="15"/>
      <w:bookmarkEnd w:id="16"/>
      <w:bookmarkEnd w:id="17"/>
    </w:p>
    <w:p w14:paraId="24563F8E">
      <w:pPr>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建议项目实施主管单位严格遵守相关项目管理办法，在项目实施过程中，项目资料的收集与项目实施进度保持同步，严格要求各乡镇及时报送资料，避免出现有乡镇漏报资料。</w:t>
      </w:r>
    </w:p>
    <w:p w14:paraId="76F8A9D3">
      <w:pPr>
        <w:rPr>
          <w:rFonts w:hint="eastAsia"/>
          <w:lang w:val="en-US" w:eastAsia="zh-CN"/>
        </w:rPr>
      </w:pPr>
    </w:p>
    <w:p w14:paraId="343AF3C0">
      <w:pPr>
        <w:ind w:firstLine="2200" w:firstLineChars="500"/>
        <w:jc w:val="both"/>
        <w:rPr>
          <w:rFonts w:hint="eastAsia" w:ascii="黑体" w:hAnsi="黑体" w:eastAsia="黑体" w:cs="黑体"/>
          <w:b w:val="0"/>
          <w:bCs w:val="0"/>
          <w:sz w:val="44"/>
          <w:szCs w:val="44"/>
        </w:rPr>
      </w:pPr>
      <w:r>
        <w:rPr>
          <w:rFonts w:hint="eastAsia" w:ascii="黑体" w:hAnsi="黑体" w:eastAsia="黑体" w:cs="黑体"/>
          <w:b w:val="0"/>
          <w:bCs w:val="0"/>
          <w:sz w:val="44"/>
          <w:szCs w:val="44"/>
        </w:rPr>
        <w:t>绩效评价工作组成员</w:t>
      </w:r>
    </w:p>
    <w:p w14:paraId="5208F987">
      <w:pPr>
        <w:ind w:firstLine="420" w:firstLineChars="200"/>
      </w:pPr>
    </w:p>
    <w:tbl>
      <w:tblPr>
        <w:tblStyle w:val="20"/>
        <w:tblW w:w="872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7"/>
        <w:gridCol w:w="1605"/>
        <w:gridCol w:w="1960"/>
        <w:gridCol w:w="1640"/>
        <w:gridCol w:w="1510"/>
        <w:gridCol w:w="1480"/>
      </w:tblGrid>
      <w:tr w14:paraId="66D18F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527" w:type="dxa"/>
            <w:vAlign w:val="center"/>
          </w:tcPr>
          <w:p w14:paraId="02EDEE4D">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序号</w:t>
            </w:r>
          </w:p>
        </w:tc>
        <w:tc>
          <w:tcPr>
            <w:tcW w:w="1605" w:type="dxa"/>
            <w:vAlign w:val="center"/>
          </w:tcPr>
          <w:p w14:paraId="48E197E6">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项目职务</w:t>
            </w:r>
          </w:p>
        </w:tc>
        <w:tc>
          <w:tcPr>
            <w:tcW w:w="1960" w:type="dxa"/>
            <w:vAlign w:val="center"/>
          </w:tcPr>
          <w:p w14:paraId="43E457BA">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姓名</w:t>
            </w:r>
          </w:p>
        </w:tc>
        <w:tc>
          <w:tcPr>
            <w:tcW w:w="1640" w:type="dxa"/>
            <w:vAlign w:val="center"/>
          </w:tcPr>
          <w:p w14:paraId="25557CD2">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执业（从业）</w:t>
            </w:r>
          </w:p>
          <w:p w14:paraId="2C7D3240">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资格</w:t>
            </w:r>
          </w:p>
        </w:tc>
        <w:tc>
          <w:tcPr>
            <w:tcW w:w="1510" w:type="dxa"/>
            <w:vAlign w:val="center"/>
          </w:tcPr>
          <w:p w14:paraId="4D9DD515">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职称</w:t>
            </w:r>
          </w:p>
        </w:tc>
        <w:tc>
          <w:tcPr>
            <w:tcW w:w="1480" w:type="dxa"/>
            <w:vAlign w:val="center"/>
          </w:tcPr>
          <w:p w14:paraId="5CF6CC36">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备注</w:t>
            </w:r>
          </w:p>
        </w:tc>
      </w:tr>
      <w:tr w14:paraId="5E8930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527" w:type="dxa"/>
            <w:vAlign w:val="center"/>
          </w:tcPr>
          <w:p w14:paraId="5B2FD6C5">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1</w:t>
            </w:r>
          </w:p>
        </w:tc>
        <w:tc>
          <w:tcPr>
            <w:tcW w:w="1605" w:type="dxa"/>
            <w:vAlign w:val="center"/>
          </w:tcPr>
          <w:p w14:paraId="1E500026">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项目负责人</w:t>
            </w:r>
          </w:p>
        </w:tc>
        <w:tc>
          <w:tcPr>
            <w:tcW w:w="1960" w:type="dxa"/>
            <w:vAlign w:val="center"/>
          </w:tcPr>
          <w:p w14:paraId="76C2AE7F">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叶金玲</w:t>
            </w:r>
          </w:p>
        </w:tc>
        <w:tc>
          <w:tcPr>
            <w:tcW w:w="1640" w:type="dxa"/>
            <w:vAlign w:val="center"/>
          </w:tcPr>
          <w:p w14:paraId="1686B306">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14:paraId="40CE7FD3">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14:paraId="78A38041">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项目总负责</w:t>
            </w:r>
          </w:p>
        </w:tc>
      </w:tr>
      <w:tr w14:paraId="114FC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14:paraId="39CA5E7E">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2</w:t>
            </w:r>
          </w:p>
        </w:tc>
        <w:tc>
          <w:tcPr>
            <w:tcW w:w="1605" w:type="dxa"/>
            <w:vAlign w:val="center"/>
          </w:tcPr>
          <w:p w14:paraId="3B184D08">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项目财务专家</w:t>
            </w:r>
          </w:p>
        </w:tc>
        <w:tc>
          <w:tcPr>
            <w:tcW w:w="1960" w:type="dxa"/>
            <w:vAlign w:val="center"/>
          </w:tcPr>
          <w:p w14:paraId="140B3FEF">
            <w:pPr>
              <w:pStyle w:val="13"/>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冯琼</w:t>
            </w:r>
          </w:p>
        </w:tc>
        <w:tc>
          <w:tcPr>
            <w:tcW w:w="1640" w:type="dxa"/>
            <w:vAlign w:val="center"/>
          </w:tcPr>
          <w:p w14:paraId="37EE68FA">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14:paraId="5DA338D3">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14:paraId="12911691">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资金审查</w:t>
            </w:r>
          </w:p>
        </w:tc>
      </w:tr>
      <w:tr w14:paraId="551DC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14:paraId="209E3AB1">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3</w:t>
            </w:r>
          </w:p>
        </w:tc>
        <w:tc>
          <w:tcPr>
            <w:tcW w:w="1605" w:type="dxa"/>
            <w:vAlign w:val="center"/>
          </w:tcPr>
          <w:p w14:paraId="6610707A">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项目行业专家</w:t>
            </w:r>
          </w:p>
        </w:tc>
        <w:tc>
          <w:tcPr>
            <w:tcW w:w="1960" w:type="dxa"/>
            <w:vAlign w:val="center"/>
          </w:tcPr>
          <w:p w14:paraId="181FA6DD">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曹堂哲</w:t>
            </w:r>
          </w:p>
        </w:tc>
        <w:tc>
          <w:tcPr>
            <w:tcW w:w="1640" w:type="dxa"/>
            <w:vAlign w:val="center"/>
          </w:tcPr>
          <w:p w14:paraId="14B72152">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风险稳定评估师、高级投资管理师、计算机辅助设计师、信息管理师、物流工程师</w:t>
            </w:r>
          </w:p>
        </w:tc>
        <w:tc>
          <w:tcPr>
            <w:tcW w:w="1510" w:type="dxa"/>
            <w:vAlign w:val="center"/>
          </w:tcPr>
          <w:p w14:paraId="31150023">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中级经济师</w:t>
            </w:r>
          </w:p>
        </w:tc>
        <w:tc>
          <w:tcPr>
            <w:tcW w:w="1480" w:type="dxa"/>
            <w:vAlign w:val="center"/>
          </w:tcPr>
          <w:p w14:paraId="10FA699A">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审核指导   质量审核</w:t>
            </w:r>
          </w:p>
        </w:tc>
      </w:tr>
      <w:tr w14:paraId="1A5D97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527" w:type="dxa"/>
            <w:vAlign w:val="center"/>
          </w:tcPr>
          <w:p w14:paraId="109699EB">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4</w:t>
            </w:r>
          </w:p>
        </w:tc>
        <w:tc>
          <w:tcPr>
            <w:tcW w:w="1605" w:type="dxa"/>
            <w:vAlign w:val="center"/>
          </w:tcPr>
          <w:p w14:paraId="523AB30D">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rPr>
              <w:t>项目</w:t>
            </w:r>
            <w:r>
              <w:rPr>
                <w:rFonts w:hint="eastAsia" w:ascii="仿宋_GB2312" w:hAnsi="黑体" w:eastAsia="仿宋_GB2312" w:cs="宋体"/>
                <w:kern w:val="0"/>
                <w:sz w:val="24"/>
                <w:lang w:val="en-US" w:eastAsia="zh-CN"/>
              </w:rPr>
              <w:t>组成员</w:t>
            </w:r>
          </w:p>
        </w:tc>
        <w:tc>
          <w:tcPr>
            <w:tcW w:w="1960" w:type="dxa"/>
            <w:vAlign w:val="center"/>
          </w:tcPr>
          <w:p w14:paraId="41FD4FC5">
            <w:pPr>
              <w:pStyle w:val="13"/>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古丽热依汉</w:t>
            </w:r>
          </w:p>
        </w:tc>
        <w:tc>
          <w:tcPr>
            <w:tcW w:w="1640" w:type="dxa"/>
            <w:vAlign w:val="center"/>
          </w:tcPr>
          <w:p w14:paraId="11DB48FE">
            <w:pPr>
              <w:pStyle w:val="13"/>
              <w:tabs>
                <w:tab w:val="right" w:leader="dot" w:pos="8302"/>
              </w:tabs>
              <w:spacing w:line="340" w:lineRule="exact"/>
              <w:jc w:val="center"/>
              <w:rPr>
                <w:rFonts w:hint="eastAsia" w:ascii="仿宋_GB2312" w:hAnsi="黑体" w:eastAsia="仿宋_GB2312" w:cs="宋体"/>
                <w:kern w:val="0"/>
                <w:sz w:val="24"/>
                <w:lang w:val="en-US" w:eastAsia="zh-CN"/>
              </w:rPr>
            </w:pPr>
          </w:p>
        </w:tc>
        <w:tc>
          <w:tcPr>
            <w:tcW w:w="1510" w:type="dxa"/>
            <w:vAlign w:val="center"/>
          </w:tcPr>
          <w:p w14:paraId="38C8BE4E">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助理</w:t>
            </w:r>
            <w:r>
              <w:rPr>
                <w:rFonts w:hint="eastAsia" w:ascii="仿宋_GB2312" w:hAnsi="黑体" w:eastAsia="仿宋_GB2312" w:cs="宋体"/>
                <w:kern w:val="0"/>
                <w:sz w:val="24"/>
              </w:rPr>
              <w:t>会计师</w:t>
            </w:r>
          </w:p>
        </w:tc>
        <w:tc>
          <w:tcPr>
            <w:tcW w:w="1480" w:type="dxa"/>
            <w:vAlign w:val="center"/>
          </w:tcPr>
          <w:p w14:paraId="7052F4F6">
            <w:pPr>
              <w:pStyle w:val="13"/>
              <w:tabs>
                <w:tab w:val="right" w:leader="dot" w:pos="8302"/>
              </w:tabs>
              <w:spacing w:line="340" w:lineRule="exact"/>
              <w:jc w:val="center"/>
              <w:rPr>
                <w:rFonts w:ascii="仿宋_GB2312" w:hAnsi="黑体" w:eastAsia="仿宋_GB2312" w:cs="宋体"/>
                <w:kern w:val="0"/>
                <w:sz w:val="24"/>
              </w:rPr>
            </w:pPr>
          </w:p>
        </w:tc>
      </w:tr>
      <w:tr w14:paraId="3D22D1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527" w:type="dxa"/>
            <w:vAlign w:val="center"/>
          </w:tcPr>
          <w:p w14:paraId="466B1A16">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5</w:t>
            </w:r>
          </w:p>
        </w:tc>
        <w:tc>
          <w:tcPr>
            <w:tcW w:w="1605" w:type="dxa"/>
            <w:vAlign w:val="center"/>
          </w:tcPr>
          <w:p w14:paraId="79FD51DF">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项目组成员</w:t>
            </w:r>
          </w:p>
        </w:tc>
        <w:tc>
          <w:tcPr>
            <w:tcW w:w="1960" w:type="dxa"/>
            <w:vAlign w:val="center"/>
          </w:tcPr>
          <w:p w14:paraId="503451DB">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阿曼古丽</w:t>
            </w:r>
          </w:p>
        </w:tc>
        <w:tc>
          <w:tcPr>
            <w:tcW w:w="1640" w:type="dxa"/>
            <w:vAlign w:val="center"/>
          </w:tcPr>
          <w:p w14:paraId="527C965F">
            <w:pPr>
              <w:pStyle w:val="13"/>
              <w:tabs>
                <w:tab w:val="right" w:leader="dot" w:pos="8302"/>
              </w:tabs>
              <w:spacing w:line="340" w:lineRule="exact"/>
              <w:jc w:val="center"/>
              <w:rPr>
                <w:rFonts w:ascii="仿宋_GB2312" w:hAnsi="黑体" w:eastAsia="仿宋_GB2312" w:cs="宋体"/>
                <w:kern w:val="0"/>
                <w:sz w:val="24"/>
              </w:rPr>
            </w:pPr>
          </w:p>
        </w:tc>
        <w:tc>
          <w:tcPr>
            <w:tcW w:w="1510" w:type="dxa"/>
            <w:vAlign w:val="center"/>
          </w:tcPr>
          <w:p w14:paraId="2C2202B4">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eastAsia="zh-CN"/>
              </w:rPr>
              <w:t>会计员</w:t>
            </w:r>
          </w:p>
        </w:tc>
        <w:tc>
          <w:tcPr>
            <w:tcW w:w="1480" w:type="dxa"/>
            <w:vAlign w:val="center"/>
          </w:tcPr>
          <w:p w14:paraId="47FBD7C5">
            <w:pPr>
              <w:pStyle w:val="13"/>
              <w:tabs>
                <w:tab w:val="right" w:leader="dot" w:pos="8302"/>
              </w:tabs>
              <w:spacing w:line="340" w:lineRule="exact"/>
              <w:jc w:val="center"/>
              <w:rPr>
                <w:rFonts w:ascii="仿宋_GB2312" w:hAnsi="黑体" w:eastAsia="仿宋_GB2312" w:cs="宋体"/>
                <w:kern w:val="0"/>
                <w:sz w:val="24"/>
              </w:rPr>
            </w:pPr>
          </w:p>
        </w:tc>
      </w:tr>
    </w:tbl>
    <w:p w14:paraId="1A359378">
      <w:pPr>
        <w:ind w:firstLine="640" w:firstLineChars="200"/>
        <w:rPr>
          <w:rFonts w:ascii="仿宋_GB2312" w:eastAsia="仿宋_GB2312"/>
          <w:sz w:val="32"/>
          <w:szCs w:val="32"/>
        </w:rPr>
      </w:pPr>
    </w:p>
    <w:p w14:paraId="711D1549">
      <w:pPr>
        <w:pStyle w:val="13"/>
        <w:tabs>
          <w:tab w:val="right" w:leader="dot" w:pos="8302"/>
        </w:tabs>
        <w:spacing w:line="340" w:lineRule="exact"/>
        <w:rPr>
          <w:rFonts w:ascii="黑体" w:hAnsi="黑体" w:eastAsia="黑体" w:cs="宋体"/>
          <w:sz w:val="24"/>
        </w:rPr>
      </w:pPr>
    </w:p>
    <w:p w14:paraId="47B0E920"/>
    <w:p w14:paraId="0E4CC05F">
      <w:pPr>
        <w:pStyle w:val="13"/>
        <w:tabs>
          <w:tab w:val="right" w:leader="dot" w:pos="8302"/>
        </w:tabs>
        <w:spacing w:line="340" w:lineRule="exact"/>
        <w:jc w:val="both"/>
        <w:rPr>
          <w:rFonts w:ascii="宋体" w:hAnsi="宋体" w:cs="宋体"/>
          <w:b/>
          <w:sz w:val="28"/>
          <w:szCs w:val="28"/>
        </w:rPr>
        <w:sectPr>
          <w:pgSz w:w="11906" w:h="16838"/>
          <w:pgMar w:top="2098" w:right="1531" w:bottom="1984" w:left="1531" w:header="851" w:footer="992" w:gutter="0"/>
          <w:pgBorders>
            <w:top w:val="none" w:sz="0" w:space="0"/>
            <w:left w:val="none" w:sz="0" w:space="0"/>
            <w:bottom w:val="none" w:sz="0" w:space="0"/>
            <w:right w:val="none" w:sz="0" w:space="0"/>
          </w:pgBorders>
          <w:cols w:space="425" w:num="1"/>
          <w:docGrid w:type="lines" w:linePitch="312" w:charSpace="0"/>
        </w:sectPr>
      </w:pPr>
    </w:p>
    <w:p w14:paraId="56955435">
      <w:pPr>
        <w:pStyle w:val="13"/>
        <w:tabs>
          <w:tab w:val="right" w:leader="dot" w:pos="8302"/>
        </w:tabs>
        <w:spacing w:line="340" w:lineRule="exact"/>
        <w:jc w:val="center"/>
        <w:rPr>
          <w:rFonts w:hint="eastAsia" w:ascii="黑体" w:hAnsi="黑体" w:eastAsia="黑体" w:cs="黑体"/>
          <w:b/>
          <w:sz w:val="36"/>
          <w:szCs w:val="36"/>
        </w:rPr>
      </w:pPr>
      <w:r>
        <w:rPr>
          <w:rFonts w:hint="eastAsia" w:ascii="黑体" w:hAnsi="黑体" w:eastAsia="黑体" w:cs="黑体"/>
          <w:b/>
          <w:sz w:val="36"/>
          <w:szCs w:val="36"/>
        </w:rPr>
        <w:t>目 录</w:t>
      </w:r>
    </w:p>
    <w:sdt>
      <w:sdtPr>
        <w:rPr>
          <w:rFonts w:ascii="宋体" w:hAnsi="宋体" w:eastAsia="宋体" w:cstheme="minorBidi"/>
          <w:kern w:val="2"/>
          <w:sz w:val="24"/>
          <w:szCs w:val="24"/>
          <w:lang w:val="en-US" w:eastAsia="zh-CN" w:bidi="ar-SA"/>
        </w:rPr>
        <w:id w:val="147475025"/>
        <w15:color w:val="DBDBDB"/>
        <w:docPartObj>
          <w:docPartGallery w:val="Table of Contents"/>
          <w:docPartUnique/>
        </w:docPartObj>
      </w:sdtPr>
      <w:sdtEndPr>
        <w:rPr>
          <w:rFonts w:asciiTheme="minorHAnsi" w:hAnsiTheme="minorHAnsi" w:eastAsiaTheme="minorEastAsia" w:cstheme="minorBidi"/>
          <w:b w:val="0"/>
          <w:bCs w:val="0"/>
          <w:kern w:val="2"/>
          <w:sz w:val="21"/>
          <w:szCs w:val="24"/>
          <w:highlight w:val="none"/>
          <w:lang w:val="en-US" w:eastAsia="zh-CN" w:bidi="ar-SA"/>
        </w:rPr>
      </w:sdtEndPr>
      <w:sdtContent>
        <w:p w14:paraId="01BDFAE2">
          <w:pPr>
            <w:spacing w:before="0" w:beforeLines="0" w:after="0" w:afterLines="0" w:line="240" w:lineRule="auto"/>
            <w:ind w:left="0" w:leftChars="0" w:right="0" w:rightChars="0" w:firstLine="0" w:firstLineChars="0"/>
            <w:jc w:val="center"/>
            <w:rPr>
              <w:rFonts w:asciiTheme="minorHAnsi" w:hAnsiTheme="minorHAnsi" w:eastAsiaTheme="minorEastAsia" w:cstheme="minorBidi"/>
              <w:b w:val="0"/>
              <w:bCs w:val="0"/>
              <w:kern w:val="2"/>
              <w:sz w:val="24"/>
              <w:szCs w:val="24"/>
              <w:highlight w:val="none"/>
              <w:lang w:val="en-US" w:eastAsia="zh-CN" w:bidi="ar-SA"/>
            </w:rPr>
          </w:pPr>
          <w:r>
            <w:rPr>
              <w:b w:val="0"/>
              <w:bCs w:val="0"/>
              <w:sz w:val="24"/>
              <w:szCs w:val="24"/>
              <w:highlight w:val="none"/>
            </w:rPr>
            <w:fldChar w:fldCharType="begin"/>
          </w:r>
          <w:r>
            <w:rPr>
              <w:b w:val="0"/>
              <w:bCs w:val="0"/>
              <w:sz w:val="24"/>
              <w:szCs w:val="24"/>
              <w:highlight w:val="none"/>
            </w:rPr>
            <w:instrText xml:space="preserve">TOC \o "1-2" \h \u </w:instrText>
          </w:r>
          <w:r>
            <w:rPr>
              <w:b w:val="0"/>
              <w:bCs w:val="0"/>
              <w:sz w:val="24"/>
              <w:szCs w:val="24"/>
              <w:highlight w:val="none"/>
            </w:rPr>
            <w:fldChar w:fldCharType="separate"/>
          </w:r>
        </w:p>
        <w:p w14:paraId="49B3998A">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_Toc28183 </w:instrText>
          </w:r>
          <w:r>
            <w:rPr>
              <w:bCs w:val="0"/>
              <w:szCs w:val="24"/>
              <w:highlight w:val="none"/>
            </w:rPr>
            <w:fldChar w:fldCharType="separate"/>
          </w:r>
          <w:r>
            <w:rPr>
              <w:rFonts w:hint="eastAsia" w:ascii="黑体" w:hAnsi="黑体" w:eastAsia="黑体" w:cs="宋体"/>
              <w:szCs w:val="32"/>
              <w:highlight w:val="none"/>
            </w:rPr>
            <w:t>一、项目概述</w:t>
          </w:r>
          <w:r>
            <w:rPr>
              <w:highlight w:val="none"/>
            </w:rPr>
            <w:tab/>
          </w:r>
          <w:r>
            <w:rPr>
              <w:highlight w:val="none"/>
            </w:rPr>
            <w:fldChar w:fldCharType="begin"/>
          </w:r>
          <w:r>
            <w:rPr>
              <w:highlight w:val="none"/>
            </w:rPr>
            <w:instrText xml:space="preserve"> PAGEREF _Toc28183 </w:instrText>
          </w:r>
          <w:r>
            <w:rPr>
              <w:highlight w:val="none"/>
            </w:rPr>
            <w:fldChar w:fldCharType="separate"/>
          </w:r>
          <w:r>
            <w:rPr>
              <w:highlight w:val="none"/>
            </w:rPr>
            <w:t>1</w:t>
          </w:r>
          <w:r>
            <w:rPr>
              <w:highlight w:val="none"/>
            </w:rPr>
            <w:fldChar w:fldCharType="end"/>
          </w:r>
          <w:r>
            <w:rPr>
              <w:bCs w:val="0"/>
              <w:szCs w:val="24"/>
              <w:highlight w:val="none"/>
            </w:rPr>
            <w:fldChar w:fldCharType="end"/>
          </w:r>
        </w:p>
        <w:p w14:paraId="42FBF844">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_Toc27345 </w:instrText>
          </w:r>
          <w:r>
            <w:rPr>
              <w:bCs w:val="0"/>
              <w:szCs w:val="24"/>
              <w:highlight w:val="none"/>
            </w:rPr>
            <w:fldChar w:fldCharType="separate"/>
          </w:r>
          <w:r>
            <w:rPr>
              <w:rFonts w:hint="eastAsia" w:ascii="仿宋_GB2312" w:hAnsi="仿宋" w:eastAsia="仿宋_GB2312" w:cs="宋体"/>
              <w:bCs/>
              <w:szCs w:val="32"/>
              <w:highlight w:val="none"/>
            </w:rPr>
            <w:t>（一）项目基本情况</w:t>
          </w:r>
          <w:r>
            <w:rPr>
              <w:highlight w:val="none"/>
            </w:rPr>
            <w:tab/>
          </w:r>
          <w:r>
            <w:rPr>
              <w:highlight w:val="none"/>
            </w:rPr>
            <w:fldChar w:fldCharType="begin"/>
          </w:r>
          <w:r>
            <w:rPr>
              <w:highlight w:val="none"/>
            </w:rPr>
            <w:instrText xml:space="preserve"> PAGEREF _Toc27345 </w:instrText>
          </w:r>
          <w:r>
            <w:rPr>
              <w:highlight w:val="none"/>
            </w:rPr>
            <w:fldChar w:fldCharType="separate"/>
          </w:r>
          <w:r>
            <w:rPr>
              <w:highlight w:val="none"/>
            </w:rPr>
            <w:t>1</w:t>
          </w:r>
          <w:r>
            <w:rPr>
              <w:highlight w:val="none"/>
            </w:rPr>
            <w:fldChar w:fldCharType="end"/>
          </w:r>
          <w:r>
            <w:rPr>
              <w:bCs w:val="0"/>
              <w:szCs w:val="24"/>
              <w:highlight w:val="none"/>
            </w:rPr>
            <w:fldChar w:fldCharType="end"/>
          </w:r>
        </w:p>
        <w:p w14:paraId="0F9E95B7">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_Toc30597 </w:instrText>
          </w:r>
          <w:r>
            <w:rPr>
              <w:bCs w:val="0"/>
              <w:szCs w:val="24"/>
              <w:highlight w:val="none"/>
            </w:rPr>
            <w:fldChar w:fldCharType="separate"/>
          </w:r>
          <w:r>
            <w:rPr>
              <w:rFonts w:hint="eastAsia" w:ascii="仿宋_GB2312" w:hAnsi="仿宋" w:eastAsia="仿宋_GB2312" w:cs="宋体"/>
              <w:bCs/>
              <w:szCs w:val="32"/>
              <w:highlight w:val="none"/>
            </w:rPr>
            <w:t>（二）项目资金情况</w:t>
          </w:r>
          <w:r>
            <w:rPr>
              <w:highlight w:val="none"/>
            </w:rPr>
            <w:tab/>
          </w:r>
          <w:r>
            <w:rPr>
              <w:highlight w:val="none"/>
            </w:rPr>
            <w:fldChar w:fldCharType="begin"/>
          </w:r>
          <w:r>
            <w:rPr>
              <w:highlight w:val="none"/>
            </w:rPr>
            <w:instrText xml:space="preserve"> PAGEREF _Toc30597 </w:instrText>
          </w:r>
          <w:r>
            <w:rPr>
              <w:highlight w:val="none"/>
            </w:rPr>
            <w:fldChar w:fldCharType="separate"/>
          </w:r>
          <w:r>
            <w:rPr>
              <w:highlight w:val="none"/>
            </w:rPr>
            <w:t>4</w:t>
          </w:r>
          <w:r>
            <w:rPr>
              <w:highlight w:val="none"/>
            </w:rPr>
            <w:fldChar w:fldCharType="end"/>
          </w:r>
          <w:r>
            <w:rPr>
              <w:bCs w:val="0"/>
              <w:szCs w:val="24"/>
              <w:highlight w:val="none"/>
            </w:rPr>
            <w:fldChar w:fldCharType="end"/>
          </w:r>
        </w:p>
        <w:p w14:paraId="3E25AD3D">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_Toc4656 </w:instrText>
          </w:r>
          <w:r>
            <w:rPr>
              <w:bCs w:val="0"/>
              <w:szCs w:val="24"/>
              <w:highlight w:val="none"/>
            </w:rPr>
            <w:fldChar w:fldCharType="separate"/>
          </w:r>
          <w:r>
            <w:rPr>
              <w:rFonts w:hint="eastAsia" w:ascii="仿宋_GB2312" w:hAnsi="仿宋" w:eastAsia="仿宋_GB2312" w:cs="宋体"/>
              <w:bCs/>
              <w:szCs w:val="32"/>
              <w:highlight w:val="none"/>
            </w:rPr>
            <w:t>（三）绩效目标设置情况</w:t>
          </w:r>
          <w:r>
            <w:rPr>
              <w:highlight w:val="none"/>
            </w:rPr>
            <w:tab/>
          </w:r>
          <w:r>
            <w:rPr>
              <w:highlight w:val="none"/>
            </w:rPr>
            <w:fldChar w:fldCharType="begin"/>
          </w:r>
          <w:r>
            <w:rPr>
              <w:highlight w:val="none"/>
            </w:rPr>
            <w:instrText xml:space="preserve"> PAGEREF _Toc4656 </w:instrText>
          </w:r>
          <w:r>
            <w:rPr>
              <w:highlight w:val="none"/>
            </w:rPr>
            <w:fldChar w:fldCharType="separate"/>
          </w:r>
          <w:r>
            <w:rPr>
              <w:highlight w:val="none"/>
            </w:rPr>
            <w:t>5</w:t>
          </w:r>
          <w:r>
            <w:rPr>
              <w:highlight w:val="none"/>
            </w:rPr>
            <w:fldChar w:fldCharType="end"/>
          </w:r>
          <w:r>
            <w:rPr>
              <w:bCs w:val="0"/>
              <w:szCs w:val="24"/>
              <w:highlight w:val="none"/>
            </w:rPr>
            <w:fldChar w:fldCharType="end"/>
          </w:r>
        </w:p>
        <w:p w14:paraId="408D3B9D">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_Toc25486 </w:instrText>
          </w:r>
          <w:r>
            <w:rPr>
              <w:bCs w:val="0"/>
              <w:szCs w:val="24"/>
              <w:highlight w:val="none"/>
            </w:rPr>
            <w:fldChar w:fldCharType="separate"/>
          </w:r>
          <w:r>
            <w:rPr>
              <w:rFonts w:hint="eastAsia" w:ascii="黑体" w:hAnsi="黑体" w:eastAsia="黑体" w:cs="宋体"/>
              <w:szCs w:val="32"/>
              <w:highlight w:val="none"/>
            </w:rPr>
            <w:t>二、评价工作简述</w:t>
          </w:r>
          <w:r>
            <w:rPr>
              <w:highlight w:val="none"/>
            </w:rPr>
            <w:tab/>
          </w:r>
          <w:r>
            <w:rPr>
              <w:highlight w:val="none"/>
            </w:rPr>
            <w:fldChar w:fldCharType="begin"/>
          </w:r>
          <w:r>
            <w:rPr>
              <w:highlight w:val="none"/>
            </w:rPr>
            <w:instrText xml:space="preserve"> PAGEREF _Toc25486 </w:instrText>
          </w:r>
          <w:r>
            <w:rPr>
              <w:highlight w:val="none"/>
            </w:rPr>
            <w:fldChar w:fldCharType="separate"/>
          </w:r>
          <w:r>
            <w:rPr>
              <w:highlight w:val="none"/>
            </w:rPr>
            <w:t>5</w:t>
          </w:r>
          <w:r>
            <w:rPr>
              <w:highlight w:val="none"/>
            </w:rPr>
            <w:fldChar w:fldCharType="end"/>
          </w:r>
          <w:r>
            <w:rPr>
              <w:bCs w:val="0"/>
              <w:szCs w:val="24"/>
              <w:highlight w:val="none"/>
            </w:rPr>
            <w:fldChar w:fldCharType="end"/>
          </w:r>
        </w:p>
        <w:p w14:paraId="24CAA9F1">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_Toc8259 </w:instrText>
          </w:r>
          <w:r>
            <w:rPr>
              <w:bCs w:val="0"/>
              <w:szCs w:val="24"/>
              <w:highlight w:val="none"/>
            </w:rPr>
            <w:fldChar w:fldCharType="separate"/>
          </w:r>
          <w:r>
            <w:rPr>
              <w:rFonts w:hint="eastAsia" w:ascii="仿宋_GB2312" w:hAnsi="仿宋" w:eastAsia="仿宋_GB2312" w:cs="宋体"/>
              <w:bCs/>
              <w:szCs w:val="32"/>
              <w:highlight w:val="none"/>
            </w:rPr>
            <w:t>（一）评价目的</w:t>
          </w:r>
          <w:r>
            <w:rPr>
              <w:highlight w:val="none"/>
            </w:rPr>
            <w:tab/>
          </w:r>
          <w:r>
            <w:rPr>
              <w:highlight w:val="none"/>
            </w:rPr>
            <w:fldChar w:fldCharType="begin"/>
          </w:r>
          <w:r>
            <w:rPr>
              <w:highlight w:val="none"/>
            </w:rPr>
            <w:instrText xml:space="preserve"> PAGEREF _Toc8259 </w:instrText>
          </w:r>
          <w:r>
            <w:rPr>
              <w:highlight w:val="none"/>
            </w:rPr>
            <w:fldChar w:fldCharType="separate"/>
          </w:r>
          <w:r>
            <w:rPr>
              <w:highlight w:val="none"/>
            </w:rPr>
            <w:t>7</w:t>
          </w:r>
          <w:r>
            <w:rPr>
              <w:highlight w:val="none"/>
            </w:rPr>
            <w:fldChar w:fldCharType="end"/>
          </w:r>
          <w:r>
            <w:rPr>
              <w:bCs w:val="0"/>
              <w:szCs w:val="24"/>
              <w:highlight w:val="none"/>
            </w:rPr>
            <w:fldChar w:fldCharType="end"/>
          </w:r>
        </w:p>
        <w:p w14:paraId="77F8FA54">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_Toc22761 </w:instrText>
          </w:r>
          <w:r>
            <w:rPr>
              <w:bCs w:val="0"/>
              <w:szCs w:val="24"/>
              <w:highlight w:val="none"/>
            </w:rPr>
            <w:fldChar w:fldCharType="separate"/>
          </w:r>
          <w:r>
            <w:rPr>
              <w:rFonts w:hint="eastAsia" w:ascii="仿宋_GB2312" w:hAnsi="仿宋" w:eastAsia="仿宋_GB2312" w:cs="宋体"/>
              <w:bCs/>
              <w:szCs w:val="32"/>
              <w:highlight w:val="none"/>
            </w:rPr>
            <w:t>（二）绩效评价工作</w:t>
          </w:r>
          <w:r>
            <w:rPr>
              <w:rFonts w:hint="eastAsia" w:ascii="仿宋_GB2312" w:hAnsi="仿宋" w:eastAsia="仿宋_GB2312" w:cs="宋体"/>
              <w:bCs/>
              <w:szCs w:val="32"/>
              <w:highlight w:val="none"/>
              <w:lang w:val="en-US" w:eastAsia="zh-CN"/>
            </w:rPr>
            <w:t>的基本</w:t>
          </w:r>
          <w:r>
            <w:rPr>
              <w:rFonts w:hint="eastAsia" w:ascii="仿宋_GB2312" w:hAnsi="仿宋" w:eastAsia="仿宋_GB2312" w:cs="宋体"/>
              <w:bCs/>
              <w:szCs w:val="32"/>
              <w:highlight w:val="none"/>
            </w:rPr>
            <w:t>思路</w:t>
          </w:r>
          <w:r>
            <w:rPr>
              <w:highlight w:val="none"/>
            </w:rPr>
            <w:tab/>
          </w:r>
          <w:r>
            <w:rPr>
              <w:highlight w:val="none"/>
            </w:rPr>
            <w:fldChar w:fldCharType="begin"/>
          </w:r>
          <w:r>
            <w:rPr>
              <w:highlight w:val="none"/>
            </w:rPr>
            <w:instrText xml:space="preserve"> PAGEREF _Toc22761 </w:instrText>
          </w:r>
          <w:r>
            <w:rPr>
              <w:highlight w:val="none"/>
            </w:rPr>
            <w:fldChar w:fldCharType="separate"/>
          </w:r>
          <w:r>
            <w:rPr>
              <w:highlight w:val="none"/>
            </w:rPr>
            <w:t>7</w:t>
          </w:r>
          <w:r>
            <w:rPr>
              <w:highlight w:val="none"/>
            </w:rPr>
            <w:fldChar w:fldCharType="end"/>
          </w:r>
          <w:r>
            <w:rPr>
              <w:bCs w:val="0"/>
              <w:szCs w:val="24"/>
              <w:highlight w:val="none"/>
            </w:rPr>
            <w:fldChar w:fldCharType="end"/>
          </w:r>
        </w:p>
        <w:p w14:paraId="73AD9CFC">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_Toc7962 </w:instrText>
          </w:r>
          <w:r>
            <w:rPr>
              <w:bCs w:val="0"/>
              <w:szCs w:val="24"/>
              <w:highlight w:val="none"/>
            </w:rPr>
            <w:fldChar w:fldCharType="separate"/>
          </w:r>
          <w:r>
            <w:rPr>
              <w:rFonts w:hint="eastAsia" w:ascii="仿宋_GB2312" w:hAnsi="仿宋" w:eastAsia="仿宋_GB2312" w:cs="宋体"/>
              <w:bCs/>
              <w:szCs w:val="32"/>
              <w:highlight w:val="none"/>
            </w:rPr>
            <w:t>（三）评价原则</w:t>
          </w:r>
          <w:r>
            <w:rPr>
              <w:highlight w:val="none"/>
            </w:rPr>
            <w:tab/>
          </w:r>
          <w:r>
            <w:rPr>
              <w:highlight w:val="none"/>
            </w:rPr>
            <w:fldChar w:fldCharType="begin"/>
          </w:r>
          <w:r>
            <w:rPr>
              <w:highlight w:val="none"/>
            </w:rPr>
            <w:instrText xml:space="preserve"> PAGEREF _Toc7962 </w:instrText>
          </w:r>
          <w:r>
            <w:rPr>
              <w:highlight w:val="none"/>
            </w:rPr>
            <w:fldChar w:fldCharType="separate"/>
          </w:r>
          <w:r>
            <w:rPr>
              <w:highlight w:val="none"/>
            </w:rPr>
            <w:t>8</w:t>
          </w:r>
          <w:r>
            <w:rPr>
              <w:highlight w:val="none"/>
            </w:rPr>
            <w:fldChar w:fldCharType="end"/>
          </w:r>
          <w:r>
            <w:rPr>
              <w:bCs w:val="0"/>
              <w:szCs w:val="24"/>
              <w:highlight w:val="none"/>
            </w:rPr>
            <w:fldChar w:fldCharType="end"/>
          </w:r>
        </w:p>
        <w:p w14:paraId="0F803707">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_Toc1742 </w:instrText>
          </w:r>
          <w:r>
            <w:rPr>
              <w:bCs w:val="0"/>
              <w:szCs w:val="24"/>
              <w:highlight w:val="none"/>
            </w:rPr>
            <w:fldChar w:fldCharType="separate"/>
          </w:r>
          <w:r>
            <w:rPr>
              <w:rFonts w:hint="eastAsia" w:ascii="仿宋_GB2312" w:hAnsi="仿宋" w:eastAsia="仿宋_GB2312" w:cs="宋体"/>
              <w:bCs/>
              <w:szCs w:val="32"/>
              <w:highlight w:val="none"/>
            </w:rPr>
            <w:t>（四）评价方法</w:t>
          </w:r>
          <w:r>
            <w:rPr>
              <w:highlight w:val="none"/>
            </w:rPr>
            <w:tab/>
          </w:r>
          <w:r>
            <w:rPr>
              <w:highlight w:val="none"/>
            </w:rPr>
            <w:fldChar w:fldCharType="begin"/>
          </w:r>
          <w:r>
            <w:rPr>
              <w:highlight w:val="none"/>
            </w:rPr>
            <w:instrText xml:space="preserve"> PAGEREF _Toc1742 </w:instrText>
          </w:r>
          <w:r>
            <w:rPr>
              <w:highlight w:val="none"/>
            </w:rPr>
            <w:fldChar w:fldCharType="separate"/>
          </w:r>
          <w:r>
            <w:rPr>
              <w:highlight w:val="none"/>
            </w:rPr>
            <w:t>8</w:t>
          </w:r>
          <w:r>
            <w:rPr>
              <w:highlight w:val="none"/>
            </w:rPr>
            <w:fldChar w:fldCharType="end"/>
          </w:r>
          <w:r>
            <w:rPr>
              <w:bCs w:val="0"/>
              <w:szCs w:val="24"/>
              <w:highlight w:val="none"/>
            </w:rPr>
            <w:fldChar w:fldCharType="end"/>
          </w:r>
        </w:p>
        <w:p w14:paraId="6AEE081E">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_Toc16588 </w:instrText>
          </w:r>
          <w:r>
            <w:rPr>
              <w:bCs w:val="0"/>
              <w:szCs w:val="24"/>
              <w:highlight w:val="none"/>
            </w:rPr>
            <w:fldChar w:fldCharType="separate"/>
          </w:r>
          <w:r>
            <w:rPr>
              <w:rFonts w:hint="eastAsia" w:ascii="仿宋_GB2312" w:hAnsi="仿宋" w:eastAsia="仿宋_GB2312" w:cs="宋体"/>
              <w:bCs/>
              <w:szCs w:val="32"/>
              <w:highlight w:val="none"/>
            </w:rPr>
            <w:t>（五） 指标体系</w:t>
          </w:r>
          <w:r>
            <w:rPr>
              <w:highlight w:val="none"/>
            </w:rPr>
            <w:tab/>
          </w:r>
          <w:r>
            <w:rPr>
              <w:highlight w:val="none"/>
            </w:rPr>
            <w:fldChar w:fldCharType="begin"/>
          </w:r>
          <w:r>
            <w:rPr>
              <w:highlight w:val="none"/>
            </w:rPr>
            <w:instrText xml:space="preserve"> PAGEREF _Toc16588 </w:instrText>
          </w:r>
          <w:r>
            <w:rPr>
              <w:highlight w:val="none"/>
            </w:rPr>
            <w:fldChar w:fldCharType="separate"/>
          </w:r>
          <w:r>
            <w:rPr>
              <w:highlight w:val="none"/>
            </w:rPr>
            <w:t>8</w:t>
          </w:r>
          <w:r>
            <w:rPr>
              <w:highlight w:val="none"/>
            </w:rPr>
            <w:fldChar w:fldCharType="end"/>
          </w:r>
          <w:r>
            <w:rPr>
              <w:bCs w:val="0"/>
              <w:szCs w:val="24"/>
              <w:highlight w:val="none"/>
            </w:rPr>
            <w:fldChar w:fldCharType="end"/>
          </w:r>
        </w:p>
        <w:p w14:paraId="289BF10F">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_Toc31692 </w:instrText>
          </w:r>
          <w:r>
            <w:rPr>
              <w:bCs w:val="0"/>
              <w:szCs w:val="24"/>
              <w:highlight w:val="none"/>
            </w:rPr>
            <w:fldChar w:fldCharType="separate"/>
          </w:r>
          <w:r>
            <w:rPr>
              <w:rFonts w:hint="eastAsia" w:ascii="仿宋_GB2312" w:hAnsi="仿宋" w:eastAsia="仿宋_GB2312" w:cs="宋体"/>
              <w:bCs/>
              <w:szCs w:val="32"/>
              <w:highlight w:val="none"/>
            </w:rPr>
            <w:t>（六）评价等级划分</w:t>
          </w:r>
          <w:r>
            <w:rPr>
              <w:highlight w:val="none"/>
            </w:rPr>
            <w:tab/>
          </w:r>
          <w:r>
            <w:rPr>
              <w:highlight w:val="none"/>
            </w:rPr>
            <w:fldChar w:fldCharType="begin"/>
          </w:r>
          <w:r>
            <w:rPr>
              <w:highlight w:val="none"/>
            </w:rPr>
            <w:instrText xml:space="preserve"> PAGEREF _Toc31692 </w:instrText>
          </w:r>
          <w:r>
            <w:rPr>
              <w:highlight w:val="none"/>
            </w:rPr>
            <w:fldChar w:fldCharType="separate"/>
          </w:r>
          <w:r>
            <w:rPr>
              <w:highlight w:val="none"/>
            </w:rPr>
            <w:t>9</w:t>
          </w:r>
          <w:r>
            <w:rPr>
              <w:highlight w:val="none"/>
            </w:rPr>
            <w:fldChar w:fldCharType="end"/>
          </w:r>
          <w:r>
            <w:rPr>
              <w:bCs w:val="0"/>
              <w:szCs w:val="24"/>
              <w:highlight w:val="none"/>
            </w:rPr>
            <w:fldChar w:fldCharType="end"/>
          </w:r>
        </w:p>
        <w:p w14:paraId="2D5F455E">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_Toc24267 </w:instrText>
          </w:r>
          <w:r>
            <w:rPr>
              <w:bCs w:val="0"/>
              <w:szCs w:val="24"/>
              <w:highlight w:val="none"/>
            </w:rPr>
            <w:fldChar w:fldCharType="separate"/>
          </w:r>
          <w:r>
            <w:rPr>
              <w:rFonts w:hint="eastAsia" w:ascii="仿宋_GB2312" w:hAnsi="仿宋" w:eastAsia="仿宋_GB2312" w:cs="宋体"/>
              <w:bCs/>
              <w:szCs w:val="32"/>
              <w:highlight w:val="none"/>
            </w:rPr>
            <w:t>（七）评价工作实施情况</w:t>
          </w:r>
          <w:r>
            <w:rPr>
              <w:highlight w:val="none"/>
            </w:rPr>
            <w:tab/>
          </w:r>
          <w:r>
            <w:rPr>
              <w:highlight w:val="none"/>
            </w:rPr>
            <w:fldChar w:fldCharType="begin"/>
          </w:r>
          <w:r>
            <w:rPr>
              <w:highlight w:val="none"/>
            </w:rPr>
            <w:instrText xml:space="preserve"> PAGEREF _Toc24267 </w:instrText>
          </w:r>
          <w:r>
            <w:rPr>
              <w:highlight w:val="none"/>
            </w:rPr>
            <w:fldChar w:fldCharType="separate"/>
          </w:r>
          <w:r>
            <w:rPr>
              <w:highlight w:val="none"/>
            </w:rPr>
            <w:t>9</w:t>
          </w:r>
          <w:r>
            <w:rPr>
              <w:highlight w:val="none"/>
            </w:rPr>
            <w:fldChar w:fldCharType="end"/>
          </w:r>
          <w:r>
            <w:rPr>
              <w:bCs w:val="0"/>
              <w:szCs w:val="24"/>
              <w:highlight w:val="none"/>
            </w:rPr>
            <w:fldChar w:fldCharType="end"/>
          </w:r>
        </w:p>
        <w:p w14:paraId="2EEA19DD">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_Toc27359 </w:instrText>
          </w:r>
          <w:r>
            <w:rPr>
              <w:bCs w:val="0"/>
              <w:szCs w:val="24"/>
              <w:highlight w:val="none"/>
            </w:rPr>
            <w:fldChar w:fldCharType="separate"/>
          </w:r>
          <w:r>
            <w:rPr>
              <w:rFonts w:hint="eastAsia" w:ascii="黑体" w:hAnsi="黑体" w:eastAsia="黑体" w:cs="宋体"/>
              <w:szCs w:val="32"/>
              <w:highlight w:val="none"/>
            </w:rPr>
            <w:t>三、绩效评价分析</w:t>
          </w:r>
          <w:r>
            <w:rPr>
              <w:highlight w:val="none"/>
            </w:rPr>
            <w:tab/>
          </w:r>
          <w:r>
            <w:rPr>
              <w:highlight w:val="none"/>
            </w:rPr>
            <w:fldChar w:fldCharType="begin"/>
          </w:r>
          <w:r>
            <w:rPr>
              <w:highlight w:val="none"/>
            </w:rPr>
            <w:instrText xml:space="preserve"> PAGEREF _Toc27359 </w:instrText>
          </w:r>
          <w:r>
            <w:rPr>
              <w:highlight w:val="none"/>
            </w:rPr>
            <w:fldChar w:fldCharType="separate"/>
          </w:r>
          <w:r>
            <w:rPr>
              <w:highlight w:val="none"/>
            </w:rPr>
            <w:t>11</w:t>
          </w:r>
          <w:r>
            <w:rPr>
              <w:highlight w:val="none"/>
            </w:rPr>
            <w:fldChar w:fldCharType="end"/>
          </w:r>
          <w:r>
            <w:rPr>
              <w:bCs w:val="0"/>
              <w:szCs w:val="24"/>
              <w:highlight w:val="none"/>
            </w:rPr>
            <w:fldChar w:fldCharType="end"/>
          </w:r>
        </w:p>
        <w:p w14:paraId="2A695C73">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_Toc5787 </w:instrText>
          </w:r>
          <w:r>
            <w:rPr>
              <w:bCs w:val="0"/>
              <w:szCs w:val="24"/>
              <w:highlight w:val="none"/>
            </w:rPr>
            <w:fldChar w:fldCharType="separate"/>
          </w:r>
          <w:r>
            <w:rPr>
              <w:rFonts w:hint="eastAsia" w:ascii="仿宋_GB2312" w:hAnsi="仿宋" w:eastAsia="仿宋_GB2312" w:cs="宋体"/>
              <w:bCs/>
              <w:szCs w:val="32"/>
              <w:highlight w:val="none"/>
            </w:rPr>
            <w:t>（一）项目决策分析</w:t>
          </w:r>
          <w:r>
            <w:rPr>
              <w:highlight w:val="none"/>
            </w:rPr>
            <w:tab/>
          </w:r>
          <w:r>
            <w:rPr>
              <w:highlight w:val="none"/>
            </w:rPr>
            <w:fldChar w:fldCharType="begin"/>
          </w:r>
          <w:r>
            <w:rPr>
              <w:highlight w:val="none"/>
            </w:rPr>
            <w:instrText xml:space="preserve"> PAGEREF _Toc5787 </w:instrText>
          </w:r>
          <w:r>
            <w:rPr>
              <w:highlight w:val="none"/>
            </w:rPr>
            <w:fldChar w:fldCharType="separate"/>
          </w:r>
          <w:r>
            <w:rPr>
              <w:highlight w:val="none"/>
            </w:rPr>
            <w:t>11</w:t>
          </w:r>
          <w:r>
            <w:rPr>
              <w:highlight w:val="none"/>
            </w:rPr>
            <w:fldChar w:fldCharType="end"/>
          </w:r>
          <w:r>
            <w:rPr>
              <w:bCs w:val="0"/>
              <w:szCs w:val="24"/>
              <w:highlight w:val="none"/>
            </w:rPr>
            <w:fldChar w:fldCharType="end"/>
          </w:r>
        </w:p>
        <w:p w14:paraId="1FC5E924">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_Toc5610 </w:instrText>
          </w:r>
          <w:r>
            <w:rPr>
              <w:bCs w:val="0"/>
              <w:szCs w:val="24"/>
              <w:highlight w:val="none"/>
            </w:rPr>
            <w:fldChar w:fldCharType="separate"/>
          </w:r>
          <w:r>
            <w:rPr>
              <w:rFonts w:hint="eastAsia" w:ascii="仿宋_GB2312" w:hAnsi="仿宋" w:eastAsia="仿宋_GB2312" w:cs="宋体"/>
              <w:bCs/>
              <w:szCs w:val="32"/>
              <w:highlight w:val="none"/>
            </w:rPr>
            <w:t>（二）项目管理</w:t>
          </w:r>
          <w:r>
            <w:rPr>
              <w:rFonts w:hint="eastAsia" w:ascii="仿宋_GB2312" w:hAnsi="仿宋" w:eastAsia="仿宋_GB2312" w:cs="宋体"/>
              <w:bCs/>
              <w:szCs w:val="32"/>
              <w:highlight w:val="none"/>
              <w:lang w:val="en-US" w:eastAsia="zh-CN"/>
            </w:rPr>
            <w:t>过程</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_Toc5610 </w:instrText>
          </w:r>
          <w:r>
            <w:rPr>
              <w:highlight w:val="none"/>
            </w:rPr>
            <w:fldChar w:fldCharType="separate"/>
          </w:r>
          <w:r>
            <w:rPr>
              <w:highlight w:val="none"/>
            </w:rPr>
            <w:t>13</w:t>
          </w:r>
          <w:r>
            <w:rPr>
              <w:highlight w:val="none"/>
            </w:rPr>
            <w:fldChar w:fldCharType="end"/>
          </w:r>
          <w:r>
            <w:rPr>
              <w:bCs w:val="0"/>
              <w:szCs w:val="24"/>
              <w:highlight w:val="none"/>
            </w:rPr>
            <w:fldChar w:fldCharType="end"/>
          </w:r>
        </w:p>
        <w:p w14:paraId="038E2E38">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_Toc31015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三</w:t>
          </w:r>
          <w:r>
            <w:rPr>
              <w:rFonts w:hint="eastAsia" w:ascii="仿宋_GB2312" w:hAnsi="仿宋" w:eastAsia="仿宋_GB2312" w:cs="宋体"/>
              <w:bCs/>
              <w:szCs w:val="32"/>
              <w:highlight w:val="none"/>
            </w:rPr>
            <w:t>）项目</w:t>
          </w:r>
          <w:r>
            <w:rPr>
              <w:rFonts w:hint="eastAsia" w:ascii="仿宋_GB2312" w:hAnsi="仿宋" w:eastAsia="仿宋_GB2312" w:cs="宋体"/>
              <w:bCs/>
              <w:szCs w:val="32"/>
              <w:highlight w:val="none"/>
              <w:lang w:val="en-US" w:eastAsia="zh-CN"/>
            </w:rPr>
            <w:t>产出</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_Toc31015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64D6CBD3">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_Toc3708 </w:instrText>
          </w:r>
          <w:r>
            <w:rPr>
              <w:bCs w:val="0"/>
              <w:szCs w:val="24"/>
              <w:highlight w:val="none"/>
            </w:rPr>
            <w:fldChar w:fldCharType="separate"/>
          </w:r>
          <w:r>
            <w:rPr>
              <w:rFonts w:hint="eastAsia" w:ascii="仿宋_GB2312" w:hAnsi="仿宋" w:eastAsia="仿宋_GB2312" w:cs="宋体"/>
              <w:bCs/>
              <w:szCs w:val="32"/>
              <w:highlight w:val="none"/>
              <w:lang w:val="en-US" w:eastAsia="zh-CN"/>
            </w:rPr>
            <w:t>（四）项目效益评价分析</w:t>
          </w:r>
          <w:r>
            <w:rPr>
              <w:highlight w:val="none"/>
            </w:rPr>
            <w:tab/>
          </w:r>
          <w:r>
            <w:rPr>
              <w:highlight w:val="none"/>
            </w:rPr>
            <w:fldChar w:fldCharType="begin"/>
          </w:r>
          <w:r>
            <w:rPr>
              <w:highlight w:val="none"/>
            </w:rPr>
            <w:instrText xml:space="preserve"> PAGEREF _Toc3708 </w:instrText>
          </w:r>
          <w:r>
            <w:rPr>
              <w:highlight w:val="none"/>
            </w:rPr>
            <w:fldChar w:fldCharType="separate"/>
          </w:r>
          <w:r>
            <w:rPr>
              <w:highlight w:val="none"/>
            </w:rPr>
            <w:t>15</w:t>
          </w:r>
          <w:r>
            <w:rPr>
              <w:highlight w:val="none"/>
            </w:rPr>
            <w:fldChar w:fldCharType="end"/>
          </w:r>
          <w:r>
            <w:rPr>
              <w:bCs w:val="0"/>
              <w:szCs w:val="24"/>
              <w:highlight w:val="none"/>
            </w:rPr>
            <w:fldChar w:fldCharType="end"/>
          </w:r>
        </w:p>
        <w:p w14:paraId="5C11E16E">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_Toc6584 </w:instrText>
          </w:r>
          <w:r>
            <w:rPr>
              <w:bCs w:val="0"/>
              <w:szCs w:val="24"/>
              <w:highlight w:val="none"/>
            </w:rPr>
            <w:fldChar w:fldCharType="separate"/>
          </w:r>
          <w:r>
            <w:rPr>
              <w:rFonts w:hint="eastAsia" w:ascii="黑体" w:hAnsi="黑体" w:eastAsia="黑体" w:cs="宋体"/>
              <w:szCs w:val="32"/>
              <w:highlight w:val="none"/>
              <w:lang w:val="en-US" w:eastAsia="zh-CN"/>
            </w:rPr>
            <w:t>四、</w:t>
          </w:r>
          <w:r>
            <w:rPr>
              <w:rFonts w:hint="eastAsia" w:ascii="黑体" w:hAnsi="黑体" w:eastAsia="黑体" w:cs="宋体"/>
              <w:szCs w:val="32"/>
              <w:highlight w:val="none"/>
            </w:rPr>
            <w:t>评价结论</w:t>
          </w:r>
          <w:r>
            <w:rPr>
              <w:highlight w:val="none"/>
            </w:rPr>
            <w:tab/>
          </w:r>
          <w:r>
            <w:rPr>
              <w:highlight w:val="none"/>
            </w:rPr>
            <w:fldChar w:fldCharType="begin"/>
          </w:r>
          <w:r>
            <w:rPr>
              <w:highlight w:val="none"/>
            </w:rPr>
            <w:instrText xml:space="preserve"> PAGEREF _Toc6584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588F2C3F">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_Toc13481 </w:instrText>
          </w:r>
          <w:r>
            <w:rPr>
              <w:bCs w:val="0"/>
              <w:szCs w:val="24"/>
              <w:highlight w:val="none"/>
            </w:rPr>
            <w:fldChar w:fldCharType="separate"/>
          </w:r>
          <w:r>
            <w:rPr>
              <w:rFonts w:hint="eastAsia" w:ascii="仿宋_GB2312" w:hAnsi="仿宋" w:eastAsia="仿宋_GB2312" w:cs="宋体"/>
              <w:bCs/>
              <w:szCs w:val="32"/>
              <w:highlight w:val="none"/>
            </w:rPr>
            <w:t>（一）评分结果</w:t>
          </w:r>
          <w:r>
            <w:rPr>
              <w:highlight w:val="none"/>
            </w:rPr>
            <w:tab/>
          </w:r>
          <w:r>
            <w:rPr>
              <w:highlight w:val="none"/>
            </w:rPr>
            <w:fldChar w:fldCharType="begin"/>
          </w:r>
          <w:r>
            <w:rPr>
              <w:highlight w:val="none"/>
            </w:rPr>
            <w:instrText xml:space="preserve"> PAGEREF _Toc13481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4F64DA85">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_Toc3803 </w:instrText>
          </w:r>
          <w:r>
            <w:rPr>
              <w:bCs w:val="0"/>
              <w:szCs w:val="24"/>
              <w:highlight w:val="none"/>
            </w:rPr>
            <w:fldChar w:fldCharType="separate"/>
          </w:r>
          <w:r>
            <w:rPr>
              <w:rFonts w:hint="eastAsia" w:ascii="仿宋_GB2312" w:hAnsi="仿宋" w:eastAsia="仿宋_GB2312" w:cs="宋体"/>
              <w:bCs/>
              <w:szCs w:val="32"/>
              <w:highlight w:val="none"/>
            </w:rPr>
            <w:t>（二）项目总体评价结论</w:t>
          </w:r>
          <w:r>
            <w:rPr>
              <w:highlight w:val="none"/>
            </w:rPr>
            <w:tab/>
          </w:r>
          <w:r>
            <w:rPr>
              <w:highlight w:val="none"/>
            </w:rPr>
            <w:fldChar w:fldCharType="begin"/>
          </w:r>
          <w:r>
            <w:rPr>
              <w:highlight w:val="none"/>
            </w:rPr>
            <w:instrText xml:space="preserve"> PAGEREF _Toc3803 </w:instrText>
          </w:r>
          <w:r>
            <w:rPr>
              <w:highlight w:val="none"/>
            </w:rPr>
            <w:fldChar w:fldCharType="separate"/>
          </w:r>
          <w:r>
            <w:rPr>
              <w:highlight w:val="none"/>
            </w:rPr>
            <w:t>16</w:t>
          </w:r>
          <w:r>
            <w:rPr>
              <w:highlight w:val="none"/>
            </w:rPr>
            <w:fldChar w:fldCharType="end"/>
          </w:r>
          <w:r>
            <w:rPr>
              <w:bCs w:val="0"/>
              <w:szCs w:val="24"/>
              <w:highlight w:val="none"/>
            </w:rPr>
            <w:fldChar w:fldCharType="end"/>
          </w:r>
        </w:p>
        <w:p w14:paraId="7956AF54">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_Toc7267 </w:instrText>
          </w:r>
          <w:r>
            <w:rPr>
              <w:bCs w:val="0"/>
              <w:szCs w:val="24"/>
              <w:highlight w:val="none"/>
            </w:rPr>
            <w:fldChar w:fldCharType="separate"/>
          </w:r>
          <w:r>
            <w:rPr>
              <w:rFonts w:hint="eastAsia" w:ascii="黑体" w:hAnsi="黑体" w:eastAsia="黑体" w:cs="宋体"/>
              <w:szCs w:val="32"/>
              <w:highlight w:val="none"/>
            </w:rPr>
            <w:t>五、问题</w:t>
          </w:r>
          <w:r>
            <w:rPr>
              <w:rFonts w:hint="eastAsia" w:ascii="黑体" w:hAnsi="黑体" w:eastAsia="黑体" w:cs="宋体"/>
              <w:szCs w:val="32"/>
              <w:highlight w:val="none"/>
              <w:lang w:val="en-US" w:eastAsia="zh-CN"/>
            </w:rPr>
            <w:t>及建议</w:t>
          </w:r>
          <w:r>
            <w:rPr>
              <w:highlight w:val="none"/>
            </w:rPr>
            <w:tab/>
          </w:r>
          <w:r>
            <w:rPr>
              <w:highlight w:val="none"/>
            </w:rPr>
            <w:fldChar w:fldCharType="begin"/>
          </w:r>
          <w:r>
            <w:rPr>
              <w:highlight w:val="none"/>
            </w:rPr>
            <w:instrText xml:space="preserve"> PAGEREF _Toc7267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63ECF0D2">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_Toc2013 </w:instrText>
          </w:r>
          <w:r>
            <w:rPr>
              <w:bCs w:val="0"/>
              <w:szCs w:val="24"/>
              <w:highlight w:val="none"/>
            </w:rPr>
            <w:fldChar w:fldCharType="separate"/>
          </w:r>
          <w:r>
            <w:rPr>
              <w:rFonts w:hint="eastAsia" w:ascii="仿宋_GB2312" w:hAnsi="仿宋" w:eastAsia="仿宋_GB2312" w:cs="宋体"/>
              <w:bCs/>
              <w:szCs w:val="32"/>
              <w:highlight w:val="none"/>
            </w:rPr>
            <w:t>（一）问题</w:t>
          </w:r>
          <w:r>
            <w:rPr>
              <w:highlight w:val="none"/>
            </w:rPr>
            <w:tab/>
          </w:r>
          <w:r>
            <w:rPr>
              <w:highlight w:val="none"/>
            </w:rPr>
            <w:fldChar w:fldCharType="begin"/>
          </w:r>
          <w:r>
            <w:rPr>
              <w:highlight w:val="none"/>
            </w:rPr>
            <w:instrText xml:space="preserve"> PAGEREF _Toc2013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4C01CF81">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_Toc4075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二</w:t>
          </w:r>
          <w:r>
            <w:rPr>
              <w:rFonts w:hint="eastAsia" w:ascii="仿宋_GB2312" w:hAnsi="仿宋" w:eastAsia="仿宋_GB2312" w:cs="宋体"/>
              <w:bCs/>
              <w:szCs w:val="32"/>
              <w:highlight w:val="none"/>
            </w:rPr>
            <w:t>）意见和建议</w:t>
          </w:r>
          <w:r>
            <w:rPr>
              <w:highlight w:val="none"/>
            </w:rPr>
            <w:tab/>
          </w:r>
          <w:r>
            <w:rPr>
              <w:highlight w:val="none"/>
            </w:rPr>
            <w:fldChar w:fldCharType="begin"/>
          </w:r>
          <w:r>
            <w:rPr>
              <w:highlight w:val="none"/>
            </w:rPr>
            <w:instrText xml:space="preserve"> PAGEREF _Toc4075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3B708A83">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_Toc17475 </w:instrText>
          </w:r>
          <w:r>
            <w:rPr>
              <w:bCs w:val="0"/>
              <w:szCs w:val="24"/>
              <w:highlight w:val="none"/>
            </w:rPr>
            <w:fldChar w:fldCharType="separate"/>
          </w:r>
          <w:r>
            <w:rPr>
              <w:rFonts w:hint="eastAsia" w:ascii="黑体" w:hAnsi="黑体" w:eastAsia="黑体" w:cs="宋体"/>
              <w:szCs w:val="32"/>
              <w:highlight w:val="none"/>
            </w:rPr>
            <w:t>六、主要经验及做法</w:t>
          </w:r>
          <w:r>
            <w:rPr>
              <w:highlight w:val="none"/>
            </w:rPr>
            <w:tab/>
          </w:r>
          <w:r>
            <w:rPr>
              <w:highlight w:val="none"/>
            </w:rPr>
            <w:fldChar w:fldCharType="begin"/>
          </w:r>
          <w:r>
            <w:rPr>
              <w:highlight w:val="none"/>
            </w:rPr>
            <w:instrText xml:space="preserve"> PAGEREF _Toc17475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1E235DDB">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_Toc32230 </w:instrText>
          </w:r>
          <w:r>
            <w:rPr>
              <w:bCs w:val="0"/>
              <w:szCs w:val="24"/>
              <w:highlight w:val="none"/>
            </w:rPr>
            <w:fldChar w:fldCharType="separate"/>
          </w:r>
          <w:r>
            <w:rPr>
              <w:rFonts w:hint="eastAsia" w:ascii="仿宋_GB2312" w:hAnsi="仿宋" w:eastAsia="仿宋_GB2312" w:cs="宋体"/>
              <w:bCs/>
              <w:szCs w:val="32"/>
              <w:highlight w:val="none"/>
            </w:rPr>
            <w:t>（一）项目实施过程有效监控</w:t>
          </w:r>
          <w:r>
            <w:rPr>
              <w:highlight w:val="none"/>
            </w:rPr>
            <w:tab/>
          </w:r>
          <w:r>
            <w:rPr>
              <w:highlight w:val="none"/>
            </w:rPr>
            <w:fldChar w:fldCharType="begin"/>
          </w:r>
          <w:r>
            <w:rPr>
              <w:highlight w:val="none"/>
            </w:rPr>
            <w:instrText xml:space="preserve"> PAGEREF _Toc32230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3799B643">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_Toc22631 </w:instrText>
          </w:r>
          <w:r>
            <w:rPr>
              <w:bCs w:val="0"/>
              <w:szCs w:val="24"/>
              <w:highlight w:val="none"/>
            </w:rPr>
            <w:fldChar w:fldCharType="separate"/>
          </w:r>
          <w:r>
            <w:rPr>
              <w:rFonts w:hint="eastAsia" w:ascii="仿宋_GB2312" w:hAnsi="仿宋" w:eastAsia="仿宋_GB2312" w:cs="宋体"/>
              <w:bCs/>
              <w:szCs w:val="32"/>
              <w:highlight w:val="none"/>
            </w:rPr>
            <w:t>（二）强化领导，明确职责，合理安排使用资金</w:t>
          </w:r>
          <w:r>
            <w:rPr>
              <w:highlight w:val="none"/>
            </w:rPr>
            <w:tab/>
          </w:r>
          <w:r>
            <w:rPr>
              <w:highlight w:val="none"/>
            </w:rPr>
            <w:fldChar w:fldCharType="begin"/>
          </w:r>
          <w:r>
            <w:rPr>
              <w:highlight w:val="none"/>
            </w:rPr>
            <w:instrText xml:space="preserve"> PAGEREF _Toc22631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333C5DE6">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_Toc14650 </w:instrText>
          </w:r>
          <w:r>
            <w:rPr>
              <w:bCs w:val="0"/>
              <w:szCs w:val="24"/>
              <w:highlight w:val="none"/>
            </w:rPr>
            <w:fldChar w:fldCharType="separate"/>
          </w:r>
          <w:r>
            <w:rPr>
              <w:rFonts w:hint="eastAsia" w:ascii="黑体" w:hAnsi="黑体" w:eastAsia="黑体" w:cs="宋体"/>
              <w:szCs w:val="32"/>
              <w:highlight w:val="none"/>
            </w:rPr>
            <w:t>七、评价结果应用建议</w:t>
          </w:r>
          <w:r>
            <w:rPr>
              <w:highlight w:val="none"/>
            </w:rPr>
            <w:tab/>
          </w:r>
          <w:r>
            <w:rPr>
              <w:highlight w:val="none"/>
            </w:rPr>
            <w:fldChar w:fldCharType="begin"/>
          </w:r>
          <w:r>
            <w:rPr>
              <w:highlight w:val="none"/>
            </w:rPr>
            <w:instrText xml:space="preserve"> PAGEREF _Toc14650 </w:instrText>
          </w:r>
          <w:r>
            <w:rPr>
              <w:highlight w:val="none"/>
            </w:rPr>
            <w:fldChar w:fldCharType="separate"/>
          </w:r>
          <w:r>
            <w:rPr>
              <w:highlight w:val="none"/>
            </w:rPr>
            <w:t>17</w:t>
          </w:r>
          <w:r>
            <w:rPr>
              <w:highlight w:val="none"/>
            </w:rPr>
            <w:fldChar w:fldCharType="end"/>
          </w:r>
          <w:r>
            <w:rPr>
              <w:bCs w:val="0"/>
              <w:szCs w:val="24"/>
              <w:highlight w:val="none"/>
            </w:rPr>
            <w:fldChar w:fldCharType="end"/>
          </w:r>
        </w:p>
        <w:p w14:paraId="2506B413">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_Toc6072 </w:instrText>
          </w:r>
          <w:r>
            <w:rPr>
              <w:bCs w:val="0"/>
              <w:szCs w:val="24"/>
              <w:highlight w:val="none"/>
            </w:rPr>
            <w:fldChar w:fldCharType="separate"/>
          </w:r>
          <w:r>
            <w:rPr>
              <w:rFonts w:hint="eastAsia" w:ascii="仿宋_GB2312" w:hAnsi="黑体" w:eastAsia="仿宋_GB2312" w:cs="Times New Roman"/>
              <w:bCs/>
              <w:szCs w:val="32"/>
              <w:highlight w:val="none"/>
            </w:rPr>
            <w:t>（一）及时对发现的问题进行整改</w:t>
          </w:r>
          <w:r>
            <w:rPr>
              <w:highlight w:val="none"/>
            </w:rPr>
            <w:tab/>
          </w:r>
          <w:r>
            <w:rPr>
              <w:highlight w:val="none"/>
            </w:rPr>
            <w:fldChar w:fldCharType="begin"/>
          </w:r>
          <w:r>
            <w:rPr>
              <w:highlight w:val="none"/>
            </w:rPr>
            <w:instrText xml:space="preserve"> PAGEREF _Toc6072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5564159B">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_Toc20240 </w:instrText>
          </w:r>
          <w:r>
            <w:rPr>
              <w:bCs w:val="0"/>
              <w:szCs w:val="24"/>
              <w:highlight w:val="none"/>
            </w:rPr>
            <w:fldChar w:fldCharType="separate"/>
          </w:r>
          <w:r>
            <w:rPr>
              <w:rFonts w:hint="eastAsia" w:ascii="仿宋_GB2312" w:hAnsi="黑体" w:eastAsia="仿宋_GB2312" w:cs="Times New Roman"/>
              <w:bCs/>
              <w:szCs w:val="32"/>
              <w:highlight w:val="none"/>
            </w:rPr>
            <w:t>（二） 建立绩效评价结果应用制度</w:t>
          </w:r>
          <w:r>
            <w:rPr>
              <w:highlight w:val="none"/>
            </w:rPr>
            <w:tab/>
          </w:r>
          <w:r>
            <w:rPr>
              <w:highlight w:val="none"/>
            </w:rPr>
            <w:fldChar w:fldCharType="begin"/>
          </w:r>
          <w:r>
            <w:rPr>
              <w:highlight w:val="none"/>
            </w:rPr>
            <w:instrText xml:space="preserve"> PAGEREF _Toc20240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41F29F55">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_Toc5443 </w:instrText>
          </w:r>
          <w:r>
            <w:rPr>
              <w:bCs w:val="0"/>
              <w:szCs w:val="24"/>
              <w:highlight w:val="none"/>
            </w:rPr>
            <w:fldChar w:fldCharType="separate"/>
          </w:r>
          <w:r>
            <w:rPr>
              <w:rFonts w:hint="eastAsia" w:ascii="仿宋_GB2312" w:hAnsi="黑体" w:eastAsia="仿宋_GB2312" w:cs="Times New Roman"/>
              <w:bCs/>
              <w:szCs w:val="32"/>
              <w:highlight w:val="none"/>
            </w:rPr>
            <w:t>（三）</w:t>
          </w:r>
          <w:r>
            <w:rPr>
              <w:rFonts w:hint="eastAsia" w:ascii="仿宋_GB2312" w:hAnsi="黑体" w:eastAsia="仿宋_GB2312" w:cs="Times New Roman"/>
              <w:bCs/>
              <w:szCs w:val="32"/>
              <w:highlight w:val="none"/>
              <w:lang w:val="en-US" w:eastAsia="zh-CN"/>
            </w:rPr>
            <w:t>强化</w:t>
          </w:r>
          <w:r>
            <w:rPr>
              <w:rFonts w:hint="eastAsia" w:ascii="仿宋_GB2312" w:hAnsi="黑体" w:eastAsia="仿宋_GB2312" w:cs="Times New Roman"/>
              <w:bCs/>
              <w:szCs w:val="32"/>
              <w:highlight w:val="none"/>
            </w:rPr>
            <w:t>绩效评价结果应用</w:t>
          </w:r>
          <w:r>
            <w:rPr>
              <w:highlight w:val="none"/>
            </w:rPr>
            <w:tab/>
          </w:r>
          <w:r>
            <w:rPr>
              <w:highlight w:val="none"/>
            </w:rPr>
            <w:fldChar w:fldCharType="begin"/>
          </w:r>
          <w:r>
            <w:rPr>
              <w:highlight w:val="none"/>
            </w:rPr>
            <w:instrText xml:space="preserve"> PAGEREF _Toc5443 </w:instrText>
          </w:r>
          <w:r>
            <w:rPr>
              <w:highlight w:val="none"/>
            </w:rPr>
            <w:fldChar w:fldCharType="separate"/>
          </w:r>
          <w:r>
            <w:rPr>
              <w:highlight w:val="none"/>
            </w:rPr>
            <w:t>18</w:t>
          </w:r>
          <w:r>
            <w:rPr>
              <w:highlight w:val="none"/>
            </w:rPr>
            <w:fldChar w:fldCharType="end"/>
          </w:r>
          <w:r>
            <w:rPr>
              <w:bCs w:val="0"/>
              <w:szCs w:val="24"/>
              <w:highlight w:val="none"/>
            </w:rPr>
            <w:fldChar w:fldCharType="end"/>
          </w:r>
        </w:p>
        <w:p w14:paraId="1F3AF330">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_Toc4069 </w:instrText>
          </w:r>
          <w:r>
            <w:rPr>
              <w:bCs w:val="0"/>
              <w:szCs w:val="24"/>
              <w:highlight w:val="none"/>
            </w:rPr>
            <w:fldChar w:fldCharType="separate"/>
          </w:r>
          <w:r>
            <w:rPr>
              <w:rFonts w:hint="eastAsia" w:ascii="仿宋_GB2312" w:hAnsi="黑体" w:eastAsia="仿宋_GB2312" w:cs="Times New Roman"/>
              <w:bCs/>
              <w:szCs w:val="32"/>
              <w:highlight w:val="none"/>
            </w:rPr>
            <w:t>（四）评价结果公开</w:t>
          </w:r>
          <w:r>
            <w:rPr>
              <w:highlight w:val="none"/>
            </w:rPr>
            <w:tab/>
          </w:r>
          <w:r>
            <w:rPr>
              <w:highlight w:val="none"/>
            </w:rPr>
            <w:fldChar w:fldCharType="begin"/>
          </w:r>
          <w:r>
            <w:rPr>
              <w:highlight w:val="none"/>
            </w:rPr>
            <w:instrText xml:space="preserve"> PAGEREF _Toc4069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7E5A3923">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_Toc17018 </w:instrText>
          </w:r>
          <w:r>
            <w:rPr>
              <w:bCs w:val="0"/>
              <w:szCs w:val="24"/>
              <w:highlight w:val="none"/>
            </w:rPr>
            <w:fldChar w:fldCharType="separate"/>
          </w:r>
          <w:r>
            <w:rPr>
              <w:rFonts w:hint="eastAsia" w:ascii="黑体" w:hAnsi="黑体" w:eastAsia="黑体" w:cs="宋体"/>
              <w:szCs w:val="32"/>
              <w:highlight w:val="none"/>
              <w:lang w:val="en-US" w:eastAsia="zh-CN"/>
            </w:rPr>
            <w:t>八、</w:t>
          </w:r>
          <w:r>
            <w:rPr>
              <w:rFonts w:hint="eastAsia" w:ascii="黑体" w:hAnsi="黑体" w:eastAsia="黑体" w:cs="宋体"/>
              <w:szCs w:val="32"/>
              <w:highlight w:val="none"/>
            </w:rPr>
            <w:t>其他需说明的问题</w:t>
          </w:r>
          <w:r>
            <w:rPr>
              <w:highlight w:val="none"/>
            </w:rPr>
            <w:tab/>
          </w:r>
          <w:r>
            <w:rPr>
              <w:highlight w:val="none"/>
            </w:rPr>
            <w:fldChar w:fldCharType="begin"/>
          </w:r>
          <w:r>
            <w:rPr>
              <w:highlight w:val="none"/>
            </w:rPr>
            <w:instrText xml:space="preserve"> PAGEREF _Toc17018 </w:instrText>
          </w:r>
          <w:r>
            <w:rPr>
              <w:highlight w:val="none"/>
            </w:rPr>
            <w:fldChar w:fldCharType="separate"/>
          </w:r>
          <w:r>
            <w:rPr>
              <w:highlight w:val="none"/>
            </w:rPr>
            <w:t>19</w:t>
          </w:r>
          <w:r>
            <w:rPr>
              <w:highlight w:val="none"/>
            </w:rPr>
            <w:fldChar w:fldCharType="end"/>
          </w:r>
          <w:r>
            <w:rPr>
              <w:bCs w:val="0"/>
              <w:szCs w:val="24"/>
              <w:highlight w:val="none"/>
            </w:rPr>
            <w:fldChar w:fldCharType="end"/>
          </w:r>
        </w:p>
        <w:p w14:paraId="22EED7DF">
          <w:pPr>
            <w:pStyle w:val="13"/>
            <w:tabs>
              <w:tab w:val="right" w:leader="dot" w:pos="8306"/>
            </w:tabs>
          </w:pPr>
          <w:r>
            <w:rPr>
              <w:bCs w:val="0"/>
              <w:szCs w:val="24"/>
              <w:highlight w:val="none"/>
            </w:rPr>
            <w:fldChar w:fldCharType="begin"/>
          </w:r>
          <w:r>
            <w:rPr>
              <w:bCs w:val="0"/>
              <w:szCs w:val="24"/>
              <w:highlight w:val="none"/>
            </w:rPr>
            <w:instrText xml:space="preserve"> HYPERLINK \l _Toc25791 </w:instrText>
          </w:r>
          <w:r>
            <w:rPr>
              <w:bCs w:val="0"/>
              <w:szCs w:val="24"/>
              <w:highlight w:val="none"/>
            </w:rPr>
            <w:fldChar w:fldCharType="separate"/>
          </w:r>
          <w:r>
            <w:rPr>
              <w:rFonts w:hint="eastAsia" w:ascii="黑体" w:hAnsi="黑体" w:eastAsia="黑体" w:cs="宋体"/>
              <w:szCs w:val="32"/>
              <w:highlight w:val="none"/>
            </w:rPr>
            <w:t>九、附件</w:t>
          </w:r>
          <w:r>
            <w:rPr>
              <w:highlight w:val="none"/>
            </w:rPr>
            <w:tab/>
          </w:r>
          <w:r>
            <w:rPr>
              <w:highlight w:val="none"/>
            </w:rPr>
            <w:fldChar w:fldCharType="begin"/>
          </w:r>
          <w:r>
            <w:rPr>
              <w:highlight w:val="none"/>
            </w:rPr>
            <w:instrText xml:space="preserve"> PAGEREF _Toc25791 </w:instrText>
          </w:r>
          <w:r>
            <w:rPr>
              <w:highlight w:val="none"/>
            </w:rPr>
            <w:fldChar w:fldCharType="separate"/>
          </w:r>
          <w:r>
            <w:rPr>
              <w:highlight w:val="none"/>
            </w:rPr>
            <w:t>20</w:t>
          </w:r>
          <w:r>
            <w:rPr>
              <w:highlight w:val="none"/>
            </w:rPr>
            <w:fldChar w:fldCharType="end"/>
          </w:r>
          <w:r>
            <w:rPr>
              <w:bCs w:val="0"/>
              <w:szCs w:val="24"/>
              <w:highlight w:val="none"/>
            </w:rPr>
            <w:fldChar w:fldCharType="end"/>
          </w:r>
        </w:p>
        <w:p w14:paraId="64E00028">
          <w:pPr>
            <w:spacing w:before="0" w:beforeLines="0" w:after="0" w:afterLines="0" w:line="240" w:lineRule="auto"/>
            <w:ind w:left="0" w:leftChars="0" w:right="0" w:rightChars="0" w:firstLine="0" w:firstLineChars="0"/>
            <w:jc w:val="center"/>
            <w:rPr>
              <w:b w:val="0"/>
              <w:bCs w:val="0"/>
              <w:highlight w:val="none"/>
            </w:rPr>
          </w:pPr>
          <w:r>
            <w:rPr>
              <w:b w:val="0"/>
              <w:bCs w:val="0"/>
              <w:sz w:val="24"/>
              <w:szCs w:val="24"/>
              <w:highlight w:val="none"/>
            </w:rPr>
            <w:fldChar w:fldCharType="end"/>
          </w:r>
        </w:p>
      </w:sdtContent>
    </w:sdt>
    <w:p w14:paraId="055365E5">
      <w:pPr>
        <w:pStyle w:val="13"/>
        <w:tabs>
          <w:tab w:val="right" w:leader="dot" w:pos="8302"/>
        </w:tabs>
        <w:spacing w:line="340" w:lineRule="exact"/>
        <w:rPr>
          <w:rFonts w:ascii="黑体" w:hAnsi="黑体" w:eastAsia="黑体" w:cs="宋体"/>
          <w:sz w:val="32"/>
          <w:szCs w:val="32"/>
        </w:rPr>
      </w:pPr>
    </w:p>
    <w:p w14:paraId="5A1BAEC8">
      <w:pPr>
        <w:spacing w:line="600" w:lineRule="exact"/>
        <w:jc w:val="center"/>
        <w:outlineLvl w:val="9"/>
        <w:rPr>
          <w:rFonts w:ascii="方正小标宋_GBK" w:hAnsi="黑体" w:eastAsia="方正小标宋_GBK" w:cs="宋体"/>
          <w:sz w:val="40"/>
          <w:szCs w:val="40"/>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start="48"/>
          <w:cols w:space="425" w:num="1"/>
          <w:docGrid w:type="lines" w:linePitch="312" w:charSpace="0"/>
        </w:sectPr>
      </w:pPr>
      <w:bookmarkStart w:id="18" w:name="_Toc18687"/>
    </w:p>
    <w:p w14:paraId="2C276CF3">
      <w:pPr>
        <w:spacing w:line="600" w:lineRule="exact"/>
        <w:jc w:val="center"/>
        <w:outlineLvl w:val="9"/>
        <w:rPr>
          <w:rFonts w:hint="eastAsia" w:ascii="华文中宋" w:hAnsi="华文中宋" w:eastAsia="华文中宋" w:cs="华文中宋"/>
          <w:b w:val="0"/>
          <w:bCs w:val="0"/>
          <w:sz w:val="44"/>
          <w:szCs w:val="44"/>
          <w:lang w:eastAsia="zh-CN"/>
        </w:rPr>
      </w:pPr>
      <w:bookmarkStart w:id="19" w:name="_Toc16603"/>
      <w:bookmarkStart w:id="20" w:name="_Toc28273"/>
      <w:bookmarkStart w:id="21" w:name="_Toc29218"/>
      <w:bookmarkStart w:id="22" w:name="_Toc24347"/>
      <w:bookmarkStart w:id="23" w:name="_Toc19311"/>
      <w:bookmarkStart w:id="24" w:name="_Toc7636"/>
      <w:bookmarkStart w:id="25" w:name="_Toc31819"/>
      <w:bookmarkStart w:id="26" w:name="_Toc14725"/>
      <w:bookmarkStart w:id="27" w:name="_Toc1397"/>
      <w:bookmarkStart w:id="28" w:name="_Toc12923"/>
      <w:r>
        <w:rPr>
          <w:rFonts w:hint="eastAsia" w:ascii="华文中宋" w:hAnsi="华文中宋" w:eastAsia="华文中宋" w:cs="华文中宋"/>
          <w:b w:val="0"/>
          <w:bCs w:val="0"/>
          <w:sz w:val="44"/>
          <w:szCs w:val="44"/>
          <w:lang w:eastAsia="zh-CN"/>
        </w:rPr>
        <w:t>洛浦县第七次全国人口普查项目绩效</w:t>
      </w:r>
      <w:r>
        <w:rPr>
          <w:rFonts w:hint="eastAsia" w:ascii="华文中宋" w:hAnsi="华文中宋" w:eastAsia="华文中宋" w:cs="华文中宋"/>
          <w:b w:val="0"/>
          <w:bCs w:val="0"/>
          <w:sz w:val="44"/>
          <w:szCs w:val="44"/>
          <w:lang w:val="en-US" w:eastAsia="zh-CN"/>
        </w:rPr>
        <w:t xml:space="preserve">     </w:t>
      </w:r>
      <w:r>
        <w:rPr>
          <w:rFonts w:hint="eastAsia" w:ascii="华文中宋" w:hAnsi="华文中宋" w:eastAsia="华文中宋" w:cs="华文中宋"/>
          <w:b w:val="0"/>
          <w:bCs w:val="0"/>
          <w:sz w:val="44"/>
          <w:szCs w:val="44"/>
          <w:lang w:eastAsia="zh-CN"/>
        </w:rPr>
        <w:t>评价报告</w:t>
      </w:r>
      <w:bookmarkEnd w:id="18"/>
      <w:bookmarkEnd w:id="19"/>
      <w:bookmarkEnd w:id="20"/>
      <w:bookmarkEnd w:id="21"/>
      <w:bookmarkEnd w:id="22"/>
      <w:bookmarkEnd w:id="23"/>
      <w:bookmarkEnd w:id="24"/>
      <w:bookmarkEnd w:id="25"/>
      <w:bookmarkEnd w:id="26"/>
      <w:bookmarkEnd w:id="27"/>
      <w:bookmarkEnd w:id="28"/>
    </w:p>
    <w:p w14:paraId="447758A7">
      <w:pPr>
        <w:adjustRightInd w:val="0"/>
        <w:snapToGrid w:val="0"/>
        <w:spacing w:line="560" w:lineRule="exact"/>
        <w:ind w:firstLine="640" w:firstLineChars="200"/>
        <w:jc w:val="left"/>
        <w:outlineLvl w:val="9"/>
        <w:rPr>
          <w:rFonts w:hint="eastAsia" w:ascii="黑体" w:hAnsi="黑体" w:eastAsia="黑体" w:cs="宋体"/>
          <w:sz w:val="32"/>
          <w:szCs w:val="32"/>
        </w:rPr>
      </w:pPr>
    </w:p>
    <w:p w14:paraId="53B676F7">
      <w:pPr>
        <w:pStyle w:val="2"/>
        <w:rPr>
          <w:rFonts w:hint="eastAsia"/>
        </w:rPr>
      </w:pPr>
    </w:p>
    <w:p w14:paraId="4C2D2E82">
      <w:pPr>
        <w:adjustRightInd w:val="0"/>
        <w:snapToGrid w:val="0"/>
        <w:spacing w:line="560" w:lineRule="exact"/>
        <w:ind w:firstLine="640" w:firstLineChars="200"/>
        <w:jc w:val="left"/>
        <w:outlineLvl w:val="0"/>
        <w:rPr>
          <w:rFonts w:ascii="黑体" w:hAnsi="黑体" w:eastAsia="黑体" w:cs="宋体"/>
          <w:sz w:val="32"/>
          <w:szCs w:val="32"/>
        </w:rPr>
      </w:pPr>
      <w:bookmarkStart w:id="29" w:name="_Toc28183"/>
      <w:r>
        <w:rPr>
          <w:rFonts w:hint="eastAsia" w:ascii="黑体" w:hAnsi="黑体" w:eastAsia="黑体" w:cs="宋体"/>
          <w:sz w:val="32"/>
          <w:szCs w:val="32"/>
        </w:rPr>
        <w:t>一、项目概述</w:t>
      </w:r>
      <w:bookmarkEnd w:id="29"/>
    </w:p>
    <w:p w14:paraId="660FC3C0">
      <w:pPr>
        <w:pStyle w:val="33"/>
        <w:numPr>
          <w:ilvl w:val="0"/>
          <w:numId w:val="4"/>
        </w:numPr>
        <w:adjustRightInd w:val="0"/>
        <w:snapToGrid w:val="0"/>
        <w:spacing w:line="560" w:lineRule="exact"/>
        <w:ind w:left="0" w:firstLine="643"/>
        <w:rPr>
          <w:rFonts w:ascii="仿宋_GB2312" w:hAnsi="仿宋" w:eastAsia="仿宋_GB2312" w:cs="宋体"/>
          <w:b/>
          <w:bCs/>
          <w:vanish/>
          <w:sz w:val="32"/>
          <w:szCs w:val="32"/>
        </w:rPr>
      </w:pPr>
      <w:bookmarkStart w:id="30" w:name="_Hlk24028365"/>
      <w:r>
        <w:rPr>
          <w:rFonts w:hint="eastAsia" w:ascii="仿宋_GB2312" w:hAnsi="仿宋" w:eastAsia="仿宋_GB2312" w:cs="宋体"/>
          <w:b/>
          <w:bCs/>
          <w:vanish/>
          <w:sz w:val="32"/>
          <w:szCs w:val="32"/>
        </w:rPr>
        <w:t>项目概述</w:t>
      </w:r>
    </w:p>
    <w:p w14:paraId="0C1F6EFE">
      <w:pPr>
        <w:pStyle w:val="33"/>
        <w:adjustRightInd w:val="0"/>
        <w:snapToGrid w:val="0"/>
        <w:spacing w:line="560" w:lineRule="exact"/>
        <w:ind w:left="0" w:leftChars="0" w:firstLine="321" w:firstLineChars="100"/>
        <w:outlineLvl w:val="1"/>
        <w:rPr>
          <w:rFonts w:ascii="仿宋_GB2312" w:hAnsi="仿宋" w:eastAsia="仿宋_GB2312" w:cs="宋体"/>
          <w:b/>
          <w:bCs/>
          <w:sz w:val="32"/>
          <w:szCs w:val="32"/>
        </w:rPr>
      </w:pPr>
      <w:bookmarkStart w:id="31" w:name="_Toc27345"/>
      <w:r>
        <w:rPr>
          <w:rFonts w:hint="eastAsia" w:ascii="仿宋_GB2312" w:hAnsi="仿宋" w:eastAsia="仿宋_GB2312" w:cs="宋体"/>
          <w:b/>
          <w:bCs/>
          <w:sz w:val="32"/>
          <w:szCs w:val="32"/>
        </w:rPr>
        <w:t>（一）项目基本情况</w:t>
      </w:r>
      <w:bookmarkEnd w:id="31"/>
    </w:p>
    <w:p w14:paraId="65622D6A">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1.项目背景</w:t>
      </w:r>
    </w:p>
    <w:p w14:paraId="57DEBBB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第七次全国人口普查是在中国特色社会主义进入新时代开展的重大国情国力调查，将全面查清我国人口数量、结构、分布、城乡住房等方面情况，为完善人口发展战略和政策体系，促进人口长期均衡发展，科学制定国民经济和社会发展规划，推动经济高质量发展，开启全面建设社会主义现代化国家新征程，向第二个百年奋斗目标进军，提供科学准确的统计信息支持。全市各级各部门要充分认识人口普查的重要意义，以高度负责的态度，扎实做好我市第七次全国人口普查工作。</w:t>
      </w:r>
    </w:p>
    <w:p w14:paraId="6FB0F393">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人口普查工作包括对人口普查资料的搜集、数据汇总、资料评价、分析研究、编辑出版等全部过程，它的目的是全面掌握全国人口的基本情况，研究制定人口政策和经济社会发展规划提供依据，为社会公众提供人口统计信息服务。</w:t>
      </w:r>
    </w:p>
    <w:p w14:paraId="43346EC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全国人口普查条例》规定，人口普查每10年进行一次。2021年我县开展第七次全国人口普查，这是我县人口发展进入深入转型阶段后首次对全国人口基本情况做全面盘点，普查数据质量的好坏对准确判断我县人口发展变化情况、科学制定经济社会发展规划、促进人口长期均衡发展具有重大影响。因此，必须立足我县经济社会发展实际，继承和发扬以往人口普查成功的经验，提早谋划、统筹部署、精心准备，充分发挥各部门职能，形成推动普查工作的强大合力，确保在新形势下高质量完成人口普查工作。</w:t>
      </w:r>
    </w:p>
    <w:p w14:paraId="47CA35D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本项目根据《关于提前下达第七次人口普查2021年经费的通知》（和地财行〔2021〕14号）文件精神和主管县领导主要批示要求等文件精神立项并实施。</w:t>
      </w:r>
    </w:p>
    <w:p w14:paraId="372B0EEC">
      <w:pPr>
        <w:pStyle w:val="33"/>
        <w:tabs>
          <w:tab w:val="left" w:pos="1559"/>
        </w:tabs>
        <w:adjustRightInd w:val="0"/>
        <w:snapToGrid w:val="0"/>
        <w:spacing w:line="560" w:lineRule="exact"/>
        <w:ind w:firstLine="640"/>
        <w:outlineLvl w:val="9"/>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2.项目实施主体</w:t>
      </w:r>
    </w:p>
    <w:p w14:paraId="36C6350D">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该项目由洛浦县统计局负责实施，主要职能是：</w:t>
      </w:r>
    </w:p>
    <w:p w14:paraId="1207600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一是承担组织领导和协调全国统计工作，确保统计数据真实、准确、及时的责任。制定统计政策、规划、全国基本统计制度和国家统计标准，起草统计法律法规草案，制定部门规章，指导全国统计工作。二是建立健全国民经济核算体系，拟订国民经济核算制度，组织实施全国及省、自治区、直辖市国民经济核算制度和全国投入产出调查，核算全国及省、自治区、直辖市国内生产总值，汇编提供国民经济核算资料，监督管理各地区国民经济核算工作。三是会同有关部门拟订重大国情国力普查计划、方案，组织实施全国人口、经济、农业等重大国情国力普查，汇总、整理和提供有关国情国力方面的统计数据。四是组织实施农林牧渔业、工业、建筑业、批发和零售业、住宿和餐饮业、房地产业、租赁和商务服务业、居民服务和其他服务业、文化体育和娱乐业以及装卸搬运和其他运输服务业、仓储业、计算机服务业、软件业、科技交流和推广服务业、社会福利业等统计调查，收集、汇总、整理和提供有关调查的统计数据，综合整理和提供地质勘查、旅游、交通运输、邮政、教育、卫生、社会保障、公用事业等全国性基本统计数据。五是组织实施能源、投资、消费、价格、收入、科技、人口、劳动力、社会发展基本情况、环境基本状况等统计调查，收集、汇总、整理和提供有关调查的统计数据，综合整理和提供资源、房屋、对外贸易、对外经济等全国性基本统计数据。六是组织各地区、各部门的经济、社会、科技和资源环境统计调查，统一核定、管理、公布全国性基本统计资料，定期发布全国国民经济和社会发展情况的统计信息，组织建立服务业统计信息共享制度和发布制度。七是对国民经济、社会发展、科技进步和资源环境等情况进行统计分析、统计预测和统计监督，向党中央、国务院及有关部门提供统计信息和咨询建议。八是审批部门统计标准，依法审批或者备案各部门统计调查项目、地方统计调查项目，指导专业统计基础工作、统计基层业务基础建设，组织建立服务业统计信息管理制度，建立健全统计数据质量审核、监控和评估制度，开展对重要统计数据的审核、监控和评估，依法监督管理涉外调查活动。九是协助地方管理省、自治区、直辖市统计局局长和副局长，指导全国统计专业技术队伍建设，会同有关部门组织管理全国统计专业资格考试、职务评聘，监督管理地方政府统计部门由中央财政提供的统计经费和专项基本建设投资。十是组织管理全国统计工作的监督检查，查处重大统计违法行为。十一是建立并管理国家统计信息自动化系统和统计数据库系统，组织制定各地区、各部门统计数据库和网络的基本标准和运行规则，指导地方统计信息化系统建设。十二是收集、整理国际统计数据，组织实施统计工作方面的国际交流合作项目，组织实施国际间统计资料交换和统计交流合作项目。十三是承办国务院交办的其他事项。</w:t>
      </w:r>
    </w:p>
    <w:p w14:paraId="147706F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单位无下属预算单位，洛浦县统计局机构规格为正科级，核定编制10人，核定科级领导3人（正科2人，副科1人）；行政编制5人，事业编制3人，工勤编制2人。</w:t>
      </w:r>
    </w:p>
    <w:p w14:paraId="474EDAD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洛浦县统计局部门编制数10人 ，实有人数10人，其中：在职10人，增加或减少0人； 退休3人，增加或减少0人；离休0 人，增加或减少0人。</w:t>
      </w:r>
    </w:p>
    <w:p w14:paraId="3AD1FB8C">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3.项目内容</w:t>
      </w:r>
    </w:p>
    <w:p w14:paraId="700E876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对全县开展第七次全国人口普查工作，参加普查工作人数为1400人，普查对象为30万人以上。通过该项目实施，完善人口发展战略和发展体系提高准确数据，促进人口长期均衡发展，科学制度国民经济和社会发展规划，推动经济高质量发展，开启全面建设社会新征程。</w:t>
      </w:r>
    </w:p>
    <w:p w14:paraId="23B49BA5">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4.立项依据</w:t>
      </w:r>
    </w:p>
    <w:p w14:paraId="77F7127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依据《关于全区开展第七次全国人口普查的通知》（新政发〔2020〕9号），《关于提前下达第七次人口普查2021年经费的通知》（和地财行〔2021〕14号）文件实施该项目。</w:t>
      </w:r>
    </w:p>
    <w:p w14:paraId="0CC26DF4">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32" w:name="_Toc30597"/>
      <w:r>
        <w:rPr>
          <w:rFonts w:hint="eastAsia" w:ascii="仿宋_GB2312" w:hAnsi="仿宋" w:eastAsia="仿宋_GB2312" w:cs="宋体"/>
          <w:b/>
          <w:bCs/>
          <w:sz w:val="32"/>
          <w:szCs w:val="32"/>
          <w:highlight w:val="none"/>
        </w:rPr>
        <w:t>（二）项目资金情况</w:t>
      </w:r>
      <w:bookmarkEnd w:id="32"/>
    </w:p>
    <w:p w14:paraId="5C49D6F1">
      <w:pPr>
        <w:pageBreakBefore w:val="0"/>
        <w:widowControl w:val="0"/>
        <w:kinsoku/>
        <w:wordWrap/>
        <w:overflowPunct/>
        <w:topLinePunct w:val="0"/>
        <w:autoSpaceDE/>
        <w:autoSpaceDN/>
        <w:bidi w:val="0"/>
        <w:spacing w:line="560" w:lineRule="exact"/>
        <w:ind w:firstLine="640" w:firstLineChars="200"/>
        <w:textAlignment w:val="auto"/>
        <w:outlineLvl w:val="9"/>
        <w:rPr>
          <w:rFonts w:ascii="楷体" w:hAnsi="楷体" w:eastAsia="楷体" w:cs="楷体"/>
          <w:bCs/>
          <w:sz w:val="32"/>
          <w:szCs w:val="32"/>
        </w:rPr>
      </w:pPr>
      <w:r>
        <w:rPr>
          <w:rFonts w:hint="eastAsia" w:ascii="楷体" w:hAnsi="楷体" w:eastAsia="楷体" w:cs="楷体"/>
          <w:bCs/>
          <w:kern w:val="2"/>
          <w:sz w:val="32"/>
          <w:szCs w:val="32"/>
          <w:lang w:val="en-US" w:eastAsia="zh-CN" w:bidi="ar-SA"/>
        </w:rPr>
        <w:t>1.项目资金预算及来源</w:t>
      </w:r>
    </w:p>
    <w:p w14:paraId="4448CB17">
      <w:pPr>
        <w:keepNext w:val="0"/>
        <w:keepLines w:val="0"/>
        <w:pageBreakBefore w:val="0"/>
        <w:widowControl w:val="0"/>
        <w:kinsoku/>
        <w:wordWrap/>
        <w:overflowPunct/>
        <w:topLinePunct w:val="0"/>
        <w:autoSpaceDE/>
        <w:autoSpaceDN/>
        <w:bidi w:val="0"/>
        <w:adjustRightInd w:val="0"/>
        <w:snapToGrid w:val="0"/>
        <w:spacing w:line="560" w:lineRule="exact"/>
        <w:ind w:firstLine="624" w:firstLineChars="200"/>
        <w:textAlignment w:val="auto"/>
        <w:rPr>
          <w:rFonts w:hint="default" w:ascii="仿宋_GB2312" w:hAnsi="仿宋_GB2312" w:eastAsia="仿宋_GB2312" w:cs="仿宋_GB2312"/>
          <w:kern w:val="2"/>
          <w:sz w:val="32"/>
          <w:szCs w:val="32"/>
          <w:highlight w:val="none"/>
          <w:lang w:val="en-US" w:eastAsia="zh-CN" w:bidi="ar-SA"/>
        </w:rPr>
      </w:pPr>
      <w:r>
        <w:rPr>
          <w:rStyle w:val="22"/>
          <w:rFonts w:hint="eastAsia" w:ascii="仿宋_GB2312" w:hAnsi="仿宋_GB2312" w:eastAsia="仿宋_GB2312" w:cs="仿宋_GB2312"/>
          <w:b w:val="0"/>
          <w:bCs w:val="0"/>
          <w:color w:val="auto"/>
          <w:spacing w:val="-4"/>
          <w:sz w:val="32"/>
          <w:szCs w:val="32"/>
          <w:highlight w:val="none"/>
          <w:lang w:val="en-US" w:eastAsia="zh-CN"/>
        </w:rPr>
        <w:t>该项目预算资金为146.40万元，资金来源为自治区专项资金，截止12月31日，到位资金为146.40万元，资金到位率100%。</w:t>
      </w:r>
    </w:p>
    <w:p w14:paraId="4E1556AA">
      <w:pPr>
        <w:pageBreakBefore w:val="0"/>
        <w:widowControl w:val="0"/>
        <w:kinsoku/>
        <w:wordWrap/>
        <w:overflowPunct/>
        <w:topLinePunct w:val="0"/>
        <w:autoSpaceDE/>
        <w:autoSpaceDN/>
        <w:bidi w:val="0"/>
        <w:spacing w:line="560" w:lineRule="exact"/>
        <w:ind w:firstLine="640" w:firstLineChars="200"/>
        <w:textAlignment w:val="auto"/>
        <w:outlineLvl w:val="9"/>
        <w:rPr>
          <w:rFonts w:hint="eastAsia"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2.预算执行及结果</w:t>
      </w:r>
    </w:p>
    <w:p w14:paraId="035D853A">
      <w:pPr>
        <w:keepNext w:val="0"/>
        <w:keepLines w:val="0"/>
        <w:pageBreakBefore w:val="0"/>
        <w:widowControl w:val="0"/>
        <w:kinsoku/>
        <w:wordWrap/>
        <w:overflowPunct/>
        <w:topLinePunct w:val="0"/>
        <w:autoSpaceDE/>
        <w:autoSpaceDN/>
        <w:bidi w:val="0"/>
        <w:adjustRightInd w:val="0"/>
        <w:snapToGrid w:val="0"/>
        <w:spacing w:line="560" w:lineRule="exact"/>
        <w:ind w:firstLine="624" w:firstLineChars="200"/>
        <w:textAlignment w:val="auto"/>
        <w:rPr>
          <w:rFonts w:hint="eastAsia" w:ascii="仿宋_GB2312" w:hAnsi="仿宋_GB2312" w:eastAsia="仿宋_GB2312" w:cs="仿宋_GB2312"/>
          <w:kern w:val="2"/>
          <w:sz w:val="32"/>
          <w:szCs w:val="32"/>
          <w:highlight w:val="none"/>
          <w:lang w:val="en-US" w:eastAsia="zh-CN" w:bidi="ar-SA"/>
        </w:rPr>
      </w:pPr>
      <w:r>
        <w:rPr>
          <w:rStyle w:val="22"/>
          <w:rFonts w:hint="eastAsia" w:ascii="仿宋_GB2312" w:hAnsi="仿宋_GB2312" w:eastAsia="仿宋_GB2312" w:cs="仿宋_GB2312"/>
          <w:b w:val="0"/>
          <w:bCs w:val="0"/>
          <w:color w:val="auto"/>
          <w:spacing w:val="-4"/>
          <w:sz w:val="32"/>
          <w:szCs w:val="32"/>
          <w:highlight w:val="none"/>
          <w:lang w:val="en-US" w:eastAsia="zh-CN"/>
        </w:rPr>
        <w:t>截止绩效评价日，项目预算资金146.40万元，实际到位资金146.40万元，资金到位率100%。总支出146.40万元，预算执行率100%，该项目资金主要用于对全县开展第七次全国人口普查工作。</w:t>
      </w:r>
    </w:p>
    <w:p w14:paraId="7A118B7F">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33" w:name="_Toc4656"/>
      <w:r>
        <w:rPr>
          <w:rFonts w:hint="eastAsia" w:ascii="仿宋_GB2312" w:hAnsi="仿宋" w:eastAsia="仿宋_GB2312" w:cs="宋体"/>
          <w:b/>
          <w:bCs/>
          <w:sz w:val="32"/>
          <w:szCs w:val="32"/>
        </w:rPr>
        <w:t>（三）绩效目标设置情况</w:t>
      </w:r>
      <w:bookmarkEnd w:id="33"/>
    </w:p>
    <w:p w14:paraId="4466980D">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34" w:name="_Toc26467"/>
      <w:bookmarkStart w:id="35" w:name="_Toc1757"/>
      <w:bookmarkStart w:id="36" w:name="_Toc8400"/>
      <w:bookmarkStart w:id="37" w:name="_Toc25486"/>
      <w:r>
        <w:rPr>
          <w:rStyle w:val="22"/>
          <w:rFonts w:hint="eastAsia" w:ascii="仿宋_GB2312" w:hAnsi="仿宋_GB2312" w:eastAsia="仿宋_GB2312" w:cs="仿宋_GB2312"/>
          <w:b w:val="0"/>
          <w:bCs w:val="0"/>
          <w:color w:val="auto"/>
          <w:spacing w:val="-4"/>
          <w:sz w:val="32"/>
          <w:szCs w:val="32"/>
          <w:highlight w:val="none"/>
          <w:lang w:val="en-US" w:eastAsia="zh-CN"/>
        </w:rPr>
        <w:t>该项目共设立一级指标3个，二级指标7个，三级指标10个，指标量化率90%。绩效目标明确了项目产出数量和预期达到的效果，绩效目标指标制定明确、细化、量化。整体来看，目标设立合理清晰：</w:t>
      </w:r>
      <w:bookmarkEnd w:id="34"/>
      <w:bookmarkEnd w:id="35"/>
      <w:bookmarkEnd w:id="36"/>
    </w:p>
    <w:p w14:paraId="1B259513">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1.年度总目标</w:t>
      </w:r>
    </w:p>
    <w:p w14:paraId="70F1F85C">
      <w:pPr>
        <w:keepNext w:val="0"/>
        <w:keepLines w:val="0"/>
        <w:pageBreakBefore w:val="0"/>
        <w:widowControl w:val="0"/>
        <w:kinsoku/>
        <w:wordWrap/>
        <w:overflowPunct/>
        <w:topLinePunct w:val="0"/>
        <w:autoSpaceDE/>
        <w:autoSpaceDN/>
        <w:bidi w:val="0"/>
        <w:adjustRightInd w:val="0"/>
        <w:snapToGrid w:val="0"/>
        <w:spacing w:line="560" w:lineRule="exact"/>
        <w:ind w:firstLine="624" w:firstLineChars="200"/>
        <w:textAlignment w:val="auto"/>
        <w:rPr>
          <w:rFonts w:hint="eastAsia" w:ascii="仿宋_GB2312" w:eastAsia="仿宋_GB2312" w:cs="宋体"/>
          <w:color w:val="auto"/>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 xml:space="preserve">项目本次安排自治区专项资金146.40万元。主要用于对全县开展第七次全国人口普查工作，参加普查工作人数为1400人，普查对象为30万人以上。通过该项目实施，完善人口发展战略和发展体系提高准确数据，促进人口长期均衡发展，科学制度国民经济和社会发展规划，推动经济高质量发展，开启全面建设社会新征程。 </w:t>
      </w:r>
    </w:p>
    <w:p w14:paraId="4FD75E14">
      <w:pPr>
        <w:pStyle w:val="33"/>
        <w:tabs>
          <w:tab w:val="left" w:pos="1559"/>
        </w:tabs>
        <w:adjustRightInd w:val="0"/>
        <w:snapToGrid w:val="0"/>
        <w:spacing w:line="560" w:lineRule="exact"/>
        <w:ind w:firstLine="640"/>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2.阶段性绩效目标</w:t>
      </w:r>
    </w:p>
    <w:p w14:paraId="02EC33B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根据《中华人民共和国统计法》、《全国人口普查条例》规定和《国务院第七次全国人口普查领导小组办公室财政部人力资源和社会保障部国家统计局关于做好第七次全国人口普查经费保障工作的通知》（国人普办字〔2020〕5号）文件精神和主管县领导主要批示要求,发放第七次全国人口普查</w:t>
      </w:r>
      <w:r>
        <w:rPr>
          <w:rStyle w:val="22"/>
          <w:rFonts w:hint="default" w:ascii="仿宋_GB2312" w:hAnsi="仿宋_GB2312" w:eastAsia="仿宋_GB2312" w:cs="仿宋_GB2312"/>
          <w:b w:val="0"/>
          <w:bCs w:val="0"/>
          <w:color w:val="auto"/>
          <w:spacing w:val="-4"/>
          <w:sz w:val="32"/>
          <w:szCs w:val="32"/>
          <w:highlight w:val="none"/>
          <w:lang w:val="en-US" w:eastAsia="zh-CN"/>
        </w:rPr>
        <w:t>‘</w:t>
      </w:r>
      <w:r>
        <w:rPr>
          <w:rStyle w:val="22"/>
          <w:rFonts w:hint="eastAsia" w:ascii="仿宋_GB2312" w:hAnsi="仿宋_GB2312" w:eastAsia="仿宋_GB2312" w:cs="仿宋_GB2312"/>
          <w:b w:val="0"/>
          <w:bCs w:val="0"/>
          <w:color w:val="auto"/>
          <w:spacing w:val="-4"/>
          <w:sz w:val="32"/>
          <w:szCs w:val="32"/>
          <w:highlight w:val="none"/>
          <w:lang w:val="en-US" w:eastAsia="zh-CN"/>
        </w:rPr>
        <w:t>两员</w:t>
      </w:r>
      <w:r>
        <w:rPr>
          <w:rStyle w:val="22"/>
          <w:rFonts w:hint="default" w:ascii="仿宋_GB2312" w:hAnsi="仿宋_GB2312" w:eastAsia="仿宋_GB2312" w:cs="仿宋_GB2312"/>
          <w:b w:val="0"/>
          <w:bCs w:val="0"/>
          <w:color w:val="auto"/>
          <w:spacing w:val="-4"/>
          <w:sz w:val="32"/>
          <w:szCs w:val="32"/>
          <w:highlight w:val="none"/>
          <w:lang w:val="en-US" w:eastAsia="zh-CN"/>
        </w:rPr>
        <w:t>”</w:t>
      </w:r>
      <w:r>
        <w:rPr>
          <w:rStyle w:val="22"/>
          <w:rFonts w:hint="eastAsia" w:ascii="仿宋_GB2312" w:hAnsi="仿宋_GB2312" w:eastAsia="仿宋_GB2312" w:cs="仿宋_GB2312"/>
          <w:b w:val="0"/>
          <w:bCs w:val="0"/>
          <w:color w:val="auto"/>
          <w:spacing w:val="-4"/>
          <w:sz w:val="32"/>
          <w:szCs w:val="32"/>
          <w:highlight w:val="none"/>
          <w:lang w:val="en-US" w:eastAsia="zh-CN"/>
        </w:rPr>
        <w:t>补助经费。结合该项目实际情况，评价小组对项目绩效目标进行了进一步的完善，并与项目单位沟通确定后，第七次全国人口普查项目总投资146.40万元,共设置3个一级指标，7个二级指标，10个三级指标，其中：</w:t>
      </w:r>
    </w:p>
    <w:p w14:paraId="54B5F722">
      <w:pPr>
        <w:pStyle w:val="33"/>
        <w:numPr>
          <w:ilvl w:val="0"/>
          <w:numId w:val="5"/>
        </w:numPr>
        <w:tabs>
          <w:tab w:val="left" w:pos="1559"/>
        </w:tabs>
        <w:adjustRightInd w:val="0"/>
        <w:snapToGrid w:val="0"/>
        <w:spacing w:line="560" w:lineRule="exact"/>
        <w:ind w:firstLine="640"/>
        <w:outlineLvl w:val="2"/>
        <w:rPr>
          <w:rFonts w:hint="eastAsia"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产出指标：</w:t>
      </w:r>
    </w:p>
    <w:p w14:paraId="52F58DB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数量指标</w:t>
      </w:r>
    </w:p>
    <w:p w14:paraId="39AB05E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普查员人数指标，预期值大于等于1400人。</w:t>
      </w:r>
    </w:p>
    <w:p w14:paraId="007B5F6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普查人口数量指标，预期值大于等于30万人。</w:t>
      </w:r>
    </w:p>
    <w:p w14:paraId="671A67B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质量指标</w:t>
      </w:r>
    </w:p>
    <w:p w14:paraId="1BB142FB">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普查覆盖率指标，预期值为大于等于98%。</w:t>
      </w:r>
    </w:p>
    <w:p w14:paraId="3D40B253">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普查表准确率指标，预期值大于等于95%。</w:t>
      </w:r>
    </w:p>
    <w:p w14:paraId="0D28B1BA">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时效指标</w:t>
      </w:r>
    </w:p>
    <w:p w14:paraId="5F5AC70B">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项目完成及时性指标,预期值为等于100%</w:t>
      </w:r>
    </w:p>
    <w:p w14:paraId="2B8A912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default" w:ascii="仿宋_GB2312" w:hAnsi="仿宋_GB2312" w:eastAsia="仿宋_GB2312" w:cs="仿宋_GB2312"/>
          <w:b w:val="0"/>
          <w:bCs w:val="0"/>
          <w:color w:val="auto"/>
          <w:spacing w:val="-4"/>
          <w:sz w:val="32"/>
          <w:szCs w:val="32"/>
          <w:highlight w:val="none"/>
          <w:lang w:val="en-US" w:eastAsia="zh-CN"/>
        </w:rPr>
        <w:t>资金拨付及时性</w:t>
      </w:r>
      <w:r>
        <w:rPr>
          <w:rStyle w:val="22"/>
          <w:rFonts w:hint="eastAsia" w:ascii="仿宋_GB2312" w:hAnsi="仿宋_GB2312" w:eastAsia="仿宋_GB2312" w:cs="仿宋_GB2312"/>
          <w:b w:val="0"/>
          <w:bCs w:val="0"/>
          <w:color w:val="auto"/>
          <w:spacing w:val="-4"/>
          <w:sz w:val="32"/>
          <w:szCs w:val="32"/>
          <w:highlight w:val="none"/>
          <w:lang w:val="en-US" w:eastAsia="zh-CN"/>
        </w:rPr>
        <w:t>指标，预期值等于100%</w:t>
      </w:r>
    </w:p>
    <w:p w14:paraId="6D5A839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成本指标</w:t>
      </w:r>
    </w:p>
    <w:p w14:paraId="063562D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普查补助经费指标，预期值为等于146.40万元。</w:t>
      </w:r>
    </w:p>
    <w:p w14:paraId="2505DD98">
      <w:pPr>
        <w:numPr>
          <w:ilvl w:val="0"/>
          <w:numId w:val="6"/>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效益指标：</w:t>
      </w:r>
    </w:p>
    <w:p w14:paraId="799CCEF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经济效益指标</w:t>
      </w:r>
    </w:p>
    <w:p w14:paraId="31E7357D">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该项目不涉及此指标。</w:t>
      </w:r>
    </w:p>
    <w:p w14:paraId="19CFDEC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社会效益指标</w:t>
      </w:r>
    </w:p>
    <w:p w14:paraId="07B139B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完善人口发展战略和发展体系指标，预期值效果显著。</w:t>
      </w:r>
    </w:p>
    <w:p w14:paraId="42E5BCC4">
      <w:pPr>
        <w:pStyle w:val="18"/>
        <w:outlineLvl w:val="9"/>
        <w:rPr>
          <w:rFonts w:hint="default"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生态效益指标</w:t>
      </w:r>
    </w:p>
    <w:p w14:paraId="51F721C1">
      <w:pPr>
        <w:pStyle w:val="18"/>
        <w:outlineLvl w:val="9"/>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该项目不涉及此指标。</w:t>
      </w:r>
    </w:p>
    <w:p w14:paraId="3F5DDE0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可持续效益指标</w:t>
      </w:r>
    </w:p>
    <w:p w14:paraId="5A0C34C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项目持续时间指标，预期指标值6个月。</w:t>
      </w:r>
    </w:p>
    <w:p w14:paraId="2545A900">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2"/>
          <w:rFonts w:hint="eastAsia" w:ascii="仿宋_GB2312" w:hAnsi="仿宋" w:eastAsia="仿宋_GB2312"/>
          <w:b w:val="0"/>
          <w:bCs w:val="0"/>
          <w:spacing w:val="-4"/>
          <w:sz w:val="32"/>
          <w:szCs w:val="32"/>
          <w:lang w:eastAsia="zh-CN"/>
        </w:rPr>
      </w:pPr>
      <w:r>
        <w:rPr>
          <w:rStyle w:val="22"/>
          <w:rFonts w:hint="eastAsia" w:ascii="仿宋_GB2312" w:hAnsi="仿宋" w:eastAsia="仿宋_GB2312"/>
          <w:b w:val="0"/>
          <w:bCs w:val="0"/>
          <w:spacing w:val="-4"/>
          <w:sz w:val="32"/>
          <w:szCs w:val="32"/>
          <w:lang w:eastAsia="zh-CN"/>
        </w:rPr>
        <w:t>（</w:t>
      </w:r>
      <w:r>
        <w:rPr>
          <w:rStyle w:val="22"/>
          <w:rFonts w:hint="eastAsia" w:ascii="仿宋_GB2312" w:hAnsi="仿宋" w:eastAsia="仿宋_GB2312"/>
          <w:b w:val="0"/>
          <w:bCs w:val="0"/>
          <w:spacing w:val="-4"/>
          <w:sz w:val="32"/>
          <w:szCs w:val="32"/>
          <w:lang w:val="en-US" w:eastAsia="zh-CN"/>
        </w:rPr>
        <w:t>3</w:t>
      </w:r>
      <w:r>
        <w:rPr>
          <w:rStyle w:val="22"/>
          <w:rFonts w:hint="eastAsia" w:ascii="仿宋_GB2312" w:hAnsi="仿宋" w:eastAsia="仿宋_GB2312"/>
          <w:b w:val="0"/>
          <w:bCs w:val="0"/>
          <w:spacing w:val="-4"/>
          <w:sz w:val="32"/>
          <w:szCs w:val="32"/>
          <w:lang w:eastAsia="zh-CN"/>
        </w:rPr>
        <w:t>）满意度指标：</w:t>
      </w:r>
    </w:p>
    <w:p w14:paraId="5FAA53D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受益人满意度指标，预期值大于等于95%。</w:t>
      </w:r>
    </w:p>
    <w:p w14:paraId="3DCFC433">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二、评价工作简述</w:t>
      </w:r>
      <w:bookmarkEnd w:id="37"/>
    </w:p>
    <w:p w14:paraId="6AD2433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38" w:name="_Toc7630"/>
      <w:bookmarkStart w:id="39" w:name="_Toc3416"/>
      <w:bookmarkStart w:id="40" w:name="_Toc19614"/>
      <w:r>
        <w:rPr>
          <w:rStyle w:val="22"/>
          <w:rFonts w:hint="eastAsia" w:ascii="仿宋_GB2312" w:hAnsi="仿宋_GB2312" w:eastAsia="仿宋_GB2312" w:cs="仿宋_GB2312"/>
          <w:b w:val="0"/>
          <w:bCs w:val="0"/>
          <w:color w:val="auto"/>
          <w:spacing w:val="-4"/>
          <w:sz w:val="32"/>
          <w:szCs w:val="32"/>
          <w:highlight w:val="none"/>
          <w:lang w:val="en-US" w:eastAsia="zh-CN"/>
        </w:rPr>
        <w:t>受洛浦县财政局委托，中瑞诚会计师事务所（特殊普通合伙）喀什分所（以下简称“评价机构”）承担第七次全国人口普查项目支出的绩效评价工作。为更好地保障绩效评价工作的顺利实施，根据财政部颁发的《项目支出绩效评价管理办法》（财预〔2020〕10号）、新疆维吾尔自治区财政厅颁发的《自治区财政支出绩效评价管理暂行办法》（新财预〔2018〕189号）等文件规定，评价机构成立绩效评价工作组（以下简称“评价工作组”）对专项资金投入、资金使用和资金使用效益等方面进行了绩效评价。</w:t>
      </w:r>
      <w:bookmarkEnd w:id="38"/>
      <w:bookmarkEnd w:id="39"/>
      <w:bookmarkEnd w:id="40"/>
    </w:p>
    <w:p w14:paraId="6F7E8376">
      <w:pPr>
        <w:pStyle w:val="33"/>
        <w:numPr>
          <w:ilvl w:val="0"/>
          <w:numId w:val="4"/>
        </w:numPr>
        <w:adjustRightInd w:val="0"/>
        <w:snapToGrid w:val="0"/>
        <w:spacing w:line="560" w:lineRule="exact"/>
        <w:ind w:firstLine="643"/>
        <w:rPr>
          <w:rFonts w:ascii="仿宋_GB2312" w:hAnsi="仿宋" w:eastAsia="仿宋_GB2312" w:cs="宋体"/>
          <w:b/>
          <w:bCs/>
          <w:vanish/>
          <w:sz w:val="32"/>
          <w:szCs w:val="32"/>
          <w:highlight w:val="none"/>
        </w:rPr>
      </w:pPr>
      <w:r>
        <w:rPr>
          <w:rFonts w:hint="eastAsia" w:ascii="仿宋_GB2312" w:hAnsi="仿宋" w:eastAsia="仿宋_GB2312" w:cs="宋体"/>
          <w:b/>
          <w:bCs/>
          <w:vanish/>
          <w:sz w:val="32"/>
          <w:szCs w:val="32"/>
          <w:highlight w:val="none"/>
        </w:rPr>
        <w:t>评价工作简述</w:t>
      </w:r>
    </w:p>
    <w:p w14:paraId="7A7B3BAE">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41" w:name="_Toc8259"/>
      <w:r>
        <w:rPr>
          <w:rFonts w:hint="eastAsia" w:ascii="仿宋_GB2312" w:hAnsi="仿宋" w:eastAsia="仿宋_GB2312" w:cs="宋体"/>
          <w:b/>
          <w:bCs/>
          <w:sz w:val="32"/>
          <w:szCs w:val="32"/>
          <w:highlight w:val="none"/>
        </w:rPr>
        <w:t>（一）评价目的</w:t>
      </w:r>
      <w:bookmarkEnd w:id="41"/>
    </w:p>
    <w:p w14:paraId="25153C5E">
      <w:pPr>
        <w:keepNext w:val="0"/>
        <w:keepLines w:val="0"/>
        <w:pageBreakBefore w:val="0"/>
        <w:widowControl w:val="0"/>
        <w:kinsoku/>
        <w:wordWrap/>
        <w:overflowPunct/>
        <w:topLinePunct w:val="0"/>
        <w:autoSpaceDE/>
        <w:autoSpaceDN/>
        <w:bidi w:val="0"/>
        <w:adjustRightInd w:val="0"/>
        <w:snapToGrid w:val="0"/>
        <w:spacing w:line="560" w:lineRule="exact"/>
        <w:ind w:firstLine="624" w:firstLineChars="200"/>
        <w:textAlignment w:val="auto"/>
        <w:rPr>
          <w:rFonts w:hint="eastAsia" w:ascii="仿宋_GB2312" w:hAnsi="仿宋_GB2312" w:eastAsia="仿宋_GB2312" w:cs="仿宋_GB2312"/>
          <w:sz w:val="32"/>
          <w:szCs w:val="32"/>
          <w:highlight w:val="none"/>
        </w:rPr>
      </w:pPr>
      <w:bookmarkStart w:id="42" w:name="_Toc18186"/>
      <w:bookmarkStart w:id="43" w:name="_Toc22761"/>
      <w:r>
        <w:rPr>
          <w:rStyle w:val="22"/>
          <w:rFonts w:hint="eastAsia" w:ascii="仿宋_GB2312" w:hAnsi="仿宋_GB2312" w:eastAsia="仿宋_GB2312" w:cs="仿宋_GB2312"/>
          <w:b w:val="0"/>
          <w:bCs w:val="0"/>
          <w:color w:val="auto"/>
          <w:spacing w:val="-4"/>
          <w:sz w:val="32"/>
          <w:szCs w:val="32"/>
          <w:highlight w:val="none"/>
          <w:lang w:val="en-US" w:eastAsia="zh-CN"/>
        </w:rPr>
        <w:t>按照新疆自治区财政厅和洛浦县财政局“加强财政支出管理，强化支出责任，建立科学、合理的财政支出绩效评价管理体系，提高财政资金使用效益”的要求，通过项目决策、过程、产出、效益的全过程梳理、评价，客观公正反映项目立项的科学性、项目实施的规范性、项目管理的有效性和项目效果，总结项目实施经验，发现存在的问题，提出针对性建议，为后年度专项资金项目的绩效管理提供参考依据。</w:t>
      </w:r>
    </w:p>
    <w:p w14:paraId="28EF1760">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highlight w:val="none"/>
        </w:rPr>
        <w:t>（二）绩效评价工作</w:t>
      </w:r>
      <w:r>
        <w:rPr>
          <w:rFonts w:hint="eastAsia" w:ascii="仿宋_GB2312" w:hAnsi="仿宋" w:eastAsia="仿宋_GB2312" w:cs="宋体"/>
          <w:b/>
          <w:bCs/>
          <w:sz w:val="32"/>
          <w:szCs w:val="32"/>
          <w:lang w:val="en-US" w:eastAsia="zh-CN"/>
        </w:rPr>
        <w:t>的基本</w:t>
      </w:r>
      <w:r>
        <w:rPr>
          <w:rFonts w:hint="eastAsia" w:ascii="仿宋_GB2312" w:hAnsi="仿宋" w:eastAsia="仿宋_GB2312" w:cs="宋体"/>
          <w:b/>
          <w:bCs/>
          <w:sz w:val="32"/>
          <w:szCs w:val="32"/>
        </w:rPr>
        <w:t>思路</w:t>
      </w:r>
      <w:bookmarkEnd w:id="42"/>
      <w:bookmarkEnd w:id="43"/>
    </w:p>
    <w:p w14:paraId="646965B3">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44" w:name="_Toc27651416"/>
      <w:bookmarkStart w:id="45" w:name="_Toc27493321"/>
      <w:bookmarkStart w:id="46" w:name="_Toc27648031"/>
      <w:bookmarkStart w:id="47" w:name="_Toc14072"/>
      <w:bookmarkStart w:id="48" w:name="_Toc7209"/>
      <w:r>
        <w:rPr>
          <w:rStyle w:val="22"/>
          <w:rFonts w:hint="eastAsia" w:ascii="仿宋_GB2312" w:hAnsi="仿宋_GB2312" w:eastAsia="仿宋_GB2312" w:cs="仿宋_GB2312"/>
          <w:b w:val="0"/>
          <w:bCs w:val="0"/>
          <w:color w:val="auto"/>
          <w:spacing w:val="-4"/>
          <w:sz w:val="32"/>
          <w:szCs w:val="32"/>
          <w:highlight w:val="none"/>
          <w:lang w:val="en-US" w:eastAsia="zh-CN"/>
        </w:rPr>
        <w:t>本次评价从项目决策（包括项目立项依据的充分性和立项程序的规范性、绩效目标的合理性和绩效指标的明确性、预算编制的科学性和资金分配的合理性）、项目过程（包括项目资金中的资金到位、预算执行、资金使用的合规性、管理制度的健全性和制度执行的有效性）、项目产出（包括项目产出中的产出数量、产出质量、产出时效、产出成本）和项目效益（包括项目效果中的经济效益、社会效益、生态效益、可持续影响、服务对象满意度）四个维度进行评价。评价对象为自治区专项资金，评价核心为专项资金的支出完成情况和效果。</w:t>
      </w:r>
      <w:bookmarkEnd w:id="44"/>
      <w:bookmarkEnd w:id="45"/>
      <w:bookmarkEnd w:id="46"/>
      <w:bookmarkEnd w:id="47"/>
      <w:bookmarkEnd w:id="48"/>
    </w:p>
    <w:p w14:paraId="549B86F6">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9" w:name="_Toc7962"/>
      <w:r>
        <w:rPr>
          <w:rFonts w:hint="eastAsia" w:ascii="仿宋_GB2312" w:hAnsi="仿宋" w:eastAsia="仿宋_GB2312" w:cs="宋体"/>
          <w:b/>
          <w:bCs/>
          <w:sz w:val="32"/>
          <w:szCs w:val="32"/>
        </w:rPr>
        <w:t>（三）评价原则</w:t>
      </w:r>
      <w:bookmarkEnd w:id="49"/>
    </w:p>
    <w:p w14:paraId="1A623FC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50" w:name="_Toc1742"/>
      <w:r>
        <w:rPr>
          <w:rStyle w:val="22"/>
          <w:rFonts w:hint="eastAsia" w:ascii="仿宋_GB2312" w:hAnsi="仿宋_GB2312" w:eastAsia="仿宋_GB2312" w:cs="仿宋_GB2312"/>
          <w:b w:val="0"/>
          <w:bCs w:val="0"/>
          <w:color w:val="auto"/>
          <w:spacing w:val="-4"/>
          <w:sz w:val="32"/>
          <w:szCs w:val="32"/>
          <w:highlight w:val="none"/>
          <w:lang w:val="en-US" w:eastAsia="zh-CN"/>
        </w:rPr>
        <w:t>1.相关性原则。绩效评价指标与绩效目标有直接的联系，能够恰当反映目标的实现程度。</w:t>
      </w:r>
    </w:p>
    <w:p w14:paraId="4DB32B3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2.重要性原则。优先使用最具评价对象代表性、最能反映评价要求的核心指标。</w:t>
      </w:r>
    </w:p>
    <w:p w14:paraId="1E18C68D">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3.可比性原则。对同类评价对象设定共性的绩效评价指标，以便于评价标准的规范和评价结果可相互比较。</w:t>
      </w:r>
    </w:p>
    <w:p w14:paraId="5D905039">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4.系统性原则。将定量指标与定性指标相结合，定量指标量化，定性指标可衡量，系统反映财政支出所产生的社会效益、经济效益、环境效益和可持续影响等。</w:t>
      </w:r>
    </w:p>
    <w:p w14:paraId="51464BA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5.经济性原则。通俗易懂、简便易行，数据的获得考虑现实条件和可操作性，符合成本效益原则。</w:t>
      </w:r>
    </w:p>
    <w:p w14:paraId="53C8574F">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（四）评价方法</w:t>
      </w:r>
      <w:bookmarkEnd w:id="50"/>
    </w:p>
    <w:p w14:paraId="505FE5C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51" w:name="_Toc16588"/>
      <w:r>
        <w:rPr>
          <w:rStyle w:val="22"/>
          <w:rFonts w:hint="eastAsia" w:ascii="仿宋_GB2312" w:hAnsi="仿宋_GB2312" w:eastAsia="仿宋_GB2312" w:cs="仿宋_GB2312"/>
          <w:b w:val="0"/>
          <w:bCs w:val="0"/>
          <w:color w:val="auto"/>
          <w:spacing w:val="-4"/>
          <w:sz w:val="32"/>
          <w:szCs w:val="32"/>
          <w:highlight w:val="none"/>
          <w:lang w:val="en-US" w:eastAsia="zh-CN"/>
        </w:rPr>
        <w:t>本次绩效评价主要采用以下评价方法：</w:t>
      </w:r>
    </w:p>
    <w:p w14:paraId="3C00B43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1.比较法，通过对绩效目标与实施效果、历史与当期情况、不同部门和地区同类支出的比较，综合分析绩效目标实现程度。</w:t>
      </w:r>
    </w:p>
    <w:p w14:paraId="78A4A19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2.因素分析法，通过综合分析影响绩效目标实现、实施效果的内外因素，评价绩效目标实现程度。</w:t>
      </w:r>
    </w:p>
    <w:p w14:paraId="02B72DC0">
      <w:pPr>
        <w:pageBreakBefore w:val="0"/>
        <w:widowControl w:val="0"/>
        <w:kinsoku/>
        <w:wordWrap/>
        <w:overflowPunct/>
        <w:topLinePunct w:val="0"/>
        <w:autoSpaceDE/>
        <w:autoSpaceDN/>
        <w:bidi w:val="0"/>
        <w:spacing w:line="560" w:lineRule="exact"/>
        <w:ind w:firstLine="624" w:firstLineChars="200"/>
        <w:textAlignment w:val="auto"/>
        <w:outlineLvl w:val="9"/>
        <w:rPr>
          <w:rFonts w:hint="eastAsia" w:ascii="仿宋_GB2312" w:hAnsi="仿宋_GB2312" w:eastAsia="仿宋_GB2312" w:cs="仿宋_GB2312"/>
          <w:sz w:val="32"/>
          <w:szCs w:val="32"/>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3.公众评判法，通过专家评估、公众问卷及抽样调查等对财政支出效果进行评判，评价绩效目标实现程度。</w:t>
      </w:r>
    </w:p>
    <w:p w14:paraId="363EFFC5">
      <w:pPr>
        <w:pStyle w:val="33"/>
        <w:numPr>
          <w:ilvl w:val="0"/>
          <w:numId w:val="7"/>
        </w:numPr>
        <w:adjustRightInd w:val="0"/>
        <w:snapToGrid w:val="0"/>
        <w:spacing w:line="560" w:lineRule="exact"/>
        <w:ind w:left="420" w:leftChars="200" w:firstLine="321" w:firstLineChars="100"/>
        <w:outlineLvl w:val="1"/>
        <w:rPr>
          <w:rFonts w:hint="eastAsia" w:ascii="仿宋_GB2312" w:hAnsi="仿宋" w:eastAsia="仿宋_GB2312" w:cs="宋体"/>
          <w:b/>
          <w:bCs/>
          <w:sz w:val="32"/>
          <w:szCs w:val="32"/>
        </w:rPr>
      </w:pPr>
      <w:r>
        <w:rPr>
          <w:rFonts w:hint="eastAsia" w:ascii="仿宋_GB2312" w:hAnsi="仿宋" w:eastAsia="仿宋_GB2312" w:cs="宋体"/>
          <w:b/>
          <w:bCs/>
          <w:sz w:val="32"/>
          <w:szCs w:val="32"/>
        </w:rPr>
        <w:t>指标体系</w:t>
      </w:r>
      <w:bookmarkEnd w:id="51"/>
    </w:p>
    <w:p w14:paraId="10C9CF8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52" w:name="_Toc16677"/>
      <w:bookmarkStart w:id="53" w:name="_Toc32612"/>
      <w:bookmarkStart w:id="54" w:name="_Toc10934"/>
      <w:bookmarkStart w:id="55" w:name="_Toc22089"/>
      <w:bookmarkStart w:id="56" w:name="_Toc8115"/>
      <w:bookmarkStart w:id="57" w:name="_Toc986"/>
      <w:bookmarkStart w:id="58" w:name="_Toc31692"/>
      <w:bookmarkStart w:id="59" w:name="_Toc16367"/>
      <w:r>
        <w:rPr>
          <w:rStyle w:val="22"/>
          <w:rFonts w:hint="eastAsia" w:ascii="仿宋_GB2312" w:hAnsi="仿宋_GB2312" w:eastAsia="仿宋_GB2312" w:cs="仿宋_GB2312"/>
          <w:b w:val="0"/>
          <w:bCs w:val="0"/>
          <w:color w:val="auto"/>
          <w:spacing w:val="-4"/>
          <w:sz w:val="32"/>
          <w:szCs w:val="32"/>
          <w:highlight w:val="none"/>
          <w:lang w:val="en-US" w:eastAsia="zh-CN"/>
        </w:rPr>
        <w:t>根据财政部颁发的《项目支出绩效评价管理办法》（财预〔2020〕10号）等相关文件精神，结合重点项目特点，在与专家组、项目单位充分协商的基础上，评价工作组细化了该专项的绩效评价指标体系，详见附件一。</w:t>
      </w:r>
      <w:bookmarkEnd w:id="52"/>
      <w:bookmarkEnd w:id="53"/>
      <w:bookmarkEnd w:id="54"/>
      <w:bookmarkEnd w:id="55"/>
      <w:bookmarkEnd w:id="56"/>
      <w:bookmarkEnd w:id="57"/>
    </w:p>
    <w:p w14:paraId="1264A581">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（六）评价等级划分</w:t>
      </w:r>
      <w:bookmarkEnd w:id="58"/>
      <w:bookmarkEnd w:id="59"/>
    </w:p>
    <w:p w14:paraId="0608E94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根据财政部颁发的《项目支出绩效评价管理办法》（财预〔2020〕10号）等相关文件精神，本次绩效评价结果主要采取评分和评级相结合的方式，具体分值和等级可根据不同评价的内容设定。总分一般设置为100分，其中项目决策20分、项目过程20分、项目产出30分、项目绩效30分。评价结果分为优、良、中、差四个等级：</w:t>
      </w:r>
    </w:p>
    <w:p w14:paraId="5FA613BA">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优（90分（含）—100分）；</w:t>
      </w:r>
    </w:p>
    <w:p w14:paraId="4031C18D">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良（80分（含）—90分）；</w:t>
      </w:r>
    </w:p>
    <w:p w14:paraId="789106C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中（60分（含）—80分）；</w:t>
      </w:r>
    </w:p>
    <w:p w14:paraId="4ABBCC2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差（0分—60分）。</w:t>
      </w:r>
    </w:p>
    <w:p w14:paraId="74BCA0B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对在项目进行绩效评价的过程中，如果实施单位有弄虚作假、瞒报谎报情况之行为，绩效评价组将如实上报至洛浦县统计局、洛浦县财政局，并予以通报批评；情节严重的，绩效评价结果将直接判定为不合格等级。</w:t>
      </w:r>
    </w:p>
    <w:p w14:paraId="1CA0B57D">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0" w:name="_Toc24267"/>
      <w:r>
        <w:rPr>
          <w:rFonts w:hint="eastAsia" w:ascii="仿宋_GB2312" w:hAnsi="仿宋" w:eastAsia="仿宋_GB2312" w:cs="宋体"/>
          <w:b/>
          <w:bCs/>
          <w:sz w:val="32"/>
          <w:szCs w:val="32"/>
        </w:rPr>
        <w:t>（七）评价工作实施情况</w:t>
      </w:r>
      <w:bookmarkEnd w:id="60"/>
    </w:p>
    <w:p w14:paraId="25E53B7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61" w:name="_Toc12973"/>
      <w:bookmarkStart w:id="62" w:name="_Toc8898"/>
      <w:r>
        <w:rPr>
          <w:rStyle w:val="22"/>
          <w:rFonts w:hint="eastAsia" w:ascii="仿宋_GB2312" w:hAnsi="仿宋_GB2312" w:eastAsia="仿宋_GB2312" w:cs="仿宋_GB2312"/>
          <w:b w:val="0"/>
          <w:bCs w:val="0"/>
          <w:color w:val="auto"/>
          <w:spacing w:val="-4"/>
          <w:sz w:val="32"/>
          <w:szCs w:val="32"/>
          <w:highlight w:val="none"/>
          <w:lang w:val="en-US" w:eastAsia="zh-CN"/>
        </w:rPr>
        <w:t>1.评价工作程序和时间安排</w:t>
      </w:r>
      <w:bookmarkEnd w:id="61"/>
      <w:bookmarkEnd w:id="62"/>
    </w:p>
    <w:p w14:paraId="7B2AEDB6">
      <w:pPr>
        <w:pageBreakBefore w:val="0"/>
        <w:widowControl w:val="0"/>
        <w:kinsoku/>
        <w:wordWrap/>
        <w:overflowPunct/>
        <w:topLinePunct w:val="0"/>
        <w:autoSpaceDE/>
        <w:autoSpaceDN/>
        <w:bidi w:val="0"/>
        <w:spacing w:line="560" w:lineRule="exact"/>
        <w:ind w:firstLine="624" w:firstLineChars="200"/>
        <w:textAlignment w:val="auto"/>
        <w:outlineLvl w:val="9"/>
        <w:rPr>
          <w:rFonts w:ascii="Times New Roman" w:hAnsi="Times New Roman" w:eastAsia="仿宋" w:cs="Times New Roman"/>
          <w:sz w:val="32"/>
          <w:szCs w:val="32"/>
        </w:rPr>
      </w:pPr>
      <w:r>
        <w:rPr>
          <w:rStyle w:val="22"/>
          <w:rFonts w:hint="eastAsia" w:ascii="仿宋_GB2312" w:hAnsi="仿宋_GB2312" w:eastAsia="仿宋_GB2312" w:cs="仿宋_GB2312"/>
          <w:b w:val="0"/>
          <w:bCs w:val="0"/>
          <w:color w:val="auto"/>
          <w:spacing w:val="-4"/>
          <w:sz w:val="32"/>
          <w:szCs w:val="32"/>
          <w:highlight w:val="none"/>
          <w:lang w:val="en-US" w:eastAsia="zh-CN"/>
        </w:rPr>
        <w:t>本次绩效评价各阶段具体工作内容及时间进度安排详见下表：</w:t>
      </w:r>
    </w:p>
    <w:p w14:paraId="010B516C">
      <w:pPr>
        <w:spacing w:after="156" w:afterLines="50" w:line="560" w:lineRule="exact"/>
        <w:jc w:val="center"/>
        <w:rPr>
          <w:rFonts w:ascii="Times New Roman" w:hAnsi="Times New Roman" w:eastAsia="黑体" w:cs="Times New Roman"/>
          <w:sz w:val="32"/>
          <w:szCs w:val="32"/>
          <w:highlight w:val="none"/>
        </w:rPr>
      </w:pPr>
      <w:bookmarkStart w:id="63" w:name="_Toc28992"/>
      <w:bookmarkStart w:id="64" w:name="_Toc3615"/>
      <w:r>
        <w:rPr>
          <w:rFonts w:ascii="Times New Roman" w:hAnsi="Times New Roman" w:eastAsia="黑体" w:cs="Times New Roman"/>
          <w:sz w:val="32"/>
          <w:szCs w:val="32"/>
          <w:highlight w:val="none"/>
        </w:rPr>
        <w:t>绩效评价工作程序和时间安排表</w:t>
      </w:r>
    </w:p>
    <w:tbl>
      <w:tblPr>
        <w:tblStyle w:val="1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534"/>
        <w:gridCol w:w="4293"/>
        <w:gridCol w:w="1814"/>
        <w:gridCol w:w="1175"/>
      </w:tblGrid>
      <w:tr w14:paraId="4974D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688" w:type="dxa"/>
            <w:shd w:val="clear" w:color="auto" w:fill="C0C0C0"/>
            <w:vAlign w:val="center"/>
          </w:tcPr>
          <w:p w14:paraId="3F9D7F3B">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阶段</w:t>
            </w:r>
          </w:p>
          <w:p w14:paraId="750C087B">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安排</w:t>
            </w:r>
          </w:p>
        </w:tc>
        <w:tc>
          <w:tcPr>
            <w:tcW w:w="4827" w:type="dxa"/>
            <w:gridSpan w:val="2"/>
            <w:shd w:val="clear" w:color="auto" w:fill="C0C0C0"/>
            <w:vAlign w:val="center"/>
          </w:tcPr>
          <w:p w14:paraId="1DB77071">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工作内容</w:t>
            </w:r>
          </w:p>
        </w:tc>
        <w:tc>
          <w:tcPr>
            <w:tcW w:w="1814" w:type="dxa"/>
            <w:shd w:val="clear" w:color="auto" w:fill="C0C0C0"/>
            <w:vAlign w:val="center"/>
          </w:tcPr>
          <w:p w14:paraId="2F910377">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进度安排</w:t>
            </w:r>
          </w:p>
        </w:tc>
        <w:tc>
          <w:tcPr>
            <w:tcW w:w="1175" w:type="dxa"/>
            <w:shd w:val="clear" w:color="auto" w:fill="C0C0C0"/>
            <w:vAlign w:val="center"/>
          </w:tcPr>
          <w:p w14:paraId="61C0B270">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参与方</w:t>
            </w:r>
          </w:p>
        </w:tc>
      </w:tr>
      <w:tr w14:paraId="678FF6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688" w:type="dxa"/>
            <w:vMerge w:val="restart"/>
            <w:shd w:val="clear" w:color="auto" w:fill="auto"/>
            <w:vAlign w:val="center"/>
          </w:tcPr>
          <w:p w14:paraId="38C918E7">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b/>
                <w:bCs/>
                <w:spacing w:val="40"/>
                <w:sz w:val="20"/>
                <w:szCs w:val="20"/>
              </w:rPr>
              <w:t>评价准备阶段</w:t>
            </w:r>
          </w:p>
        </w:tc>
        <w:tc>
          <w:tcPr>
            <w:tcW w:w="4827" w:type="dxa"/>
            <w:gridSpan w:val="2"/>
            <w:shd w:val="clear" w:color="auto" w:fill="auto"/>
            <w:vAlign w:val="center"/>
          </w:tcPr>
          <w:p w14:paraId="22ED1962">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制定《项目实施工作方案》，收集并研究分析项目政策资料，编制指标评价体系和资料清单，并发送被评价单位准备资料。</w:t>
            </w:r>
          </w:p>
        </w:tc>
        <w:tc>
          <w:tcPr>
            <w:tcW w:w="1814" w:type="dxa"/>
            <w:shd w:val="clear" w:color="auto" w:fill="auto"/>
            <w:vAlign w:val="center"/>
          </w:tcPr>
          <w:p w14:paraId="423162F8">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01</w:t>
            </w:r>
            <w:r>
              <w:rPr>
                <w:rFonts w:hint="eastAsia" w:ascii="Times New Roman" w:hAnsi="Times New Roman" w:eastAsia="仿宋_GB2312" w:cs="仿宋"/>
                <w:sz w:val="20"/>
                <w:szCs w:val="20"/>
              </w:rPr>
              <w:t>日</w:t>
            </w:r>
          </w:p>
        </w:tc>
        <w:tc>
          <w:tcPr>
            <w:tcW w:w="1175" w:type="dxa"/>
            <w:shd w:val="clear" w:color="auto" w:fill="auto"/>
            <w:vAlign w:val="center"/>
          </w:tcPr>
          <w:p w14:paraId="43599A34">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sz w:val="20"/>
                <w:szCs w:val="20"/>
              </w:rPr>
              <w:t>评价机构</w:t>
            </w:r>
          </w:p>
        </w:tc>
      </w:tr>
      <w:tr w14:paraId="42E8DE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3" w:hRule="atLeast"/>
          <w:jc w:val="center"/>
        </w:trPr>
        <w:tc>
          <w:tcPr>
            <w:tcW w:w="688" w:type="dxa"/>
            <w:vMerge w:val="continue"/>
            <w:shd w:val="clear" w:color="auto" w:fill="auto"/>
            <w:vAlign w:val="center"/>
          </w:tcPr>
          <w:p w14:paraId="462D87FA">
            <w:pPr>
              <w:adjustRightInd w:val="0"/>
              <w:snapToGrid w:val="0"/>
              <w:ind w:firstLine="560" w:firstLineChars="200"/>
              <w:jc w:val="center"/>
              <w:rPr>
                <w:rFonts w:hint="eastAsia" w:ascii="仿宋" w:hAnsi="仿宋" w:eastAsia="仿宋" w:cs="仿宋"/>
                <w:spacing w:val="40"/>
                <w:sz w:val="20"/>
                <w:szCs w:val="20"/>
              </w:rPr>
            </w:pPr>
          </w:p>
        </w:tc>
        <w:tc>
          <w:tcPr>
            <w:tcW w:w="534" w:type="dxa"/>
            <w:vMerge w:val="restart"/>
            <w:shd w:val="clear" w:color="auto" w:fill="auto"/>
            <w:vAlign w:val="center"/>
          </w:tcPr>
          <w:p w14:paraId="0EFB6310">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编写相关文本</w:t>
            </w:r>
          </w:p>
          <w:p w14:paraId="07DB19BF">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w:t>
            </w:r>
          </w:p>
          <w:p w14:paraId="768C3F30">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准备资料</w:t>
            </w:r>
          </w:p>
        </w:tc>
        <w:tc>
          <w:tcPr>
            <w:tcW w:w="4293" w:type="dxa"/>
            <w:shd w:val="clear" w:color="auto" w:fill="auto"/>
            <w:vAlign w:val="center"/>
          </w:tcPr>
          <w:p w14:paraId="775BD036">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首轮提交文本及资料：</w:t>
            </w:r>
          </w:p>
          <w:p w14:paraId="24745BCA">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1.项目单位提交自评绩效报告；</w:t>
            </w:r>
          </w:p>
          <w:p w14:paraId="6E2DA49E">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2.项目单位按照资料清单要求准备相关资料，提交评价工作组。</w:t>
            </w:r>
          </w:p>
        </w:tc>
        <w:tc>
          <w:tcPr>
            <w:tcW w:w="1814" w:type="dxa"/>
            <w:shd w:val="clear" w:color="auto" w:fill="auto"/>
            <w:vAlign w:val="center"/>
          </w:tcPr>
          <w:p w14:paraId="61A55054">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vMerge w:val="restart"/>
            <w:shd w:val="clear" w:color="auto" w:fill="auto"/>
            <w:vAlign w:val="center"/>
          </w:tcPr>
          <w:p w14:paraId="6E415484">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1E569F6A">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64404F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688" w:type="dxa"/>
            <w:vMerge w:val="continue"/>
            <w:shd w:val="clear" w:color="auto" w:fill="auto"/>
            <w:vAlign w:val="center"/>
          </w:tcPr>
          <w:p w14:paraId="7F2C23BE">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14:paraId="2FA8D17C">
            <w:pPr>
              <w:adjustRightInd w:val="0"/>
              <w:snapToGrid w:val="0"/>
              <w:jc w:val="left"/>
              <w:rPr>
                <w:rFonts w:hint="eastAsia" w:ascii="仿宋" w:hAnsi="仿宋" w:eastAsia="仿宋" w:cs="仿宋"/>
                <w:sz w:val="20"/>
                <w:szCs w:val="20"/>
              </w:rPr>
            </w:pPr>
          </w:p>
        </w:tc>
        <w:tc>
          <w:tcPr>
            <w:tcW w:w="4293" w:type="dxa"/>
            <w:tcBorders>
              <w:bottom w:val="single" w:color="auto" w:sz="4" w:space="0"/>
            </w:tcBorders>
            <w:shd w:val="clear" w:color="auto" w:fill="auto"/>
            <w:vAlign w:val="center"/>
          </w:tcPr>
          <w:p w14:paraId="0A96C64B">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修改文本及补充资料：</w:t>
            </w:r>
          </w:p>
          <w:p w14:paraId="670D312C">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1.评价工作组提出绩效报告修改意见，并反馈项目单位进行修改；</w:t>
            </w:r>
          </w:p>
          <w:p w14:paraId="70B45F52">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2.评价工作组对资料进行审核，提出补充修改意见。</w:t>
            </w:r>
          </w:p>
        </w:tc>
        <w:tc>
          <w:tcPr>
            <w:tcW w:w="1814" w:type="dxa"/>
            <w:tcBorders>
              <w:bottom w:val="single" w:color="auto" w:sz="4" w:space="0"/>
            </w:tcBorders>
            <w:shd w:val="clear" w:color="auto" w:fill="auto"/>
            <w:vAlign w:val="center"/>
          </w:tcPr>
          <w:p w14:paraId="069FA107">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20</w:t>
            </w:r>
            <w:r>
              <w:rPr>
                <w:rFonts w:hint="eastAsia" w:ascii="Times New Roman" w:hAnsi="Times New Roman" w:eastAsia="仿宋_GB2312" w:cs="仿宋"/>
                <w:sz w:val="20"/>
                <w:szCs w:val="20"/>
              </w:rPr>
              <w:t>日</w:t>
            </w:r>
          </w:p>
        </w:tc>
        <w:tc>
          <w:tcPr>
            <w:tcW w:w="1175" w:type="dxa"/>
            <w:vMerge w:val="continue"/>
            <w:shd w:val="clear" w:color="auto" w:fill="auto"/>
            <w:vAlign w:val="center"/>
          </w:tcPr>
          <w:p w14:paraId="4E503E74">
            <w:pPr>
              <w:adjustRightInd w:val="0"/>
              <w:snapToGrid w:val="0"/>
              <w:jc w:val="center"/>
              <w:rPr>
                <w:rFonts w:hint="eastAsia" w:ascii="仿宋" w:hAnsi="仿宋" w:eastAsia="仿宋" w:cs="仿宋"/>
                <w:sz w:val="20"/>
                <w:szCs w:val="20"/>
              </w:rPr>
            </w:pPr>
          </w:p>
        </w:tc>
      </w:tr>
      <w:tr w14:paraId="7206C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7" w:hRule="atLeast"/>
          <w:jc w:val="center"/>
        </w:trPr>
        <w:tc>
          <w:tcPr>
            <w:tcW w:w="688" w:type="dxa"/>
            <w:vMerge w:val="continue"/>
            <w:shd w:val="clear" w:color="auto" w:fill="auto"/>
            <w:vAlign w:val="center"/>
          </w:tcPr>
          <w:p w14:paraId="6C26F659">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14:paraId="5EC7ED25">
            <w:pPr>
              <w:adjustRightInd w:val="0"/>
              <w:snapToGrid w:val="0"/>
              <w:spacing w:after="120"/>
              <w:jc w:val="left"/>
              <w:rPr>
                <w:rFonts w:hint="eastAsia" w:ascii="仿宋" w:hAnsi="仿宋" w:eastAsia="仿宋" w:cs="仿宋"/>
                <w:b/>
                <w:bCs/>
                <w:sz w:val="20"/>
                <w:szCs w:val="20"/>
              </w:rPr>
            </w:pPr>
          </w:p>
        </w:tc>
        <w:tc>
          <w:tcPr>
            <w:tcW w:w="4293" w:type="dxa"/>
            <w:shd w:val="clear" w:color="auto" w:fill="auto"/>
            <w:vAlign w:val="center"/>
          </w:tcPr>
          <w:p w14:paraId="72F08A51">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确定终版文本及资料：</w:t>
            </w:r>
          </w:p>
          <w:p w14:paraId="79F57370">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1.评价工作组再次审核绩效报告，项目单位参照修改意见进行修改并定稿；</w:t>
            </w:r>
          </w:p>
          <w:p w14:paraId="331D9FA6">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2.项目单位按照补充修改意见完善资料，并将终版资料提交评价工作组，并签署资料确认单。</w:t>
            </w:r>
          </w:p>
        </w:tc>
        <w:tc>
          <w:tcPr>
            <w:tcW w:w="1814" w:type="dxa"/>
            <w:shd w:val="clear" w:color="auto" w:fill="auto"/>
            <w:vAlign w:val="center"/>
          </w:tcPr>
          <w:p w14:paraId="33252F30">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22</w:t>
            </w:r>
            <w:r>
              <w:rPr>
                <w:rFonts w:hint="eastAsia" w:ascii="Times New Roman" w:hAnsi="Times New Roman" w:eastAsia="仿宋_GB2312" w:cs="仿宋"/>
                <w:sz w:val="20"/>
                <w:szCs w:val="20"/>
              </w:rPr>
              <w:t>日</w:t>
            </w:r>
          </w:p>
        </w:tc>
        <w:tc>
          <w:tcPr>
            <w:tcW w:w="1175" w:type="dxa"/>
            <w:vMerge w:val="continue"/>
            <w:shd w:val="clear" w:color="auto" w:fill="auto"/>
            <w:vAlign w:val="center"/>
          </w:tcPr>
          <w:p w14:paraId="1F437A93">
            <w:pPr>
              <w:adjustRightInd w:val="0"/>
              <w:snapToGrid w:val="0"/>
              <w:jc w:val="center"/>
              <w:rPr>
                <w:rFonts w:hint="eastAsia" w:ascii="仿宋" w:hAnsi="仿宋" w:eastAsia="仿宋" w:cs="仿宋"/>
                <w:sz w:val="20"/>
                <w:szCs w:val="20"/>
              </w:rPr>
            </w:pPr>
          </w:p>
        </w:tc>
      </w:tr>
      <w:tr w14:paraId="75DBF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8" w:hRule="atLeast"/>
          <w:jc w:val="center"/>
        </w:trPr>
        <w:tc>
          <w:tcPr>
            <w:tcW w:w="688" w:type="dxa"/>
            <w:vMerge w:val="continue"/>
            <w:shd w:val="clear" w:color="auto" w:fill="auto"/>
            <w:textDirection w:val="tbRlV"/>
            <w:vAlign w:val="center"/>
          </w:tcPr>
          <w:p w14:paraId="18A42DDE">
            <w:pPr>
              <w:adjustRightInd w:val="0"/>
              <w:snapToGrid w:val="0"/>
              <w:ind w:firstLine="560" w:firstLineChars="200"/>
              <w:jc w:val="center"/>
              <w:rPr>
                <w:rFonts w:hint="eastAsia" w:ascii="仿宋" w:hAnsi="仿宋" w:eastAsia="仿宋" w:cs="仿宋"/>
                <w:spacing w:val="40"/>
                <w:sz w:val="20"/>
                <w:szCs w:val="20"/>
              </w:rPr>
            </w:pPr>
          </w:p>
        </w:tc>
        <w:tc>
          <w:tcPr>
            <w:tcW w:w="4827" w:type="dxa"/>
            <w:gridSpan w:val="2"/>
            <w:shd w:val="clear" w:color="auto" w:fill="auto"/>
            <w:vAlign w:val="center"/>
          </w:tcPr>
          <w:p w14:paraId="59FD7B10">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整理、分析资料：</w:t>
            </w:r>
            <w:r>
              <w:rPr>
                <w:rFonts w:hint="eastAsia" w:ascii="Times New Roman" w:hAnsi="Times New Roman" w:eastAsia="仿宋_GB2312" w:cs="仿宋"/>
                <w:sz w:val="20"/>
                <w:szCs w:val="20"/>
              </w:rPr>
              <w:t>评价工作组对所收集资料进行整理、对资金支出情况进行分析，就有关问题与项目单位核实。</w:t>
            </w:r>
          </w:p>
        </w:tc>
        <w:tc>
          <w:tcPr>
            <w:tcW w:w="1814" w:type="dxa"/>
            <w:shd w:val="clear" w:color="auto" w:fill="auto"/>
            <w:vAlign w:val="center"/>
          </w:tcPr>
          <w:p w14:paraId="375F711A">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3</w:t>
            </w:r>
            <w:r>
              <w:rPr>
                <w:rFonts w:hint="eastAsia" w:ascii="Times New Roman" w:hAnsi="Times New Roman" w:eastAsia="仿宋_GB2312" w:cs="仿宋"/>
                <w:sz w:val="20"/>
                <w:szCs w:val="20"/>
              </w:rPr>
              <w:t>日</w:t>
            </w:r>
          </w:p>
        </w:tc>
        <w:tc>
          <w:tcPr>
            <w:tcW w:w="1175" w:type="dxa"/>
            <w:shd w:val="clear" w:color="auto" w:fill="auto"/>
            <w:vAlign w:val="center"/>
          </w:tcPr>
          <w:p w14:paraId="25026F8A">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25CE2C00">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项目单位</w:t>
            </w:r>
          </w:p>
        </w:tc>
      </w:tr>
      <w:tr w14:paraId="09ABEE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0" w:hRule="atLeast"/>
          <w:jc w:val="center"/>
        </w:trPr>
        <w:tc>
          <w:tcPr>
            <w:tcW w:w="688" w:type="dxa"/>
            <w:vMerge w:val="continue"/>
            <w:shd w:val="clear" w:color="auto" w:fill="auto"/>
            <w:textDirection w:val="tbRlV"/>
            <w:vAlign w:val="center"/>
          </w:tcPr>
          <w:p w14:paraId="63D2F529">
            <w:pPr>
              <w:adjustRightInd w:val="0"/>
              <w:snapToGrid w:val="0"/>
              <w:ind w:left="113" w:leftChars="0" w:firstLine="560" w:firstLineChars="200"/>
              <w:jc w:val="center"/>
              <w:rPr>
                <w:rFonts w:hint="eastAsia" w:ascii="仿宋" w:hAnsi="仿宋" w:eastAsia="仿宋" w:cs="仿宋"/>
                <w:spacing w:val="40"/>
                <w:sz w:val="20"/>
                <w:szCs w:val="20"/>
              </w:rPr>
            </w:pPr>
          </w:p>
        </w:tc>
        <w:tc>
          <w:tcPr>
            <w:tcW w:w="4827" w:type="dxa"/>
            <w:gridSpan w:val="2"/>
            <w:tcBorders>
              <w:bottom w:val="single" w:color="auto" w:sz="4" w:space="0"/>
            </w:tcBorders>
            <w:shd w:val="clear" w:color="auto" w:fill="auto"/>
            <w:vAlign w:val="center"/>
          </w:tcPr>
          <w:p w14:paraId="1608C97B">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成立评价工作小组：</w:t>
            </w:r>
            <w:r>
              <w:rPr>
                <w:rFonts w:hint="eastAsia" w:ascii="Times New Roman" w:hAnsi="Times New Roman" w:eastAsia="仿宋_GB2312" w:cs="仿宋"/>
                <w:sz w:val="20"/>
                <w:szCs w:val="20"/>
              </w:rPr>
              <w:t>遴选相关业务、财务、管理等组成评价工作小组，并对小组成员进行培训。</w:t>
            </w:r>
          </w:p>
        </w:tc>
        <w:tc>
          <w:tcPr>
            <w:tcW w:w="1814" w:type="dxa"/>
            <w:tcBorders>
              <w:bottom w:val="single" w:color="auto" w:sz="4" w:space="0"/>
            </w:tcBorders>
            <w:shd w:val="clear" w:color="auto" w:fill="auto"/>
            <w:vAlign w:val="center"/>
          </w:tcPr>
          <w:p w14:paraId="6ACFDCFA">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4</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14:paraId="1EE29FA3">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422C8F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4" w:hRule="atLeast"/>
          <w:jc w:val="center"/>
        </w:trPr>
        <w:tc>
          <w:tcPr>
            <w:tcW w:w="688" w:type="dxa"/>
            <w:vMerge w:val="restart"/>
            <w:shd w:val="clear" w:color="auto" w:fill="auto"/>
            <w:textDirection w:val="tbRlV"/>
            <w:vAlign w:val="center"/>
          </w:tcPr>
          <w:p w14:paraId="63F61BCD">
            <w:pPr>
              <w:adjustRightInd w:val="0"/>
              <w:snapToGrid w:val="0"/>
              <w:ind w:firstLine="281" w:firstLineChars="100"/>
              <w:rPr>
                <w:rFonts w:hint="eastAsia" w:ascii="仿宋" w:hAnsi="仿宋" w:eastAsia="仿宋" w:cs="仿宋"/>
                <w:spacing w:val="40"/>
                <w:sz w:val="20"/>
                <w:szCs w:val="20"/>
              </w:rPr>
            </w:pPr>
            <w:r>
              <w:rPr>
                <w:rFonts w:hint="eastAsia" w:ascii="Times New Roman" w:hAnsi="Times New Roman" w:eastAsia="仿宋_GB2312" w:cs="仿宋"/>
                <w:b/>
                <w:bCs/>
                <w:spacing w:val="40"/>
                <w:sz w:val="20"/>
                <w:szCs w:val="20"/>
              </w:rPr>
              <w:t>评价实施阶段</w:t>
            </w:r>
          </w:p>
        </w:tc>
        <w:tc>
          <w:tcPr>
            <w:tcW w:w="4827" w:type="dxa"/>
            <w:gridSpan w:val="2"/>
            <w:tcBorders>
              <w:bottom w:val="single" w:color="auto" w:sz="4" w:space="0"/>
            </w:tcBorders>
            <w:shd w:val="clear" w:color="auto" w:fill="auto"/>
            <w:vAlign w:val="center"/>
          </w:tcPr>
          <w:p w14:paraId="14459DBD">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现场调研：</w:t>
            </w:r>
            <w:r>
              <w:rPr>
                <w:rFonts w:hint="eastAsia" w:ascii="Times New Roman" w:hAnsi="Times New Roman" w:eastAsia="仿宋_GB2312" w:cs="仿宋"/>
                <w:sz w:val="20"/>
                <w:szCs w:val="20"/>
              </w:rPr>
              <w:t>根据项目情况，评价工作组对项目现场进行调研，核实项目完成情况及效益实现情况。</w:t>
            </w:r>
          </w:p>
        </w:tc>
        <w:tc>
          <w:tcPr>
            <w:tcW w:w="1814" w:type="dxa"/>
            <w:tcBorders>
              <w:bottom w:val="single" w:color="auto" w:sz="4" w:space="0"/>
            </w:tcBorders>
            <w:shd w:val="clear" w:color="auto" w:fill="auto"/>
            <w:vAlign w:val="center"/>
          </w:tcPr>
          <w:p w14:paraId="7CB3789E">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10</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14:paraId="4BE521CA">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3A3C1C2D">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1C62ED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jc w:val="center"/>
        </w:trPr>
        <w:tc>
          <w:tcPr>
            <w:tcW w:w="688" w:type="dxa"/>
            <w:vMerge w:val="continue"/>
            <w:shd w:val="clear" w:color="auto" w:fill="auto"/>
            <w:textDirection w:val="tbRlV"/>
            <w:vAlign w:val="center"/>
          </w:tcPr>
          <w:p w14:paraId="02F92F72">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5E04D231">
            <w:pPr>
              <w:rPr>
                <w:rFonts w:hint="eastAsia" w:ascii="仿宋" w:hAnsi="仿宋" w:eastAsia="仿宋" w:cs="仿宋"/>
                <w:b/>
                <w:bCs/>
                <w:sz w:val="20"/>
                <w:szCs w:val="20"/>
              </w:rPr>
            </w:pPr>
            <w:r>
              <w:rPr>
                <w:rFonts w:hint="eastAsia" w:ascii="Times New Roman" w:hAnsi="Times New Roman" w:eastAsia="仿宋_GB2312" w:cs="仿宋"/>
                <w:b/>
                <w:bCs/>
                <w:sz w:val="20"/>
                <w:szCs w:val="20"/>
              </w:rPr>
              <w:t>组织针对性培训：</w:t>
            </w:r>
            <w:r>
              <w:rPr>
                <w:rFonts w:hint="eastAsia" w:ascii="Times New Roman" w:hAnsi="Times New Roman" w:eastAsia="仿宋_GB2312" w:cs="仿宋"/>
                <w:sz w:val="20"/>
                <w:szCs w:val="20"/>
              </w:rPr>
              <w:t>评价工作组根据预算部门（单位）的不同需求，开展有针对性的培训工作。</w:t>
            </w:r>
          </w:p>
        </w:tc>
        <w:tc>
          <w:tcPr>
            <w:tcW w:w="1814" w:type="dxa"/>
            <w:shd w:val="clear" w:color="auto" w:fill="auto"/>
            <w:vAlign w:val="center"/>
          </w:tcPr>
          <w:p w14:paraId="4E20A7F2">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12</w:t>
            </w:r>
            <w:r>
              <w:rPr>
                <w:rFonts w:hint="eastAsia" w:ascii="Times New Roman" w:hAnsi="Times New Roman" w:eastAsia="仿宋_GB2312" w:cs="仿宋"/>
                <w:sz w:val="20"/>
                <w:szCs w:val="20"/>
              </w:rPr>
              <w:t>日</w:t>
            </w:r>
          </w:p>
        </w:tc>
        <w:tc>
          <w:tcPr>
            <w:tcW w:w="1175" w:type="dxa"/>
            <w:shd w:val="clear" w:color="auto" w:fill="auto"/>
            <w:vAlign w:val="center"/>
          </w:tcPr>
          <w:p w14:paraId="42B1552A">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06545000">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6B708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88" w:type="dxa"/>
            <w:vMerge w:val="continue"/>
            <w:shd w:val="clear" w:color="auto" w:fill="auto"/>
            <w:textDirection w:val="tbRlV"/>
            <w:vAlign w:val="center"/>
          </w:tcPr>
          <w:p w14:paraId="76CBD03F">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683AB7A4">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现场评价会：</w:t>
            </w:r>
            <w:r>
              <w:rPr>
                <w:rFonts w:hint="eastAsia" w:ascii="Times New Roman" w:hAnsi="Times New Roman" w:eastAsia="仿宋_GB2312" w:cs="仿宋"/>
                <w:sz w:val="20"/>
                <w:szCs w:val="20"/>
              </w:rPr>
              <w:t>召开现场评价会议，核实项目执行情况，出具评价意见。</w:t>
            </w:r>
          </w:p>
        </w:tc>
        <w:tc>
          <w:tcPr>
            <w:tcW w:w="1814" w:type="dxa"/>
            <w:shd w:val="clear" w:color="auto" w:fill="auto"/>
            <w:vAlign w:val="center"/>
          </w:tcPr>
          <w:p w14:paraId="1A974F21">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shd w:val="clear" w:color="auto" w:fill="auto"/>
            <w:vAlign w:val="center"/>
          </w:tcPr>
          <w:p w14:paraId="6C423843">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5674E50F">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5763EA7C">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32E260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8" w:hRule="atLeast"/>
          <w:jc w:val="center"/>
        </w:trPr>
        <w:tc>
          <w:tcPr>
            <w:tcW w:w="688" w:type="dxa"/>
            <w:vMerge w:val="restart"/>
            <w:shd w:val="clear" w:color="auto" w:fill="auto"/>
            <w:textDirection w:val="tbRlV"/>
            <w:vAlign w:val="center"/>
          </w:tcPr>
          <w:p w14:paraId="4924F5F1">
            <w:pPr>
              <w:adjustRightInd w:val="0"/>
              <w:snapToGrid w:val="0"/>
              <w:ind w:firstLine="120" w:firstLineChars="50"/>
              <w:rPr>
                <w:rFonts w:hint="eastAsia" w:ascii="仿宋" w:hAnsi="仿宋" w:eastAsia="仿宋" w:cs="仿宋"/>
                <w:spacing w:val="20"/>
                <w:sz w:val="20"/>
                <w:szCs w:val="20"/>
              </w:rPr>
            </w:pPr>
            <w:r>
              <w:rPr>
                <w:rFonts w:hint="eastAsia" w:ascii="Times New Roman" w:hAnsi="Times New Roman" w:eastAsia="仿宋_GB2312" w:cs="仿宋"/>
                <w:b/>
                <w:bCs/>
                <w:spacing w:val="20"/>
                <w:sz w:val="20"/>
                <w:szCs w:val="20"/>
              </w:rPr>
              <w:t>形成报告阶段</w:t>
            </w:r>
          </w:p>
        </w:tc>
        <w:tc>
          <w:tcPr>
            <w:tcW w:w="4827" w:type="dxa"/>
            <w:gridSpan w:val="2"/>
            <w:shd w:val="clear" w:color="auto" w:fill="auto"/>
            <w:vAlign w:val="center"/>
          </w:tcPr>
          <w:p w14:paraId="1C73551F">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撰写报告：</w:t>
            </w:r>
            <w:r>
              <w:rPr>
                <w:rFonts w:hint="eastAsia" w:ascii="Times New Roman" w:hAnsi="Times New Roman" w:eastAsia="仿宋_GB2312" w:cs="仿宋"/>
                <w:sz w:val="20"/>
                <w:szCs w:val="20"/>
              </w:rPr>
              <w:t>评价工作组撰写项目绩效评价报告。</w:t>
            </w:r>
          </w:p>
        </w:tc>
        <w:tc>
          <w:tcPr>
            <w:tcW w:w="1814" w:type="dxa"/>
            <w:shd w:val="clear" w:color="auto" w:fill="auto"/>
            <w:vAlign w:val="center"/>
          </w:tcPr>
          <w:p w14:paraId="2C6822B4">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16</w:t>
            </w:r>
            <w:r>
              <w:rPr>
                <w:rFonts w:hint="eastAsia" w:ascii="Times New Roman" w:hAnsi="Times New Roman" w:eastAsia="仿宋_GB2312" w:cs="仿宋"/>
                <w:sz w:val="20"/>
                <w:szCs w:val="20"/>
              </w:rPr>
              <w:t>日</w:t>
            </w:r>
          </w:p>
        </w:tc>
        <w:tc>
          <w:tcPr>
            <w:tcW w:w="1175" w:type="dxa"/>
            <w:shd w:val="clear" w:color="auto" w:fill="auto"/>
            <w:vAlign w:val="center"/>
          </w:tcPr>
          <w:p w14:paraId="639EE05A">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14:paraId="3432F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0" w:hRule="atLeast"/>
          <w:jc w:val="center"/>
        </w:trPr>
        <w:tc>
          <w:tcPr>
            <w:tcW w:w="688" w:type="dxa"/>
            <w:vMerge w:val="continue"/>
            <w:shd w:val="clear" w:color="auto" w:fill="auto"/>
            <w:vAlign w:val="center"/>
          </w:tcPr>
          <w:p w14:paraId="04B4EBA9">
            <w:pPr>
              <w:adjustRightInd w:val="0"/>
              <w:snapToGrid w:val="0"/>
              <w:ind w:firstLine="400" w:firstLineChars="200"/>
              <w:jc w:val="center"/>
              <w:rPr>
                <w:rFonts w:hint="eastAsia" w:ascii="仿宋" w:hAnsi="仿宋" w:eastAsia="仿宋" w:cs="仿宋"/>
                <w:sz w:val="20"/>
                <w:szCs w:val="20"/>
              </w:rPr>
            </w:pPr>
          </w:p>
        </w:tc>
        <w:tc>
          <w:tcPr>
            <w:tcW w:w="4827" w:type="dxa"/>
            <w:gridSpan w:val="2"/>
            <w:tcBorders>
              <w:bottom w:val="single" w:color="auto" w:sz="4" w:space="0"/>
            </w:tcBorders>
            <w:shd w:val="clear" w:color="auto" w:fill="auto"/>
            <w:vAlign w:val="center"/>
          </w:tcPr>
          <w:p w14:paraId="4273216D">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报告征求意见：</w:t>
            </w:r>
            <w:r>
              <w:rPr>
                <w:rFonts w:hint="eastAsia" w:ascii="Times New Roman" w:hAnsi="Times New Roman" w:eastAsia="仿宋_GB2312" w:cs="仿宋"/>
                <w:sz w:val="20"/>
                <w:szCs w:val="20"/>
              </w:rPr>
              <w:t>评价报告经评价机构三级审核后，送交委托方及项目单位征求意见。</w:t>
            </w:r>
          </w:p>
        </w:tc>
        <w:tc>
          <w:tcPr>
            <w:tcW w:w="1814" w:type="dxa"/>
            <w:tcBorders>
              <w:bottom w:val="single" w:color="auto" w:sz="4" w:space="0"/>
            </w:tcBorders>
            <w:shd w:val="clear" w:color="auto" w:fill="auto"/>
            <w:vAlign w:val="center"/>
          </w:tcPr>
          <w:p w14:paraId="075AF398">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23</w:t>
            </w:r>
            <w:r>
              <w:rPr>
                <w:rFonts w:hint="eastAsia" w:ascii="Times New Roman" w:hAnsi="Times New Roman" w:eastAsia="仿宋_GB2312" w:cs="仿宋"/>
                <w:sz w:val="20"/>
                <w:szCs w:val="20"/>
              </w:rPr>
              <w:t>日</w:t>
            </w:r>
          </w:p>
        </w:tc>
        <w:tc>
          <w:tcPr>
            <w:tcW w:w="1175" w:type="dxa"/>
            <w:shd w:val="clear" w:color="auto" w:fill="auto"/>
            <w:vAlign w:val="center"/>
          </w:tcPr>
          <w:p w14:paraId="61F655DC">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4C61A92E">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6CE0F2F1">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14:paraId="2D9BF9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8" w:hRule="atLeast"/>
          <w:jc w:val="center"/>
        </w:trPr>
        <w:tc>
          <w:tcPr>
            <w:tcW w:w="688" w:type="dxa"/>
            <w:vMerge w:val="continue"/>
            <w:shd w:val="clear" w:color="auto" w:fill="auto"/>
            <w:vAlign w:val="center"/>
          </w:tcPr>
          <w:p w14:paraId="5C74155A">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14:paraId="351DFC52">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报送报告：</w:t>
            </w:r>
            <w:r>
              <w:rPr>
                <w:rFonts w:hint="eastAsia" w:ascii="Times New Roman" w:hAnsi="Times New Roman" w:eastAsia="仿宋_GB2312" w:cs="仿宋"/>
                <w:sz w:val="20"/>
                <w:szCs w:val="20"/>
              </w:rPr>
              <w:t>根据委托方意见修改报告，在规定时间内正式向委托方报送绩效评价报告。</w:t>
            </w:r>
          </w:p>
        </w:tc>
        <w:tc>
          <w:tcPr>
            <w:tcW w:w="1814" w:type="dxa"/>
            <w:shd w:val="clear" w:color="auto" w:fill="auto"/>
            <w:vAlign w:val="center"/>
          </w:tcPr>
          <w:p w14:paraId="37F5F295">
            <w:pPr>
              <w:adjustRightInd w:val="0"/>
              <w:snapToGrid w:val="0"/>
              <w:spacing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highlight w:val="none"/>
                <w:lang w:val="en-US" w:eastAsia="zh-CN"/>
              </w:rPr>
              <w:t>30</w:t>
            </w:r>
            <w:r>
              <w:rPr>
                <w:rFonts w:hint="eastAsia" w:ascii="Times New Roman" w:hAnsi="Times New Roman" w:eastAsia="仿宋_GB2312" w:cs="仿宋"/>
                <w:sz w:val="20"/>
                <w:szCs w:val="20"/>
              </w:rPr>
              <w:t>日</w:t>
            </w:r>
          </w:p>
        </w:tc>
        <w:tc>
          <w:tcPr>
            <w:tcW w:w="1175" w:type="dxa"/>
            <w:shd w:val="clear" w:color="auto" w:fill="auto"/>
            <w:vAlign w:val="center"/>
          </w:tcPr>
          <w:p w14:paraId="1677DEB6">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14:paraId="650FC85D">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14:paraId="7C067867">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bl>
    <w:p w14:paraId="3D4788C0">
      <w:pPr>
        <w:pStyle w:val="33"/>
        <w:tabs>
          <w:tab w:val="left" w:pos="1559"/>
        </w:tabs>
        <w:adjustRightInd w:val="0"/>
        <w:snapToGrid w:val="0"/>
        <w:spacing w:line="560" w:lineRule="exact"/>
        <w:ind w:left="0" w:leftChars="0" w:firstLine="640" w:firstLineChars="200"/>
        <w:outlineLvl w:val="2"/>
        <w:rPr>
          <w:rFonts w:ascii="楷体" w:hAnsi="楷体" w:eastAsia="楷体" w:cs="楷体"/>
          <w:bCs/>
          <w:sz w:val="32"/>
          <w:szCs w:val="32"/>
        </w:rPr>
      </w:pPr>
      <w:r>
        <w:rPr>
          <w:rFonts w:hint="eastAsia" w:ascii="楷体" w:hAnsi="楷体" w:eastAsia="楷体" w:cs="楷体"/>
          <w:bCs/>
          <w:sz w:val="32"/>
          <w:szCs w:val="32"/>
        </w:rPr>
        <w:t>2.实地调研概况</w:t>
      </w:r>
      <w:bookmarkEnd w:id="63"/>
      <w:bookmarkEnd w:id="64"/>
    </w:p>
    <w:p w14:paraId="73364FEB">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走访调查：采取现场走访调查的形式，了解项目实际情况。到项目实施单位及实施现场，深入实地进行调研和分析，严格按照项目实施方案进行管理，了解前期工作及项目实施情况。</w:t>
      </w:r>
    </w:p>
    <w:p w14:paraId="2C95A1C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研读文件：通过检查实施单位自评（总结）报告、研读相关制度文件等，了解在项目实施过程中，作为项目主管单位，是否对项目实施进行协调监督管理，是否制定相关、有效的监督管理制度，是否监督落实项目建设质量情况。</w:t>
      </w:r>
    </w:p>
    <w:p w14:paraId="43536C5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审阅项目财务收支情况：审阅该项目实施单位记录资金收支的凭证、后附单据及相关文件，审阅该项目的相关规定，审核资金收支是否合规等。</w:t>
      </w:r>
    </w:p>
    <w:p w14:paraId="34BC77D6">
      <w:pPr>
        <w:adjustRightInd w:val="0"/>
        <w:snapToGrid w:val="0"/>
        <w:spacing w:line="560" w:lineRule="exact"/>
        <w:ind w:firstLine="640" w:firstLineChars="200"/>
        <w:jc w:val="left"/>
        <w:outlineLvl w:val="0"/>
        <w:rPr>
          <w:rFonts w:ascii="黑体" w:hAnsi="黑体" w:eastAsia="黑体" w:cs="宋体"/>
          <w:sz w:val="32"/>
          <w:szCs w:val="32"/>
        </w:rPr>
      </w:pPr>
      <w:bookmarkStart w:id="65" w:name="_Toc27359"/>
      <w:r>
        <w:rPr>
          <w:rFonts w:hint="eastAsia" w:ascii="黑体" w:hAnsi="黑体" w:eastAsia="黑体" w:cs="宋体"/>
          <w:sz w:val="32"/>
          <w:szCs w:val="32"/>
        </w:rPr>
        <w:t>三、绩效评价分析</w:t>
      </w:r>
      <w:bookmarkEnd w:id="65"/>
    </w:p>
    <w:p w14:paraId="21458E89">
      <w:pPr>
        <w:pStyle w:val="33"/>
        <w:numPr>
          <w:ilvl w:val="0"/>
          <w:numId w:val="4"/>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绩效评价分析</w:t>
      </w:r>
    </w:p>
    <w:p w14:paraId="28518517">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6" w:name="_Toc5787"/>
      <w:r>
        <w:rPr>
          <w:rFonts w:hint="eastAsia" w:ascii="仿宋_GB2312" w:hAnsi="仿宋" w:eastAsia="仿宋_GB2312" w:cs="宋体"/>
          <w:b/>
          <w:bCs/>
          <w:sz w:val="32"/>
          <w:szCs w:val="32"/>
          <w:highlight w:val="none"/>
        </w:rPr>
        <w:t>（一）项目决策分析</w:t>
      </w:r>
      <w:bookmarkEnd w:id="66"/>
    </w:p>
    <w:p w14:paraId="0F47279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67" w:name="_Toc27861"/>
      <w:r>
        <w:rPr>
          <w:rStyle w:val="22"/>
          <w:rFonts w:hint="eastAsia" w:ascii="仿宋_GB2312" w:hAnsi="仿宋_GB2312" w:eastAsia="仿宋_GB2312" w:cs="仿宋_GB2312"/>
          <w:b w:val="0"/>
          <w:bCs w:val="0"/>
          <w:color w:val="auto"/>
          <w:spacing w:val="-4"/>
          <w:sz w:val="32"/>
          <w:szCs w:val="32"/>
          <w:highlight w:val="none"/>
          <w:lang w:val="en-US" w:eastAsia="zh-CN"/>
        </w:rPr>
        <w:t xml:space="preserve">1.项目立项情况  </w:t>
      </w:r>
    </w:p>
    <w:p w14:paraId="19382970">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（1）立项依据的充分性</w:t>
      </w:r>
    </w:p>
    <w:p w14:paraId="744EBF6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符合《中华人民共和国统计法》《全国人口普查条例》和《国务院第七次全国人口普查领导小组办公室财政部人力资源和社会保障部国家统计局关于做好第七次全国人口普查经费保障工作的通知》（国人普办宇（2020）5号）等文件内容，项目的立项符合相关法规政策及部门职责，依据充分；项目是按照规定的程序申请设立；审批文件、材料符合相关要求。</w:t>
      </w:r>
    </w:p>
    <w:p w14:paraId="74511FEE">
      <w:pPr>
        <w:keepNext w:val="0"/>
        <w:keepLines w:val="0"/>
        <w:pageBreakBefore w:val="0"/>
        <w:widowControl w:val="0"/>
        <w:kinsoku/>
        <w:wordWrap/>
        <w:overflowPunct/>
        <w:topLinePunct w:val="0"/>
        <w:autoSpaceDE/>
        <w:autoSpaceDN/>
        <w:bidi w:val="0"/>
        <w:adjustRightInd/>
        <w:snapToGrid/>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（2）立项程序规范性</w:t>
      </w:r>
    </w:p>
    <w:p w14:paraId="233133F4">
      <w:pPr>
        <w:keepNext w:val="0"/>
        <w:keepLines w:val="0"/>
        <w:pageBreakBefore w:val="0"/>
        <w:widowControl w:val="0"/>
        <w:kinsoku/>
        <w:wordWrap/>
        <w:overflowPunct/>
        <w:topLinePunct w:val="0"/>
        <w:autoSpaceDE/>
        <w:autoSpaceDN/>
        <w:bidi w:val="0"/>
        <w:adjustRightInd/>
        <w:snapToGrid/>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决策依据情况：项目符合经济社会发展规划和部门年度工作计划，为全面贯彻落实中央、自治区、地区的决策部署，落实地委关于和田地区对全县开展第七次全国人口普查工作的相关安排部署，该项目根据《关于提前下达第七次人口普查2021年经费的通知》（和地财行〔2021〕14号）文件精神和主管县领导主要批示要求立项并实施。</w:t>
      </w:r>
    </w:p>
    <w:p w14:paraId="62FACB19">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决策程序情况：</w:t>
      </w:r>
      <w:bookmarkEnd w:id="67"/>
      <w:r>
        <w:rPr>
          <w:rStyle w:val="22"/>
          <w:rFonts w:hint="eastAsia" w:ascii="仿宋_GB2312" w:hAnsi="仿宋_GB2312" w:eastAsia="仿宋_GB2312" w:cs="仿宋_GB2312"/>
          <w:b w:val="0"/>
          <w:bCs w:val="0"/>
          <w:color w:val="auto"/>
          <w:spacing w:val="-4"/>
          <w:sz w:val="32"/>
          <w:szCs w:val="32"/>
          <w:highlight w:val="none"/>
          <w:lang w:val="en-US" w:eastAsia="zh-CN"/>
        </w:rPr>
        <w:t>洛浦县统计局根据《中华人民共和国统计法》《全国人口普查条列》和《国务院第七次全国人口普查领导小组办公室财政部人力资源和社会保障部国家统计局关于做好第七次全国人口普查经费保障工作的通知》（国人普办宇（2020）5号），《关于提前下达第七次人口普查2021年经费的通知》（和地财行〔2021〕14号）等文件要求，结合本单位年度工作计划和项目支出需要，拟定了项目实施内容和项目预算明细，经分管领导签字确认后报送局长审核项目资金，经本单位会议及县管领导研究审定后开始实施该项目。</w:t>
      </w:r>
    </w:p>
    <w:p w14:paraId="4DF93F64">
      <w:pPr>
        <w:pStyle w:val="33"/>
        <w:tabs>
          <w:tab w:val="left" w:pos="1559"/>
        </w:tabs>
        <w:adjustRightInd w:val="0"/>
        <w:snapToGrid w:val="0"/>
        <w:spacing w:line="560" w:lineRule="exact"/>
        <w:ind w:firstLine="640"/>
        <w:outlineLvl w:val="9"/>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2.绩效目标设立情况</w:t>
      </w:r>
    </w:p>
    <w:p w14:paraId="53AA1F6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（1）绩效目标合理性</w:t>
      </w:r>
    </w:p>
    <w:p w14:paraId="0280DCC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绩效目标的内涵明确、具体、可衡量。所设立的绩效目标可以考核并能够指导洛浦县统计局第七次全国人口普查项目的业务工作。指标与评价对象密切相关，全面反映项目实施内容及项目预期绩效情况，绩效目标设立符合洛浦县对全县开展第七次全国人口普查工作要求和洛浦县统计局单位2021年工作计划，明确了项目产出数量和预期达到的效果。整体来看，绩效目标设立比较明确。</w:t>
      </w:r>
    </w:p>
    <w:p w14:paraId="31A9EBC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（2）绩效指标明确性</w:t>
      </w:r>
    </w:p>
    <w:p w14:paraId="415B8EB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该项目所设置绩效目标是：一级指标3条，二级指标7条，三级指标10条，可量化指标9条，指标量化率90%，该项目总体绩效目标明确，符合绩效目标明确、细化、量化条件。</w:t>
      </w:r>
    </w:p>
    <w:p w14:paraId="26BB2301">
      <w:pPr>
        <w:pStyle w:val="33"/>
        <w:tabs>
          <w:tab w:val="left" w:pos="1559"/>
        </w:tabs>
        <w:adjustRightInd w:val="0"/>
        <w:snapToGrid w:val="0"/>
        <w:spacing w:line="560" w:lineRule="exact"/>
        <w:ind w:firstLine="640"/>
        <w:outlineLvl w:val="9"/>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3.资金投入情况</w:t>
      </w:r>
    </w:p>
    <w:p w14:paraId="141BDB1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（1）预算编制科学性</w:t>
      </w:r>
    </w:p>
    <w:p w14:paraId="5D3B6A1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主要是对全县开展第七次全国人口普查工作，参加普查工作人数为1400人，普查对象为30万人。通过该项目实施，完善人口发展战略和发展体系提高准确数据，促进人口长期均衡发展，科学制度国民经济和社会发展规划，推动经济高质量发展，开启全面建设社会新征程。洛浦县统计局根据项目情况进行预算编制，使项目的资金额度与年度目标相适应，制定了明确详细的项目资金支出计划和进度，该项目预算编制比较科学合理。</w:t>
      </w:r>
    </w:p>
    <w:p w14:paraId="0B002A6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（2）资金分配合理性</w:t>
      </w:r>
    </w:p>
    <w:p w14:paraId="414E734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68" w:name="_Toc5610"/>
      <w:r>
        <w:rPr>
          <w:rStyle w:val="22"/>
          <w:rFonts w:hint="eastAsia" w:ascii="仿宋_GB2312" w:hAnsi="仿宋_GB2312" w:eastAsia="仿宋_GB2312" w:cs="仿宋_GB2312"/>
          <w:b w:val="0"/>
          <w:bCs w:val="0"/>
          <w:color w:val="auto"/>
          <w:spacing w:val="-4"/>
          <w:sz w:val="32"/>
          <w:szCs w:val="32"/>
          <w:highlight w:val="none"/>
          <w:lang w:val="en-US" w:eastAsia="zh-CN"/>
        </w:rPr>
        <w:t>项目预算资金分配具有测算依据，分配额度合理，与补助单位或地方实际相适应，与工作任务相匹配，充分体现了资金分配的合理性。</w:t>
      </w:r>
    </w:p>
    <w:p w14:paraId="117D6E18">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（二）项目管理</w:t>
      </w:r>
      <w:r>
        <w:rPr>
          <w:rFonts w:hint="eastAsia" w:ascii="仿宋_GB2312" w:hAnsi="仿宋" w:eastAsia="仿宋_GB2312" w:cs="宋体"/>
          <w:b/>
          <w:bCs/>
          <w:sz w:val="32"/>
          <w:szCs w:val="32"/>
          <w:lang w:val="en-US" w:eastAsia="zh-CN"/>
        </w:rPr>
        <w:t>过程</w:t>
      </w:r>
      <w:r>
        <w:rPr>
          <w:rFonts w:hint="eastAsia" w:ascii="仿宋_GB2312" w:hAnsi="仿宋" w:eastAsia="仿宋_GB2312" w:cs="宋体"/>
          <w:b/>
          <w:bCs/>
          <w:sz w:val="32"/>
          <w:szCs w:val="32"/>
        </w:rPr>
        <w:t>情况分析</w:t>
      </w:r>
      <w:bookmarkEnd w:id="68"/>
    </w:p>
    <w:p w14:paraId="0E21D8CF">
      <w:pPr>
        <w:pStyle w:val="33"/>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bookmarkStart w:id="69" w:name="_Toc11398"/>
      <w:r>
        <w:rPr>
          <w:rFonts w:hint="eastAsia" w:ascii="楷体" w:hAnsi="楷体" w:eastAsia="楷体" w:cs="楷体"/>
          <w:bCs/>
          <w:sz w:val="32"/>
          <w:szCs w:val="32"/>
        </w:rPr>
        <w:t>1.项目资金</w:t>
      </w:r>
      <w:bookmarkEnd w:id="69"/>
      <w:r>
        <w:rPr>
          <w:rFonts w:hint="eastAsia" w:ascii="楷体" w:hAnsi="楷体" w:eastAsia="楷体" w:cs="楷体"/>
          <w:bCs/>
          <w:sz w:val="32"/>
          <w:szCs w:val="32"/>
          <w:lang w:val="en-US" w:eastAsia="zh-CN"/>
        </w:rPr>
        <w:t>情况</w:t>
      </w:r>
    </w:p>
    <w:p w14:paraId="00936E9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（1）资金到位情况</w:t>
      </w:r>
    </w:p>
    <w:p w14:paraId="51544BF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本项目预算资金为146.40万元，实际到位资金为146.40万元；资金来源为自治区专项资金。资金到位率100%。</w:t>
      </w:r>
    </w:p>
    <w:p w14:paraId="6E85B25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（2）预算管理情况</w:t>
      </w:r>
    </w:p>
    <w:p w14:paraId="50C752A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预算执行与预算编制基本一致，项目预算146.40万元，实际支出146.40万元，预算执行率100%。</w:t>
      </w:r>
    </w:p>
    <w:p w14:paraId="15BD905A">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资金使用合规性：该项目资金严格按照《国务院对于第七次人口普查员经费与报酬的规定》支付资金；资金的支付有完整的审批程序和手续，符合制度要求；项目资金进行单独核算，财务手续基本合理、完整，资金支付是按照自治区和洛浦县自治区专项资金管理办法规定执行，资金使用规范合理。未发现专项资金有截留、挤占、挪用、虚列开支等情况。</w:t>
      </w:r>
    </w:p>
    <w:p w14:paraId="14AAC311">
      <w:pPr>
        <w:pStyle w:val="33"/>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w:t>
      </w:r>
      <w:r>
        <w:rPr>
          <w:rFonts w:hint="eastAsia" w:ascii="楷体" w:hAnsi="楷体" w:eastAsia="楷体" w:cs="楷体"/>
          <w:bCs/>
          <w:sz w:val="32"/>
          <w:szCs w:val="32"/>
        </w:rPr>
        <w:t>.</w:t>
      </w:r>
      <w:r>
        <w:rPr>
          <w:rFonts w:hint="eastAsia" w:ascii="楷体" w:hAnsi="楷体" w:eastAsia="楷体" w:cs="楷体"/>
          <w:bCs/>
          <w:sz w:val="32"/>
          <w:szCs w:val="32"/>
          <w:lang w:val="en-US" w:eastAsia="zh-CN"/>
        </w:rPr>
        <w:t>组织实施情况</w:t>
      </w:r>
    </w:p>
    <w:p w14:paraId="6DC355AB">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（1）管理制度健全性</w:t>
      </w:r>
    </w:p>
    <w:p w14:paraId="7889244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洛浦县统计局项目管理参照《中华人民共和国统计法》《全国人口普查条列》和《国务院第七次全国人口普查领导小组办公室财政部人力资源和社会保障部国家统计局关于做好第七次全国人口普查经费保障工作的通知》（国人普办宇（2020）5号）等文件进行管理，规范了项目实施、监督检查、验收等过程，在相关制度和流程的有效监督管控之下，项目单位建立《项目管理制度》，制度涵盖了项目的设立、质量管理、安全管理、成本控制、项目验收等流程管理制度，项目管理制度健全。</w:t>
      </w:r>
    </w:p>
    <w:p w14:paraId="41C086D0">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（2）制度执行有效性</w:t>
      </w:r>
    </w:p>
    <w:p w14:paraId="38FA087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项目资金支出严格按照《自治区财政资金使用跟踪反馈管理暂行办法》（新财预）〔2016〕113号），《关于提前下达第七次人口普查2021年经费的通知》（和地财行〔2021〕14号）等管理办法运行。单位不定期下项目现场进行视察，督促项目进度，把控项目质量，要求按时按标准完成项目。按照要求提出资金拨付申请，按程序审批后报账。建立健全财务管理制度，健全专项资金台账，做好与金融机构的定期对账工作，确保项目专项资金安全使用，资金的支付有完整的审批程序和手续，符合制度要求；项目资金进行单独核算，财务手续基本合理、完整，未发现专项资金有截留、挤占、挪用、虚列开支等情况。但是洛浦县统计局对项目资料归档不够重视，项目资料归档不及时。</w:t>
      </w:r>
    </w:p>
    <w:p w14:paraId="4AE55EB8">
      <w:pPr>
        <w:pStyle w:val="33"/>
        <w:adjustRightInd w:val="0"/>
        <w:snapToGrid w:val="0"/>
        <w:spacing w:line="560" w:lineRule="exact"/>
        <w:ind w:left="420" w:leftChars="200" w:firstLine="321" w:firstLineChars="100"/>
        <w:outlineLvl w:val="1"/>
        <w:rPr>
          <w:rFonts w:hint="eastAsia" w:ascii="楷体" w:hAnsi="楷体" w:eastAsia="楷体" w:cs="楷体"/>
          <w:bCs/>
          <w:sz w:val="32"/>
          <w:szCs w:val="32"/>
          <w:highlight w:val="none"/>
          <w:lang w:val="en-US" w:eastAsia="zh-CN"/>
        </w:rPr>
      </w:pPr>
      <w:bookmarkStart w:id="70" w:name="_Toc31015"/>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val="en-US" w:eastAsia="zh-CN"/>
        </w:rPr>
        <w:t>三</w:t>
      </w:r>
      <w:r>
        <w:rPr>
          <w:rFonts w:hint="eastAsia" w:ascii="仿宋_GB2312" w:hAnsi="仿宋" w:eastAsia="仿宋_GB2312" w:cs="宋体"/>
          <w:b/>
          <w:bCs/>
          <w:sz w:val="32"/>
          <w:szCs w:val="32"/>
          <w:highlight w:val="none"/>
        </w:rPr>
        <w:t>）项目</w:t>
      </w:r>
      <w:r>
        <w:rPr>
          <w:rFonts w:hint="eastAsia" w:ascii="仿宋_GB2312" w:hAnsi="仿宋" w:eastAsia="仿宋_GB2312" w:cs="宋体"/>
          <w:b/>
          <w:bCs/>
          <w:sz w:val="32"/>
          <w:szCs w:val="32"/>
          <w:highlight w:val="none"/>
          <w:lang w:val="en-US" w:eastAsia="zh-CN"/>
        </w:rPr>
        <w:t>产出</w:t>
      </w:r>
      <w:r>
        <w:rPr>
          <w:rFonts w:hint="eastAsia" w:ascii="仿宋_GB2312" w:hAnsi="仿宋" w:eastAsia="仿宋_GB2312" w:cs="宋体"/>
          <w:b/>
          <w:bCs/>
          <w:sz w:val="32"/>
          <w:szCs w:val="32"/>
          <w:highlight w:val="none"/>
        </w:rPr>
        <w:t>情况分析</w:t>
      </w:r>
      <w:bookmarkEnd w:id="70"/>
    </w:p>
    <w:p w14:paraId="22D467CA">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1.产出数量情况</w:t>
      </w:r>
    </w:p>
    <w:p w14:paraId="09709D1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截止评价日，全县开展第七次全国人口普查工作，参加普查工作人员数1450人，普查对象为30万人以上。</w:t>
      </w:r>
    </w:p>
    <w:p w14:paraId="7DD1750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2.产出质量情况</w:t>
      </w:r>
    </w:p>
    <w:p w14:paraId="268E381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全县开展第七次全国人口普查工作普查覆盖率等于100%，普查表准确率100%。</w:t>
      </w:r>
    </w:p>
    <w:p w14:paraId="57B30BA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3.产出时效情况</w:t>
      </w:r>
    </w:p>
    <w:p w14:paraId="43991A9F">
      <w:pPr>
        <w:pStyle w:val="33"/>
        <w:tabs>
          <w:tab w:val="left" w:pos="1559"/>
        </w:tabs>
        <w:adjustRightInd w:val="0"/>
        <w:snapToGrid w:val="0"/>
        <w:spacing w:line="560" w:lineRule="exact"/>
        <w:ind w:left="0" w:leftChars="0" w:firstLine="624" w:firstLineChars="200"/>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项目完成及时性及资金拨付及时性等于100%，</w:t>
      </w:r>
      <w:r>
        <w:rPr>
          <w:rFonts w:hint="eastAsia" w:ascii="仿宋_GB2312" w:hAnsi="仿宋_GB2312" w:eastAsia="仿宋_GB2312" w:cs="仿宋_GB2312"/>
          <w:kern w:val="2"/>
          <w:sz w:val="32"/>
          <w:szCs w:val="32"/>
          <w:highlight w:val="none"/>
          <w:lang w:val="en-US" w:eastAsia="zh-CN" w:bidi="ar-SA"/>
        </w:rPr>
        <w:t>该项目及时完成情况达到了年初预期指标。</w:t>
      </w:r>
    </w:p>
    <w:p w14:paraId="5A16A534">
      <w:pPr>
        <w:pageBreakBefore w:val="0"/>
        <w:widowControl w:val="0"/>
        <w:numPr>
          <w:ilvl w:val="0"/>
          <w:numId w:val="0"/>
        </w:numPr>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4.产出成本情况</w:t>
      </w:r>
    </w:p>
    <w:p w14:paraId="5DE3E93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outlineLvl w:val="9"/>
        <w:rPr>
          <w:rFonts w:hint="eastAsia"/>
          <w:lang w:val="en-US" w:eastAsia="zh-CN"/>
        </w:rPr>
      </w:pPr>
      <w:r>
        <w:rPr>
          <w:rFonts w:hint="eastAsia" w:ascii="仿宋_GB2312" w:hAnsi="仿宋_GB2312" w:eastAsia="仿宋_GB2312" w:cs="仿宋_GB2312"/>
          <w:kern w:val="2"/>
          <w:sz w:val="32"/>
          <w:szCs w:val="32"/>
          <w:highlight w:val="none"/>
          <w:lang w:val="en-US" w:eastAsia="zh-CN" w:bidi="ar-SA"/>
        </w:rPr>
        <w:t>项目计划总投资146.40万元，项目实际支出金额为 146.40万元，项目支出有效控制在预算范围内。</w:t>
      </w:r>
    </w:p>
    <w:p w14:paraId="0725DFDE">
      <w:pPr>
        <w:pageBreakBefore w:val="0"/>
        <w:widowControl w:val="0"/>
        <w:kinsoku/>
        <w:wordWrap/>
        <w:overflowPunct/>
        <w:topLinePunct w:val="0"/>
        <w:autoSpaceDE/>
        <w:autoSpaceDN/>
        <w:bidi w:val="0"/>
        <w:spacing w:line="560" w:lineRule="exact"/>
        <w:ind w:firstLine="627" w:firstLineChars="200"/>
        <w:textAlignment w:val="auto"/>
        <w:outlineLvl w:val="9"/>
        <w:rPr>
          <w:rStyle w:val="22"/>
          <w:rFonts w:hint="eastAsia" w:ascii="仿宋_GB2312" w:hAnsi="仿宋_GB2312" w:eastAsia="仿宋_GB2312" w:cs="仿宋_GB2312"/>
          <w:b/>
          <w:bCs/>
          <w:color w:val="auto"/>
          <w:spacing w:val="-4"/>
          <w:sz w:val="32"/>
          <w:szCs w:val="32"/>
          <w:highlight w:val="none"/>
          <w:lang w:val="en-US" w:eastAsia="zh-CN"/>
        </w:rPr>
      </w:pPr>
      <w:bookmarkStart w:id="71" w:name="_Toc3708"/>
      <w:r>
        <w:rPr>
          <w:rStyle w:val="22"/>
          <w:rFonts w:hint="eastAsia" w:ascii="仿宋_GB2312" w:hAnsi="仿宋_GB2312" w:eastAsia="仿宋_GB2312" w:cs="仿宋_GB2312"/>
          <w:b/>
          <w:bCs/>
          <w:color w:val="auto"/>
          <w:spacing w:val="-4"/>
          <w:sz w:val="32"/>
          <w:szCs w:val="32"/>
          <w:highlight w:val="none"/>
          <w:lang w:val="en-US" w:eastAsia="zh-CN"/>
        </w:rPr>
        <w:t>（四）项目效益评价分析</w:t>
      </w:r>
      <w:bookmarkEnd w:id="71"/>
    </w:p>
    <w:p w14:paraId="3C1683F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1.经济效益情况</w:t>
      </w:r>
    </w:p>
    <w:p w14:paraId="74A0E64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该项目未涉及经济效益。</w:t>
      </w:r>
    </w:p>
    <w:p w14:paraId="6DF0504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2.社会效益情况</w:t>
      </w:r>
    </w:p>
    <w:p w14:paraId="49449FE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通过该项目实施，促进了人口长期均衡发展，完善了人口发展战略和发展体系，推动了经济高质量发展，开启了全面建设社会新征程。</w:t>
      </w:r>
    </w:p>
    <w:p w14:paraId="073FD84A">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 xml:space="preserve">3.生态效益情况 </w:t>
      </w:r>
      <w:r>
        <w:rPr>
          <w:rStyle w:val="22"/>
          <w:rFonts w:hint="eastAsia" w:ascii="仿宋_GB2312" w:hAnsi="仿宋_GB2312" w:eastAsia="仿宋_GB2312" w:cs="仿宋_GB2312"/>
          <w:b w:val="0"/>
          <w:bCs w:val="0"/>
          <w:color w:val="auto"/>
          <w:spacing w:val="-4"/>
          <w:sz w:val="32"/>
          <w:szCs w:val="32"/>
          <w:highlight w:val="none"/>
          <w:lang w:val="en-US" w:eastAsia="zh-CN"/>
        </w:rPr>
        <w:t xml:space="preserve">                </w:t>
      </w:r>
    </w:p>
    <w:p w14:paraId="2ACF39D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该项目未涉及生态效益。</w:t>
      </w:r>
    </w:p>
    <w:p w14:paraId="65538339">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4.可持续影响情况</w:t>
      </w:r>
    </w:p>
    <w:p w14:paraId="6B80C28D">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项目持续时间为6个月，</w:t>
      </w:r>
    </w:p>
    <w:p w14:paraId="7AA26DD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楷体" w:hAnsi="楷体" w:eastAsia="楷体" w:cs="楷体"/>
          <w:b w:val="0"/>
          <w:bCs w:val="0"/>
          <w:color w:val="auto"/>
          <w:spacing w:val="-4"/>
          <w:sz w:val="32"/>
          <w:szCs w:val="32"/>
          <w:highlight w:val="none"/>
          <w:lang w:val="en-US" w:eastAsia="zh-CN"/>
        </w:rPr>
      </w:pPr>
      <w:r>
        <w:rPr>
          <w:rStyle w:val="22"/>
          <w:rFonts w:hint="eastAsia" w:ascii="楷体" w:hAnsi="楷体" w:eastAsia="楷体" w:cs="楷体"/>
          <w:b w:val="0"/>
          <w:bCs w:val="0"/>
          <w:color w:val="auto"/>
          <w:spacing w:val="-4"/>
          <w:sz w:val="32"/>
          <w:szCs w:val="32"/>
          <w:highlight w:val="none"/>
          <w:lang w:val="en-US" w:eastAsia="zh-CN"/>
        </w:rPr>
        <w:t>5.服务对象满意度情况</w:t>
      </w:r>
    </w:p>
    <w:p w14:paraId="067637CC">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9"/>
        <w:rPr>
          <w:rFonts w:hint="eastAsia" w:ascii="仿宋_GB2312" w:hAnsi="仿宋_GB2312" w:eastAsia="仿宋_GB2312" w:cs="仿宋_GB2312"/>
          <w:kern w:val="2"/>
          <w:sz w:val="32"/>
          <w:szCs w:val="32"/>
          <w:highlight w:val="none"/>
          <w:lang w:val="en-US" w:eastAsia="zh-CN" w:bidi="ar-SA"/>
        </w:rPr>
      </w:pPr>
      <w:bookmarkStart w:id="72" w:name="_Toc6584"/>
      <w:r>
        <w:rPr>
          <w:rFonts w:hint="eastAsia" w:ascii="仿宋_GB2312" w:hAnsi="仿宋_GB2312" w:eastAsia="仿宋_GB2312" w:cs="仿宋_GB2312"/>
          <w:kern w:val="2"/>
          <w:sz w:val="32"/>
          <w:szCs w:val="32"/>
          <w:highlight w:val="none"/>
          <w:lang w:val="en-US" w:eastAsia="zh-CN" w:bidi="ar-SA"/>
        </w:rPr>
        <w:t>通过走访受益对象，发放调查问卷一共450份，回收有效问卷共计450份，按照调查问卷来看，服务对象对项目实施效果的满意程度达到了100%。</w:t>
      </w:r>
    </w:p>
    <w:p w14:paraId="04C0758A">
      <w:pPr>
        <w:numPr>
          <w:ilvl w:val="0"/>
          <w:numId w:val="0"/>
        </w:num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lang w:val="en-US" w:eastAsia="zh-CN"/>
        </w:rPr>
        <w:t>四、</w:t>
      </w:r>
      <w:r>
        <w:rPr>
          <w:rFonts w:hint="eastAsia" w:ascii="黑体" w:hAnsi="黑体" w:eastAsia="黑体" w:cs="宋体"/>
          <w:sz w:val="32"/>
          <w:szCs w:val="32"/>
          <w:highlight w:val="none"/>
        </w:rPr>
        <w:t>评价结论</w:t>
      </w:r>
      <w:bookmarkEnd w:id="72"/>
    </w:p>
    <w:p w14:paraId="65B38241">
      <w:pPr>
        <w:pStyle w:val="33"/>
        <w:adjustRightInd w:val="0"/>
        <w:snapToGrid w:val="0"/>
        <w:spacing w:line="560" w:lineRule="exact"/>
        <w:ind w:firstLine="643"/>
        <w:outlineLvl w:val="1"/>
        <w:rPr>
          <w:rFonts w:ascii="仿宋_GB2312" w:hAnsi="仿宋" w:eastAsia="仿宋_GB2312" w:cs="宋体"/>
          <w:b/>
          <w:bCs/>
          <w:sz w:val="32"/>
          <w:szCs w:val="32"/>
          <w:highlight w:val="none"/>
        </w:rPr>
      </w:pPr>
      <w:bookmarkStart w:id="73" w:name="_Toc13481"/>
      <w:r>
        <w:rPr>
          <w:rFonts w:hint="eastAsia" w:ascii="仿宋_GB2312" w:hAnsi="仿宋" w:eastAsia="仿宋_GB2312" w:cs="宋体"/>
          <w:b/>
          <w:bCs/>
          <w:sz w:val="32"/>
          <w:szCs w:val="32"/>
          <w:highlight w:val="none"/>
        </w:rPr>
        <w:t>（一）评分结果</w:t>
      </w:r>
      <w:bookmarkEnd w:id="73"/>
    </w:p>
    <w:p w14:paraId="63EF8C9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经综合评价，项目得分为98.5分，评价等级为优，一级指标各项得分情况见下表：</w:t>
      </w:r>
    </w:p>
    <w:p w14:paraId="1CFC7829">
      <w:pPr>
        <w:pStyle w:val="40"/>
        <w:rPr>
          <w:highlight w:val="none"/>
        </w:rPr>
      </w:pPr>
      <w:r>
        <w:rPr>
          <w:rFonts w:hint="eastAsia"/>
          <w:highlight w:val="none"/>
          <w:lang w:eastAsia="zh-CN"/>
        </w:rPr>
        <w:t>202</w:t>
      </w:r>
      <w:r>
        <w:rPr>
          <w:rFonts w:hint="eastAsia"/>
          <w:highlight w:val="none"/>
          <w:lang w:val="en-US" w:eastAsia="zh-CN"/>
        </w:rPr>
        <w:t>1</w:t>
      </w:r>
      <w:r>
        <w:rPr>
          <w:rFonts w:hint="eastAsia"/>
          <w:highlight w:val="none"/>
        </w:rPr>
        <w:t>年度该项目绩效评价</w:t>
      </w:r>
      <w:r>
        <w:rPr>
          <w:highlight w:val="none"/>
        </w:rPr>
        <w:t>得分情况表</w:t>
      </w:r>
    </w:p>
    <w:tbl>
      <w:tblPr>
        <w:tblStyle w:val="19"/>
        <w:tblW w:w="8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7"/>
        <w:gridCol w:w="1543"/>
        <w:gridCol w:w="1413"/>
        <w:gridCol w:w="1152"/>
        <w:gridCol w:w="1290"/>
        <w:gridCol w:w="1388"/>
      </w:tblGrid>
      <w:tr w14:paraId="0B2B1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517" w:type="dxa"/>
            <w:tcBorders>
              <w:bottom w:val="single" w:color="auto" w:sz="4" w:space="0"/>
            </w:tcBorders>
            <w:shd w:val="clear" w:color="auto" w:fill="A6A6A6"/>
            <w:vAlign w:val="center"/>
          </w:tcPr>
          <w:p w14:paraId="26AC7169">
            <w:pPr>
              <w:pStyle w:val="40"/>
              <w:rPr>
                <w:rFonts w:ascii="仿宋" w:hAnsi="仿宋" w:eastAsia="仿宋" w:cs="仿宋"/>
                <w:sz w:val="21"/>
                <w:szCs w:val="21"/>
                <w:highlight w:val="none"/>
              </w:rPr>
            </w:pPr>
            <w:r>
              <w:rPr>
                <w:rFonts w:hint="eastAsia" w:ascii="仿宋" w:hAnsi="仿宋" w:eastAsia="仿宋" w:cs="仿宋"/>
                <w:sz w:val="21"/>
                <w:szCs w:val="21"/>
                <w:highlight w:val="none"/>
              </w:rPr>
              <w:t>指标</w:t>
            </w:r>
          </w:p>
        </w:tc>
        <w:tc>
          <w:tcPr>
            <w:tcW w:w="1543" w:type="dxa"/>
            <w:tcBorders>
              <w:bottom w:val="single" w:color="auto" w:sz="4" w:space="0"/>
            </w:tcBorders>
            <w:shd w:val="clear" w:color="auto" w:fill="A6A6A6"/>
            <w:vAlign w:val="center"/>
          </w:tcPr>
          <w:p w14:paraId="4190AC8E">
            <w:pPr>
              <w:pStyle w:val="40"/>
              <w:rPr>
                <w:rFonts w:ascii="仿宋" w:hAnsi="仿宋" w:eastAsia="仿宋" w:cs="仿宋"/>
                <w:sz w:val="21"/>
                <w:szCs w:val="21"/>
                <w:highlight w:val="none"/>
              </w:rPr>
            </w:pPr>
            <w:r>
              <w:rPr>
                <w:rFonts w:hint="eastAsia" w:ascii="仿宋" w:hAnsi="仿宋" w:eastAsia="仿宋" w:cs="仿宋"/>
                <w:sz w:val="21"/>
                <w:szCs w:val="21"/>
                <w:highlight w:val="none"/>
              </w:rPr>
              <w:t>项目决策</w:t>
            </w:r>
          </w:p>
        </w:tc>
        <w:tc>
          <w:tcPr>
            <w:tcW w:w="1413" w:type="dxa"/>
            <w:tcBorders>
              <w:bottom w:val="single" w:color="auto" w:sz="4" w:space="0"/>
            </w:tcBorders>
            <w:shd w:val="clear" w:color="auto" w:fill="A6A6A6"/>
            <w:vAlign w:val="center"/>
          </w:tcPr>
          <w:p w14:paraId="3364D433">
            <w:pPr>
              <w:pStyle w:val="40"/>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过程</w:t>
            </w:r>
          </w:p>
        </w:tc>
        <w:tc>
          <w:tcPr>
            <w:tcW w:w="1152" w:type="dxa"/>
            <w:tcBorders>
              <w:bottom w:val="single" w:color="auto" w:sz="4" w:space="0"/>
            </w:tcBorders>
            <w:shd w:val="clear" w:color="auto" w:fill="A6A6A6"/>
            <w:vAlign w:val="center"/>
          </w:tcPr>
          <w:p w14:paraId="00832C9E">
            <w:pPr>
              <w:pStyle w:val="40"/>
              <w:rPr>
                <w:rFonts w:hint="default" w:ascii="仿宋" w:hAnsi="仿宋" w:eastAsia="仿宋" w:cs="仿宋"/>
                <w:sz w:val="21"/>
                <w:szCs w:val="21"/>
                <w:highlight w:val="none"/>
                <w:lang w:val="en-US" w:eastAsia="zh-CN"/>
              </w:rPr>
            </w:pPr>
            <w:r>
              <w:rPr>
                <w:rFonts w:hint="eastAsia" w:ascii="仿宋" w:hAnsi="仿宋" w:eastAsia="仿宋" w:cs="仿宋"/>
                <w:sz w:val="21"/>
                <w:szCs w:val="21"/>
                <w:highlight w:val="none"/>
                <w:lang w:val="en-US" w:eastAsia="zh-CN"/>
              </w:rPr>
              <w:t>项目产出</w:t>
            </w:r>
          </w:p>
        </w:tc>
        <w:tc>
          <w:tcPr>
            <w:tcW w:w="1290" w:type="dxa"/>
            <w:tcBorders>
              <w:bottom w:val="single" w:color="auto" w:sz="4" w:space="0"/>
            </w:tcBorders>
            <w:shd w:val="clear" w:color="auto" w:fill="A6A6A6"/>
            <w:vAlign w:val="center"/>
          </w:tcPr>
          <w:p w14:paraId="267D1980">
            <w:pPr>
              <w:pStyle w:val="40"/>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效益</w:t>
            </w:r>
          </w:p>
        </w:tc>
        <w:tc>
          <w:tcPr>
            <w:tcW w:w="1388" w:type="dxa"/>
            <w:tcBorders>
              <w:bottom w:val="single" w:color="auto" w:sz="4" w:space="0"/>
            </w:tcBorders>
            <w:shd w:val="clear" w:color="auto" w:fill="A6A6A6"/>
            <w:vAlign w:val="center"/>
          </w:tcPr>
          <w:p w14:paraId="2D2104BF">
            <w:pPr>
              <w:pStyle w:val="40"/>
              <w:rPr>
                <w:rFonts w:ascii="仿宋" w:hAnsi="仿宋" w:eastAsia="仿宋" w:cs="仿宋"/>
                <w:sz w:val="21"/>
                <w:szCs w:val="21"/>
                <w:highlight w:val="none"/>
              </w:rPr>
            </w:pPr>
            <w:r>
              <w:rPr>
                <w:rFonts w:hint="eastAsia" w:ascii="仿宋" w:hAnsi="仿宋" w:eastAsia="仿宋" w:cs="仿宋"/>
                <w:sz w:val="21"/>
                <w:szCs w:val="21"/>
                <w:highlight w:val="none"/>
              </w:rPr>
              <w:t>合计</w:t>
            </w:r>
          </w:p>
        </w:tc>
      </w:tr>
      <w:tr w14:paraId="1EB066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39F37D20">
            <w:pPr>
              <w:pStyle w:val="40"/>
              <w:rPr>
                <w:rFonts w:ascii="仿宋" w:hAnsi="仿宋" w:eastAsia="仿宋" w:cs="仿宋"/>
                <w:sz w:val="21"/>
                <w:szCs w:val="21"/>
                <w:highlight w:val="none"/>
              </w:rPr>
            </w:pPr>
            <w:r>
              <w:rPr>
                <w:rFonts w:hint="eastAsia" w:ascii="仿宋" w:hAnsi="仿宋" w:eastAsia="仿宋" w:cs="仿宋"/>
                <w:sz w:val="21"/>
                <w:szCs w:val="21"/>
                <w:highlight w:val="none"/>
              </w:rPr>
              <w:t>权重</w:t>
            </w:r>
          </w:p>
        </w:tc>
        <w:tc>
          <w:tcPr>
            <w:tcW w:w="1543" w:type="dxa"/>
            <w:vAlign w:val="center"/>
          </w:tcPr>
          <w:p w14:paraId="3C7D5F56">
            <w:pPr>
              <w:pStyle w:val="40"/>
              <w:rPr>
                <w:rFonts w:hint="eastAsia" w:ascii="仿宋" w:hAnsi="仿宋" w:eastAsia="仿宋" w:cs="仿宋"/>
                <w:b w:val="0"/>
                <w:sz w:val="21"/>
                <w:szCs w:val="21"/>
                <w:highlight w:val="none"/>
                <w:lang w:eastAsia="zh-CN"/>
              </w:rPr>
            </w:pPr>
            <w:r>
              <w:rPr>
                <w:rFonts w:hint="eastAsia" w:ascii="仿宋" w:hAnsi="仿宋" w:eastAsia="仿宋" w:cs="仿宋"/>
                <w:b w:val="0"/>
                <w:sz w:val="21"/>
                <w:szCs w:val="21"/>
                <w:highlight w:val="none"/>
              </w:rPr>
              <w:t>2</w:t>
            </w:r>
            <w:r>
              <w:rPr>
                <w:rFonts w:hint="eastAsia" w:ascii="仿宋" w:hAnsi="仿宋" w:eastAsia="仿宋" w:cs="仿宋"/>
                <w:b w:val="0"/>
                <w:sz w:val="21"/>
                <w:szCs w:val="21"/>
                <w:highlight w:val="none"/>
                <w:lang w:val="en-US" w:eastAsia="zh-CN"/>
              </w:rPr>
              <w:t>0</w:t>
            </w:r>
          </w:p>
        </w:tc>
        <w:tc>
          <w:tcPr>
            <w:tcW w:w="1413" w:type="dxa"/>
            <w:vAlign w:val="center"/>
          </w:tcPr>
          <w:p w14:paraId="3ADD3784">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152" w:type="dxa"/>
            <w:vAlign w:val="center"/>
          </w:tcPr>
          <w:p w14:paraId="63DF94FB">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14:paraId="5DD752FA">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14:paraId="249BD45A">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rPr>
              <w:t>100</w:t>
            </w:r>
          </w:p>
        </w:tc>
      </w:tr>
      <w:tr w14:paraId="11987C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23207186">
            <w:pPr>
              <w:pStyle w:val="40"/>
              <w:rPr>
                <w:rFonts w:ascii="仿宋" w:hAnsi="仿宋" w:eastAsia="仿宋" w:cs="仿宋"/>
                <w:sz w:val="21"/>
                <w:szCs w:val="21"/>
                <w:highlight w:val="none"/>
              </w:rPr>
            </w:pPr>
            <w:r>
              <w:rPr>
                <w:rFonts w:hint="eastAsia" w:ascii="仿宋" w:hAnsi="仿宋" w:eastAsia="仿宋" w:cs="仿宋"/>
                <w:sz w:val="21"/>
                <w:szCs w:val="21"/>
                <w:highlight w:val="none"/>
              </w:rPr>
              <w:t>分值</w:t>
            </w:r>
          </w:p>
        </w:tc>
        <w:tc>
          <w:tcPr>
            <w:tcW w:w="1543" w:type="dxa"/>
            <w:vAlign w:val="center"/>
          </w:tcPr>
          <w:p w14:paraId="39D628F9">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413" w:type="dxa"/>
            <w:vAlign w:val="center"/>
          </w:tcPr>
          <w:p w14:paraId="1D32E6CA">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18.5</w:t>
            </w:r>
          </w:p>
        </w:tc>
        <w:tc>
          <w:tcPr>
            <w:tcW w:w="1152" w:type="dxa"/>
            <w:vAlign w:val="center"/>
          </w:tcPr>
          <w:p w14:paraId="00486666">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14:paraId="3E828FBD">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14:paraId="11B3F105">
            <w:pPr>
              <w:pStyle w:val="40"/>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98.5</w:t>
            </w:r>
          </w:p>
        </w:tc>
      </w:tr>
      <w:tr w14:paraId="4F18CA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14:paraId="45729E36">
            <w:pPr>
              <w:pStyle w:val="40"/>
              <w:rPr>
                <w:rFonts w:ascii="仿宋" w:hAnsi="仿宋" w:eastAsia="仿宋" w:cs="仿宋"/>
                <w:sz w:val="21"/>
                <w:szCs w:val="21"/>
                <w:highlight w:val="none"/>
              </w:rPr>
            </w:pPr>
            <w:r>
              <w:rPr>
                <w:rFonts w:hint="eastAsia" w:ascii="仿宋" w:hAnsi="仿宋" w:eastAsia="仿宋" w:cs="仿宋"/>
                <w:sz w:val="21"/>
                <w:szCs w:val="21"/>
                <w:highlight w:val="none"/>
              </w:rPr>
              <w:t>得分率</w:t>
            </w:r>
          </w:p>
        </w:tc>
        <w:tc>
          <w:tcPr>
            <w:tcW w:w="1543" w:type="dxa"/>
            <w:vAlign w:val="center"/>
          </w:tcPr>
          <w:p w14:paraId="19F4E2D8">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413" w:type="dxa"/>
            <w:vAlign w:val="center"/>
          </w:tcPr>
          <w:p w14:paraId="0E99046C">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92.5</w:t>
            </w:r>
            <w:r>
              <w:rPr>
                <w:rFonts w:hint="eastAsia" w:ascii="仿宋" w:hAnsi="仿宋" w:eastAsia="仿宋" w:cs="仿宋"/>
                <w:b w:val="0"/>
                <w:sz w:val="21"/>
                <w:szCs w:val="21"/>
                <w:highlight w:val="none"/>
              </w:rPr>
              <w:t>%</w:t>
            </w:r>
          </w:p>
        </w:tc>
        <w:tc>
          <w:tcPr>
            <w:tcW w:w="1152" w:type="dxa"/>
            <w:vAlign w:val="center"/>
          </w:tcPr>
          <w:p w14:paraId="77F9E680">
            <w:pPr>
              <w:pStyle w:val="40"/>
              <w:rPr>
                <w:rFonts w:hint="eastAsia"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290" w:type="dxa"/>
            <w:vAlign w:val="center"/>
          </w:tcPr>
          <w:p w14:paraId="404F160C">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388" w:type="dxa"/>
            <w:vAlign w:val="center"/>
          </w:tcPr>
          <w:p w14:paraId="1E6E8D31">
            <w:pPr>
              <w:pStyle w:val="40"/>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98.5</w:t>
            </w:r>
            <w:r>
              <w:rPr>
                <w:rFonts w:hint="eastAsia" w:ascii="仿宋" w:hAnsi="仿宋" w:eastAsia="仿宋" w:cs="仿宋"/>
                <w:b w:val="0"/>
                <w:sz w:val="21"/>
                <w:szCs w:val="21"/>
                <w:highlight w:val="none"/>
              </w:rPr>
              <w:t>%</w:t>
            </w:r>
          </w:p>
        </w:tc>
      </w:tr>
    </w:tbl>
    <w:p w14:paraId="3E306D73">
      <w:pPr>
        <w:pStyle w:val="33"/>
        <w:numPr>
          <w:ilvl w:val="0"/>
          <w:numId w:val="4"/>
        </w:numPr>
        <w:adjustRightInd w:val="0"/>
        <w:snapToGrid w:val="0"/>
        <w:spacing w:line="560" w:lineRule="exact"/>
        <w:ind w:left="0" w:firstLine="643"/>
        <w:rPr>
          <w:rFonts w:ascii="仿宋_GB2312" w:hAnsi="仿宋" w:eastAsia="仿宋_GB2312" w:cs="宋体"/>
          <w:b/>
          <w:bCs/>
          <w:vanish/>
          <w:sz w:val="32"/>
          <w:szCs w:val="32"/>
          <w:highlight w:val="none"/>
        </w:rPr>
      </w:pPr>
      <w:r>
        <w:rPr>
          <w:rFonts w:hint="eastAsia" w:ascii="仿宋_GB2312" w:hAnsi="仿宋" w:eastAsia="仿宋_GB2312" w:cs="宋体"/>
          <w:b/>
          <w:bCs/>
          <w:vanish/>
          <w:sz w:val="32"/>
          <w:szCs w:val="32"/>
          <w:highlight w:val="none"/>
        </w:rPr>
        <w:t>评价结论</w:t>
      </w:r>
    </w:p>
    <w:p w14:paraId="1D7553B0">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74" w:name="_Toc3803"/>
      <w:r>
        <w:rPr>
          <w:rFonts w:hint="eastAsia" w:ascii="仿宋_GB2312" w:hAnsi="仿宋" w:eastAsia="仿宋_GB2312" w:cs="宋体"/>
          <w:b/>
          <w:bCs/>
          <w:sz w:val="32"/>
          <w:szCs w:val="32"/>
          <w:highlight w:val="none"/>
        </w:rPr>
        <w:t>（二）项目总体评价结论</w:t>
      </w:r>
      <w:bookmarkEnd w:id="74"/>
    </w:p>
    <w:p w14:paraId="6652765A">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项目立项较规范，绩效目标合理，绩效指标明确，项目管理制度较健全，制度建设基本有效执行。项目总投资146.40万元，财政资金到位率100%，实际支出146.40万元，预算资金执行率100%。资金使用程序较规范，能够做到专项资金专款专用，未发现截留、挤占、挪用、虚列支出等情况。项目实施后促进了人口长期均衡发展，完善了人口发展战略和发展体系，推动了经济高质量发展，开启了全面建设社会新征程。</w:t>
      </w:r>
    </w:p>
    <w:p w14:paraId="6CDA08F0">
      <w:pPr>
        <w:adjustRightInd w:val="0"/>
        <w:snapToGrid w:val="0"/>
        <w:spacing w:line="560" w:lineRule="exact"/>
        <w:ind w:firstLine="640" w:firstLineChars="200"/>
        <w:jc w:val="left"/>
        <w:outlineLvl w:val="0"/>
        <w:rPr>
          <w:rFonts w:hint="default" w:ascii="黑体" w:hAnsi="黑体" w:eastAsia="黑体" w:cs="宋体"/>
          <w:sz w:val="32"/>
          <w:szCs w:val="32"/>
          <w:highlight w:val="none"/>
          <w:lang w:val="en-US" w:eastAsia="zh-CN"/>
        </w:rPr>
      </w:pPr>
      <w:bookmarkStart w:id="75" w:name="_Toc7267"/>
      <w:r>
        <w:rPr>
          <w:rFonts w:hint="eastAsia" w:ascii="黑体" w:hAnsi="黑体" w:eastAsia="黑体" w:cs="宋体"/>
          <w:sz w:val="32"/>
          <w:szCs w:val="32"/>
          <w:highlight w:val="none"/>
        </w:rPr>
        <w:t>五、问题</w:t>
      </w:r>
      <w:bookmarkEnd w:id="75"/>
      <w:r>
        <w:rPr>
          <w:rFonts w:hint="eastAsia" w:ascii="黑体" w:hAnsi="黑体" w:eastAsia="黑体" w:cs="宋体"/>
          <w:sz w:val="32"/>
          <w:szCs w:val="32"/>
          <w:highlight w:val="none"/>
          <w:lang w:val="en-US" w:eastAsia="zh-CN"/>
        </w:rPr>
        <w:t>及建议</w:t>
      </w:r>
    </w:p>
    <w:p w14:paraId="69061D51">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76" w:name="_Toc2013"/>
      <w:bookmarkStart w:id="77" w:name="_Toc14039"/>
      <w:r>
        <w:rPr>
          <w:rFonts w:hint="eastAsia" w:ascii="仿宋_GB2312" w:hAnsi="仿宋" w:eastAsia="仿宋_GB2312" w:cs="宋体"/>
          <w:b/>
          <w:bCs/>
          <w:sz w:val="32"/>
          <w:szCs w:val="32"/>
          <w:highlight w:val="none"/>
        </w:rPr>
        <w:t>（一）问题</w:t>
      </w:r>
      <w:bookmarkEnd w:id="76"/>
    </w:p>
    <w:p w14:paraId="4383DE70">
      <w:pPr>
        <w:pStyle w:val="33"/>
        <w:adjustRightInd w:val="0"/>
        <w:snapToGrid w:val="0"/>
        <w:spacing w:line="560" w:lineRule="exact"/>
        <w:outlineLvl w:val="1"/>
        <w:rPr>
          <w:rStyle w:val="22"/>
          <w:rFonts w:hint="eastAsia" w:ascii="仿宋_GB2312" w:hAnsi="仿宋_GB2312" w:eastAsia="仿宋_GB2312" w:cs="仿宋_GB2312"/>
          <w:b w:val="0"/>
          <w:bCs w:val="0"/>
          <w:color w:val="auto"/>
          <w:spacing w:val="-4"/>
          <w:sz w:val="32"/>
          <w:szCs w:val="32"/>
          <w:highlight w:val="none"/>
          <w:lang w:val="en-US" w:eastAsia="zh-CN"/>
        </w:rPr>
      </w:pPr>
      <w:bookmarkStart w:id="78" w:name="_Toc4075"/>
      <w:r>
        <w:rPr>
          <w:rStyle w:val="22"/>
          <w:rFonts w:hint="eastAsia" w:ascii="仿宋_GB2312" w:hAnsi="仿宋_GB2312" w:eastAsia="仿宋_GB2312" w:cs="仿宋_GB2312"/>
          <w:b w:val="0"/>
          <w:bCs w:val="0"/>
          <w:color w:val="auto"/>
          <w:spacing w:val="-4"/>
          <w:sz w:val="32"/>
          <w:szCs w:val="32"/>
          <w:highlight w:val="none"/>
          <w:lang w:val="en-US" w:eastAsia="zh-CN"/>
        </w:rPr>
        <w:t>洛浦县统计局对项目资料归档不够重视，项目资料归档不及时。</w:t>
      </w:r>
    </w:p>
    <w:p w14:paraId="57748B79">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val="en-US" w:eastAsia="zh-CN"/>
        </w:rPr>
        <w:t>二</w:t>
      </w:r>
      <w:r>
        <w:rPr>
          <w:rFonts w:hint="eastAsia" w:ascii="仿宋_GB2312" w:hAnsi="仿宋" w:eastAsia="仿宋_GB2312" w:cs="宋体"/>
          <w:b/>
          <w:bCs/>
          <w:sz w:val="32"/>
          <w:szCs w:val="32"/>
          <w:highlight w:val="none"/>
        </w:rPr>
        <w:t>）意见和建议</w:t>
      </w:r>
      <w:bookmarkEnd w:id="78"/>
    </w:p>
    <w:p w14:paraId="58F982FF">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建议项目实施主管单位严格遵守相关项目管理办法，在项目实施过程中，项目资料的收集与项目实施进度保持同步，严格要求各乡镇及时报送资料，避免出现有乡镇漏报资料。</w:t>
      </w:r>
    </w:p>
    <w:p w14:paraId="2F0D2F5F">
      <w:pPr>
        <w:adjustRightInd w:val="0"/>
        <w:snapToGrid w:val="0"/>
        <w:spacing w:line="560" w:lineRule="exact"/>
        <w:ind w:firstLine="640" w:firstLineChars="200"/>
        <w:jc w:val="left"/>
        <w:outlineLvl w:val="0"/>
        <w:rPr>
          <w:rFonts w:ascii="黑体" w:hAnsi="黑体" w:eastAsia="黑体" w:cs="宋体"/>
          <w:sz w:val="32"/>
          <w:szCs w:val="32"/>
          <w:highlight w:val="none"/>
        </w:rPr>
      </w:pPr>
      <w:bookmarkStart w:id="79" w:name="_Toc17475"/>
      <w:r>
        <w:rPr>
          <w:rFonts w:hint="eastAsia" w:ascii="黑体" w:hAnsi="黑体" w:eastAsia="黑体" w:cs="宋体"/>
          <w:sz w:val="32"/>
          <w:szCs w:val="32"/>
          <w:highlight w:val="none"/>
        </w:rPr>
        <w:t>六、主要经验及做法</w:t>
      </w:r>
      <w:bookmarkEnd w:id="77"/>
      <w:bookmarkEnd w:id="79"/>
    </w:p>
    <w:p w14:paraId="0CA1CF4A">
      <w:pPr>
        <w:pStyle w:val="33"/>
        <w:adjustRightInd w:val="0"/>
        <w:snapToGrid w:val="0"/>
        <w:spacing w:line="560" w:lineRule="exact"/>
        <w:ind w:left="0" w:leftChars="0" w:firstLine="643" w:firstLineChars="200"/>
        <w:outlineLvl w:val="1"/>
        <w:rPr>
          <w:rFonts w:ascii="仿宋_GB2312" w:hAnsi="仿宋" w:eastAsia="仿宋_GB2312" w:cs="宋体"/>
          <w:b/>
          <w:bCs/>
          <w:sz w:val="32"/>
          <w:szCs w:val="32"/>
        </w:rPr>
      </w:pPr>
      <w:bookmarkStart w:id="80" w:name="_Toc25465"/>
      <w:bookmarkStart w:id="81" w:name="_Toc32230"/>
      <w:bookmarkStart w:id="82" w:name="_Toc16919"/>
      <w:r>
        <w:rPr>
          <w:rFonts w:hint="eastAsia" w:ascii="仿宋_GB2312" w:hAnsi="仿宋" w:eastAsia="仿宋_GB2312" w:cs="宋体"/>
          <w:b/>
          <w:bCs/>
          <w:sz w:val="32"/>
          <w:szCs w:val="32"/>
        </w:rPr>
        <w:t>（一）项目实施过程有效监控</w:t>
      </w:r>
      <w:bookmarkEnd w:id="80"/>
      <w:bookmarkEnd w:id="81"/>
    </w:p>
    <w:p w14:paraId="27518CC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83" w:name="_Toc22631"/>
      <w:bookmarkStart w:id="84" w:name="_Toc191"/>
      <w:r>
        <w:rPr>
          <w:rStyle w:val="22"/>
          <w:rFonts w:hint="eastAsia" w:ascii="仿宋_GB2312" w:hAnsi="仿宋_GB2312" w:eastAsia="仿宋_GB2312" w:cs="仿宋_GB2312"/>
          <w:b w:val="0"/>
          <w:bCs w:val="0"/>
          <w:color w:val="auto"/>
          <w:spacing w:val="-4"/>
          <w:sz w:val="32"/>
          <w:szCs w:val="32"/>
          <w:highlight w:val="none"/>
          <w:lang w:val="en-US" w:eastAsia="zh-CN"/>
        </w:rPr>
        <w:t>洛浦县财政局针对项目实施全过程进行绩效管理；根据专项资金管理工作，于5月、8月对该项目开展绩效监控，实行项目预算执行率与工作完成进度双监控，并全面把握资金使用效率和项目实施开展进度，督促相关责任人按期保质完成工作。</w:t>
      </w:r>
    </w:p>
    <w:p w14:paraId="20B62DB6">
      <w:pPr>
        <w:adjustRightInd w:val="0"/>
        <w:snapToGrid w:val="0"/>
        <w:spacing w:line="560" w:lineRule="exact"/>
        <w:ind w:firstLine="640"/>
        <w:outlineLvl w:val="1"/>
        <w:rPr>
          <w:rFonts w:ascii="仿宋_GB2312" w:hAnsi="仿宋" w:eastAsia="仿宋_GB2312" w:cs="宋体"/>
          <w:b/>
          <w:bCs/>
          <w:sz w:val="32"/>
          <w:szCs w:val="32"/>
        </w:rPr>
      </w:pPr>
      <w:r>
        <w:rPr>
          <w:rFonts w:hint="eastAsia" w:ascii="仿宋_GB2312" w:hAnsi="仿宋" w:eastAsia="仿宋_GB2312" w:cs="宋体"/>
          <w:b/>
          <w:bCs/>
          <w:sz w:val="32"/>
          <w:szCs w:val="32"/>
        </w:rPr>
        <w:t>（二）强化领导，明确职责，合理安排使用资金</w:t>
      </w:r>
      <w:bookmarkEnd w:id="83"/>
      <w:bookmarkEnd w:id="84"/>
    </w:p>
    <w:bookmarkEnd w:id="82"/>
    <w:p w14:paraId="150CF4D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85" w:name="_Toc13108"/>
      <w:bookmarkStart w:id="86" w:name="_Toc31915"/>
      <w:bookmarkStart w:id="87" w:name="_Toc20562"/>
      <w:bookmarkStart w:id="88" w:name="_Toc30107"/>
      <w:bookmarkStart w:id="89" w:name="_Toc14650"/>
      <w:bookmarkStart w:id="90" w:name="_Toc24288"/>
      <w:bookmarkStart w:id="91" w:name="_Toc7837"/>
      <w:bookmarkStart w:id="92" w:name="_Toc22725"/>
      <w:bookmarkStart w:id="93" w:name="_Toc14723"/>
      <w:r>
        <w:rPr>
          <w:rStyle w:val="22"/>
          <w:rFonts w:hint="eastAsia" w:ascii="仿宋_GB2312" w:hAnsi="仿宋_GB2312" w:eastAsia="仿宋_GB2312" w:cs="仿宋_GB2312"/>
          <w:b w:val="0"/>
          <w:bCs w:val="0"/>
          <w:color w:val="auto"/>
          <w:spacing w:val="-4"/>
          <w:sz w:val="32"/>
          <w:szCs w:val="32"/>
          <w:highlight w:val="none"/>
          <w:lang w:val="en-US" w:eastAsia="zh-CN"/>
        </w:rPr>
        <w:t>项目管理单位按照财务管理制度，认真落实项目工作任务，资金安排、资金配套数额、项目监管制度等方面做出了相应的规定，并高度重视，提高政治站位，牢固树立“花钱必问效、无效必问责”的绩效理念，切实增强绩效管理工作的主动性、积极性，对项目资金进行监管，从而提高资金的效益。</w:t>
      </w:r>
      <w:bookmarkEnd w:id="85"/>
      <w:bookmarkEnd w:id="86"/>
      <w:bookmarkEnd w:id="87"/>
    </w:p>
    <w:p w14:paraId="2D7E2A67">
      <w:pPr>
        <w:tabs>
          <w:tab w:val="left" w:pos="938"/>
        </w:tabs>
        <w:spacing w:line="560" w:lineRule="exact"/>
        <w:ind w:firstLine="640" w:firstLineChars="200"/>
        <w:outlineLvl w:val="0"/>
        <w:rPr>
          <w:rFonts w:ascii="黑体" w:hAnsi="黑体" w:eastAsia="黑体" w:cs="宋体"/>
          <w:sz w:val="32"/>
          <w:szCs w:val="32"/>
        </w:rPr>
      </w:pPr>
      <w:r>
        <w:rPr>
          <w:rFonts w:hint="eastAsia" w:ascii="黑体" w:hAnsi="黑体" w:eastAsia="黑体" w:cs="宋体"/>
          <w:sz w:val="32"/>
          <w:szCs w:val="32"/>
        </w:rPr>
        <w:t>七、评价结果应用建议</w:t>
      </w:r>
      <w:bookmarkEnd w:id="88"/>
      <w:bookmarkEnd w:id="89"/>
    </w:p>
    <w:p w14:paraId="2405ABE9">
      <w:pPr>
        <w:spacing w:line="560" w:lineRule="exact"/>
        <w:ind w:firstLine="643" w:firstLineChars="200"/>
        <w:outlineLvl w:val="1"/>
        <w:rPr>
          <w:rFonts w:ascii="仿宋_GB2312" w:hAnsi="黑体" w:eastAsia="仿宋_GB2312" w:cs="Times New Roman"/>
          <w:b/>
          <w:bCs/>
          <w:sz w:val="32"/>
          <w:szCs w:val="32"/>
        </w:rPr>
      </w:pPr>
      <w:bookmarkStart w:id="94" w:name="_Toc6072"/>
      <w:r>
        <w:rPr>
          <w:rFonts w:hint="eastAsia" w:ascii="仿宋_GB2312" w:hAnsi="黑体" w:eastAsia="仿宋_GB2312" w:cs="Times New Roman"/>
          <w:b/>
          <w:bCs/>
          <w:sz w:val="32"/>
          <w:szCs w:val="32"/>
        </w:rPr>
        <w:t>（一）及时对发现的问题进行整改</w:t>
      </w:r>
      <w:bookmarkEnd w:id="90"/>
      <w:bookmarkEnd w:id="94"/>
    </w:p>
    <w:p w14:paraId="214EE48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95" w:name="_Toc20240"/>
      <w:bookmarkStart w:id="96" w:name="_Toc31513"/>
      <w:r>
        <w:rPr>
          <w:rStyle w:val="22"/>
          <w:rFonts w:hint="eastAsia" w:ascii="仿宋_GB2312" w:hAnsi="仿宋_GB2312" w:eastAsia="仿宋_GB2312" w:cs="仿宋_GB2312"/>
          <w:b w:val="0"/>
          <w:bCs w:val="0"/>
          <w:color w:val="auto"/>
          <w:spacing w:val="-4"/>
          <w:sz w:val="32"/>
          <w:szCs w:val="32"/>
          <w:highlight w:val="none"/>
          <w:lang w:val="en-US" w:eastAsia="zh-CN"/>
        </w:rPr>
        <w:t>在绩效管理工作中，针对绩效评价中发现的问题，建议项目管理单位进行梳理，对能够整改的问题及时进行整改，并将整改过程及佐证资料形成档案，提交财政局进行备案，不能整改的问题以后加强管理，切实提高财政资源配置效率和使用效益。</w:t>
      </w:r>
    </w:p>
    <w:p w14:paraId="7394BC0F">
      <w:pPr>
        <w:numPr>
          <w:ilvl w:val="0"/>
          <w:numId w:val="8"/>
        </w:numPr>
        <w:spacing w:line="560" w:lineRule="exact"/>
        <w:ind w:firstLine="643" w:firstLineChars="200"/>
        <w:outlineLvl w:val="1"/>
        <w:rPr>
          <w:rFonts w:hint="eastAsia" w:ascii="仿宋_GB2312" w:hAnsi="黑体" w:eastAsia="仿宋_GB2312" w:cs="Times New Roman"/>
          <w:b/>
          <w:bCs/>
          <w:sz w:val="32"/>
          <w:szCs w:val="32"/>
        </w:rPr>
      </w:pPr>
      <w:r>
        <w:rPr>
          <w:rFonts w:hint="eastAsia" w:ascii="仿宋_GB2312" w:hAnsi="黑体" w:eastAsia="仿宋_GB2312" w:cs="Times New Roman"/>
          <w:b/>
          <w:bCs/>
          <w:sz w:val="32"/>
          <w:szCs w:val="32"/>
        </w:rPr>
        <w:t>建立绩效评价结果应用制度</w:t>
      </w:r>
      <w:bookmarkEnd w:id="95"/>
      <w:bookmarkEnd w:id="96"/>
    </w:p>
    <w:p w14:paraId="70C7118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绩效评价结果应用，既是开展绩效评价工作的基本前提，又是加强财政支出管理、增强资金绩效理念、合理配置公共资源、优化财政支出结构、强化资金管理水平、提高资金使用效益的重要手段。为使绩效评价结果得到合理应用，应将此次绩效评价结果作为以后年度建设资金分配的重要依据。应将此次绩效评价结果作为以后年度建设资金分配的重要依据。</w:t>
      </w:r>
    </w:p>
    <w:p w14:paraId="7B7150F0">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1.建议建立实施绩效评价结果公开制度（结果反馈制度、结果共享制度、结果报告制度、结果公示制度）；</w:t>
      </w:r>
    </w:p>
    <w:p w14:paraId="0C599289">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2.建议建立绩效评价结果通报、约谈和问责机制；</w:t>
      </w:r>
    </w:p>
    <w:p w14:paraId="760F0987">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3.建议建立绩效评价结果在部门预算中激励与约束挂钩机制；</w:t>
      </w:r>
    </w:p>
    <w:p w14:paraId="1CD1FD2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4.建议建立评价结果惩处机制。</w:t>
      </w:r>
    </w:p>
    <w:p w14:paraId="3E71D380">
      <w:pPr>
        <w:spacing w:line="560" w:lineRule="exact"/>
        <w:ind w:firstLine="643" w:firstLineChars="200"/>
        <w:outlineLvl w:val="1"/>
        <w:rPr>
          <w:rFonts w:ascii="仿宋_GB2312" w:hAnsi="黑体" w:eastAsia="仿宋_GB2312" w:cs="Times New Roman"/>
          <w:b/>
          <w:bCs/>
          <w:sz w:val="32"/>
          <w:szCs w:val="32"/>
        </w:rPr>
      </w:pPr>
      <w:bookmarkStart w:id="97" w:name="_Toc5443"/>
      <w:bookmarkStart w:id="98" w:name="_Toc10628"/>
      <w:r>
        <w:rPr>
          <w:rFonts w:hint="eastAsia" w:ascii="仿宋_GB2312" w:hAnsi="黑体" w:eastAsia="仿宋_GB2312" w:cs="Times New Roman"/>
          <w:b/>
          <w:bCs/>
          <w:sz w:val="32"/>
          <w:szCs w:val="32"/>
        </w:rPr>
        <w:t>（三）</w:t>
      </w:r>
      <w:r>
        <w:rPr>
          <w:rFonts w:hint="eastAsia" w:ascii="仿宋_GB2312" w:hAnsi="黑体" w:eastAsia="仿宋_GB2312" w:cs="Times New Roman"/>
          <w:b/>
          <w:bCs/>
          <w:sz w:val="32"/>
          <w:szCs w:val="32"/>
          <w:lang w:val="en-US" w:eastAsia="zh-CN"/>
        </w:rPr>
        <w:t>强化</w:t>
      </w:r>
      <w:r>
        <w:rPr>
          <w:rFonts w:hint="eastAsia" w:ascii="仿宋_GB2312" w:hAnsi="黑体" w:eastAsia="仿宋_GB2312" w:cs="Times New Roman"/>
          <w:b/>
          <w:bCs/>
          <w:sz w:val="32"/>
          <w:szCs w:val="32"/>
        </w:rPr>
        <w:t>绩效评价结果应用</w:t>
      </w:r>
      <w:bookmarkEnd w:id="97"/>
      <w:bookmarkEnd w:id="98"/>
    </w:p>
    <w:p w14:paraId="4E5BC38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一是严格落实评价结果与预算安排挂钩制度。要严格执行《洛浦县财政支出绩效评价结果应用暂行办法》文件规定，充分应用评价结果，对低效无效资金一律削减或取消。</w:t>
      </w:r>
    </w:p>
    <w:p w14:paraId="289CCB1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二是将此次评价工作开展情况及评价结果纳入洛浦县全面实施预算绩效管理年度综合评价考核范畴，年终形成总结报告，上报县政府、发改委和县人大。</w:t>
      </w:r>
    </w:p>
    <w:p w14:paraId="1BAAFD83">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三是进一步加大对评价结果的应用，洛浦县2021年度项目绩效评价情况，可作为以后年度部门单位项目预算编制和安排财政资金的重要依据。</w:t>
      </w:r>
    </w:p>
    <w:p w14:paraId="4848F60E">
      <w:pPr>
        <w:spacing w:line="560" w:lineRule="exact"/>
        <w:ind w:firstLine="643" w:firstLineChars="200"/>
        <w:outlineLvl w:val="1"/>
        <w:rPr>
          <w:rFonts w:ascii="仿宋_GB2312" w:hAnsi="黑体" w:eastAsia="仿宋_GB2312" w:cs="Times New Roman"/>
          <w:b/>
          <w:bCs/>
          <w:sz w:val="32"/>
          <w:szCs w:val="32"/>
        </w:rPr>
      </w:pPr>
      <w:bookmarkStart w:id="99" w:name="_Toc13172"/>
      <w:bookmarkStart w:id="100" w:name="_Toc4069"/>
      <w:r>
        <w:rPr>
          <w:rFonts w:hint="eastAsia" w:ascii="仿宋_GB2312" w:hAnsi="黑体" w:eastAsia="仿宋_GB2312" w:cs="Times New Roman"/>
          <w:b/>
          <w:bCs/>
          <w:sz w:val="32"/>
          <w:szCs w:val="32"/>
        </w:rPr>
        <w:t>（四）评价结果公开</w:t>
      </w:r>
      <w:bookmarkEnd w:id="99"/>
      <w:bookmarkEnd w:id="100"/>
    </w:p>
    <w:p w14:paraId="6A2AD106">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建议按照政府信息公开管理的相关规定将绩效评价结果（涉密信息除外）向社会公开评价结果，提高工作透明度，接受社会公众的监督。</w:t>
      </w:r>
      <w:bookmarkEnd w:id="91"/>
    </w:p>
    <w:p w14:paraId="5C19C463">
      <w:pPr>
        <w:tabs>
          <w:tab w:val="left" w:pos="938"/>
        </w:tabs>
        <w:spacing w:line="560" w:lineRule="exact"/>
        <w:ind w:firstLine="640" w:firstLineChars="200"/>
        <w:outlineLvl w:val="0"/>
        <w:rPr>
          <w:rFonts w:hint="eastAsia" w:ascii="黑体" w:hAnsi="黑体" w:eastAsia="黑体" w:cs="宋体"/>
          <w:sz w:val="32"/>
          <w:szCs w:val="32"/>
          <w:lang w:val="en-US" w:eastAsia="zh-CN"/>
        </w:rPr>
      </w:pPr>
      <w:bookmarkStart w:id="101" w:name="_Toc17018"/>
      <w:r>
        <w:rPr>
          <w:rFonts w:hint="eastAsia" w:ascii="黑体" w:hAnsi="黑体" w:eastAsia="黑体" w:cs="宋体"/>
          <w:sz w:val="32"/>
          <w:szCs w:val="32"/>
          <w:lang w:val="en-US" w:eastAsia="zh-CN"/>
        </w:rPr>
        <w:t>八、其他需说明的问题</w:t>
      </w:r>
      <w:bookmarkEnd w:id="92"/>
      <w:bookmarkEnd w:id="93"/>
      <w:bookmarkEnd w:id="101"/>
    </w:p>
    <w:p w14:paraId="2F744469">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第一，该项目部分间接产生的效果无法准确在短期内衡量，因此很难认定项目产生的全部效果。通过指标来反映绩效，指标的科学性和全面性需要不断地完善和研究。</w:t>
      </w:r>
    </w:p>
    <w:p w14:paraId="2AB320F1">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第二，评价结果作为安排政府预算、完善政策和改进管理的重要依据。原则上，对评价等级为优、良的，根据情况予以支持；对评价等级为中、差的，要完善政策、改进管理，根据情况核减预算。</w:t>
      </w:r>
    </w:p>
    <w:p w14:paraId="0CFBF6C8">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第三，评价结果分别编入政府决算和部门预算，报送本级人民代表大会常务委员会，并依法予以公开。</w:t>
      </w:r>
    </w:p>
    <w:p w14:paraId="79D88C8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第四，对使用财政资金严重低效无效并造成重大损失的责任人，要按照相关规定追责问责。对绩效评价过程中发现的资金使用单位和个人的财政违法行为，依照《中华人民共和国预算法》、《财政违法行为处罚处分条例》等有关规定追究责任；发现违纪违法问题线索的，应当及时移送纪检监察机关。</w:t>
      </w:r>
    </w:p>
    <w:p w14:paraId="59F6B225">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第五，各级财政部门、预算部门和单位及其工作人员在绩效评价管理工作中存在违反《项目支出绩效评价管理办法》（财预〔2020〕10号）文件行为，以及其他滥用职权、玩忽职守、徇私舞弊等违法违纪行为的，依照《中华人民共和国预算法》、《中华人民共和国公务员法》、《中华人民共和国监察法》、《财政违法行为处罚处分条例》等国家有关规定追究相应责任；涉嫌犯罪的，依法移送司法机关处理。</w:t>
      </w:r>
    </w:p>
    <w:p w14:paraId="7CAE22F4">
      <w:pPr>
        <w:adjustRightInd w:val="0"/>
        <w:snapToGrid w:val="0"/>
        <w:spacing w:line="560" w:lineRule="exact"/>
        <w:ind w:firstLine="640" w:firstLineChars="200"/>
        <w:jc w:val="left"/>
        <w:outlineLvl w:val="0"/>
        <w:rPr>
          <w:rFonts w:ascii="黑体" w:hAnsi="黑体" w:eastAsia="黑体" w:cs="宋体"/>
          <w:sz w:val="32"/>
          <w:szCs w:val="32"/>
        </w:rPr>
      </w:pPr>
      <w:bookmarkStart w:id="102" w:name="_Toc25791"/>
      <w:r>
        <w:rPr>
          <w:rFonts w:hint="eastAsia" w:ascii="黑体" w:hAnsi="黑体" w:eastAsia="黑体" w:cs="宋体"/>
          <w:sz w:val="32"/>
          <w:szCs w:val="32"/>
        </w:rPr>
        <w:t>九、附件</w:t>
      </w:r>
      <w:bookmarkEnd w:id="102"/>
    </w:p>
    <w:bookmarkEnd w:id="30"/>
    <w:p w14:paraId="7EC60BA0">
      <w:pPr>
        <w:pStyle w:val="33"/>
        <w:numPr>
          <w:ilvl w:val="0"/>
          <w:numId w:val="4"/>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附件</w:t>
      </w:r>
    </w:p>
    <w:p w14:paraId="156A1D92">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bookmarkStart w:id="103" w:name="_Toc3379"/>
      <w:bookmarkStart w:id="104" w:name="_Toc9070"/>
      <w:bookmarkStart w:id="105" w:name="_Toc13969"/>
      <w:bookmarkStart w:id="106" w:name="_Toc11156"/>
      <w:bookmarkStart w:id="107" w:name="_Toc5066"/>
      <w:r>
        <w:rPr>
          <w:rStyle w:val="22"/>
          <w:rFonts w:hint="eastAsia" w:ascii="仿宋_GB2312" w:hAnsi="仿宋_GB2312" w:eastAsia="仿宋_GB2312" w:cs="仿宋_GB2312"/>
          <w:b w:val="0"/>
          <w:bCs w:val="0"/>
          <w:color w:val="auto"/>
          <w:spacing w:val="-4"/>
          <w:sz w:val="32"/>
          <w:szCs w:val="32"/>
          <w:highlight w:val="none"/>
          <w:lang w:val="en-US" w:eastAsia="zh-CN"/>
        </w:rPr>
        <w:t>附件一、第七次全国人口普查项目项目支出绩效评价指标体系</w:t>
      </w:r>
      <w:bookmarkEnd w:id="103"/>
      <w:bookmarkEnd w:id="104"/>
      <w:bookmarkEnd w:id="105"/>
      <w:bookmarkEnd w:id="106"/>
      <w:bookmarkEnd w:id="107"/>
    </w:p>
    <w:p w14:paraId="578E9A3C">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bookmarkStart w:id="108" w:name="_Toc17647"/>
      <w:bookmarkStart w:id="109" w:name="_Toc5753"/>
      <w:bookmarkStart w:id="110" w:name="_Toc32762"/>
      <w:bookmarkStart w:id="111" w:name="_Toc31506"/>
      <w:bookmarkStart w:id="112" w:name="_Toc19426"/>
      <w:r>
        <w:rPr>
          <w:rStyle w:val="22"/>
          <w:rFonts w:hint="eastAsia" w:ascii="仿宋_GB2312" w:hAnsi="仿宋_GB2312" w:eastAsia="仿宋_GB2312" w:cs="仿宋_GB2312"/>
          <w:b w:val="0"/>
          <w:bCs w:val="0"/>
          <w:color w:val="auto"/>
          <w:spacing w:val="-4"/>
          <w:sz w:val="32"/>
          <w:szCs w:val="32"/>
          <w:highlight w:val="none"/>
          <w:lang w:val="en-US" w:eastAsia="zh-CN"/>
        </w:rPr>
        <w:t>附件二、第七次全国人口普查项目项目资金使用明细表</w:t>
      </w:r>
      <w:bookmarkEnd w:id="108"/>
      <w:bookmarkEnd w:id="109"/>
      <w:bookmarkEnd w:id="110"/>
      <w:bookmarkEnd w:id="111"/>
      <w:bookmarkEnd w:id="112"/>
    </w:p>
    <w:p w14:paraId="65E243C4">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bookmarkStart w:id="113" w:name="_Toc22995"/>
      <w:bookmarkStart w:id="114" w:name="_Toc27746"/>
      <w:bookmarkStart w:id="115" w:name="_Toc16544"/>
      <w:bookmarkStart w:id="116" w:name="_Toc21161"/>
      <w:bookmarkStart w:id="117" w:name="_Toc27332"/>
      <w:r>
        <w:rPr>
          <w:rStyle w:val="22"/>
          <w:rFonts w:hint="eastAsia" w:ascii="仿宋_GB2312" w:hAnsi="仿宋_GB2312" w:eastAsia="仿宋_GB2312" w:cs="仿宋_GB2312"/>
          <w:b w:val="0"/>
          <w:bCs w:val="0"/>
          <w:color w:val="auto"/>
          <w:spacing w:val="-4"/>
          <w:sz w:val="32"/>
          <w:szCs w:val="32"/>
          <w:highlight w:val="none"/>
          <w:lang w:val="en-US" w:eastAsia="zh-CN"/>
        </w:rPr>
        <w:t>附件三、第七次全国人口普查项目项目绩效评价工作记录单</w:t>
      </w:r>
      <w:bookmarkEnd w:id="113"/>
      <w:bookmarkEnd w:id="114"/>
      <w:bookmarkEnd w:id="115"/>
      <w:bookmarkEnd w:id="116"/>
      <w:bookmarkEnd w:id="117"/>
      <w:bookmarkStart w:id="118" w:name="_Toc20564"/>
      <w:bookmarkStart w:id="119" w:name="_Toc18769"/>
      <w:bookmarkStart w:id="120" w:name="_Toc16822"/>
    </w:p>
    <w:p w14:paraId="2AB6DD50">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bookmarkStart w:id="121" w:name="_Toc27218"/>
      <w:r>
        <w:rPr>
          <w:rStyle w:val="22"/>
          <w:rFonts w:hint="eastAsia" w:ascii="仿宋_GB2312" w:hAnsi="仿宋_GB2312" w:eastAsia="仿宋_GB2312" w:cs="仿宋_GB2312"/>
          <w:b w:val="0"/>
          <w:bCs w:val="0"/>
          <w:color w:val="auto"/>
          <w:spacing w:val="-4"/>
          <w:sz w:val="32"/>
          <w:szCs w:val="32"/>
          <w:highlight w:val="none"/>
          <w:lang w:val="en-US" w:eastAsia="zh-CN"/>
        </w:rPr>
        <w:t>附件四、第七次全国人口普查项目项目调查问卷统计表</w:t>
      </w:r>
      <w:bookmarkEnd w:id="118"/>
      <w:bookmarkEnd w:id="119"/>
      <w:bookmarkEnd w:id="120"/>
      <w:bookmarkEnd w:id="121"/>
    </w:p>
    <w:p w14:paraId="44DC0C2E">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p>
    <w:p w14:paraId="678C0DD3">
      <w:pPr>
        <w:pageBreakBefore w:val="0"/>
        <w:widowControl w:val="0"/>
        <w:kinsoku/>
        <w:wordWrap/>
        <w:overflowPunct/>
        <w:topLinePunct w:val="0"/>
        <w:autoSpaceDE/>
        <w:autoSpaceDN/>
        <w:bidi w:val="0"/>
        <w:spacing w:line="560" w:lineRule="exact"/>
        <w:ind w:firstLine="624" w:firstLineChars="200"/>
        <w:textAlignment w:val="auto"/>
        <w:outlineLvl w:val="9"/>
        <w:rPr>
          <w:rStyle w:val="22"/>
          <w:rFonts w:hint="default" w:ascii="仿宋_GB2312" w:hAnsi="仿宋_GB2312" w:eastAsia="仿宋_GB2312" w:cs="仿宋_GB2312"/>
          <w:b w:val="0"/>
          <w:bCs w:val="0"/>
          <w:color w:val="auto"/>
          <w:spacing w:val="-4"/>
          <w:sz w:val="32"/>
          <w:szCs w:val="32"/>
          <w:highlight w:val="none"/>
          <w:lang w:val="en-US" w:eastAsia="zh-CN"/>
        </w:rPr>
      </w:pPr>
    </w:p>
    <w:p w14:paraId="5857B42D">
      <w:pPr>
        <w:pageBreakBefore w:val="0"/>
        <w:widowControl w:val="0"/>
        <w:kinsoku/>
        <w:wordWrap/>
        <w:overflowPunct/>
        <w:topLinePunct w:val="0"/>
        <w:autoSpaceDE/>
        <w:autoSpaceDN/>
        <w:bidi w:val="0"/>
        <w:spacing w:line="560" w:lineRule="exact"/>
        <w:ind w:firstLine="624" w:firstLineChars="200"/>
        <w:jc w:val="right"/>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中瑞诚会计师事务所（特殊普通合伙）喀什分所</w:t>
      </w:r>
    </w:p>
    <w:p w14:paraId="0FA4E52D">
      <w:pPr>
        <w:pageBreakBefore w:val="0"/>
        <w:widowControl w:val="0"/>
        <w:kinsoku/>
        <w:wordWrap/>
        <w:overflowPunct/>
        <w:topLinePunct w:val="0"/>
        <w:autoSpaceDE/>
        <w:autoSpaceDN/>
        <w:bidi w:val="0"/>
        <w:spacing w:line="560" w:lineRule="exact"/>
        <w:ind w:firstLine="624" w:firstLineChars="200"/>
        <w:jc w:val="right"/>
        <w:textAlignment w:val="auto"/>
        <w:outlineLvl w:val="9"/>
        <w:rPr>
          <w:rStyle w:val="22"/>
          <w:rFonts w:hint="eastAsia" w:ascii="仿宋_GB2312" w:hAnsi="仿宋_GB2312" w:eastAsia="仿宋_GB2312" w:cs="仿宋_GB2312"/>
          <w:b w:val="0"/>
          <w:bCs w:val="0"/>
          <w:color w:val="auto"/>
          <w:spacing w:val="-4"/>
          <w:sz w:val="32"/>
          <w:szCs w:val="32"/>
          <w:highlight w:val="none"/>
          <w:lang w:val="en-US" w:eastAsia="zh-CN"/>
        </w:rPr>
      </w:pPr>
      <w:r>
        <w:rPr>
          <w:rStyle w:val="22"/>
          <w:rFonts w:hint="eastAsia" w:ascii="仿宋_GB2312" w:hAnsi="仿宋_GB2312" w:eastAsia="仿宋_GB2312" w:cs="仿宋_GB2312"/>
          <w:b w:val="0"/>
          <w:bCs w:val="0"/>
          <w:color w:val="auto"/>
          <w:spacing w:val="-4"/>
          <w:sz w:val="32"/>
          <w:szCs w:val="32"/>
          <w:highlight w:val="none"/>
          <w:lang w:val="en-US" w:eastAsia="zh-CN"/>
        </w:rPr>
        <w:t xml:space="preserve">  2022年06月30日</w:t>
      </w:r>
    </w:p>
    <w:sectPr>
      <w:footerReference r:id="rId3"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67D4A7D9-ADBF-4536-8953-D2963278285F}"/>
  </w:font>
  <w:font w:name="Arial">
    <w:panose1 w:val="020B0604020202020204"/>
    <w:charset w:val="01"/>
    <w:family w:val="swiss"/>
    <w:pitch w:val="default"/>
    <w:sig w:usb0="E0002EFF" w:usb1="C000785B" w:usb2="00000009" w:usb3="00000000" w:csb0="400001FF" w:csb1="FFFF0000"/>
    <w:embedRegular r:id="rId2" w:fontKey="{3C601735-A3D4-4799-A03A-B61135AEF8C8}"/>
  </w:font>
  <w:font w:name="黑体">
    <w:panose1 w:val="02010609060101010101"/>
    <w:charset w:val="86"/>
    <w:family w:val="auto"/>
    <w:pitch w:val="default"/>
    <w:sig w:usb0="800002BF" w:usb1="38CF7CFA" w:usb2="00000016" w:usb3="00000000" w:csb0="00040001" w:csb1="00000000"/>
    <w:embedRegular r:id="rId3" w:fontKey="{E3F21FBF-950F-417A-91B8-A26F7DF995C7}"/>
  </w:font>
  <w:font w:name="Courier New">
    <w:panose1 w:val="02070309020205020404"/>
    <w:charset w:val="01"/>
    <w:family w:val="modern"/>
    <w:pitch w:val="default"/>
    <w:sig w:usb0="E0002EFF" w:usb1="C0007843" w:usb2="00000009" w:usb3="00000000" w:csb0="400001FF" w:csb1="FFFF0000"/>
    <w:embedRegular r:id="rId4" w:fontKey="{6BDEFD25-9B6D-4FE4-B652-7A557A7563E7}"/>
  </w:font>
  <w:font w:name="Symbol">
    <w:panose1 w:val="05050102010706020507"/>
    <w:charset w:val="02"/>
    <w:family w:val="roman"/>
    <w:pitch w:val="default"/>
    <w:sig w:usb0="00000000" w:usb1="00000000" w:usb2="00000000" w:usb3="00000000" w:csb0="80000000" w:csb1="00000000"/>
    <w:embedRegular r:id="rId5" w:fontKey="{A474EE9B-ECD6-4288-BEF3-6E90ACC2515E}"/>
  </w:font>
  <w:font w:name="Calibri">
    <w:panose1 w:val="020F0502020204030204"/>
    <w:charset w:val="00"/>
    <w:family w:val="swiss"/>
    <w:pitch w:val="default"/>
    <w:sig w:usb0="E4002EFF" w:usb1="C200247B" w:usb2="00000009" w:usb3="00000000" w:csb0="200001FF" w:csb1="00000000"/>
    <w:embedRegular r:id="rId6" w:fontKey="{AAE84962-93AA-4203-90EE-B3DCA2C7A95E}"/>
  </w:font>
  <w:font w:name="仿宋">
    <w:panose1 w:val="02010609060101010101"/>
    <w:charset w:val="86"/>
    <w:family w:val="auto"/>
    <w:pitch w:val="default"/>
    <w:sig w:usb0="800002BF" w:usb1="38CF7CFA" w:usb2="00000016" w:usb3="00000000" w:csb0="00040001" w:csb1="00000000"/>
    <w:embedRegular r:id="rId7" w:fontKey="{2F70DB61-92AE-4C9B-A4FE-8DEB164D7674}"/>
  </w:font>
  <w:font w:name="Cambria">
    <w:panose1 w:val="02040503050406030204"/>
    <w:charset w:val="00"/>
    <w:family w:val="roman"/>
    <w:pitch w:val="default"/>
    <w:sig w:usb0="E00006FF" w:usb1="420024FF" w:usb2="02000000" w:usb3="00000000" w:csb0="2000019F" w:csb1="00000000"/>
    <w:embedRegular r:id="rId8" w:fontKey="{C2C03700-887F-4B34-85FA-D389BE301905}"/>
  </w:font>
  <w:font w:name="HYb2gj">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9" w:fontKey="{4AAB0AD2-9EC2-45CA-8490-5DB1801A3EF2}"/>
  </w:font>
  <w:font w:name="微软雅黑">
    <w:panose1 w:val="020B0503020204020204"/>
    <w:charset w:val="86"/>
    <w:family w:val="auto"/>
    <w:pitch w:val="default"/>
    <w:sig w:usb0="80000287" w:usb1="2ACF3C50" w:usb2="00000016" w:usb3="00000000" w:csb0="0004001F" w:csb1="00000000"/>
    <w:embedRegular r:id="rId10" w:fontKey="{6A9F591B-ECD6-4039-895B-3912B99EC6DC}"/>
  </w:font>
  <w:font w:name="方正小标宋_GBK">
    <w:panose1 w:val="02000000000000000000"/>
    <w:charset w:val="86"/>
    <w:family w:val="script"/>
    <w:pitch w:val="default"/>
    <w:sig w:usb0="A00002BF" w:usb1="38CF7CFA" w:usb2="00082016" w:usb3="00000000" w:csb0="00040001" w:csb1="00000000"/>
    <w:embedRegular r:id="rId11" w:fontKey="{97910C7E-F58B-4050-A128-48717C1466C4}"/>
  </w:font>
  <w:font w:name="华文中宋">
    <w:panose1 w:val="02010600040101010101"/>
    <w:charset w:val="86"/>
    <w:family w:val="auto"/>
    <w:pitch w:val="default"/>
    <w:sig w:usb0="00000287" w:usb1="080F0000" w:usb2="00000000" w:usb3="00000000" w:csb0="0004009F" w:csb1="DFD70000"/>
    <w:embedRegular r:id="rId12" w:fontKey="{C19B189D-AD98-4754-AD0D-17FC793BDF98}"/>
  </w:font>
  <w:font w:name="楷体">
    <w:panose1 w:val="02010609060101010101"/>
    <w:charset w:val="86"/>
    <w:family w:val="modern"/>
    <w:pitch w:val="default"/>
    <w:sig w:usb0="800002BF" w:usb1="38CF7CFA" w:usb2="00000016" w:usb3="00000000" w:csb0="00040001" w:csb1="00000000"/>
    <w:embedRegular r:id="rId13" w:fontKey="{110C760A-88DD-4743-8779-3B964807853E}"/>
  </w:font>
  <w:font w:name="WPSEMBED4">
    <w:panose1 w:val="02010609030101010101"/>
    <w:charset w:val="86"/>
    <w:family w:val="auto"/>
    <w:pitch w:val="default"/>
    <w:sig w:usb0="00000001" w:usb1="080E0000" w:usb2="00000000" w:usb3="00000000" w:csb0="00040000" w:csb1="00000000"/>
  </w:font>
  <w:font w:name="WPSEMBED5">
    <w:panose1 w:val="02000000000000000000"/>
    <w:charset w:val="86"/>
    <w:family w:val="auto"/>
    <w:pitch w:val="default"/>
    <w:sig w:usb0="A00002BF" w:usb1="38CF7CFA" w:usb2="00082016" w:usb3="00000000" w:csb0="00040001" w:csb1="00000000"/>
  </w:font>
  <w:font w:name="WPSEMBED6">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C78352">
    <w:pPr>
      <w:pStyle w:val="11"/>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C4F231">
                          <w:pPr>
                            <w:pStyle w:val="11"/>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cYOQyAgAAY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Zg8y8JG&#10;by2P0FEeb5eHADmTylGUTgl0Jx4we6lPlz2Jw/3nOUU9/TcsH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Zxg5DICAABjBAAADgAAAAAAAAABACAAAAAfAQAAZHJzL2Uyb0RvYy54bWxQSwUG&#10;AAAAAAYABgBZAQAAwwUAAAAA&#10;">
              <v:fill on="f" focussize="0,0"/>
              <v:stroke on="f" weight="0.5pt"/>
              <v:imagedata o:title=""/>
              <o:lock v:ext="edit" aspectratio="f"/>
              <v:textbox inset="0mm,0mm,0mm,0mm" style="mso-fit-shape-to-text:t;">
                <w:txbxContent>
                  <w:p w14:paraId="3EC4F231">
                    <w:pPr>
                      <w:pStyle w:val="11"/>
                    </w:pPr>
                    <w:r>
                      <w:fldChar w:fldCharType="begin"/>
                    </w:r>
                    <w:r>
                      <w:instrText xml:space="preserve"> PAGE  \* MERGEFORMAT </w:instrText>
                    </w:r>
                    <w:r>
                      <w:fldChar w:fldCharType="separate"/>
                    </w:r>
                    <w:r>
                      <w:t>13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09717B"/>
    <w:multiLevelType w:val="singleLevel"/>
    <w:tmpl w:val="A809717B"/>
    <w:lvl w:ilvl="0" w:tentative="0">
      <w:start w:val="2"/>
      <w:numFmt w:val="chineseCounting"/>
      <w:suff w:val="nothing"/>
      <w:lvlText w:val="（%1）"/>
      <w:lvlJc w:val="left"/>
      <w:rPr>
        <w:rFonts w:hint="eastAsia"/>
      </w:rPr>
    </w:lvl>
  </w:abstractNum>
  <w:abstractNum w:abstractNumId="1">
    <w:nsid w:val="E8DA9C4C"/>
    <w:multiLevelType w:val="singleLevel"/>
    <w:tmpl w:val="E8DA9C4C"/>
    <w:lvl w:ilvl="0" w:tentative="0">
      <w:start w:val="5"/>
      <w:numFmt w:val="chineseCounting"/>
      <w:suff w:val="nothing"/>
      <w:lvlText w:val="（%1）"/>
      <w:lvlJc w:val="left"/>
      <w:rPr>
        <w:rFonts w:hint="eastAsia"/>
      </w:rPr>
    </w:lvl>
  </w:abstractNum>
  <w:abstractNum w:abstractNumId="2">
    <w:nsid w:val="ED537D19"/>
    <w:multiLevelType w:val="singleLevel"/>
    <w:tmpl w:val="ED537D19"/>
    <w:lvl w:ilvl="0" w:tentative="0">
      <w:start w:val="2"/>
      <w:numFmt w:val="decimal"/>
      <w:lvlText w:val="(%1)"/>
      <w:lvlJc w:val="left"/>
      <w:pPr>
        <w:tabs>
          <w:tab w:val="left" w:pos="312"/>
        </w:tabs>
      </w:pPr>
    </w:lvl>
  </w:abstractNum>
  <w:abstractNum w:abstractNumId="3">
    <w:nsid w:val="06830D9A"/>
    <w:multiLevelType w:val="multilevel"/>
    <w:tmpl w:val="06830D9A"/>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702"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4BBB029A"/>
    <w:multiLevelType w:val="multilevel"/>
    <w:tmpl w:val="4BBB029A"/>
    <w:lvl w:ilvl="0" w:tentative="0">
      <w:start w:val="1"/>
      <w:numFmt w:val="decimal"/>
      <w:pStyle w:val="3"/>
      <w:lvlText w:val="%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586DE0EC"/>
    <w:multiLevelType w:val="singleLevel"/>
    <w:tmpl w:val="586DE0EC"/>
    <w:lvl w:ilvl="0" w:tentative="0">
      <w:start w:val="1"/>
      <w:numFmt w:val="decimal"/>
      <w:suff w:val="nothing"/>
      <w:lvlText w:val="（%1）"/>
      <w:lvlJc w:val="left"/>
    </w:lvl>
  </w:abstractNum>
  <w:abstractNum w:abstractNumId="6">
    <w:nsid w:val="5B6C49D9"/>
    <w:multiLevelType w:val="singleLevel"/>
    <w:tmpl w:val="5B6C49D9"/>
    <w:lvl w:ilvl="0" w:tentative="0">
      <w:start w:val="1"/>
      <w:numFmt w:val="chineseCounting"/>
      <w:suff w:val="nothing"/>
      <w:lvlText w:val="%1、"/>
      <w:lvlJc w:val="left"/>
      <w:rPr>
        <w:rFonts w:hint="eastAsia"/>
      </w:rPr>
    </w:lvl>
  </w:abstractNum>
  <w:abstractNum w:abstractNumId="7">
    <w:nsid w:val="6EA16E0C"/>
    <w:multiLevelType w:val="multilevel"/>
    <w:tmpl w:val="6EA16E0C"/>
    <w:lvl w:ilvl="0" w:tentative="0">
      <w:start w:val="1"/>
      <w:numFmt w:val="decimal"/>
      <w:pStyle w:val="4"/>
      <w:lvlText w:val="%1.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4"/>
  </w:num>
  <w:num w:numId="2">
    <w:abstractNumId w:val="7"/>
  </w:num>
  <w:num w:numId="3">
    <w:abstractNumId w:val="6"/>
  </w:num>
  <w:num w:numId="4">
    <w:abstractNumId w:val="3"/>
  </w:num>
  <w:num w:numId="5">
    <w:abstractNumId w:val="5"/>
  </w:num>
  <w:num w:numId="6">
    <w:abstractNumId w:val="2"/>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6"/>
  <w:embedTrueType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QxYWQ0OWQxNDM3Y2IxYWFiMWMxZjMzN2QxNjEzZDUifQ=="/>
  </w:docVars>
  <w:rsids>
    <w:rsidRoot w:val="00414B7D"/>
    <w:rsid w:val="00016E08"/>
    <w:rsid w:val="00021851"/>
    <w:rsid w:val="00024B57"/>
    <w:rsid w:val="00036D0D"/>
    <w:rsid w:val="00036D41"/>
    <w:rsid w:val="00046D50"/>
    <w:rsid w:val="000475FC"/>
    <w:rsid w:val="00082C50"/>
    <w:rsid w:val="0008358D"/>
    <w:rsid w:val="00083F67"/>
    <w:rsid w:val="00087E49"/>
    <w:rsid w:val="000B0B81"/>
    <w:rsid w:val="000B1623"/>
    <w:rsid w:val="000B1CCE"/>
    <w:rsid w:val="000C3557"/>
    <w:rsid w:val="000C5082"/>
    <w:rsid w:val="000D57B9"/>
    <w:rsid w:val="000E1377"/>
    <w:rsid w:val="000F719E"/>
    <w:rsid w:val="00103F61"/>
    <w:rsid w:val="001040BC"/>
    <w:rsid w:val="00107A8F"/>
    <w:rsid w:val="00130F27"/>
    <w:rsid w:val="00136B2F"/>
    <w:rsid w:val="00160CDB"/>
    <w:rsid w:val="00161F5F"/>
    <w:rsid w:val="00162F2E"/>
    <w:rsid w:val="001764F0"/>
    <w:rsid w:val="00176DFF"/>
    <w:rsid w:val="001825A2"/>
    <w:rsid w:val="00186F45"/>
    <w:rsid w:val="00187575"/>
    <w:rsid w:val="001C1801"/>
    <w:rsid w:val="001C64B5"/>
    <w:rsid w:val="0020463E"/>
    <w:rsid w:val="0021140C"/>
    <w:rsid w:val="00230276"/>
    <w:rsid w:val="00230A7C"/>
    <w:rsid w:val="002358FA"/>
    <w:rsid w:val="0023779B"/>
    <w:rsid w:val="002443C4"/>
    <w:rsid w:val="0025623B"/>
    <w:rsid w:val="00257940"/>
    <w:rsid w:val="0027097D"/>
    <w:rsid w:val="00271E15"/>
    <w:rsid w:val="0027684A"/>
    <w:rsid w:val="00276A45"/>
    <w:rsid w:val="00282C28"/>
    <w:rsid w:val="0029663F"/>
    <w:rsid w:val="00297D3C"/>
    <w:rsid w:val="002A49E8"/>
    <w:rsid w:val="002A64D8"/>
    <w:rsid w:val="002A6ECE"/>
    <w:rsid w:val="002B2807"/>
    <w:rsid w:val="002C092D"/>
    <w:rsid w:val="002C1471"/>
    <w:rsid w:val="002C7301"/>
    <w:rsid w:val="002D239F"/>
    <w:rsid w:val="002D49A2"/>
    <w:rsid w:val="002E3475"/>
    <w:rsid w:val="002F2ABF"/>
    <w:rsid w:val="002F5C69"/>
    <w:rsid w:val="00300C5C"/>
    <w:rsid w:val="00334AA6"/>
    <w:rsid w:val="00335ABC"/>
    <w:rsid w:val="0035174C"/>
    <w:rsid w:val="00353891"/>
    <w:rsid w:val="00357062"/>
    <w:rsid w:val="003762B7"/>
    <w:rsid w:val="00377AB2"/>
    <w:rsid w:val="003963D0"/>
    <w:rsid w:val="003A243D"/>
    <w:rsid w:val="003A3F8A"/>
    <w:rsid w:val="003D3349"/>
    <w:rsid w:val="003F5B9B"/>
    <w:rsid w:val="003F5E87"/>
    <w:rsid w:val="003F7B44"/>
    <w:rsid w:val="00403605"/>
    <w:rsid w:val="00414B7D"/>
    <w:rsid w:val="00425B0B"/>
    <w:rsid w:val="00427588"/>
    <w:rsid w:val="0044086E"/>
    <w:rsid w:val="0044115C"/>
    <w:rsid w:val="004419BF"/>
    <w:rsid w:val="004446AF"/>
    <w:rsid w:val="00456D64"/>
    <w:rsid w:val="00461A03"/>
    <w:rsid w:val="00461C13"/>
    <w:rsid w:val="00466D62"/>
    <w:rsid w:val="00480EBB"/>
    <w:rsid w:val="004837BC"/>
    <w:rsid w:val="00491DC0"/>
    <w:rsid w:val="0049279D"/>
    <w:rsid w:val="004929DD"/>
    <w:rsid w:val="004A17A9"/>
    <w:rsid w:val="004A3BA3"/>
    <w:rsid w:val="004C27AA"/>
    <w:rsid w:val="004C4305"/>
    <w:rsid w:val="004C48B5"/>
    <w:rsid w:val="004D64A9"/>
    <w:rsid w:val="004F5174"/>
    <w:rsid w:val="004F7E0C"/>
    <w:rsid w:val="00505ACA"/>
    <w:rsid w:val="00520F1C"/>
    <w:rsid w:val="0052602D"/>
    <w:rsid w:val="00535343"/>
    <w:rsid w:val="0054358D"/>
    <w:rsid w:val="005510BE"/>
    <w:rsid w:val="0055540B"/>
    <w:rsid w:val="005674C1"/>
    <w:rsid w:val="005A11A3"/>
    <w:rsid w:val="005A299C"/>
    <w:rsid w:val="005B40F5"/>
    <w:rsid w:val="005B5C85"/>
    <w:rsid w:val="005D2E62"/>
    <w:rsid w:val="005D3B9D"/>
    <w:rsid w:val="00621D18"/>
    <w:rsid w:val="006264C5"/>
    <w:rsid w:val="006276D2"/>
    <w:rsid w:val="00633F43"/>
    <w:rsid w:val="00635FD4"/>
    <w:rsid w:val="006451C9"/>
    <w:rsid w:val="00682CC7"/>
    <w:rsid w:val="006838D1"/>
    <w:rsid w:val="00683B82"/>
    <w:rsid w:val="006A0C6F"/>
    <w:rsid w:val="006A530D"/>
    <w:rsid w:val="006B5D89"/>
    <w:rsid w:val="006E0F22"/>
    <w:rsid w:val="006F03CF"/>
    <w:rsid w:val="006F614A"/>
    <w:rsid w:val="00706A4E"/>
    <w:rsid w:val="007115C8"/>
    <w:rsid w:val="00722E10"/>
    <w:rsid w:val="00752CB5"/>
    <w:rsid w:val="00760C80"/>
    <w:rsid w:val="00765FA0"/>
    <w:rsid w:val="00770E0C"/>
    <w:rsid w:val="00776C05"/>
    <w:rsid w:val="00783B17"/>
    <w:rsid w:val="00796661"/>
    <w:rsid w:val="007A3C4B"/>
    <w:rsid w:val="007B38F5"/>
    <w:rsid w:val="007C462B"/>
    <w:rsid w:val="007C6866"/>
    <w:rsid w:val="007D1B86"/>
    <w:rsid w:val="007D58AE"/>
    <w:rsid w:val="007E49F4"/>
    <w:rsid w:val="007F5B60"/>
    <w:rsid w:val="00804413"/>
    <w:rsid w:val="0080484E"/>
    <w:rsid w:val="00807F37"/>
    <w:rsid w:val="00813205"/>
    <w:rsid w:val="00853D02"/>
    <w:rsid w:val="008726A9"/>
    <w:rsid w:val="00873B68"/>
    <w:rsid w:val="008741FC"/>
    <w:rsid w:val="008764E8"/>
    <w:rsid w:val="008B08D1"/>
    <w:rsid w:val="008C646A"/>
    <w:rsid w:val="008C6AA7"/>
    <w:rsid w:val="008D2C5C"/>
    <w:rsid w:val="008E0491"/>
    <w:rsid w:val="008E496C"/>
    <w:rsid w:val="009167F1"/>
    <w:rsid w:val="00932232"/>
    <w:rsid w:val="00942A28"/>
    <w:rsid w:val="00952F6D"/>
    <w:rsid w:val="00957616"/>
    <w:rsid w:val="00960A8B"/>
    <w:rsid w:val="00974DAE"/>
    <w:rsid w:val="00975A3A"/>
    <w:rsid w:val="00987C5A"/>
    <w:rsid w:val="0099597E"/>
    <w:rsid w:val="0099715E"/>
    <w:rsid w:val="009A4DCB"/>
    <w:rsid w:val="009A507D"/>
    <w:rsid w:val="009B213F"/>
    <w:rsid w:val="009B47A3"/>
    <w:rsid w:val="009B5649"/>
    <w:rsid w:val="009B56E1"/>
    <w:rsid w:val="009C110C"/>
    <w:rsid w:val="009C79C7"/>
    <w:rsid w:val="009D79E4"/>
    <w:rsid w:val="009E5C35"/>
    <w:rsid w:val="009F3991"/>
    <w:rsid w:val="009F3EFC"/>
    <w:rsid w:val="009F6B69"/>
    <w:rsid w:val="00A10B96"/>
    <w:rsid w:val="00A177CD"/>
    <w:rsid w:val="00A202D7"/>
    <w:rsid w:val="00A21618"/>
    <w:rsid w:val="00A21665"/>
    <w:rsid w:val="00A225EB"/>
    <w:rsid w:val="00A262B3"/>
    <w:rsid w:val="00A35141"/>
    <w:rsid w:val="00A35A5E"/>
    <w:rsid w:val="00A415E3"/>
    <w:rsid w:val="00A426D9"/>
    <w:rsid w:val="00A45F48"/>
    <w:rsid w:val="00A621B0"/>
    <w:rsid w:val="00A72180"/>
    <w:rsid w:val="00A74E49"/>
    <w:rsid w:val="00A773A3"/>
    <w:rsid w:val="00AA252A"/>
    <w:rsid w:val="00AA2C44"/>
    <w:rsid w:val="00AC2A90"/>
    <w:rsid w:val="00AD43E3"/>
    <w:rsid w:val="00AE34E7"/>
    <w:rsid w:val="00AF0AFB"/>
    <w:rsid w:val="00AF7214"/>
    <w:rsid w:val="00B03232"/>
    <w:rsid w:val="00B053C8"/>
    <w:rsid w:val="00B05937"/>
    <w:rsid w:val="00B10C7D"/>
    <w:rsid w:val="00B12A63"/>
    <w:rsid w:val="00B143E3"/>
    <w:rsid w:val="00B20D12"/>
    <w:rsid w:val="00B219EF"/>
    <w:rsid w:val="00B4360F"/>
    <w:rsid w:val="00B46B99"/>
    <w:rsid w:val="00B4775C"/>
    <w:rsid w:val="00B54402"/>
    <w:rsid w:val="00B6760A"/>
    <w:rsid w:val="00B83DC4"/>
    <w:rsid w:val="00BB7563"/>
    <w:rsid w:val="00BC0899"/>
    <w:rsid w:val="00BE28B4"/>
    <w:rsid w:val="00C0298E"/>
    <w:rsid w:val="00C13121"/>
    <w:rsid w:val="00C17077"/>
    <w:rsid w:val="00C1762E"/>
    <w:rsid w:val="00C20D59"/>
    <w:rsid w:val="00C37C3C"/>
    <w:rsid w:val="00C47601"/>
    <w:rsid w:val="00C53CE0"/>
    <w:rsid w:val="00C553E8"/>
    <w:rsid w:val="00C64B66"/>
    <w:rsid w:val="00C669C6"/>
    <w:rsid w:val="00C735FC"/>
    <w:rsid w:val="00C7792A"/>
    <w:rsid w:val="00C87D33"/>
    <w:rsid w:val="00C900CB"/>
    <w:rsid w:val="00C90434"/>
    <w:rsid w:val="00CA6ECC"/>
    <w:rsid w:val="00CB23FF"/>
    <w:rsid w:val="00CD5385"/>
    <w:rsid w:val="00CF007C"/>
    <w:rsid w:val="00CF08F6"/>
    <w:rsid w:val="00D02D71"/>
    <w:rsid w:val="00D21A15"/>
    <w:rsid w:val="00D51B3C"/>
    <w:rsid w:val="00D70DBE"/>
    <w:rsid w:val="00D85954"/>
    <w:rsid w:val="00D868FA"/>
    <w:rsid w:val="00D942D8"/>
    <w:rsid w:val="00DA1E6E"/>
    <w:rsid w:val="00DF6D58"/>
    <w:rsid w:val="00DF79A0"/>
    <w:rsid w:val="00E01285"/>
    <w:rsid w:val="00E06E72"/>
    <w:rsid w:val="00E101C5"/>
    <w:rsid w:val="00E14352"/>
    <w:rsid w:val="00E25CE9"/>
    <w:rsid w:val="00E25E58"/>
    <w:rsid w:val="00E274D7"/>
    <w:rsid w:val="00E35680"/>
    <w:rsid w:val="00E52AFF"/>
    <w:rsid w:val="00E54E41"/>
    <w:rsid w:val="00E77BFD"/>
    <w:rsid w:val="00EA4F02"/>
    <w:rsid w:val="00EA52D5"/>
    <w:rsid w:val="00EA62F4"/>
    <w:rsid w:val="00EE64AF"/>
    <w:rsid w:val="00EF0362"/>
    <w:rsid w:val="00EF7923"/>
    <w:rsid w:val="00F0169E"/>
    <w:rsid w:val="00F02ECD"/>
    <w:rsid w:val="00F03FEA"/>
    <w:rsid w:val="00F32F3A"/>
    <w:rsid w:val="00F3638E"/>
    <w:rsid w:val="00F37675"/>
    <w:rsid w:val="00F52189"/>
    <w:rsid w:val="00F843F0"/>
    <w:rsid w:val="00F845E1"/>
    <w:rsid w:val="00F87D7A"/>
    <w:rsid w:val="00F90E9A"/>
    <w:rsid w:val="00F9178B"/>
    <w:rsid w:val="00FA2D92"/>
    <w:rsid w:val="00FA79ED"/>
    <w:rsid w:val="00FB055D"/>
    <w:rsid w:val="00FB13FC"/>
    <w:rsid w:val="00FB20DA"/>
    <w:rsid w:val="00FB212B"/>
    <w:rsid w:val="00FC0C10"/>
    <w:rsid w:val="00FC1F1B"/>
    <w:rsid w:val="00FC312F"/>
    <w:rsid w:val="00FD336C"/>
    <w:rsid w:val="01134D8F"/>
    <w:rsid w:val="011C5968"/>
    <w:rsid w:val="017A1376"/>
    <w:rsid w:val="019C1042"/>
    <w:rsid w:val="01D976F9"/>
    <w:rsid w:val="01DB05CA"/>
    <w:rsid w:val="02C624B1"/>
    <w:rsid w:val="02E24B65"/>
    <w:rsid w:val="031B4FD7"/>
    <w:rsid w:val="03384BB1"/>
    <w:rsid w:val="033B3541"/>
    <w:rsid w:val="03685B95"/>
    <w:rsid w:val="03A17C2D"/>
    <w:rsid w:val="03C9420E"/>
    <w:rsid w:val="03EC6EBA"/>
    <w:rsid w:val="03EE2230"/>
    <w:rsid w:val="043F0DA3"/>
    <w:rsid w:val="045545F7"/>
    <w:rsid w:val="04A406D7"/>
    <w:rsid w:val="04BC5076"/>
    <w:rsid w:val="04DD3CEE"/>
    <w:rsid w:val="05403880"/>
    <w:rsid w:val="05466AD0"/>
    <w:rsid w:val="057D1D75"/>
    <w:rsid w:val="05AE6F6A"/>
    <w:rsid w:val="063F521C"/>
    <w:rsid w:val="06766A33"/>
    <w:rsid w:val="068D2C76"/>
    <w:rsid w:val="06D21523"/>
    <w:rsid w:val="072D56D3"/>
    <w:rsid w:val="073076D9"/>
    <w:rsid w:val="07722B91"/>
    <w:rsid w:val="07867BF0"/>
    <w:rsid w:val="07E36243"/>
    <w:rsid w:val="080050F5"/>
    <w:rsid w:val="0822779D"/>
    <w:rsid w:val="086039B5"/>
    <w:rsid w:val="089C44B6"/>
    <w:rsid w:val="08E806AC"/>
    <w:rsid w:val="09035DC8"/>
    <w:rsid w:val="092B1014"/>
    <w:rsid w:val="093A1BBD"/>
    <w:rsid w:val="09415222"/>
    <w:rsid w:val="09A37E69"/>
    <w:rsid w:val="09CA6A7A"/>
    <w:rsid w:val="09CB150A"/>
    <w:rsid w:val="09DC263D"/>
    <w:rsid w:val="09EC6DE6"/>
    <w:rsid w:val="0A037E2F"/>
    <w:rsid w:val="0A0402F4"/>
    <w:rsid w:val="0A5343BB"/>
    <w:rsid w:val="0A844F3D"/>
    <w:rsid w:val="0A870EFF"/>
    <w:rsid w:val="0A9224F0"/>
    <w:rsid w:val="0AA243BD"/>
    <w:rsid w:val="0AB358AB"/>
    <w:rsid w:val="0AC26F81"/>
    <w:rsid w:val="0AE64A4E"/>
    <w:rsid w:val="0B4777AE"/>
    <w:rsid w:val="0BC43BCA"/>
    <w:rsid w:val="0C1E6CF7"/>
    <w:rsid w:val="0C4C516B"/>
    <w:rsid w:val="0C5149F8"/>
    <w:rsid w:val="0C6100E9"/>
    <w:rsid w:val="0C9408B1"/>
    <w:rsid w:val="0CD12227"/>
    <w:rsid w:val="0D4A7C88"/>
    <w:rsid w:val="0D681993"/>
    <w:rsid w:val="0D9E1D21"/>
    <w:rsid w:val="0D9F2933"/>
    <w:rsid w:val="0DA94513"/>
    <w:rsid w:val="0DBD4354"/>
    <w:rsid w:val="0DC93204"/>
    <w:rsid w:val="0E020B6B"/>
    <w:rsid w:val="0E1D36E7"/>
    <w:rsid w:val="0E5C62A4"/>
    <w:rsid w:val="0EC72756"/>
    <w:rsid w:val="0EFF4355"/>
    <w:rsid w:val="0F397B92"/>
    <w:rsid w:val="0F4C711B"/>
    <w:rsid w:val="0F6B1F68"/>
    <w:rsid w:val="0F704B97"/>
    <w:rsid w:val="0FCC46EF"/>
    <w:rsid w:val="104D2185"/>
    <w:rsid w:val="107E409D"/>
    <w:rsid w:val="10F351D8"/>
    <w:rsid w:val="10F54453"/>
    <w:rsid w:val="10FE360A"/>
    <w:rsid w:val="110A197C"/>
    <w:rsid w:val="11542761"/>
    <w:rsid w:val="1188035B"/>
    <w:rsid w:val="11C16297"/>
    <w:rsid w:val="11C87659"/>
    <w:rsid w:val="11F87298"/>
    <w:rsid w:val="128D210B"/>
    <w:rsid w:val="12940E0B"/>
    <w:rsid w:val="12BC68F7"/>
    <w:rsid w:val="12DD0247"/>
    <w:rsid w:val="12EB67CB"/>
    <w:rsid w:val="131D1FC0"/>
    <w:rsid w:val="13200321"/>
    <w:rsid w:val="133E3F47"/>
    <w:rsid w:val="14530434"/>
    <w:rsid w:val="145D32C7"/>
    <w:rsid w:val="14FD2BB2"/>
    <w:rsid w:val="151547B8"/>
    <w:rsid w:val="15294C1C"/>
    <w:rsid w:val="154510DF"/>
    <w:rsid w:val="16181B81"/>
    <w:rsid w:val="163E45AA"/>
    <w:rsid w:val="16453E27"/>
    <w:rsid w:val="16465A40"/>
    <w:rsid w:val="16AD702C"/>
    <w:rsid w:val="16DD6B31"/>
    <w:rsid w:val="17461C62"/>
    <w:rsid w:val="17AA48DE"/>
    <w:rsid w:val="17E62AA7"/>
    <w:rsid w:val="17EF2C21"/>
    <w:rsid w:val="17F4424E"/>
    <w:rsid w:val="189A61CB"/>
    <w:rsid w:val="18EF46F1"/>
    <w:rsid w:val="190F698A"/>
    <w:rsid w:val="19165ED3"/>
    <w:rsid w:val="196116C8"/>
    <w:rsid w:val="19837757"/>
    <w:rsid w:val="1A2447D6"/>
    <w:rsid w:val="1A4F2ED7"/>
    <w:rsid w:val="1A6B70D6"/>
    <w:rsid w:val="1BDB434B"/>
    <w:rsid w:val="1BE1295A"/>
    <w:rsid w:val="1BFF75B4"/>
    <w:rsid w:val="1CCD3ED3"/>
    <w:rsid w:val="1D0826D3"/>
    <w:rsid w:val="1D104DF2"/>
    <w:rsid w:val="1D3C33F2"/>
    <w:rsid w:val="1D74030A"/>
    <w:rsid w:val="1E1910DF"/>
    <w:rsid w:val="1E765D9E"/>
    <w:rsid w:val="1E852558"/>
    <w:rsid w:val="1EA43555"/>
    <w:rsid w:val="1EC62B79"/>
    <w:rsid w:val="1F270062"/>
    <w:rsid w:val="1F3D026E"/>
    <w:rsid w:val="1F4024E6"/>
    <w:rsid w:val="1F8054F8"/>
    <w:rsid w:val="1FC90F95"/>
    <w:rsid w:val="201971FF"/>
    <w:rsid w:val="201A26D0"/>
    <w:rsid w:val="20413C5F"/>
    <w:rsid w:val="209E1CA7"/>
    <w:rsid w:val="20B31AFE"/>
    <w:rsid w:val="20D47D98"/>
    <w:rsid w:val="21164FA2"/>
    <w:rsid w:val="21311EA5"/>
    <w:rsid w:val="213F555E"/>
    <w:rsid w:val="21832154"/>
    <w:rsid w:val="2183368C"/>
    <w:rsid w:val="21C25F7F"/>
    <w:rsid w:val="21C86D7A"/>
    <w:rsid w:val="21F148E9"/>
    <w:rsid w:val="21F9422C"/>
    <w:rsid w:val="21FA4D09"/>
    <w:rsid w:val="22A23A20"/>
    <w:rsid w:val="22F35566"/>
    <w:rsid w:val="22F367BB"/>
    <w:rsid w:val="23DE067B"/>
    <w:rsid w:val="2449672E"/>
    <w:rsid w:val="25177E64"/>
    <w:rsid w:val="25BC2B1C"/>
    <w:rsid w:val="26311933"/>
    <w:rsid w:val="263521FC"/>
    <w:rsid w:val="26A02230"/>
    <w:rsid w:val="26A946F1"/>
    <w:rsid w:val="270F717E"/>
    <w:rsid w:val="27430DFA"/>
    <w:rsid w:val="27D23000"/>
    <w:rsid w:val="287F0225"/>
    <w:rsid w:val="2888633C"/>
    <w:rsid w:val="28967876"/>
    <w:rsid w:val="28DC6D8D"/>
    <w:rsid w:val="28E658A2"/>
    <w:rsid w:val="2934369F"/>
    <w:rsid w:val="293539E2"/>
    <w:rsid w:val="294806D3"/>
    <w:rsid w:val="29584F90"/>
    <w:rsid w:val="29601992"/>
    <w:rsid w:val="29700F10"/>
    <w:rsid w:val="29C75BF1"/>
    <w:rsid w:val="2A3537E9"/>
    <w:rsid w:val="2B116393"/>
    <w:rsid w:val="2B280230"/>
    <w:rsid w:val="2B2B6B34"/>
    <w:rsid w:val="2B3C1752"/>
    <w:rsid w:val="2B6407D7"/>
    <w:rsid w:val="2B68020E"/>
    <w:rsid w:val="2BC96FB4"/>
    <w:rsid w:val="2BCB1CCD"/>
    <w:rsid w:val="2BED42B0"/>
    <w:rsid w:val="2BF72439"/>
    <w:rsid w:val="2C120FBA"/>
    <w:rsid w:val="2C2926C2"/>
    <w:rsid w:val="2C2D516F"/>
    <w:rsid w:val="2CF23076"/>
    <w:rsid w:val="2D1550EE"/>
    <w:rsid w:val="2D270E95"/>
    <w:rsid w:val="2D3B7778"/>
    <w:rsid w:val="2DA43847"/>
    <w:rsid w:val="2DBF0548"/>
    <w:rsid w:val="2DDB109D"/>
    <w:rsid w:val="2DE67EA2"/>
    <w:rsid w:val="2E28596F"/>
    <w:rsid w:val="2E503645"/>
    <w:rsid w:val="2E8F6D9B"/>
    <w:rsid w:val="2E943024"/>
    <w:rsid w:val="2F545A81"/>
    <w:rsid w:val="2F676C11"/>
    <w:rsid w:val="2F6D2B41"/>
    <w:rsid w:val="301532EA"/>
    <w:rsid w:val="30377C0B"/>
    <w:rsid w:val="303C7515"/>
    <w:rsid w:val="30450F97"/>
    <w:rsid w:val="30592DBB"/>
    <w:rsid w:val="309B5AA8"/>
    <w:rsid w:val="30D74F49"/>
    <w:rsid w:val="31032936"/>
    <w:rsid w:val="310E7A63"/>
    <w:rsid w:val="315F2B6B"/>
    <w:rsid w:val="31C75A19"/>
    <w:rsid w:val="31F65444"/>
    <w:rsid w:val="31FD2DFF"/>
    <w:rsid w:val="31FE1724"/>
    <w:rsid w:val="32393EA5"/>
    <w:rsid w:val="32505F18"/>
    <w:rsid w:val="325B5CA8"/>
    <w:rsid w:val="32844C58"/>
    <w:rsid w:val="32E57142"/>
    <w:rsid w:val="330149B7"/>
    <w:rsid w:val="33062B8C"/>
    <w:rsid w:val="3314415B"/>
    <w:rsid w:val="3373322C"/>
    <w:rsid w:val="343E2D93"/>
    <w:rsid w:val="345D70F2"/>
    <w:rsid w:val="348A0827"/>
    <w:rsid w:val="34DF4479"/>
    <w:rsid w:val="353C2939"/>
    <w:rsid w:val="35956D0A"/>
    <w:rsid w:val="35AC7563"/>
    <w:rsid w:val="35C325F8"/>
    <w:rsid w:val="35E36877"/>
    <w:rsid w:val="35E55CD1"/>
    <w:rsid w:val="35EC1630"/>
    <w:rsid w:val="35EF4932"/>
    <w:rsid w:val="361653D4"/>
    <w:rsid w:val="36723A2B"/>
    <w:rsid w:val="3678556E"/>
    <w:rsid w:val="36C40E55"/>
    <w:rsid w:val="36EF37C9"/>
    <w:rsid w:val="37685E7A"/>
    <w:rsid w:val="37800460"/>
    <w:rsid w:val="37920AEE"/>
    <w:rsid w:val="37D556C3"/>
    <w:rsid w:val="384A7A41"/>
    <w:rsid w:val="3858333D"/>
    <w:rsid w:val="385B2EF8"/>
    <w:rsid w:val="38905D39"/>
    <w:rsid w:val="38A774A1"/>
    <w:rsid w:val="38B2148E"/>
    <w:rsid w:val="38C068C5"/>
    <w:rsid w:val="38D94CED"/>
    <w:rsid w:val="391E1F52"/>
    <w:rsid w:val="39465DF3"/>
    <w:rsid w:val="394A5FF0"/>
    <w:rsid w:val="396B5391"/>
    <w:rsid w:val="3A593B03"/>
    <w:rsid w:val="3A7845C1"/>
    <w:rsid w:val="3A914A27"/>
    <w:rsid w:val="3B352BD2"/>
    <w:rsid w:val="3B43014D"/>
    <w:rsid w:val="3BB719E6"/>
    <w:rsid w:val="3BCC0025"/>
    <w:rsid w:val="3BCF17A7"/>
    <w:rsid w:val="3C052A44"/>
    <w:rsid w:val="3C3505F9"/>
    <w:rsid w:val="3C356645"/>
    <w:rsid w:val="3CAC15D2"/>
    <w:rsid w:val="3CB20F70"/>
    <w:rsid w:val="3D061283"/>
    <w:rsid w:val="3DD72468"/>
    <w:rsid w:val="3DDA79A5"/>
    <w:rsid w:val="3E054764"/>
    <w:rsid w:val="3E107CA2"/>
    <w:rsid w:val="3E4B02B0"/>
    <w:rsid w:val="3E504A51"/>
    <w:rsid w:val="3E5D7F6D"/>
    <w:rsid w:val="3E720BBD"/>
    <w:rsid w:val="3E7F0FD3"/>
    <w:rsid w:val="3F3A7B06"/>
    <w:rsid w:val="3F4E727B"/>
    <w:rsid w:val="3F4E7974"/>
    <w:rsid w:val="3F8F4793"/>
    <w:rsid w:val="3F9600B4"/>
    <w:rsid w:val="3F9E131B"/>
    <w:rsid w:val="40214590"/>
    <w:rsid w:val="402B7E3F"/>
    <w:rsid w:val="40575044"/>
    <w:rsid w:val="40A1781F"/>
    <w:rsid w:val="40A801E1"/>
    <w:rsid w:val="40AB238A"/>
    <w:rsid w:val="411F71B7"/>
    <w:rsid w:val="41322588"/>
    <w:rsid w:val="41B32333"/>
    <w:rsid w:val="41DD6993"/>
    <w:rsid w:val="421D2353"/>
    <w:rsid w:val="427A506E"/>
    <w:rsid w:val="4284303B"/>
    <w:rsid w:val="42847D13"/>
    <w:rsid w:val="42AA07D4"/>
    <w:rsid w:val="42AD7A50"/>
    <w:rsid w:val="42CE1FCF"/>
    <w:rsid w:val="431E58B7"/>
    <w:rsid w:val="432B278D"/>
    <w:rsid w:val="43825D54"/>
    <w:rsid w:val="4388488F"/>
    <w:rsid w:val="43A8521B"/>
    <w:rsid w:val="443326F0"/>
    <w:rsid w:val="444D3426"/>
    <w:rsid w:val="446737BF"/>
    <w:rsid w:val="447A6FA6"/>
    <w:rsid w:val="449E3F2F"/>
    <w:rsid w:val="4553243B"/>
    <w:rsid w:val="45834774"/>
    <w:rsid w:val="459C3C24"/>
    <w:rsid w:val="45A80E97"/>
    <w:rsid w:val="45D80F53"/>
    <w:rsid w:val="467C1E8C"/>
    <w:rsid w:val="46897314"/>
    <w:rsid w:val="46E84D4F"/>
    <w:rsid w:val="470343A1"/>
    <w:rsid w:val="4713714A"/>
    <w:rsid w:val="472B474E"/>
    <w:rsid w:val="47802038"/>
    <w:rsid w:val="478B6735"/>
    <w:rsid w:val="47B324DC"/>
    <w:rsid w:val="47EB03B5"/>
    <w:rsid w:val="47FB099F"/>
    <w:rsid w:val="483504F4"/>
    <w:rsid w:val="48394494"/>
    <w:rsid w:val="48A7564B"/>
    <w:rsid w:val="48BD099B"/>
    <w:rsid w:val="48F74ABF"/>
    <w:rsid w:val="4940640D"/>
    <w:rsid w:val="49497549"/>
    <w:rsid w:val="497E123A"/>
    <w:rsid w:val="4993326C"/>
    <w:rsid w:val="49BF66B8"/>
    <w:rsid w:val="4A432BA3"/>
    <w:rsid w:val="4A72756B"/>
    <w:rsid w:val="4A797541"/>
    <w:rsid w:val="4A7F5FCD"/>
    <w:rsid w:val="4B010B09"/>
    <w:rsid w:val="4BC149DF"/>
    <w:rsid w:val="4BE30283"/>
    <w:rsid w:val="4BF37B2C"/>
    <w:rsid w:val="4CF31CB8"/>
    <w:rsid w:val="4D1E0B50"/>
    <w:rsid w:val="4D917D31"/>
    <w:rsid w:val="4E002236"/>
    <w:rsid w:val="4E4179EE"/>
    <w:rsid w:val="4E470433"/>
    <w:rsid w:val="4E767DC2"/>
    <w:rsid w:val="4E8F6F3C"/>
    <w:rsid w:val="4ED57ECB"/>
    <w:rsid w:val="4EF6242E"/>
    <w:rsid w:val="4F9F7B0F"/>
    <w:rsid w:val="4FCE03C2"/>
    <w:rsid w:val="50372AC6"/>
    <w:rsid w:val="50F66874"/>
    <w:rsid w:val="510711CE"/>
    <w:rsid w:val="512438F2"/>
    <w:rsid w:val="512B0AEB"/>
    <w:rsid w:val="51B24506"/>
    <w:rsid w:val="51C90B72"/>
    <w:rsid w:val="52414FCD"/>
    <w:rsid w:val="52603064"/>
    <w:rsid w:val="52677290"/>
    <w:rsid w:val="52803B80"/>
    <w:rsid w:val="52B27FA0"/>
    <w:rsid w:val="53434A68"/>
    <w:rsid w:val="534838B6"/>
    <w:rsid w:val="53D725CB"/>
    <w:rsid w:val="542B42CD"/>
    <w:rsid w:val="547140A9"/>
    <w:rsid w:val="54B21C9B"/>
    <w:rsid w:val="54C25001"/>
    <w:rsid w:val="54CB1C1C"/>
    <w:rsid w:val="55083AF1"/>
    <w:rsid w:val="55360C50"/>
    <w:rsid w:val="55AE5125"/>
    <w:rsid w:val="56443477"/>
    <w:rsid w:val="56686407"/>
    <w:rsid w:val="5670694D"/>
    <w:rsid w:val="568203C1"/>
    <w:rsid w:val="5692044B"/>
    <w:rsid w:val="570C6A4D"/>
    <w:rsid w:val="57200AAC"/>
    <w:rsid w:val="57400FAC"/>
    <w:rsid w:val="574529D0"/>
    <w:rsid w:val="57FA77E0"/>
    <w:rsid w:val="588472F7"/>
    <w:rsid w:val="58E443C8"/>
    <w:rsid w:val="58F12371"/>
    <w:rsid w:val="590B4AF5"/>
    <w:rsid w:val="59255366"/>
    <w:rsid w:val="592E3D42"/>
    <w:rsid w:val="5957077D"/>
    <w:rsid w:val="5A0679B5"/>
    <w:rsid w:val="5A5F5703"/>
    <w:rsid w:val="5B10408B"/>
    <w:rsid w:val="5B614E05"/>
    <w:rsid w:val="5B9F729D"/>
    <w:rsid w:val="5BBB54FB"/>
    <w:rsid w:val="5C304108"/>
    <w:rsid w:val="5CD22B72"/>
    <w:rsid w:val="5CD37180"/>
    <w:rsid w:val="5D0D0413"/>
    <w:rsid w:val="5D226ACA"/>
    <w:rsid w:val="5D3778A4"/>
    <w:rsid w:val="5D684E59"/>
    <w:rsid w:val="5D6A02A3"/>
    <w:rsid w:val="5D76641B"/>
    <w:rsid w:val="5D873867"/>
    <w:rsid w:val="5D9D4B3C"/>
    <w:rsid w:val="5DAC0B5B"/>
    <w:rsid w:val="5DEC3733"/>
    <w:rsid w:val="5E324CFB"/>
    <w:rsid w:val="5EAE580E"/>
    <w:rsid w:val="5F3351B1"/>
    <w:rsid w:val="5F373A61"/>
    <w:rsid w:val="5F6A0D11"/>
    <w:rsid w:val="5F6D6775"/>
    <w:rsid w:val="60091B2F"/>
    <w:rsid w:val="601B7887"/>
    <w:rsid w:val="60666BAE"/>
    <w:rsid w:val="60CB6295"/>
    <w:rsid w:val="60EF3577"/>
    <w:rsid w:val="612F2FC5"/>
    <w:rsid w:val="61810DAC"/>
    <w:rsid w:val="61BA34EB"/>
    <w:rsid w:val="61F64342"/>
    <w:rsid w:val="62361D20"/>
    <w:rsid w:val="624F1FFB"/>
    <w:rsid w:val="626838A5"/>
    <w:rsid w:val="62743A36"/>
    <w:rsid w:val="62B214F1"/>
    <w:rsid w:val="62BD4A25"/>
    <w:rsid w:val="63146D7E"/>
    <w:rsid w:val="63230500"/>
    <w:rsid w:val="63513D97"/>
    <w:rsid w:val="63920A42"/>
    <w:rsid w:val="64760EA5"/>
    <w:rsid w:val="64963F53"/>
    <w:rsid w:val="64C32216"/>
    <w:rsid w:val="64CC30EB"/>
    <w:rsid w:val="64D85CAF"/>
    <w:rsid w:val="64E67343"/>
    <w:rsid w:val="65240CFF"/>
    <w:rsid w:val="65611872"/>
    <w:rsid w:val="656C6C0C"/>
    <w:rsid w:val="662608F4"/>
    <w:rsid w:val="663B0545"/>
    <w:rsid w:val="663C6FD7"/>
    <w:rsid w:val="664A1A6A"/>
    <w:rsid w:val="66690A9C"/>
    <w:rsid w:val="66846F63"/>
    <w:rsid w:val="66AE6963"/>
    <w:rsid w:val="66B5704E"/>
    <w:rsid w:val="66EF19E5"/>
    <w:rsid w:val="67F3262C"/>
    <w:rsid w:val="67F72DF6"/>
    <w:rsid w:val="6801064C"/>
    <w:rsid w:val="68083B50"/>
    <w:rsid w:val="680B3A79"/>
    <w:rsid w:val="686F0A84"/>
    <w:rsid w:val="688E629F"/>
    <w:rsid w:val="68917166"/>
    <w:rsid w:val="68CE2566"/>
    <w:rsid w:val="68DF4C87"/>
    <w:rsid w:val="69006B8C"/>
    <w:rsid w:val="69603B4A"/>
    <w:rsid w:val="696320E7"/>
    <w:rsid w:val="698A6289"/>
    <w:rsid w:val="69AB5865"/>
    <w:rsid w:val="6A295EBD"/>
    <w:rsid w:val="6A6352C7"/>
    <w:rsid w:val="6ACD7664"/>
    <w:rsid w:val="6B224577"/>
    <w:rsid w:val="6B3063AB"/>
    <w:rsid w:val="6B785364"/>
    <w:rsid w:val="6BC87F76"/>
    <w:rsid w:val="6C0A4E0D"/>
    <w:rsid w:val="6C2B0249"/>
    <w:rsid w:val="6D011978"/>
    <w:rsid w:val="6D4C7577"/>
    <w:rsid w:val="6D614BA0"/>
    <w:rsid w:val="6DDD7B0B"/>
    <w:rsid w:val="6DF40034"/>
    <w:rsid w:val="6DFB3AAB"/>
    <w:rsid w:val="6E296577"/>
    <w:rsid w:val="6E2E7467"/>
    <w:rsid w:val="6E8B3828"/>
    <w:rsid w:val="6EE82A97"/>
    <w:rsid w:val="6F2548C9"/>
    <w:rsid w:val="6F65704C"/>
    <w:rsid w:val="6F670D3C"/>
    <w:rsid w:val="6F806D7A"/>
    <w:rsid w:val="6FB00B6F"/>
    <w:rsid w:val="705742C5"/>
    <w:rsid w:val="708519A6"/>
    <w:rsid w:val="70953AEF"/>
    <w:rsid w:val="70D84686"/>
    <w:rsid w:val="71103916"/>
    <w:rsid w:val="711B49BC"/>
    <w:rsid w:val="714C6B86"/>
    <w:rsid w:val="71697858"/>
    <w:rsid w:val="717C4FF8"/>
    <w:rsid w:val="718F2948"/>
    <w:rsid w:val="71C10EE3"/>
    <w:rsid w:val="71DA1C11"/>
    <w:rsid w:val="71F32CE0"/>
    <w:rsid w:val="721754DD"/>
    <w:rsid w:val="72D47A43"/>
    <w:rsid w:val="738144AE"/>
    <w:rsid w:val="73A94202"/>
    <w:rsid w:val="73D5303E"/>
    <w:rsid w:val="73F0565F"/>
    <w:rsid w:val="740E54B7"/>
    <w:rsid w:val="74557BA0"/>
    <w:rsid w:val="74667C0C"/>
    <w:rsid w:val="74750532"/>
    <w:rsid w:val="74A2489D"/>
    <w:rsid w:val="74DA6C11"/>
    <w:rsid w:val="750931DA"/>
    <w:rsid w:val="754427F8"/>
    <w:rsid w:val="75642364"/>
    <w:rsid w:val="756A176D"/>
    <w:rsid w:val="757B2EFF"/>
    <w:rsid w:val="757C60BA"/>
    <w:rsid w:val="75AC36CE"/>
    <w:rsid w:val="75B93025"/>
    <w:rsid w:val="75C31316"/>
    <w:rsid w:val="75CC3D65"/>
    <w:rsid w:val="75D14FF0"/>
    <w:rsid w:val="75FE6729"/>
    <w:rsid w:val="760E4EC1"/>
    <w:rsid w:val="76207A89"/>
    <w:rsid w:val="762F3558"/>
    <w:rsid w:val="763B1F21"/>
    <w:rsid w:val="76826103"/>
    <w:rsid w:val="770316D3"/>
    <w:rsid w:val="773548BB"/>
    <w:rsid w:val="7739394C"/>
    <w:rsid w:val="77B67B5F"/>
    <w:rsid w:val="781D20DD"/>
    <w:rsid w:val="78306109"/>
    <w:rsid w:val="783B31FD"/>
    <w:rsid w:val="78497278"/>
    <w:rsid w:val="78AE2748"/>
    <w:rsid w:val="7925747B"/>
    <w:rsid w:val="792A33BB"/>
    <w:rsid w:val="7988615C"/>
    <w:rsid w:val="798F0E1C"/>
    <w:rsid w:val="79BB2739"/>
    <w:rsid w:val="79E43492"/>
    <w:rsid w:val="7A03359A"/>
    <w:rsid w:val="7A467F03"/>
    <w:rsid w:val="7A4915EA"/>
    <w:rsid w:val="7AA367B5"/>
    <w:rsid w:val="7AC55644"/>
    <w:rsid w:val="7B0E2083"/>
    <w:rsid w:val="7B8B1DF6"/>
    <w:rsid w:val="7B9A69BB"/>
    <w:rsid w:val="7BAC4808"/>
    <w:rsid w:val="7BE76D09"/>
    <w:rsid w:val="7C1169AE"/>
    <w:rsid w:val="7C616904"/>
    <w:rsid w:val="7C646F65"/>
    <w:rsid w:val="7C8A7419"/>
    <w:rsid w:val="7C9F4A04"/>
    <w:rsid w:val="7D5C5C78"/>
    <w:rsid w:val="7E0000DB"/>
    <w:rsid w:val="7E0D7ED1"/>
    <w:rsid w:val="7E5129C6"/>
    <w:rsid w:val="7E8B57D8"/>
    <w:rsid w:val="7F0510C2"/>
    <w:rsid w:val="7F0C4881"/>
    <w:rsid w:val="7F305838"/>
    <w:rsid w:val="7F3B73BA"/>
    <w:rsid w:val="7FCC0955"/>
    <w:rsid w:val="7FD5136B"/>
    <w:rsid w:val="7FFA4B2B"/>
    <w:rsid w:val="7FFD0EB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31"/>
    <w:qFormat/>
    <w:uiPriority w:val="9"/>
    <w:pPr>
      <w:keepNext/>
      <w:keepLines/>
      <w:numPr>
        <w:ilvl w:val="0"/>
        <w:numId w:val="1"/>
      </w:numPr>
      <w:spacing w:before="340" w:after="330" w:line="578" w:lineRule="auto"/>
      <w:ind w:left="0" w:firstLine="0"/>
      <w:outlineLvl w:val="0"/>
    </w:pPr>
    <w:rPr>
      <w:rFonts w:eastAsia="仿宋"/>
      <w:b/>
      <w:bCs/>
      <w:kern w:val="44"/>
      <w:sz w:val="32"/>
      <w:szCs w:val="44"/>
    </w:rPr>
  </w:style>
  <w:style w:type="paragraph" w:styleId="4">
    <w:name w:val="heading 2"/>
    <w:basedOn w:val="1"/>
    <w:next w:val="1"/>
    <w:link w:val="32"/>
    <w:unhideWhenUsed/>
    <w:qFormat/>
    <w:uiPriority w:val="9"/>
    <w:pPr>
      <w:keepNext/>
      <w:keepLines/>
      <w:numPr>
        <w:ilvl w:val="0"/>
        <w:numId w:val="2"/>
      </w:numPr>
      <w:spacing w:before="260" w:after="260" w:line="416" w:lineRule="auto"/>
      <w:outlineLvl w:val="1"/>
    </w:pPr>
    <w:rPr>
      <w:rFonts w:eastAsia="仿宋" w:asciiTheme="majorHAnsi" w:hAnsiTheme="majorHAnsi" w:cstheme="majorBidi"/>
      <w:bCs/>
      <w:sz w:val="32"/>
      <w:szCs w:val="32"/>
    </w:rPr>
  </w:style>
  <w:style w:type="paragraph" w:styleId="2">
    <w:name w:val="heading 3"/>
    <w:basedOn w:val="1"/>
    <w:next w:val="1"/>
    <w:unhideWhenUsed/>
    <w:qFormat/>
    <w:uiPriority w:val="9"/>
    <w:pPr>
      <w:keepNext/>
      <w:widowControl/>
      <w:spacing w:before="240" w:after="60"/>
      <w:jc w:val="left"/>
      <w:outlineLvl w:val="2"/>
    </w:pPr>
    <w:rPr>
      <w:rFonts w:ascii="Cambria" w:hAnsi="Cambria" w:eastAsia="宋体"/>
      <w:b/>
      <w:bCs/>
      <w:kern w:val="0"/>
      <w:sz w:val="26"/>
      <w:szCs w:val="26"/>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annotation text"/>
    <w:basedOn w:val="1"/>
    <w:link w:val="38"/>
    <w:semiHidden/>
    <w:unhideWhenUsed/>
    <w:qFormat/>
    <w:uiPriority w:val="99"/>
    <w:pPr>
      <w:jc w:val="left"/>
    </w:pPr>
  </w:style>
  <w:style w:type="paragraph" w:styleId="7">
    <w:name w:val="Body Text"/>
    <w:basedOn w:val="1"/>
    <w:qFormat/>
    <w:uiPriority w:val="0"/>
  </w:style>
  <w:style w:type="paragraph" w:styleId="8">
    <w:name w:val="Body Text Indent"/>
    <w:basedOn w:val="1"/>
    <w:qFormat/>
    <w:uiPriority w:val="0"/>
    <w:pPr>
      <w:ind w:firstLine="660"/>
    </w:pPr>
    <w:rPr>
      <w:sz w:val="30"/>
    </w:rPr>
  </w:style>
  <w:style w:type="paragraph" w:styleId="9">
    <w:name w:val="toc 3"/>
    <w:basedOn w:val="1"/>
    <w:next w:val="1"/>
    <w:semiHidden/>
    <w:unhideWhenUsed/>
    <w:qFormat/>
    <w:uiPriority w:val="39"/>
    <w:pPr>
      <w:ind w:left="840" w:leftChars="400"/>
    </w:pPr>
  </w:style>
  <w:style w:type="paragraph" w:styleId="10">
    <w:name w:val="Balloon Text"/>
    <w:basedOn w:val="1"/>
    <w:link w:val="37"/>
    <w:semiHidden/>
    <w:unhideWhenUsed/>
    <w:qFormat/>
    <w:uiPriority w:val="99"/>
    <w:rPr>
      <w:sz w:val="18"/>
      <w:szCs w:val="18"/>
    </w:rPr>
  </w:style>
  <w:style w:type="paragraph" w:styleId="11">
    <w:name w:val="footer"/>
    <w:basedOn w:val="1"/>
    <w:link w:val="29"/>
    <w:unhideWhenUsed/>
    <w:qFormat/>
    <w:uiPriority w:val="99"/>
    <w:pPr>
      <w:tabs>
        <w:tab w:val="center" w:pos="4153"/>
        <w:tab w:val="right" w:pos="8306"/>
      </w:tabs>
      <w:snapToGrid w:val="0"/>
      <w:jc w:val="left"/>
    </w:pPr>
    <w:rPr>
      <w:sz w:val="18"/>
      <w:szCs w:val="18"/>
    </w:rPr>
  </w:style>
  <w:style w:type="paragraph" w:styleId="12">
    <w:name w:val="header"/>
    <w:basedOn w:val="1"/>
    <w:link w:val="28"/>
    <w:unhideWhenUsed/>
    <w:qFormat/>
    <w:uiPriority w:val="99"/>
    <w:pPr>
      <w:pBdr>
        <w:bottom w:val="single" w:color="auto" w:sz="6" w:space="1"/>
      </w:pBdr>
      <w:tabs>
        <w:tab w:val="center" w:pos="4153"/>
        <w:tab w:val="right" w:pos="8306"/>
      </w:tabs>
      <w:snapToGrid w:val="0"/>
      <w:jc w:val="center"/>
    </w:pPr>
    <w:rPr>
      <w:sz w:val="18"/>
      <w:szCs w:val="18"/>
    </w:rPr>
  </w:style>
  <w:style w:type="paragraph" w:styleId="13">
    <w:name w:val="toc 1"/>
    <w:basedOn w:val="1"/>
    <w:next w:val="1"/>
    <w:qFormat/>
    <w:uiPriority w:val="39"/>
    <w:rPr>
      <w:rFonts w:ascii="Times New Roman" w:hAnsi="Times New Roman" w:eastAsia="宋体" w:cs="Times New Roman"/>
    </w:rPr>
  </w:style>
  <w:style w:type="paragraph" w:styleId="14">
    <w:name w:val="toc 2"/>
    <w:basedOn w:val="1"/>
    <w:next w:val="1"/>
    <w:semiHidden/>
    <w:unhideWhenUsed/>
    <w:qFormat/>
    <w:uiPriority w:val="39"/>
    <w:pPr>
      <w:ind w:left="420" w:leftChars="200"/>
    </w:pPr>
  </w:style>
  <w:style w:type="paragraph" w:styleId="15">
    <w:name w:val="Normal (Web)"/>
    <w:basedOn w:val="1"/>
    <w:semiHidden/>
    <w:unhideWhenUsed/>
    <w:qFormat/>
    <w:uiPriority w:val="99"/>
    <w:pPr>
      <w:spacing w:before="0" w:beforeAutospacing="1" w:after="0" w:afterAutospacing="1"/>
      <w:ind w:left="0" w:right="0"/>
      <w:jc w:val="left"/>
    </w:pPr>
    <w:rPr>
      <w:kern w:val="0"/>
      <w:sz w:val="14"/>
      <w:szCs w:val="14"/>
      <w:lang w:val="en-US" w:eastAsia="zh-CN" w:bidi="ar"/>
    </w:rPr>
  </w:style>
  <w:style w:type="paragraph" w:styleId="16">
    <w:name w:val="annotation subject"/>
    <w:basedOn w:val="6"/>
    <w:next w:val="6"/>
    <w:link w:val="39"/>
    <w:semiHidden/>
    <w:unhideWhenUsed/>
    <w:qFormat/>
    <w:uiPriority w:val="99"/>
    <w:rPr>
      <w:b/>
      <w:bCs/>
    </w:rPr>
  </w:style>
  <w:style w:type="paragraph" w:styleId="17">
    <w:name w:val="Body Text First Indent"/>
    <w:basedOn w:val="7"/>
    <w:semiHidden/>
    <w:unhideWhenUsed/>
    <w:qFormat/>
    <w:uiPriority w:val="99"/>
    <w:pPr>
      <w:ind w:firstLine="420" w:firstLineChars="100"/>
    </w:pPr>
  </w:style>
  <w:style w:type="paragraph" w:styleId="18">
    <w:name w:val="Body Text First Indent 2"/>
    <w:basedOn w:val="8"/>
    <w:qFormat/>
    <w:uiPriority w:val="0"/>
    <w:pPr>
      <w:tabs>
        <w:tab w:val="left" w:pos="180"/>
        <w:tab w:val="left" w:pos="540"/>
      </w:tabs>
      <w:ind w:firstLine="420" w:firstLineChars="200"/>
    </w:pPr>
  </w:style>
  <w:style w:type="table" w:styleId="20">
    <w:name w:val="Table Grid"/>
    <w:basedOn w:val="19"/>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Strong"/>
    <w:basedOn w:val="21"/>
    <w:qFormat/>
    <w:uiPriority w:val="0"/>
    <w:rPr>
      <w:b/>
      <w:bCs/>
    </w:rPr>
  </w:style>
  <w:style w:type="character" w:styleId="23">
    <w:name w:val="FollowedHyperlink"/>
    <w:basedOn w:val="21"/>
    <w:semiHidden/>
    <w:unhideWhenUsed/>
    <w:qFormat/>
    <w:uiPriority w:val="99"/>
    <w:rPr>
      <w:color w:val="000000"/>
      <w:u w:val="none"/>
    </w:rPr>
  </w:style>
  <w:style w:type="character" w:styleId="24">
    <w:name w:val="Emphasis"/>
    <w:basedOn w:val="21"/>
    <w:qFormat/>
    <w:uiPriority w:val="20"/>
  </w:style>
  <w:style w:type="character" w:styleId="25">
    <w:name w:val="Hyperlink"/>
    <w:basedOn w:val="21"/>
    <w:semiHidden/>
    <w:unhideWhenUsed/>
    <w:qFormat/>
    <w:uiPriority w:val="99"/>
    <w:rPr>
      <w:color w:val="000000"/>
      <w:u w:val="none"/>
    </w:rPr>
  </w:style>
  <w:style w:type="character" w:styleId="26">
    <w:name w:val="annotation reference"/>
    <w:basedOn w:val="21"/>
    <w:semiHidden/>
    <w:unhideWhenUsed/>
    <w:qFormat/>
    <w:uiPriority w:val="99"/>
    <w:rPr>
      <w:sz w:val="21"/>
      <w:szCs w:val="21"/>
    </w:rPr>
  </w:style>
  <w:style w:type="paragraph" w:customStyle="1" w:styleId="27">
    <w:name w:val="Default"/>
    <w:qFormat/>
    <w:uiPriority w:val="0"/>
    <w:pPr>
      <w:widowControl w:val="0"/>
      <w:autoSpaceDE w:val="0"/>
      <w:autoSpaceDN w:val="0"/>
      <w:adjustRightInd w:val="0"/>
    </w:pPr>
    <w:rPr>
      <w:rFonts w:ascii="HYb2gj" w:hAnsi="Times New Roman" w:eastAsia="HYb2gj" w:cs="HYb2gj"/>
      <w:color w:val="000000"/>
      <w:sz w:val="24"/>
      <w:szCs w:val="24"/>
      <w:lang w:val="en-US" w:eastAsia="zh-CN" w:bidi="ar-SA"/>
    </w:rPr>
  </w:style>
  <w:style w:type="character" w:customStyle="1" w:styleId="28">
    <w:name w:val="页眉 Char"/>
    <w:basedOn w:val="21"/>
    <w:link w:val="12"/>
    <w:qFormat/>
    <w:uiPriority w:val="99"/>
    <w:rPr>
      <w:sz w:val="18"/>
      <w:szCs w:val="18"/>
    </w:rPr>
  </w:style>
  <w:style w:type="character" w:customStyle="1" w:styleId="29">
    <w:name w:val="页脚 Char"/>
    <w:basedOn w:val="21"/>
    <w:link w:val="11"/>
    <w:qFormat/>
    <w:uiPriority w:val="99"/>
    <w:rPr>
      <w:sz w:val="18"/>
      <w:szCs w:val="18"/>
    </w:rPr>
  </w:style>
  <w:style w:type="character" w:customStyle="1" w:styleId="30">
    <w:name w:val="font41"/>
    <w:basedOn w:val="21"/>
    <w:qFormat/>
    <w:uiPriority w:val="0"/>
    <w:rPr>
      <w:rFonts w:ascii="仿宋_GB2312" w:eastAsia="仿宋_GB2312" w:cs="仿宋_GB2312"/>
      <w:color w:val="000000"/>
      <w:sz w:val="24"/>
      <w:szCs w:val="24"/>
      <w:u w:val="none"/>
    </w:rPr>
  </w:style>
  <w:style w:type="character" w:customStyle="1" w:styleId="31">
    <w:name w:val="标题 1 Char"/>
    <w:basedOn w:val="21"/>
    <w:link w:val="3"/>
    <w:qFormat/>
    <w:uiPriority w:val="9"/>
    <w:rPr>
      <w:rFonts w:eastAsia="仿宋"/>
      <w:b/>
      <w:bCs/>
      <w:kern w:val="44"/>
      <w:sz w:val="32"/>
      <w:szCs w:val="44"/>
    </w:rPr>
  </w:style>
  <w:style w:type="character" w:customStyle="1" w:styleId="32">
    <w:name w:val="标题 2 Char"/>
    <w:basedOn w:val="21"/>
    <w:link w:val="4"/>
    <w:qFormat/>
    <w:uiPriority w:val="9"/>
    <w:rPr>
      <w:rFonts w:eastAsia="仿宋" w:asciiTheme="majorHAnsi" w:hAnsiTheme="majorHAnsi" w:cstheme="majorBidi"/>
      <w:bCs/>
      <w:sz w:val="32"/>
      <w:szCs w:val="32"/>
    </w:rPr>
  </w:style>
  <w:style w:type="paragraph" w:styleId="33">
    <w:name w:val="List Paragraph"/>
    <w:basedOn w:val="1"/>
    <w:qFormat/>
    <w:uiPriority w:val="34"/>
    <w:pPr>
      <w:ind w:firstLine="420" w:firstLineChars="200"/>
    </w:pPr>
  </w:style>
  <w:style w:type="paragraph" w:customStyle="1" w:styleId="34">
    <w:name w:val="WPSOffice手动目录 1"/>
    <w:qFormat/>
    <w:uiPriority w:val="0"/>
    <w:rPr>
      <w:rFonts w:asciiTheme="minorHAnsi" w:hAnsiTheme="minorHAnsi" w:eastAsiaTheme="minorEastAsia" w:cstheme="minorBidi"/>
      <w:lang w:val="en-US" w:eastAsia="zh-CN" w:bidi="ar-SA"/>
    </w:rPr>
  </w:style>
  <w:style w:type="paragraph" w:customStyle="1" w:styleId="3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7">
    <w:name w:val="批注框文本 Char"/>
    <w:basedOn w:val="21"/>
    <w:link w:val="10"/>
    <w:semiHidden/>
    <w:qFormat/>
    <w:uiPriority w:val="99"/>
    <w:rPr>
      <w:kern w:val="2"/>
      <w:sz w:val="18"/>
      <w:szCs w:val="18"/>
    </w:rPr>
  </w:style>
  <w:style w:type="character" w:customStyle="1" w:styleId="38">
    <w:name w:val="批注文字 Char"/>
    <w:basedOn w:val="21"/>
    <w:link w:val="6"/>
    <w:semiHidden/>
    <w:qFormat/>
    <w:uiPriority w:val="99"/>
    <w:rPr>
      <w:kern w:val="2"/>
      <w:sz w:val="21"/>
      <w:szCs w:val="24"/>
    </w:rPr>
  </w:style>
  <w:style w:type="character" w:customStyle="1" w:styleId="39">
    <w:name w:val="批注主题 Char"/>
    <w:basedOn w:val="38"/>
    <w:link w:val="16"/>
    <w:semiHidden/>
    <w:qFormat/>
    <w:uiPriority w:val="99"/>
    <w:rPr>
      <w:b/>
      <w:bCs/>
      <w:kern w:val="2"/>
      <w:sz w:val="21"/>
      <w:szCs w:val="24"/>
    </w:rPr>
  </w:style>
  <w:style w:type="paragraph" w:customStyle="1" w:styleId="40">
    <w:name w:val="闻政表"/>
    <w:basedOn w:val="1"/>
    <w:qFormat/>
    <w:uiPriority w:val="99"/>
    <w:pPr>
      <w:spacing w:before="60" w:after="60"/>
      <w:jc w:val="center"/>
    </w:pPr>
    <w:rPr>
      <w:rFonts w:ascii="Times New Roman" w:hAnsi="Times New Roman" w:eastAsia="仿宋_GB2312"/>
      <w:b/>
      <w:kern w:val="0"/>
      <w:sz w:val="24"/>
      <w:szCs w:val="28"/>
    </w:rPr>
  </w:style>
  <w:style w:type="paragraph" w:customStyle="1" w:styleId="41">
    <w:name w:val="列表段落1"/>
    <w:basedOn w:val="1"/>
    <w:qFormat/>
    <w:uiPriority w:val="34"/>
    <w:pPr>
      <w:ind w:firstLine="420" w:firstLineChars="200"/>
    </w:pPr>
  </w:style>
  <w:style w:type="paragraph" w:customStyle="1" w:styleId="42">
    <w:name w:val="无间隔1"/>
    <w:basedOn w:val="1"/>
    <w:qFormat/>
    <w:uiPriority w:val="1"/>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3F39DA-BB28-4752-A7CB-656F2CF4CE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27</Pages>
  <Words>12791</Words>
  <Characters>13393</Characters>
  <Lines>79</Lines>
  <Paragraphs>22</Paragraphs>
  <TotalTime>67</TotalTime>
  <ScaleCrop>false</ScaleCrop>
  <LinksUpToDate>false</LinksUpToDate>
  <CharactersWithSpaces>13547</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2019-11-07T05:25:00Z</dcterms:created>
  <dc:creator>jc</dc:creator>
  <cp:lastModifiedBy>如果_见或不见</cp:lastModifiedBy>
  <cp:lastPrinted>2021-07-28T10:34:00Z</cp:lastPrinted>
  <dcterms:modified xsi:type="dcterms:W3CDTF">2025-12-29T04:14:39Z</dcterms:modified>
  <cp:revision>182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A8312BA226C94F5A884B33DB13DDFAF3</vt:lpwstr>
  </property>
  <property fmtid="{D5CDD505-2E9C-101B-9397-08002B2CF9AE}" pid="4" name="KSOSaveFontToCloudKey">
    <vt:lpwstr>999270995_embed</vt:lpwstr>
  </property>
  <property fmtid="{D5CDD505-2E9C-101B-9397-08002B2CF9AE}" pid="5" name="KSOTemplateDocerSaveRecord">
    <vt:lpwstr>eyJoZGlkIjoiMWZhNjI1MTE2MjcwNzhiZTRjMjFkZjExZjVmNjlkZGMiLCJ1c2VySWQiOiIzOTg2MTgwNzQifQ==</vt:lpwstr>
  </property>
</Properties>
</file>