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ECD1D"/>
    <w:p w14:paraId="547D7CBC">
      <w:pPr>
        <w:pageBreakBefore w:val="0"/>
        <w:widowControl w:val="0"/>
        <w:kinsoku/>
        <w:wordWrap/>
        <w:topLinePunct w:val="0"/>
        <w:autoSpaceDE/>
        <w:autoSpaceDN/>
        <w:bidi w:val="0"/>
        <w:spacing w:line="560" w:lineRule="exact"/>
        <w:ind w:left="0" w:leftChars="0" w:firstLine="0" w:firstLineChars="0"/>
        <w:textAlignment w:val="auto"/>
        <w:rPr>
          <w:rFonts w:hint="default" w:eastAsia="方正仿宋_GBK" w:cs="方正仿宋_GBK"/>
          <w:b/>
          <w:kern w:val="0"/>
          <w:sz w:val="32"/>
          <w:szCs w:val="32"/>
          <w:lang w:val="en-US" w:eastAsia="zh-CN" w:bidi="en-US"/>
        </w:rPr>
      </w:pPr>
    </w:p>
    <w:p w14:paraId="256201D1">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803"/>
        <w:jc w:val="center"/>
        <w:textAlignment w:val="auto"/>
        <w:outlineLvl w:val="0"/>
        <w:rPr>
          <w:color w:val="auto"/>
        </w:rPr>
      </w:pPr>
      <w:r>
        <w:rPr>
          <w:rFonts w:hint="eastAsia" w:ascii="黑体" w:hAnsi="黑体" w:eastAsia="黑体" w:cs="黑体"/>
          <w:b/>
          <w:color w:val="auto"/>
          <w:sz w:val="36"/>
          <w:szCs w:val="36"/>
          <w:lang w:val="en-US" w:eastAsia="zh-CN"/>
        </w:rPr>
        <w:t>和田地区洛浦县2024年中央补助地方公共文化服务体系建设资金项目</w:t>
      </w:r>
      <w:r>
        <w:rPr>
          <w:rFonts w:hint="eastAsia" w:ascii="黑体" w:hAnsi="黑体" w:eastAsia="黑体" w:cs="黑体"/>
          <w:b/>
          <w:color w:val="auto"/>
          <w:sz w:val="36"/>
          <w:szCs w:val="36"/>
        </w:rPr>
        <w:t>支出绩效评价报告</w:t>
      </w:r>
    </w:p>
    <w:p w14:paraId="478B648C">
      <w:pPr>
        <w:pStyle w:val="6"/>
        <w:jc w:val="center"/>
        <w:rPr>
          <w:rFonts w:hint="eastAsia" w:eastAsia="仿宋_GB2312"/>
          <w:color w:val="auto"/>
          <w:lang w:eastAsia="zh-CN"/>
        </w:rPr>
      </w:pPr>
      <w:r>
        <w:rPr>
          <w:rFonts w:hint="eastAsia"/>
          <w:color w:val="auto"/>
          <w:lang w:eastAsia="zh-CN"/>
        </w:rPr>
        <w:t>（</w:t>
      </w:r>
      <w:r>
        <w:rPr>
          <w:rFonts w:hint="eastAsia"/>
          <w:color w:val="auto"/>
          <w:lang w:val="en-US" w:eastAsia="zh-CN"/>
        </w:rPr>
        <w:t>2024年度</w:t>
      </w:r>
      <w:r>
        <w:rPr>
          <w:rFonts w:hint="eastAsia"/>
          <w:color w:val="auto"/>
          <w:lang w:eastAsia="zh-CN"/>
        </w:rPr>
        <w:t>）</w:t>
      </w:r>
    </w:p>
    <w:p w14:paraId="6203272A">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color w:val="auto"/>
          <w:kern w:val="0"/>
          <w:sz w:val="32"/>
          <w:szCs w:val="32"/>
          <w:lang w:bidi="en-US"/>
        </w:rPr>
      </w:pPr>
    </w:p>
    <w:p w14:paraId="0379B931">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color w:val="auto"/>
          <w:kern w:val="0"/>
          <w:sz w:val="32"/>
          <w:szCs w:val="32"/>
          <w:lang w:bidi="en-US"/>
        </w:rPr>
      </w:pPr>
    </w:p>
    <w:p w14:paraId="41BAA7D1">
      <w:pPr>
        <w:pStyle w:val="6"/>
        <w:rPr>
          <w:rFonts w:hint="eastAsia" w:eastAsia="方正仿宋_GBK" w:cs="方正仿宋_GBK"/>
          <w:b/>
          <w:color w:val="auto"/>
          <w:kern w:val="0"/>
          <w:sz w:val="32"/>
          <w:szCs w:val="32"/>
          <w:lang w:bidi="en-US"/>
        </w:rPr>
      </w:pPr>
    </w:p>
    <w:p w14:paraId="42C76DC9">
      <w:pPr>
        <w:rPr>
          <w:rFonts w:hint="eastAsia" w:eastAsia="方正仿宋_GBK" w:cs="方正仿宋_GBK"/>
          <w:b/>
          <w:color w:val="auto"/>
          <w:kern w:val="0"/>
          <w:sz w:val="32"/>
          <w:szCs w:val="32"/>
          <w:lang w:bidi="en-US"/>
        </w:rPr>
      </w:pPr>
    </w:p>
    <w:p w14:paraId="5A96B3EB">
      <w:pPr>
        <w:pStyle w:val="6"/>
        <w:rPr>
          <w:rFonts w:hint="eastAsia"/>
          <w:color w:val="auto"/>
        </w:rPr>
      </w:pPr>
    </w:p>
    <w:p w14:paraId="5B2F2C71">
      <w:pPr>
        <w:pStyle w:val="6"/>
        <w:pageBreakBefore w:val="0"/>
        <w:widowControl w:val="0"/>
        <w:kinsoku/>
        <w:wordWrap/>
        <w:topLinePunct w:val="0"/>
        <w:autoSpaceDE/>
        <w:autoSpaceDN/>
        <w:bidi w:val="0"/>
        <w:spacing w:before="0" w:after="0" w:line="560" w:lineRule="exact"/>
        <w:ind w:left="0" w:leftChars="0" w:firstLine="643"/>
        <w:textAlignment w:val="auto"/>
        <w:rPr>
          <w:rFonts w:hint="eastAsia" w:eastAsia="方正仿宋_GBK" w:cs="方正仿宋_GBK"/>
          <w:b/>
          <w:color w:val="auto"/>
          <w:sz w:val="32"/>
          <w:lang w:bidi="en-US"/>
        </w:rPr>
      </w:pPr>
    </w:p>
    <w:p w14:paraId="202B98D4">
      <w:pPr>
        <w:pageBreakBefore w:val="0"/>
        <w:widowControl w:val="0"/>
        <w:kinsoku/>
        <w:wordWrap/>
        <w:topLinePunct w:val="0"/>
        <w:autoSpaceDE/>
        <w:autoSpaceDN/>
        <w:bidi w:val="0"/>
        <w:spacing w:line="560" w:lineRule="exact"/>
        <w:ind w:left="0" w:leftChars="0" w:firstLine="560"/>
        <w:textAlignment w:val="auto"/>
        <w:rPr>
          <w:rFonts w:hint="eastAsia"/>
          <w:color w:val="auto"/>
        </w:rPr>
      </w:pPr>
    </w:p>
    <w:p w14:paraId="4D13EE5E">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color w:val="auto"/>
          <w:kern w:val="0"/>
          <w:sz w:val="32"/>
          <w:szCs w:val="32"/>
          <w:lang w:bidi="en-US"/>
        </w:rPr>
      </w:pPr>
    </w:p>
    <w:p w14:paraId="16F109EC">
      <w:pPr>
        <w:pageBreakBefore w:val="0"/>
        <w:widowControl w:val="0"/>
        <w:kinsoku/>
        <w:wordWrap/>
        <w:topLinePunct w:val="0"/>
        <w:autoSpaceDE/>
        <w:autoSpaceDN/>
        <w:bidi w:val="0"/>
        <w:spacing w:line="560" w:lineRule="exact"/>
        <w:jc w:val="left"/>
        <w:textAlignment w:val="auto"/>
        <w:rPr>
          <w:rFonts w:hint="eastAsia" w:ascii="宋体" w:hAnsi="宋体" w:eastAsia="宋体" w:cs="宋体"/>
          <w:color w:val="auto"/>
          <w:kern w:val="0"/>
          <w:sz w:val="28"/>
          <w:szCs w:val="28"/>
          <w:lang w:bidi="en-US"/>
        </w:rPr>
      </w:pPr>
      <w:r>
        <w:rPr>
          <w:rFonts w:hint="eastAsia" w:ascii="宋体" w:hAnsi="宋体" w:eastAsia="宋体" w:cs="宋体"/>
          <w:color w:val="auto"/>
          <w:kern w:val="0"/>
          <w:sz w:val="28"/>
          <w:szCs w:val="28"/>
          <w:lang w:bidi="en-US"/>
        </w:rPr>
        <w:t>项目名称：</w:t>
      </w:r>
      <w:r>
        <w:rPr>
          <w:rFonts w:hint="eastAsia" w:ascii="宋体" w:hAnsi="宋体" w:eastAsia="宋体" w:cs="宋体"/>
          <w:color w:val="auto"/>
          <w:kern w:val="0"/>
          <w:sz w:val="28"/>
          <w:szCs w:val="28"/>
          <w:lang w:val="en-US" w:eastAsia="zh-CN" w:bidi="en-US"/>
        </w:rPr>
        <w:t>2024年中央补助地方公共文化服务体系建设资金</w:t>
      </w:r>
      <w:r>
        <w:rPr>
          <w:rFonts w:hint="eastAsia" w:ascii="宋体" w:hAnsi="宋体" w:eastAsia="宋体" w:cs="宋体"/>
          <w:color w:val="auto"/>
          <w:kern w:val="0"/>
          <w:sz w:val="28"/>
          <w:szCs w:val="28"/>
          <w:lang w:bidi="en-US"/>
        </w:rPr>
        <w:t>项目</w:t>
      </w:r>
    </w:p>
    <w:p w14:paraId="7C8C7C86">
      <w:pPr>
        <w:pageBreakBefore w:val="0"/>
        <w:widowControl w:val="0"/>
        <w:kinsoku/>
        <w:wordWrap/>
        <w:topLinePunct w:val="0"/>
        <w:autoSpaceDE/>
        <w:autoSpaceDN/>
        <w:bidi w:val="0"/>
        <w:spacing w:line="560" w:lineRule="exact"/>
        <w:jc w:val="left"/>
        <w:textAlignment w:val="auto"/>
        <w:rPr>
          <w:rFonts w:hint="default" w:ascii="宋体" w:hAnsi="宋体" w:eastAsia="宋体" w:cs="宋体"/>
          <w:color w:val="auto"/>
          <w:kern w:val="0"/>
          <w:sz w:val="24"/>
          <w:szCs w:val="24"/>
          <w:lang w:val="en-US" w:eastAsia="zh-CN" w:bidi="en-US"/>
        </w:rPr>
      </w:pPr>
      <w:r>
        <w:rPr>
          <w:rFonts w:hint="eastAsia" w:ascii="宋体" w:hAnsi="宋体" w:eastAsia="宋体" w:cs="宋体"/>
          <w:color w:val="auto"/>
          <w:kern w:val="0"/>
          <w:sz w:val="28"/>
          <w:szCs w:val="28"/>
          <w:lang w:bidi="en-US"/>
        </w:rPr>
        <w:t>项目单位：</w:t>
      </w:r>
      <w:r>
        <w:rPr>
          <w:rFonts w:hint="eastAsia" w:ascii="宋体" w:hAnsi="宋体" w:eastAsia="宋体" w:cs="宋体"/>
          <w:color w:val="auto"/>
          <w:kern w:val="0"/>
          <w:sz w:val="28"/>
          <w:szCs w:val="28"/>
          <w:lang w:val="en-US" w:eastAsia="zh-CN" w:bidi="en-US"/>
        </w:rPr>
        <w:t>洛浦县图书馆</w:t>
      </w:r>
    </w:p>
    <w:p w14:paraId="7FD43D6F">
      <w:pPr>
        <w:pageBreakBefore w:val="0"/>
        <w:widowControl w:val="0"/>
        <w:kinsoku/>
        <w:wordWrap/>
        <w:topLinePunct w:val="0"/>
        <w:autoSpaceDE/>
        <w:autoSpaceDN/>
        <w:bidi w:val="0"/>
        <w:spacing w:line="560" w:lineRule="exact"/>
        <w:jc w:val="left"/>
        <w:textAlignment w:val="auto"/>
        <w:rPr>
          <w:rFonts w:hint="eastAsia" w:ascii="宋体" w:hAnsi="宋体" w:eastAsia="宋体" w:cs="宋体"/>
          <w:color w:val="auto"/>
          <w:kern w:val="0"/>
          <w:sz w:val="28"/>
          <w:szCs w:val="28"/>
          <w:lang w:bidi="en-US"/>
        </w:rPr>
      </w:pPr>
      <w:r>
        <w:rPr>
          <w:rFonts w:hint="eastAsia" w:ascii="宋体" w:hAnsi="宋体" w:eastAsia="宋体" w:cs="宋体"/>
          <w:color w:val="auto"/>
          <w:kern w:val="0"/>
          <w:sz w:val="28"/>
          <w:szCs w:val="28"/>
          <w:lang w:bidi="en-US"/>
        </w:rPr>
        <w:t>主管部门：洛浦县文化体育广播电视和旅游局</w:t>
      </w:r>
    </w:p>
    <w:p w14:paraId="34BAF11E">
      <w:pPr>
        <w:pageBreakBefore w:val="0"/>
        <w:widowControl w:val="0"/>
        <w:kinsoku/>
        <w:wordWrap/>
        <w:topLinePunct w:val="0"/>
        <w:autoSpaceDE/>
        <w:autoSpaceDN/>
        <w:bidi w:val="0"/>
        <w:spacing w:line="560" w:lineRule="exact"/>
        <w:jc w:val="left"/>
        <w:textAlignment w:val="auto"/>
        <w:rPr>
          <w:rFonts w:hint="eastAsia" w:ascii="宋体" w:hAnsi="宋体" w:eastAsia="宋体" w:cs="宋体"/>
          <w:color w:val="auto"/>
          <w:kern w:val="0"/>
          <w:sz w:val="28"/>
          <w:szCs w:val="28"/>
          <w:lang w:val="en-US" w:eastAsia="zh-CN" w:bidi="en-US"/>
        </w:rPr>
      </w:pPr>
      <w:r>
        <w:rPr>
          <w:rFonts w:hint="eastAsia" w:ascii="宋体" w:hAnsi="宋体" w:eastAsia="宋体" w:cs="宋体"/>
          <w:color w:val="auto"/>
          <w:kern w:val="0"/>
          <w:sz w:val="28"/>
          <w:szCs w:val="28"/>
          <w:lang w:bidi="en-US"/>
        </w:rPr>
        <w:t>项目负责人：</w:t>
      </w:r>
      <w:r>
        <w:rPr>
          <w:rFonts w:hint="eastAsia" w:ascii="宋体" w:hAnsi="宋体" w:eastAsia="宋体" w:cs="宋体"/>
          <w:color w:val="auto"/>
          <w:kern w:val="0"/>
          <w:sz w:val="28"/>
          <w:szCs w:val="28"/>
          <w:lang w:val="en-US" w:eastAsia="zh-CN" w:bidi="en-US"/>
        </w:rPr>
        <w:t>再吐娜</w:t>
      </w:r>
    </w:p>
    <w:p w14:paraId="145608B3">
      <w:pPr>
        <w:pageBreakBefore w:val="0"/>
        <w:widowControl w:val="0"/>
        <w:kinsoku/>
        <w:wordWrap/>
        <w:topLinePunct w:val="0"/>
        <w:autoSpaceDE/>
        <w:autoSpaceDN/>
        <w:bidi w:val="0"/>
        <w:spacing w:line="560" w:lineRule="exact"/>
        <w:jc w:val="left"/>
        <w:textAlignment w:val="auto"/>
        <w:rPr>
          <w:rFonts w:hint="eastAsia" w:ascii="宋体" w:hAnsi="宋体" w:eastAsia="宋体" w:cs="宋体"/>
          <w:color w:val="auto"/>
          <w:kern w:val="0"/>
          <w:sz w:val="28"/>
          <w:szCs w:val="28"/>
          <w:lang w:bidi="en-US"/>
        </w:rPr>
      </w:pPr>
      <w:r>
        <w:rPr>
          <w:rFonts w:hint="eastAsia" w:ascii="宋体" w:hAnsi="宋体" w:eastAsia="宋体" w:cs="宋体"/>
          <w:color w:val="auto"/>
          <w:kern w:val="0"/>
          <w:sz w:val="28"/>
          <w:szCs w:val="28"/>
          <w:lang w:bidi="en-US"/>
        </w:rPr>
        <w:t>填报时间：</w:t>
      </w:r>
      <w:r>
        <w:rPr>
          <w:rFonts w:hint="eastAsia" w:ascii="宋体" w:hAnsi="宋体" w:eastAsia="宋体" w:cs="宋体"/>
          <w:color w:val="auto"/>
          <w:kern w:val="0"/>
          <w:sz w:val="28"/>
          <w:szCs w:val="28"/>
          <w:lang w:val="en-US" w:eastAsia="zh-CN" w:bidi="en-US"/>
        </w:rPr>
        <w:t>2025</w:t>
      </w:r>
      <w:r>
        <w:rPr>
          <w:rFonts w:hint="eastAsia" w:ascii="宋体" w:hAnsi="宋体" w:eastAsia="宋体" w:cs="宋体"/>
          <w:color w:val="auto"/>
          <w:kern w:val="0"/>
          <w:sz w:val="28"/>
          <w:szCs w:val="28"/>
          <w:lang w:bidi="en-US"/>
        </w:rPr>
        <w:t xml:space="preserve"> 年 </w:t>
      </w:r>
      <w:r>
        <w:rPr>
          <w:rFonts w:hint="eastAsia" w:ascii="宋体" w:hAnsi="宋体" w:eastAsia="宋体" w:cs="宋体"/>
          <w:color w:val="auto"/>
          <w:kern w:val="0"/>
          <w:sz w:val="28"/>
          <w:szCs w:val="28"/>
          <w:lang w:val="en-US" w:eastAsia="zh-CN" w:bidi="en-US"/>
        </w:rPr>
        <w:t>3</w:t>
      </w:r>
      <w:r>
        <w:rPr>
          <w:rFonts w:hint="eastAsia" w:ascii="宋体" w:hAnsi="宋体" w:eastAsia="宋体" w:cs="宋体"/>
          <w:color w:val="auto"/>
          <w:kern w:val="0"/>
          <w:sz w:val="28"/>
          <w:szCs w:val="28"/>
          <w:lang w:bidi="en-US"/>
        </w:rPr>
        <w:t xml:space="preserve"> 月 </w:t>
      </w:r>
      <w:r>
        <w:rPr>
          <w:rFonts w:hint="eastAsia" w:ascii="宋体" w:hAnsi="宋体" w:eastAsia="宋体" w:cs="宋体"/>
          <w:color w:val="auto"/>
          <w:kern w:val="0"/>
          <w:sz w:val="28"/>
          <w:szCs w:val="28"/>
          <w:lang w:val="en-US" w:eastAsia="zh-CN" w:bidi="en-US"/>
        </w:rPr>
        <w:t>31</w:t>
      </w:r>
      <w:r>
        <w:rPr>
          <w:rFonts w:hint="eastAsia" w:ascii="宋体" w:hAnsi="宋体" w:eastAsia="宋体" w:cs="宋体"/>
          <w:color w:val="auto"/>
          <w:kern w:val="0"/>
          <w:sz w:val="28"/>
          <w:szCs w:val="28"/>
          <w:lang w:bidi="en-US"/>
        </w:rPr>
        <w:t>日</w:t>
      </w:r>
    </w:p>
    <w:p w14:paraId="31D58B26">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b/>
          <w:color w:val="auto"/>
          <w:kern w:val="0"/>
          <w:sz w:val="28"/>
          <w:szCs w:val="28"/>
          <w:lang w:bidi="en-US"/>
        </w:rPr>
      </w:pPr>
    </w:p>
    <w:p w14:paraId="2ED0B810">
      <w:pPr>
        <w:pStyle w:val="4"/>
        <w:pageBreakBefore w:val="0"/>
        <w:widowControl w:val="0"/>
        <w:numPr>
          <w:ilvl w:val="0"/>
          <w:numId w:val="0"/>
        </w:numPr>
        <w:kinsoku/>
        <w:wordWrap/>
        <w:overflowPunct/>
        <w:topLinePunct w:val="0"/>
        <w:autoSpaceDE/>
        <w:autoSpaceDN/>
        <w:bidi w:val="0"/>
        <w:adjustRightInd/>
        <w:snapToGrid/>
        <w:spacing w:before="0" w:after="0" w:line="360" w:lineRule="auto"/>
        <w:ind w:leftChars="0" w:firstLine="480" w:firstLineChars="200"/>
        <w:jc w:val="both"/>
        <w:textAlignment w:val="auto"/>
        <w:rPr>
          <w:rFonts w:hint="eastAsia" w:ascii="黑体" w:hAnsi="黑体" w:eastAsia="黑体" w:cs="黑体"/>
          <w:color w:val="auto"/>
          <w:sz w:val="24"/>
          <w:szCs w:val="24"/>
          <w:lang w:val="en-US" w:eastAsia="zh-CN"/>
        </w:rPr>
        <w:sectPr>
          <w:headerReference r:id="rId5" w:type="default"/>
          <w:footerReference r:id="rId6" w:type="default"/>
          <w:pgSz w:w="11906" w:h="16838"/>
          <w:pgMar w:top="1985" w:right="1531" w:bottom="1701" w:left="1531" w:header="851" w:footer="992" w:gutter="0"/>
          <w:pgNumType w:start="1"/>
          <w:cols w:space="720" w:num="1"/>
          <w:docGrid w:type="linesAndChars" w:linePitch="386" w:charSpace="0"/>
        </w:sectPr>
      </w:pPr>
      <w:bookmarkStart w:id="0" w:name="_Toc68364657"/>
    </w:p>
    <w:p w14:paraId="1A96F9EC">
      <w:pPr>
        <w:pStyle w:val="4"/>
        <w:pageBreakBefore w:val="0"/>
        <w:widowControl w:val="0"/>
        <w:numPr>
          <w:ilvl w:val="0"/>
          <w:numId w:val="0"/>
        </w:numPr>
        <w:kinsoku/>
        <w:wordWrap/>
        <w:overflowPunct/>
        <w:topLinePunct w:val="0"/>
        <w:autoSpaceDE/>
        <w:autoSpaceDN/>
        <w:bidi w:val="0"/>
        <w:adjustRightInd/>
        <w:snapToGrid/>
        <w:spacing w:before="0" w:after="0" w:line="360" w:lineRule="auto"/>
        <w:ind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lang w:val="en-US" w:eastAsia="zh-CN"/>
        </w:rPr>
        <w:t>一、</w:t>
      </w:r>
      <w:r>
        <w:rPr>
          <w:rFonts w:hint="eastAsia" w:ascii="黑体" w:hAnsi="黑体" w:eastAsia="黑体" w:cs="黑体"/>
          <w:color w:val="auto"/>
          <w:sz w:val="24"/>
          <w:szCs w:val="24"/>
        </w:rPr>
        <w:t>基本情况</w:t>
      </w:r>
      <w:bookmarkEnd w:id="0"/>
    </w:p>
    <w:p w14:paraId="46C3F94B">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 w:name="_Toc68364658"/>
      <w:r>
        <w:rPr>
          <w:rFonts w:hint="eastAsia" w:ascii="宋体" w:hAnsi="宋体" w:eastAsia="宋体" w:cs="宋体"/>
          <w:color w:val="auto"/>
          <w:sz w:val="24"/>
          <w:szCs w:val="24"/>
          <w:lang w:eastAsia="zh-CN"/>
        </w:rPr>
        <w:t>（一）</w:t>
      </w:r>
      <w:r>
        <w:rPr>
          <w:rFonts w:hint="eastAsia" w:ascii="宋体" w:hAnsi="宋体" w:eastAsia="宋体" w:cs="宋体"/>
          <w:color w:val="auto"/>
          <w:sz w:val="24"/>
          <w:szCs w:val="24"/>
        </w:rPr>
        <w:t>项目概况</w:t>
      </w:r>
      <w:bookmarkEnd w:id="1"/>
    </w:p>
    <w:p w14:paraId="3A1278B2">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 项目背景</w:t>
      </w:r>
    </w:p>
    <w:p w14:paraId="6C3AA997">
      <w:pPr>
        <w:pStyle w:val="62"/>
        <w:pageBreakBefore w:val="0"/>
        <w:kinsoku/>
        <w:wordWrap/>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窗体顶端</w:t>
      </w:r>
    </w:p>
    <w:p w14:paraId="1624093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i w:val="0"/>
          <w:iCs w:val="0"/>
          <w:caps w:val="0"/>
          <w:color w:val="auto"/>
          <w:spacing w:val="0"/>
          <w:kern w:val="0"/>
          <w:sz w:val="24"/>
          <w:szCs w:val="24"/>
          <w:shd w:val="clear" w:color="auto" w:fill="FFFFFF"/>
          <w:lang w:val="en-US" w:eastAsia="zh-CN"/>
        </w:rPr>
      </w:pPr>
      <w:r>
        <w:rPr>
          <w:rFonts w:hint="eastAsia" w:ascii="宋体" w:hAnsi="宋体" w:eastAsia="宋体" w:cs="宋体"/>
          <w:i w:val="0"/>
          <w:iCs w:val="0"/>
          <w:caps w:val="0"/>
          <w:color w:val="auto"/>
          <w:spacing w:val="0"/>
          <w:kern w:val="0"/>
          <w:sz w:val="24"/>
          <w:szCs w:val="24"/>
          <w:shd w:val="clear" w:color="auto" w:fill="FFFFFF"/>
          <w:lang w:val="en-US" w:eastAsia="zh-CN"/>
        </w:rPr>
        <w:t>根据《财政部关于下达2024年中央支持地方公共文化服务体系建设补助资金预算的通知》（和地财教【2023】47号）文件立项。</w:t>
      </w:r>
    </w:p>
    <w:p w14:paraId="0794832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topLinePunct w:val="0"/>
        <w:autoSpaceDE/>
        <w:autoSpaceDN/>
        <w:bidi w:val="0"/>
        <w:adjustRightInd/>
        <w:snapToGrid/>
        <w:spacing w:line="360" w:lineRule="auto"/>
        <w:ind w:left="0" w:leftChars="0" w:right="0" w:firstLine="480" w:firstLineChars="200"/>
        <w:jc w:val="left"/>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kern w:val="0"/>
          <w:sz w:val="24"/>
          <w:szCs w:val="24"/>
          <w:shd w:val="clear" w:color="auto" w:fill="FFFFFF"/>
          <w:lang w:val="en-US" w:eastAsia="zh-CN"/>
        </w:rPr>
        <w:t>项目主要内容为：购置图书、期刊报刊等，举办图书推广讲座和全民阅读系列活动以及图书馆修缮维修等活动费用。通过项目实施，提升公共服务文化的效能。</w:t>
      </w:r>
    </w:p>
    <w:p w14:paraId="15FFB1D7">
      <w:pPr>
        <w:pStyle w:val="63"/>
        <w:pageBreakBefore w:val="0"/>
        <w:kinsoku/>
        <w:wordWrap/>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窗体底端</w:t>
      </w:r>
    </w:p>
    <w:p w14:paraId="3F7BD3CF">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b/>
          <w:bCs/>
          <w:color w:val="auto"/>
          <w:sz w:val="24"/>
          <w:szCs w:val="24"/>
        </w:rPr>
        <w:t>主要内容及实施情况</w:t>
      </w:r>
    </w:p>
    <w:p w14:paraId="22C9115A">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1）主要内容</w:t>
      </w:r>
    </w:p>
    <w:p w14:paraId="0FBDB2F6">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项目主要内容为：购置图书、期刊报刊等，举办图书推广讲座和全民阅读系列活动以及图书馆修缮维修等活动费用。通过项目实施，提升公共服务文化的效能。</w:t>
      </w:r>
    </w:p>
    <w:p w14:paraId="2018D41A">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2.实施情况</w:t>
      </w:r>
    </w:p>
    <w:p w14:paraId="1D2C6323">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1）项目实施主体</w:t>
      </w:r>
    </w:p>
    <w:p w14:paraId="0B16D607">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本项目主管部门为洛浦县</w:t>
      </w:r>
      <w:r>
        <w:rPr>
          <w:rFonts w:hint="eastAsia" w:ascii="宋体" w:hAnsi="宋体" w:eastAsia="宋体" w:cs="宋体"/>
          <w:color w:val="auto"/>
          <w:kern w:val="0"/>
          <w:sz w:val="24"/>
          <w:szCs w:val="24"/>
          <w:lang w:bidi="en-US"/>
        </w:rPr>
        <w:t>洛浦县文化体育广播电视和旅游</w:t>
      </w:r>
      <w:r>
        <w:rPr>
          <w:rFonts w:hint="eastAsia" w:ascii="宋体" w:hAnsi="宋体" w:eastAsia="宋体" w:cs="宋体"/>
          <w:b w:val="0"/>
          <w:bCs w:val="0"/>
          <w:color w:val="auto"/>
          <w:sz w:val="24"/>
          <w:szCs w:val="24"/>
          <w:lang w:val="en-US" w:eastAsia="zh-CN"/>
        </w:rPr>
        <w:t>局，实施单位为洛浦县图书馆。</w:t>
      </w:r>
    </w:p>
    <w:p w14:paraId="6297D9DB">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（2）项目实施时间：</w:t>
      </w:r>
      <w:r>
        <w:rPr>
          <w:rFonts w:hint="eastAsia" w:ascii="宋体" w:hAnsi="宋体" w:eastAsia="宋体" w:cs="宋体"/>
          <w:b w:val="0"/>
          <w:bCs w:val="0"/>
          <w:color w:val="auto"/>
          <w:sz w:val="24"/>
          <w:szCs w:val="24"/>
          <w:lang w:val="en-US" w:eastAsia="zh-CN"/>
        </w:rPr>
        <w:t>2024年1月-2024年12月</w:t>
      </w:r>
    </w:p>
    <w:p w14:paraId="000B3121">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（3）项目实施情况</w:t>
      </w:r>
    </w:p>
    <w:p w14:paraId="69BAB7FF">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根据《财政部关于下达2024年中央支持地方公共文化服务体系建设补助资金预算的通知》（和地财教【2023】47号）文件及《财政厅关于下达2024年中央支持地方公共文化服务体系建设补助资金（文化润疆工程重点项目）预算的通知》（和地财教【2024】7号）立项。项目主要内容为：购置图书、期刊报刊等，举办图书推广讲座和全民阅读系列活动以及图书馆修缮维修费用。通过项目实施，以深化推进文化润疆工程为目标，不断提升公共文化服务效能，完善公共文化服务体系，促进文化事业繁荣发展。项目总投资19万元，2024年计划财政拨款16.11万元。</w:t>
      </w:r>
    </w:p>
    <w:p w14:paraId="794BCCB6">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4. 资金投入和使用情况</w:t>
      </w:r>
    </w:p>
    <w:p w14:paraId="6276C331">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（1）项目资金安排</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投入情况</w:t>
      </w:r>
    </w:p>
    <w:p w14:paraId="1EEEDEE7">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本项目预算安排总额为</w:t>
      </w:r>
      <w:r>
        <w:rPr>
          <w:rFonts w:hint="eastAsia" w:ascii="宋体" w:hAnsi="宋体" w:eastAsia="宋体" w:cs="宋体"/>
          <w:color w:val="auto"/>
          <w:sz w:val="24"/>
          <w:szCs w:val="24"/>
          <w:lang w:val="en-US" w:eastAsia="zh-CN"/>
        </w:rPr>
        <w:t>16.11</w:t>
      </w:r>
      <w:r>
        <w:rPr>
          <w:rFonts w:hint="eastAsia" w:ascii="宋体" w:hAnsi="宋体" w:eastAsia="宋体" w:cs="宋体"/>
          <w:color w:val="auto"/>
          <w:sz w:val="24"/>
          <w:szCs w:val="24"/>
        </w:rPr>
        <w:t>万元，资金来源为部门预算中央专项资金，其中：财政资金</w:t>
      </w:r>
      <w:r>
        <w:rPr>
          <w:rFonts w:hint="eastAsia" w:ascii="宋体" w:hAnsi="宋体" w:eastAsia="宋体" w:cs="宋体"/>
          <w:color w:val="auto"/>
          <w:sz w:val="24"/>
          <w:szCs w:val="24"/>
          <w:lang w:val="en-US" w:eastAsia="zh-CN"/>
        </w:rPr>
        <w:t>16.11</w:t>
      </w:r>
      <w:r>
        <w:rPr>
          <w:rFonts w:hint="eastAsia" w:ascii="宋体" w:hAnsi="宋体" w:eastAsia="宋体" w:cs="宋体"/>
          <w:color w:val="auto"/>
          <w:sz w:val="24"/>
          <w:szCs w:val="24"/>
        </w:rPr>
        <w:t>万元，其他资金</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万元，202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年实际收到预算资金</w:t>
      </w:r>
      <w:r>
        <w:rPr>
          <w:rFonts w:hint="eastAsia" w:ascii="宋体" w:hAnsi="宋体" w:eastAsia="宋体" w:cs="宋体"/>
          <w:color w:val="auto"/>
          <w:sz w:val="24"/>
          <w:szCs w:val="24"/>
          <w:lang w:val="en-US" w:eastAsia="zh-CN"/>
        </w:rPr>
        <w:t>16.11</w:t>
      </w:r>
      <w:r>
        <w:rPr>
          <w:rFonts w:hint="eastAsia" w:ascii="宋体" w:hAnsi="宋体" w:eastAsia="宋体" w:cs="宋体"/>
          <w:color w:val="auto"/>
          <w:sz w:val="24"/>
          <w:szCs w:val="24"/>
        </w:rPr>
        <w:t>万元，预算资金到位率为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33CAD536">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（2）项目资金实际使用情况分析</w:t>
      </w:r>
    </w:p>
    <w:p w14:paraId="41D9E036">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本项目实际支付资金</w:t>
      </w:r>
      <w:r>
        <w:rPr>
          <w:rFonts w:hint="eastAsia" w:ascii="宋体" w:hAnsi="宋体" w:eastAsia="宋体" w:cs="宋体"/>
          <w:color w:val="auto"/>
          <w:sz w:val="24"/>
          <w:szCs w:val="24"/>
          <w:lang w:val="en-US" w:eastAsia="zh-CN"/>
        </w:rPr>
        <w:t>16.11</w:t>
      </w:r>
      <w:r>
        <w:rPr>
          <w:rFonts w:hint="eastAsia" w:ascii="宋体" w:hAnsi="宋体" w:eastAsia="宋体" w:cs="宋体"/>
          <w:color w:val="auto"/>
          <w:sz w:val="24"/>
          <w:szCs w:val="24"/>
        </w:rPr>
        <w:t>万元，预算执行率</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%。本项目资金主要用于支付图书、期刊报刊等活动费用</w:t>
      </w:r>
      <w:r>
        <w:rPr>
          <w:rFonts w:hint="eastAsia" w:ascii="宋体" w:hAnsi="宋体" w:eastAsia="宋体" w:cs="宋体"/>
          <w:color w:val="auto"/>
          <w:sz w:val="24"/>
          <w:szCs w:val="24"/>
          <w:lang w:val="en-US" w:eastAsia="zh-CN"/>
        </w:rPr>
        <w:t>4.33</w:t>
      </w:r>
      <w:r>
        <w:rPr>
          <w:rFonts w:hint="eastAsia" w:ascii="宋体" w:hAnsi="宋体" w:eastAsia="宋体" w:cs="宋体"/>
          <w:color w:val="auto"/>
          <w:sz w:val="24"/>
          <w:szCs w:val="24"/>
        </w:rPr>
        <w:t>万元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图书馆维修费用</w:t>
      </w:r>
      <w:r>
        <w:rPr>
          <w:rFonts w:hint="eastAsia" w:ascii="宋体" w:hAnsi="宋体" w:eastAsia="宋体" w:cs="宋体"/>
          <w:color w:val="auto"/>
          <w:sz w:val="24"/>
          <w:szCs w:val="24"/>
          <w:lang w:val="en-US" w:eastAsia="zh-CN"/>
        </w:rPr>
        <w:t>3.63</w:t>
      </w:r>
      <w:r>
        <w:rPr>
          <w:rFonts w:hint="eastAsia" w:ascii="宋体" w:hAnsi="宋体" w:eastAsia="宋体" w:cs="宋体"/>
          <w:color w:val="auto"/>
          <w:sz w:val="24"/>
          <w:szCs w:val="24"/>
        </w:rPr>
        <w:t>万元</w:t>
      </w:r>
      <w:r>
        <w:rPr>
          <w:rFonts w:hint="eastAsia" w:ascii="宋体" w:hAnsi="宋体" w:eastAsia="宋体" w:cs="宋体"/>
          <w:color w:val="auto"/>
          <w:sz w:val="24"/>
          <w:szCs w:val="24"/>
          <w:lang w:eastAsia="zh-CN"/>
        </w:rPr>
        <w:t>，其他活动</w:t>
      </w:r>
      <w:r>
        <w:rPr>
          <w:rFonts w:hint="eastAsia" w:ascii="宋体" w:hAnsi="宋体" w:eastAsia="宋体" w:cs="宋体"/>
          <w:color w:val="auto"/>
          <w:sz w:val="24"/>
          <w:szCs w:val="24"/>
          <w:lang w:val="en-US" w:eastAsia="zh-CN"/>
        </w:rPr>
        <w:t>费用8.15万元等</w:t>
      </w:r>
      <w:r>
        <w:rPr>
          <w:rFonts w:hint="eastAsia" w:ascii="宋体" w:hAnsi="宋体" w:eastAsia="宋体" w:cs="宋体"/>
          <w:color w:val="auto"/>
          <w:sz w:val="24"/>
          <w:szCs w:val="24"/>
        </w:rPr>
        <w:t>。</w:t>
      </w:r>
    </w:p>
    <w:p w14:paraId="29DE7FEF">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2" w:name="_Toc68364659"/>
      <w:r>
        <w:rPr>
          <w:rFonts w:hint="eastAsia" w:ascii="宋体" w:hAnsi="宋体" w:eastAsia="宋体" w:cs="宋体"/>
          <w:color w:val="auto"/>
          <w:sz w:val="24"/>
          <w:szCs w:val="24"/>
        </w:rPr>
        <w:t>（二）项目绩效目标</w:t>
      </w:r>
      <w:bookmarkEnd w:id="2"/>
    </w:p>
    <w:p w14:paraId="4B4C9C41">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项目绩效目标包括项目总</w:t>
      </w:r>
      <w:r>
        <w:rPr>
          <w:rFonts w:hint="eastAsia" w:ascii="宋体" w:hAnsi="宋体" w:eastAsia="宋体" w:cs="宋体"/>
          <w:color w:val="auto"/>
          <w:sz w:val="24"/>
          <w:szCs w:val="24"/>
          <w:lang w:val="en-US" w:eastAsia="zh-CN"/>
        </w:rPr>
        <w:t>体</w:t>
      </w:r>
      <w:r>
        <w:rPr>
          <w:rFonts w:hint="eastAsia" w:ascii="宋体" w:hAnsi="宋体" w:eastAsia="宋体" w:cs="宋体"/>
          <w:color w:val="auto"/>
          <w:sz w:val="24"/>
          <w:szCs w:val="24"/>
        </w:rPr>
        <w:t>目标和阶段性目标。</w:t>
      </w:r>
    </w:p>
    <w:p w14:paraId="57004A6A">
      <w:pPr>
        <w:pStyle w:val="47"/>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总</w:t>
      </w:r>
      <w:r>
        <w:rPr>
          <w:rFonts w:hint="eastAsia" w:ascii="宋体" w:hAnsi="宋体" w:eastAsia="宋体" w:cs="宋体"/>
          <w:b/>
          <w:bCs/>
          <w:color w:val="auto"/>
          <w:sz w:val="24"/>
          <w:szCs w:val="24"/>
          <w:lang w:val="en-US" w:eastAsia="zh-CN"/>
        </w:rPr>
        <w:t>体</w:t>
      </w:r>
      <w:r>
        <w:rPr>
          <w:rFonts w:hint="eastAsia" w:ascii="宋体" w:hAnsi="宋体" w:eastAsia="宋体" w:cs="宋体"/>
          <w:b/>
          <w:bCs/>
          <w:color w:val="auto"/>
          <w:sz w:val="24"/>
          <w:szCs w:val="24"/>
        </w:rPr>
        <w:t>目标</w:t>
      </w:r>
    </w:p>
    <w:p w14:paraId="4472588D">
      <w:pPr>
        <w:pStyle w:val="47"/>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2"/>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根据《财政部关于下达2024年中央支持地方公共文化服务体系建设补助资金预算的通知》（和地财教【2023】47号）文件及《财政厅关于下达2024年中央支持地方公共文化服务体系建设补助资金（文化润疆工程重点项目）预算的通知》（和地财教【2024】7号）立项。项目主要内容为：购置图书、期刊报刊等，举办图书推广讲座和全民阅读系列活动以及图书馆修缮维修费用。通过项目实施，以深化推进文化润疆工程为目标，不断提升公共文化服务效能，完善公共文化服务体系，促进文化事业繁荣发展。项目总投资19万元，2024年计划财政拨款16.11万元。</w:t>
      </w:r>
    </w:p>
    <w:p w14:paraId="7CB0AF18">
      <w:pPr>
        <w:pStyle w:val="47"/>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阶段性目标</w:t>
      </w:r>
    </w:p>
    <w:p w14:paraId="14652088">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bookmarkStart w:id="3" w:name="_Toc68364660"/>
      <w:r>
        <w:rPr>
          <w:rFonts w:hint="eastAsia" w:ascii="宋体" w:hAnsi="宋体" w:eastAsia="宋体" w:cs="宋体"/>
          <w:color w:val="auto"/>
          <w:sz w:val="24"/>
          <w:szCs w:val="24"/>
          <w:lang w:val="en-US" w:eastAsia="zh-CN"/>
        </w:rPr>
        <w:t>我</w:t>
      </w:r>
      <w:r>
        <w:rPr>
          <w:rFonts w:hint="eastAsia" w:ascii="宋体" w:hAnsi="宋体" w:eastAsia="宋体" w:cs="宋体"/>
          <w:color w:val="auto"/>
          <w:sz w:val="24"/>
          <w:szCs w:val="24"/>
        </w:rPr>
        <w:t>单位根据《项目支出绩效评价管理办法》（财预〔2020〕10号）《关于印发〈自治区财政支出绩效评价管理暂行办法〉的通知》（新财预〔2018〕189号）以及自治区财政厅《关于印发〈自治区项目支出绩效目标设置指引〉的通知》（新财预〔2022〕42号）的规定，结合项目相关信息，设置了年度绩效目标如下：</w:t>
      </w:r>
    </w:p>
    <w:p w14:paraId="3C72DC1C">
      <w:pPr>
        <w:pStyle w:val="47"/>
        <w:pageBreakBefore w:val="0"/>
        <w:widowControl w:val="0"/>
        <w:numPr>
          <w:ilvl w:val="0"/>
          <w:numId w:val="3"/>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产出指标</w:t>
      </w:r>
    </w:p>
    <w:p w14:paraId="00FD2A9A">
      <w:pPr>
        <w:pStyle w:val="47"/>
        <w:pageBreakBefore w:val="0"/>
        <w:widowControl w:val="0"/>
        <w:numPr>
          <w:ilvl w:val="0"/>
          <w:numId w:val="4"/>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数量指标:</w:t>
      </w:r>
    </w:p>
    <w:p w14:paraId="1FD621E3">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指标1：预期指标值为购置图书、期刊及报刊≥</w:t>
      </w:r>
      <w:r>
        <w:rPr>
          <w:rFonts w:hint="eastAsia" w:ascii="宋体" w:hAnsi="宋体" w:eastAsia="宋体" w:cs="宋体"/>
          <w:color w:val="auto"/>
          <w:sz w:val="24"/>
          <w:szCs w:val="24"/>
          <w:lang w:val="en-US" w:eastAsia="zh-CN"/>
        </w:rPr>
        <w:t>1批</w:t>
      </w:r>
      <w:r>
        <w:rPr>
          <w:rFonts w:hint="eastAsia" w:ascii="宋体" w:hAnsi="宋体" w:eastAsia="宋体" w:cs="宋体"/>
          <w:color w:val="auto"/>
          <w:sz w:val="24"/>
          <w:szCs w:val="24"/>
        </w:rPr>
        <w:t>；</w:t>
      </w:r>
    </w:p>
    <w:p w14:paraId="7B0A1ED2">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2）质量指标：</w:t>
      </w:r>
    </w:p>
    <w:p w14:paraId="229B22F6">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指标1：预期指标值为资金使用合规率</w:t>
      </w:r>
      <w:r>
        <w:rPr>
          <w:rFonts w:hint="eastAsia" w:ascii="宋体" w:hAnsi="宋体" w:eastAsia="宋体" w:cs="宋体"/>
          <w:color w:val="auto"/>
          <w:sz w:val="24"/>
          <w:szCs w:val="24"/>
        </w:rPr>
        <w:tab/>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17371682">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3）时效目标：</w:t>
      </w:r>
    </w:p>
    <w:p w14:paraId="26F56D95">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指标1：预期指标值为项目完成时间</w:t>
      </w:r>
      <w:r>
        <w:rPr>
          <w:rFonts w:hint="eastAsia" w:ascii="宋体" w:hAnsi="宋体" w:eastAsia="宋体" w:cs="宋体"/>
          <w:color w:val="auto"/>
          <w:sz w:val="24"/>
          <w:szCs w:val="24"/>
          <w:lang w:val="en-US" w:eastAsia="zh-CN"/>
        </w:rPr>
        <w:t>2024年12月</w:t>
      </w:r>
      <w:r>
        <w:rPr>
          <w:rFonts w:hint="eastAsia" w:ascii="宋体" w:hAnsi="宋体" w:eastAsia="宋体" w:cs="宋体"/>
          <w:color w:val="auto"/>
          <w:sz w:val="24"/>
          <w:szCs w:val="24"/>
        </w:rPr>
        <w:t>；</w:t>
      </w:r>
    </w:p>
    <w:p w14:paraId="58852161">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指标2：预期指标值为项目完成及时率</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5C2B6043">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 xml:space="preserve">（2）成本指标： </w:t>
      </w:r>
    </w:p>
    <w:p w14:paraId="4000A0BC">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1）经济成本指标</w:t>
      </w:r>
    </w:p>
    <w:p w14:paraId="2D67D431">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指标1：预期指标值为图书、期刊报刊等活动费用≤</w:t>
      </w:r>
      <w:r>
        <w:rPr>
          <w:rFonts w:hint="eastAsia" w:ascii="宋体" w:hAnsi="宋体" w:eastAsia="宋体" w:cs="宋体"/>
          <w:color w:val="auto"/>
          <w:sz w:val="24"/>
          <w:szCs w:val="24"/>
          <w:lang w:val="en-US" w:eastAsia="zh-CN"/>
        </w:rPr>
        <w:t>3.63万元</w:t>
      </w:r>
      <w:r>
        <w:rPr>
          <w:rFonts w:hint="eastAsia" w:ascii="宋体" w:hAnsi="宋体" w:eastAsia="宋体" w:cs="宋体"/>
          <w:color w:val="auto"/>
          <w:sz w:val="24"/>
          <w:szCs w:val="24"/>
        </w:rPr>
        <w:t>；</w:t>
      </w:r>
    </w:p>
    <w:p w14:paraId="46720CC6">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指标</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：预期指标值为其他活动费用≤</w:t>
      </w:r>
      <w:r>
        <w:rPr>
          <w:rFonts w:hint="eastAsia" w:ascii="宋体" w:hAnsi="宋体" w:eastAsia="宋体" w:cs="宋体"/>
          <w:color w:val="auto"/>
          <w:sz w:val="24"/>
          <w:szCs w:val="24"/>
          <w:lang w:val="en-US" w:eastAsia="zh-CN"/>
        </w:rPr>
        <w:t>8.15万元</w:t>
      </w:r>
      <w:r>
        <w:rPr>
          <w:rFonts w:hint="eastAsia" w:ascii="宋体" w:hAnsi="宋体" w:eastAsia="宋体" w:cs="宋体"/>
          <w:color w:val="auto"/>
          <w:sz w:val="24"/>
          <w:szCs w:val="24"/>
          <w:lang w:eastAsia="zh-CN"/>
        </w:rPr>
        <w:t>；</w:t>
      </w:r>
    </w:p>
    <w:p w14:paraId="4FEB2762">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：预期指标值为图书馆维修费≤</w:t>
      </w:r>
      <w:r>
        <w:rPr>
          <w:rFonts w:hint="eastAsia" w:ascii="宋体" w:hAnsi="宋体" w:eastAsia="宋体" w:cs="宋体"/>
          <w:color w:val="auto"/>
          <w:sz w:val="24"/>
          <w:szCs w:val="24"/>
          <w:lang w:val="en-US" w:eastAsia="zh-CN"/>
        </w:rPr>
        <w:t>4.33万元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ab/>
      </w:r>
    </w:p>
    <w:p w14:paraId="550A483E">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（3）效益指标：</w:t>
      </w:r>
    </w:p>
    <w:p w14:paraId="06E6DCD7">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2）社会效益指标：</w:t>
      </w:r>
    </w:p>
    <w:p w14:paraId="4980A04B">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指标1：预期指标值为公共文化服务体系建设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有效促进</w:t>
      </w:r>
      <w:r>
        <w:rPr>
          <w:rFonts w:hint="eastAsia" w:ascii="宋体" w:hAnsi="宋体" w:eastAsia="宋体" w:cs="宋体"/>
          <w:color w:val="auto"/>
          <w:sz w:val="24"/>
          <w:szCs w:val="24"/>
        </w:rPr>
        <w:t>；</w:t>
      </w:r>
    </w:p>
    <w:p w14:paraId="19384F56">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（4）服务对象满意度指标：</w:t>
      </w:r>
    </w:p>
    <w:p w14:paraId="2A88DD16">
      <w:pPr>
        <w:pStyle w:val="47"/>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指标1：预期指标值为受益人员满意度≥</w:t>
      </w:r>
      <w:r>
        <w:rPr>
          <w:rFonts w:hint="eastAsia" w:ascii="宋体" w:hAnsi="宋体" w:eastAsia="宋体" w:cs="宋体"/>
          <w:color w:val="auto"/>
          <w:sz w:val="24"/>
          <w:szCs w:val="24"/>
          <w:lang w:val="en-US" w:eastAsia="zh-CN"/>
        </w:rPr>
        <w:t>95%</w:t>
      </w:r>
      <w:r>
        <w:rPr>
          <w:rFonts w:hint="eastAsia" w:ascii="宋体" w:hAnsi="宋体" w:eastAsia="宋体" w:cs="宋体"/>
          <w:color w:val="auto"/>
          <w:sz w:val="24"/>
          <w:szCs w:val="24"/>
        </w:rPr>
        <w:t>；</w:t>
      </w:r>
    </w:p>
    <w:p w14:paraId="67F37059">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二、绩效评价工作开展情况</w:t>
      </w:r>
      <w:bookmarkEnd w:id="3"/>
    </w:p>
    <w:p w14:paraId="463E7F8C">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4" w:name="_Toc68364661"/>
      <w:r>
        <w:rPr>
          <w:rFonts w:hint="eastAsia" w:ascii="宋体" w:hAnsi="宋体" w:eastAsia="宋体" w:cs="宋体"/>
          <w:color w:val="auto"/>
          <w:sz w:val="24"/>
          <w:szCs w:val="24"/>
        </w:rPr>
        <w:t>（一）绩效评价目的、对象和范围</w:t>
      </w:r>
      <w:bookmarkEnd w:id="4"/>
    </w:p>
    <w:p w14:paraId="679E48EF">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 绩效评价目的</w:t>
      </w:r>
    </w:p>
    <w:p w14:paraId="2267B56A">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本次绩效评价遵循财政部《项目支出绩效评价管理办法》（财预〔2020〕10号）《自治区财政支出绩效评价管理暂行办法》（新财预〔2018〕189号）</w:t>
      </w:r>
      <w:r>
        <w:rPr>
          <w:rFonts w:hint="eastAsia" w:ascii="宋体" w:hAnsi="宋体" w:eastAsia="宋体" w:cs="宋体"/>
          <w:color w:val="auto"/>
          <w:sz w:val="24"/>
          <w:szCs w:val="24"/>
          <w:lang w:val="en-US" w:eastAsia="zh-CN"/>
        </w:rPr>
        <w:t>及</w:t>
      </w:r>
      <w:r>
        <w:rPr>
          <w:rFonts w:hint="eastAsia" w:ascii="宋体" w:hAnsi="宋体" w:eastAsia="宋体" w:cs="宋体"/>
          <w:color w:val="auto"/>
          <w:sz w:val="24"/>
          <w:szCs w:val="24"/>
        </w:rPr>
        <w:t>自治区财政厅《关于印发〈自治区项目支出绩效目标设置指引〉的通知》（新财预〔2022〕42号）</w:t>
      </w:r>
      <w:r>
        <w:rPr>
          <w:rFonts w:hint="eastAsia" w:ascii="宋体" w:hAnsi="宋体" w:eastAsia="宋体" w:cs="宋体"/>
          <w:color w:val="auto"/>
          <w:sz w:val="24"/>
          <w:szCs w:val="24"/>
          <w:highlight w:val="none"/>
        </w:rPr>
        <w:t>等相关政策文件与规</w:t>
      </w:r>
      <w:r>
        <w:rPr>
          <w:rFonts w:hint="eastAsia" w:ascii="宋体" w:hAnsi="宋体" w:eastAsia="宋体" w:cs="宋体"/>
          <w:color w:val="auto"/>
          <w:sz w:val="24"/>
          <w:szCs w:val="24"/>
        </w:rPr>
        <w:t>定，对2024年中央补助地方公共文化服务体系建设资金项目开展本次部门项目支出绩效评价工作。全面了解2024年中央补助地方公共文化服务体系建设资金项目预算编制合理性、资金使用合规性、项目管理的规范性、项目目标的实现情况、服务对象的满意度等项目实施前期、过程及</w:t>
      </w:r>
      <w:r>
        <w:rPr>
          <w:rFonts w:hint="eastAsia" w:ascii="宋体" w:hAnsi="宋体" w:eastAsia="宋体" w:cs="宋体"/>
          <w:color w:val="auto"/>
          <w:sz w:val="24"/>
          <w:szCs w:val="24"/>
          <w:lang w:val="en-US" w:eastAsia="zh-CN"/>
        </w:rPr>
        <w:t>实施</w:t>
      </w:r>
      <w:r>
        <w:rPr>
          <w:rFonts w:hint="eastAsia" w:ascii="宋体" w:hAnsi="宋体" w:eastAsia="宋体" w:cs="宋体"/>
          <w:color w:val="auto"/>
          <w:sz w:val="24"/>
          <w:szCs w:val="24"/>
        </w:rPr>
        <w:t>效果</w:t>
      </w:r>
      <w:r>
        <w:rPr>
          <w:rFonts w:hint="eastAsia" w:ascii="宋体" w:hAnsi="宋体" w:eastAsia="宋体" w:cs="宋体"/>
          <w:color w:val="auto"/>
          <w:sz w:val="24"/>
          <w:szCs w:val="24"/>
          <w:lang w:val="en-US" w:eastAsia="zh-CN"/>
        </w:rPr>
        <w:t>情况。</w:t>
      </w:r>
    </w:p>
    <w:p w14:paraId="5297B1D0">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通过部门项目支出绩效评价，进一步严格落实《中华人民共和国预算法》以及《中共中央国务院关于全面实施预算绩效管理的意见》（中发〔2018〕34号）《自治区党委自治区人民政府关于全面实施预算绩效管理的实施意见》（新党发〔2018〕30号）政策文件的指示精神，有助于建立健全“花钱必问效、无效必问责”的绩效预算管理机制</w:t>
      </w:r>
    </w:p>
    <w:p w14:paraId="23BA3BD6">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通过部门项目支出绩效评价，进一步做实绩效目标，将绩效指标细化为数量指标、质量指标、时效指标、成本指标、经济效益指标、社会效益指标、服务对象满意度指标等内容，保证项目绩效指标设置科学、规范、合理、可衡量。</w:t>
      </w:r>
    </w:p>
    <w:p w14:paraId="474CCAA1">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lang w:val="en-US" w:eastAsia="zh-CN"/>
        </w:rPr>
        <w:t>同时，通过部门项目支出绩效评价，可促进本单位发现预算项目管理中的问题、总结经验、改进工作，以提高</w:t>
      </w:r>
      <w:r>
        <w:rPr>
          <w:rFonts w:hint="eastAsia" w:ascii="宋体" w:hAnsi="宋体" w:eastAsia="宋体" w:cs="宋体"/>
          <w:color w:val="auto"/>
          <w:sz w:val="24"/>
          <w:szCs w:val="24"/>
        </w:rPr>
        <w:t>财政预算资金使用的效率及效益。</w:t>
      </w:r>
    </w:p>
    <w:p w14:paraId="367178D9">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 绩效评价对象</w:t>
      </w:r>
    </w:p>
    <w:p w14:paraId="4AB2AE86">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此</w:t>
      </w:r>
      <w:r>
        <w:rPr>
          <w:rFonts w:hint="eastAsia" w:ascii="宋体" w:hAnsi="宋体" w:eastAsia="宋体" w:cs="宋体"/>
          <w:color w:val="auto"/>
          <w:sz w:val="24"/>
          <w:szCs w:val="24"/>
          <w:highlight w:val="none"/>
        </w:rPr>
        <w:t>次绩效评价遵循财政部《项目支出绩效评价管理办法》（财预〔2020〕10号）和《自治区财政支出绩效评价管理暂行办法》（新财预〔2018〕189号）等政策文件规定，以</w:t>
      </w:r>
      <w:r>
        <w:rPr>
          <w:rFonts w:hint="eastAsia" w:ascii="宋体" w:hAnsi="宋体" w:eastAsia="宋体" w:cs="宋体"/>
          <w:color w:val="auto"/>
          <w:sz w:val="24"/>
          <w:szCs w:val="24"/>
        </w:rPr>
        <w:t>2024年中央补助地方公共文化服务体系建设资金</w:t>
      </w:r>
      <w:r>
        <w:rPr>
          <w:rFonts w:hint="eastAsia" w:ascii="宋体" w:hAnsi="宋体" w:eastAsia="宋体" w:cs="宋体"/>
          <w:color w:val="auto"/>
          <w:sz w:val="24"/>
          <w:szCs w:val="24"/>
          <w:highlight w:val="none"/>
        </w:rPr>
        <w:t>项目为</w:t>
      </w:r>
      <w:r>
        <w:rPr>
          <w:rFonts w:hint="eastAsia" w:ascii="宋体" w:hAnsi="宋体" w:eastAsia="宋体" w:cs="宋体"/>
          <w:color w:val="auto"/>
          <w:sz w:val="24"/>
          <w:szCs w:val="24"/>
          <w:highlight w:val="none"/>
          <w:lang w:val="en-US" w:eastAsia="zh-CN"/>
        </w:rPr>
        <w:t>评价</w:t>
      </w:r>
      <w:r>
        <w:rPr>
          <w:rFonts w:hint="eastAsia" w:ascii="宋体" w:hAnsi="宋体" w:eastAsia="宋体" w:cs="宋体"/>
          <w:color w:val="auto"/>
          <w:sz w:val="24"/>
          <w:szCs w:val="24"/>
          <w:highlight w:val="none"/>
        </w:rPr>
        <w:t>对象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对该项目决策、</w:t>
      </w:r>
      <w:r>
        <w:rPr>
          <w:rFonts w:hint="eastAsia" w:ascii="宋体" w:hAnsi="宋体" w:eastAsia="宋体" w:cs="宋体"/>
          <w:color w:val="auto"/>
          <w:sz w:val="24"/>
          <w:szCs w:val="24"/>
          <w:highlight w:val="none"/>
          <w:lang w:val="en-US" w:eastAsia="zh-CN"/>
        </w:rPr>
        <w:t>项目资金管理、项目实施</w:t>
      </w:r>
      <w:r>
        <w:rPr>
          <w:rFonts w:hint="eastAsia" w:ascii="宋体" w:hAnsi="宋体" w:eastAsia="宋体" w:cs="宋体"/>
          <w:color w:val="auto"/>
          <w:sz w:val="24"/>
          <w:szCs w:val="24"/>
          <w:highlight w:val="none"/>
        </w:rPr>
        <w:t>过程</w:t>
      </w:r>
      <w:r>
        <w:rPr>
          <w:rFonts w:hint="eastAsia" w:ascii="宋体" w:hAnsi="宋体" w:eastAsia="宋体" w:cs="宋体"/>
          <w:color w:val="auto"/>
          <w:sz w:val="24"/>
          <w:szCs w:val="24"/>
          <w:highlight w:val="none"/>
          <w:lang w:val="en-US" w:eastAsia="zh-CN"/>
        </w:rPr>
        <w:t>管理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以及</w:t>
      </w:r>
      <w:r>
        <w:rPr>
          <w:rFonts w:hint="eastAsia" w:ascii="宋体" w:hAnsi="宋体" w:eastAsia="宋体" w:cs="宋体"/>
          <w:color w:val="auto"/>
          <w:sz w:val="24"/>
          <w:szCs w:val="24"/>
          <w:highlight w:val="none"/>
        </w:rPr>
        <w:t>项目实施所带来的产出和效果</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val="en-US" w:eastAsia="zh-CN"/>
        </w:rPr>
        <w:t>进行综合评价。</w:t>
      </w:r>
    </w:p>
    <w:p w14:paraId="2532624C">
      <w:pPr>
        <w:pStyle w:val="47"/>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3. 绩效评价范围</w:t>
      </w:r>
    </w:p>
    <w:p w14:paraId="1B056988">
      <w:pPr>
        <w:pStyle w:val="47"/>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次绩效评价主要围绕2024年中央补助地方公共文化服务体系建设资金项目决策、项目资金管理、项目实施过程管理，以及项目实施所带来的产出和效果等内容，进行综合评价。范围涵盖项目总体绩效目标、各项绩效指标完成情况以及预算执行情况</w:t>
      </w:r>
      <w:bookmarkStart w:id="5" w:name="_Toc68364662"/>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覆盖预算资金支出项目的所有内容进行评价。</w:t>
      </w:r>
    </w:p>
    <w:p w14:paraId="37DD5E05">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（二）绩效评价原则、评价指标体系、评价方法评价标准</w:t>
      </w:r>
      <w:bookmarkEnd w:id="5"/>
    </w:p>
    <w:p w14:paraId="53C68303">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 绩效评价原则</w:t>
      </w:r>
    </w:p>
    <w:p w14:paraId="4AECB42C">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14:paraId="77557A0B">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（1）科学公正。绩效评价应当运用科学合理的方法，按照规范的程序，对项目绩效进行客观、公正的反映。</w:t>
      </w:r>
    </w:p>
    <w:p w14:paraId="10191A2C">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456B7B23">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（3）激励约束。绩效评价结果应与预算安排、政策调整、改进管理实质性挂钩，体现奖优罚劣和激励相容导向，有效要安排、低效要压减、无效要问责。</w:t>
      </w:r>
    </w:p>
    <w:p w14:paraId="354369AC">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（4）公开透明。绩效评价结果应依法依规公开，并自觉接受社会监督。</w:t>
      </w:r>
    </w:p>
    <w:p w14:paraId="54B74008">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根据以上原则，绩效评价应遵循如下要求:</w:t>
      </w:r>
    </w:p>
    <w:p w14:paraId="2C918F5F">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（1）在数据采集时，采取客观数据，主管部门审查、社会中介组织复查，与问卷调查相结合的形式，以保证各项指标的真实性。</w:t>
      </w:r>
    </w:p>
    <w:p w14:paraId="6E086135">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（2）保证评价结果的真实性、公正性，提高评价报告的公信力。</w:t>
      </w:r>
    </w:p>
    <w:p w14:paraId="1850D343">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（3）绩</w:t>
      </w:r>
      <w:r>
        <w:rPr>
          <w:rFonts w:hint="eastAsia" w:ascii="宋体" w:hAnsi="宋体" w:eastAsia="宋体" w:cs="宋体"/>
          <w:color w:val="auto"/>
          <w:sz w:val="24"/>
          <w:szCs w:val="24"/>
          <w:lang w:val="en-US" w:eastAsia="zh-CN"/>
        </w:rPr>
        <w:t>效</w:t>
      </w:r>
      <w:r>
        <w:rPr>
          <w:rFonts w:hint="eastAsia" w:ascii="宋体" w:hAnsi="宋体" w:eastAsia="宋体" w:cs="宋体"/>
          <w:color w:val="auto"/>
          <w:sz w:val="24"/>
          <w:szCs w:val="24"/>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7BE8CAA7">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2. 绩效评价指标体系</w:t>
      </w:r>
    </w:p>
    <w:p w14:paraId="5903D84D">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个二级指标。项目绩效评价体系</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详细指标体系见“附件1：项目支出绩效评价体系”。</w:t>
      </w:r>
    </w:p>
    <w:p w14:paraId="01E9066A">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3. 绩效评价方法</w:t>
      </w:r>
    </w:p>
    <w:p w14:paraId="37411490">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51BFDDF">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具体</w:t>
      </w:r>
      <w:r>
        <w:rPr>
          <w:rFonts w:hint="eastAsia" w:ascii="宋体" w:hAnsi="宋体" w:eastAsia="宋体" w:cs="宋体"/>
          <w:b w:val="0"/>
          <w:bCs/>
          <w:color w:val="auto"/>
          <w:sz w:val="24"/>
          <w:szCs w:val="24"/>
        </w:rPr>
        <w:t>评价方法的应用如下:</w:t>
      </w:r>
    </w:p>
    <w:p w14:paraId="6A175F35">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立项依据充分性：比较法、文献法，查找法律法规政策以及规划，对比实际执行内容和政策支持内容是否匹配。</w:t>
      </w:r>
    </w:p>
    <w:p w14:paraId="527D151D">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立项程序规范性：比较法、文献法，查找相关项目设立的政策和文件要求，对比分析实际执行程序是否按照政策及文件要求执行，分析立项程序的规范性。</w:t>
      </w:r>
    </w:p>
    <w:p w14:paraId="2279723B">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绩效目标合理性：比较法，对比分析年初编制项目支出绩效目标表与项目内容的相关性、资金的匹配性等。</w:t>
      </w:r>
    </w:p>
    <w:p w14:paraId="1216ED88">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绩效指标明确性：比较法，比较分析年初编制项目支出绩效目标表是否符合双七原则，是否可衡量。</w:t>
      </w:r>
    </w:p>
    <w:p w14:paraId="61ABAE76">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预算编制科学性</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成本效益分析法</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分析在产出一定的情况下，成本取值是否有依据，是否经过询价，是否按照市场最低成本编制。</w:t>
      </w:r>
    </w:p>
    <w:p w14:paraId="1B3EFEBD">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资金分配合理性：因素分析法，综合分析资金的分配依据是否充分，分配金额是否与项目实施单位需求金额一致</w:t>
      </w:r>
      <w:r>
        <w:rPr>
          <w:rFonts w:hint="eastAsia" w:ascii="宋体" w:hAnsi="宋体" w:eastAsia="宋体" w:cs="宋体"/>
          <w:b w:val="0"/>
          <w:bCs/>
          <w:color w:val="auto"/>
          <w:sz w:val="24"/>
          <w:szCs w:val="24"/>
          <w:lang w:eastAsia="zh-CN"/>
        </w:rPr>
        <w:t>。</w:t>
      </w:r>
    </w:p>
    <w:p w14:paraId="5ABBA0A9">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资金到位率：比较法，资金到位率预期指标值应为100%，通过实际计算，分析实际完成值和预期指标值之间的差距和原因。</w:t>
      </w:r>
    </w:p>
    <w:p w14:paraId="584B8DC0">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预算执行率：比较法，预算执行率预期指标值应为100%，通过实际计算，分析实际完成值和预期指标值之间的差距和原因。</w:t>
      </w:r>
    </w:p>
    <w:p w14:paraId="74B6B262">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资金使用合规性：文献法、实地勘察法，一是查找资金管理办法，包括专项资金管理办法和单位自有资金管理办法；二是通过查账了解具体开支情况，是否专用专用，是否按照标准支出。</w:t>
      </w:r>
    </w:p>
    <w:p w14:paraId="143A876E">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管理制度健全性：文献法、比较法，查阅项目实施人员提供的财务和业务管理制度，将已建立的制度与现行的法律法规和政策要求进行对比，分析项目制度的合法性、合规性、完整性。</w:t>
      </w:r>
    </w:p>
    <w:p w14:paraId="074053D3">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制度执行有效性：比较法，结合项目实际实施过程性文件，根据已建设的财务管理制度和项目管理制度综合分析制度执行的有效性。</w:t>
      </w:r>
    </w:p>
    <w:p w14:paraId="7DDBCA7C">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2F17B97">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定性指标：公众评判法，通过问卷及抽样调查等方式评价本项目实施后社会公众对于其实施效果的满意程度。</w:t>
      </w:r>
    </w:p>
    <w:p w14:paraId="358C3C13">
      <w:pPr>
        <w:pStyle w:val="47"/>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4. 绩效评价标准</w:t>
      </w:r>
    </w:p>
    <w:p w14:paraId="6CF638D4">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bookmarkStart w:id="6" w:name="_Toc68364663"/>
      <w:r>
        <w:rPr>
          <w:rFonts w:hint="eastAsia" w:ascii="宋体" w:hAnsi="宋体" w:eastAsia="宋体" w:cs="宋体"/>
          <w:color w:val="auto"/>
          <w:sz w:val="24"/>
          <w:szCs w:val="24"/>
        </w:rPr>
        <w:t>绩效评价标准通常包括计划标准、行业标准、历史标准等，用于对绩效指标完成情况进行比较、分析、评价。本次评价主要采用了</w:t>
      </w:r>
      <w:r>
        <w:rPr>
          <w:rFonts w:hint="eastAsia" w:ascii="宋体" w:hAnsi="宋体" w:eastAsia="宋体" w:cs="宋体"/>
          <w:color w:val="auto"/>
          <w:sz w:val="24"/>
          <w:szCs w:val="24"/>
          <w:lang w:val="en-US" w:eastAsia="zh-CN"/>
        </w:rPr>
        <w:t>计划</w:t>
      </w:r>
      <w:r>
        <w:rPr>
          <w:rFonts w:hint="eastAsia" w:ascii="宋体" w:hAnsi="宋体" w:eastAsia="宋体" w:cs="宋体"/>
          <w:color w:val="auto"/>
          <w:sz w:val="24"/>
          <w:szCs w:val="24"/>
        </w:rPr>
        <w:t>标准。</w:t>
      </w:r>
    </w:p>
    <w:p w14:paraId="1AB7F77A">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bookmarkStart w:id="7" w:name="_Toc31464"/>
      <w:bookmarkStart w:id="8" w:name="_Toc17882"/>
      <w:r>
        <w:rPr>
          <w:rFonts w:hint="eastAsia" w:ascii="宋体" w:hAnsi="宋体" w:eastAsia="宋体" w:cs="宋体"/>
          <w:b/>
          <w:bCs/>
          <w:color w:val="auto"/>
          <w:sz w:val="24"/>
          <w:szCs w:val="24"/>
        </w:rPr>
        <w:t>计划标准：</w:t>
      </w:r>
      <w:r>
        <w:rPr>
          <w:rFonts w:hint="eastAsia" w:ascii="宋体" w:hAnsi="宋体" w:eastAsia="宋体" w:cs="宋体"/>
          <w:color w:val="auto"/>
          <w:sz w:val="24"/>
          <w:szCs w:val="24"/>
        </w:rPr>
        <w:t>指以预先制定的目标、计划、预算、定额等作为评价标准。</w:t>
      </w:r>
      <w:bookmarkEnd w:id="7"/>
      <w:bookmarkEnd w:id="8"/>
    </w:p>
    <w:p w14:paraId="2AE36E23">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bookmarkStart w:id="9" w:name="_Toc430"/>
      <w:bookmarkStart w:id="10" w:name="_Toc16028"/>
      <w:r>
        <w:rPr>
          <w:rFonts w:hint="eastAsia" w:ascii="宋体" w:hAnsi="宋体" w:eastAsia="宋体" w:cs="宋体"/>
          <w:b/>
          <w:bCs/>
          <w:color w:val="auto"/>
          <w:sz w:val="24"/>
          <w:szCs w:val="24"/>
        </w:rPr>
        <w:t>历史标准：</w:t>
      </w:r>
      <w:r>
        <w:rPr>
          <w:rFonts w:hint="eastAsia" w:ascii="宋体" w:hAnsi="宋体" w:eastAsia="宋体" w:cs="宋体"/>
          <w:color w:val="auto"/>
          <w:sz w:val="24"/>
          <w:szCs w:val="24"/>
        </w:rPr>
        <w:t>指参照历史数据制定的评价标准，为体现绩效改进的原则，在可实现的条件下应当确定相对较高的评价标准。</w:t>
      </w:r>
      <w:bookmarkEnd w:id="9"/>
      <w:bookmarkEnd w:id="10"/>
    </w:p>
    <w:p w14:paraId="4F327931">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（三）绩效评价工作过程</w:t>
      </w:r>
      <w:bookmarkEnd w:id="6"/>
    </w:p>
    <w:p w14:paraId="3AA37270">
      <w:pPr>
        <w:pStyle w:val="6"/>
        <w:pageBreakBefore w:val="0"/>
        <w:widowControl w:val="0"/>
        <w:kinsoku/>
        <w:wordWrap/>
        <w:overflowPunct/>
        <w:topLinePunct w:val="0"/>
        <w:autoSpaceDE/>
        <w:autoSpaceDN/>
        <w:bidi w:val="0"/>
        <w:adjustRightInd/>
        <w:snapToGrid/>
        <w:spacing w:before="0" w:after="0" w:line="360" w:lineRule="auto"/>
        <w:ind w:leftChars="0" w:firstLine="480" w:firstLineChars="200"/>
        <w:jc w:val="both"/>
        <w:textAlignment w:val="auto"/>
        <w:rPr>
          <w:rFonts w:hint="eastAsia" w:ascii="宋体" w:hAnsi="宋体" w:eastAsia="宋体" w:cs="宋体"/>
          <w:color w:val="auto"/>
          <w:sz w:val="24"/>
          <w:szCs w:val="24"/>
        </w:rPr>
      </w:pPr>
      <w:bookmarkStart w:id="11" w:name="_Toc68364664"/>
      <w:r>
        <w:rPr>
          <w:rFonts w:hint="eastAsia" w:ascii="宋体" w:hAnsi="宋体" w:eastAsia="宋体" w:cs="宋体"/>
          <w:color w:val="auto"/>
          <w:sz w:val="24"/>
          <w:szCs w:val="24"/>
        </w:rPr>
        <w:t>1.前期准备</w:t>
      </w:r>
    </w:p>
    <w:p w14:paraId="05CE99E9">
      <w:pPr>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我单位于</w:t>
      </w: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7CA2292">
      <w:pPr>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排日迪古丽</w:t>
      </w:r>
      <w:r>
        <w:rPr>
          <w:rFonts w:hint="eastAsia" w:ascii="宋体" w:hAnsi="宋体" w:eastAsia="宋体" w:cs="宋体"/>
          <w:color w:val="auto"/>
          <w:sz w:val="24"/>
          <w:szCs w:val="24"/>
        </w:rPr>
        <w:t>（评价小组组长）：主要负责</w:t>
      </w:r>
      <w:r>
        <w:rPr>
          <w:rFonts w:hint="eastAsia" w:ascii="宋体" w:hAnsi="宋体" w:eastAsia="宋体" w:cs="宋体"/>
          <w:b w:val="0"/>
          <w:bCs w:val="0"/>
          <w:color w:val="auto"/>
          <w:sz w:val="24"/>
          <w:szCs w:val="24"/>
          <w:highlight w:val="none"/>
          <w:lang w:val="en-US" w:eastAsia="zh-CN"/>
        </w:rPr>
        <w:t>组织安排绩效评价工作</w:t>
      </w:r>
      <w:r>
        <w:rPr>
          <w:rFonts w:hint="eastAsia" w:ascii="宋体" w:hAnsi="宋体" w:eastAsia="宋体" w:cs="宋体"/>
          <w:color w:val="auto"/>
          <w:sz w:val="24"/>
          <w:szCs w:val="24"/>
        </w:rPr>
        <w:t>;</w:t>
      </w:r>
    </w:p>
    <w:p w14:paraId="1F6274CD">
      <w:pPr>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马洪瑜</w:t>
      </w:r>
      <w:r>
        <w:rPr>
          <w:rFonts w:hint="eastAsia" w:ascii="宋体" w:hAnsi="宋体" w:eastAsia="宋体" w:cs="宋体"/>
          <w:color w:val="auto"/>
          <w:sz w:val="24"/>
          <w:szCs w:val="24"/>
        </w:rPr>
        <w:t>（评价小组组员）：主要负责主要负责财务管理;</w:t>
      </w:r>
    </w:p>
    <w:p w14:paraId="1EF98B93">
      <w:pPr>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苏玉</w:t>
      </w:r>
      <w:r>
        <w:rPr>
          <w:rFonts w:hint="eastAsia" w:ascii="宋体" w:hAnsi="宋体" w:eastAsia="宋体" w:cs="宋体"/>
          <w:color w:val="auto"/>
          <w:sz w:val="24"/>
          <w:szCs w:val="24"/>
        </w:rPr>
        <w:t>（评价小组组员）：主要负责主要负责协调、落实项目建设全过程。</w:t>
      </w:r>
    </w:p>
    <w:p w14:paraId="5900BC32">
      <w:pPr>
        <w:pStyle w:val="6"/>
        <w:pageBreakBefore w:val="0"/>
        <w:widowControl w:val="0"/>
        <w:kinsoku/>
        <w:wordWrap/>
        <w:overflowPunct/>
        <w:topLinePunct w:val="0"/>
        <w:autoSpaceDE/>
        <w:autoSpaceDN/>
        <w:bidi w:val="0"/>
        <w:adjustRightInd/>
        <w:snapToGrid/>
        <w:spacing w:before="0" w:after="0" w:line="360" w:lineRule="auto"/>
        <w:ind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2.组织实施</w:t>
      </w:r>
    </w:p>
    <w:p w14:paraId="27C3E8E1">
      <w:pPr>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27</w:t>
      </w:r>
      <w:r>
        <w:rPr>
          <w:rFonts w:hint="eastAsia" w:ascii="宋体" w:hAnsi="宋体" w:eastAsia="宋体" w:cs="宋体"/>
          <w:color w:val="auto"/>
          <w:sz w:val="24"/>
          <w:szCs w:val="24"/>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2F9955D">
      <w:pPr>
        <w:pStyle w:val="6"/>
        <w:pageBreakBefore w:val="0"/>
        <w:widowControl w:val="0"/>
        <w:kinsoku/>
        <w:wordWrap/>
        <w:overflowPunct/>
        <w:topLinePunct w:val="0"/>
        <w:autoSpaceDE/>
        <w:autoSpaceDN/>
        <w:bidi w:val="0"/>
        <w:adjustRightInd/>
        <w:snapToGrid/>
        <w:spacing w:before="0" w:after="0" w:line="360" w:lineRule="auto"/>
        <w:ind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3.分析评价</w:t>
      </w:r>
    </w:p>
    <w:p w14:paraId="2FF488E1">
      <w:pPr>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日，评价小组按照绩效评价的原</w:t>
      </w:r>
      <w:bookmarkStart w:id="20" w:name="_GoBack"/>
      <w:bookmarkEnd w:id="20"/>
      <w:r>
        <w:rPr>
          <w:rFonts w:hint="eastAsia" w:ascii="宋体" w:hAnsi="宋体" w:eastAsia="宋体" w:cs="宋体"/>
          <w:color w:val="auto"/>
          <w:sz w:val="24"/>
          <w:szCs w:val="24"/>
        </w:rPr>
        <w:t>则和规范，对取得的资料进行审查核实，对采集的数据进行分析，按照绩效评价指标评分表逐项进行打分、分析、汇总各方评价结果。</w:t>
      </w:r>
    </w:p>
    <w:p w14:paraId="22CCB7AF">
      <w:pPr>
        <w:pStyle w:val="6"/>
        <w:pageBreakBefore w:val="0"/>
        <w:widowControl w:val="0"/>
        <w:kinsoku/>
        <w:wordWrap/>
        <w:overflowPunct/>
        <w:topLinePunct w:val="0"/>
        <w:autoSpaceDE/>
        <w:autoSpaceDN/>
        <w:bidi w:val="0"/>
        <w:adjustRightInd/>
        <w:snapToGrid/>
        <w:spacing w:before="0" w:after="0" w:line="360" w:lineRule="auto"/>
        <w:ind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4.撰写与提交评价报告</w:t>
      </w:r>
    </w:p>
    <w:p w14:paraId="2CF8AA61">
      <w:pPr>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16</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评价小组</w:t>
      </w:r>
      <w:r>
        <w:rPr>
          <w:rFonts w:hint="eastAsia" w:ascii="宋体" w:hAnsi="宋体" w:eastAsia="宋体" w:cs="宋体"/>
          <w:color w:val="auto"/>
          <w:sz w:val="24"/>
          <w:szCs w:val="24"/>
          <w:highlight w:val="none"/>
        </w:rPr>
        <w:t>撰写绩效评价报告，按照新疆</w:t>
      </w:r>
      <w:r>
        <w:rPr>
          <w:rFonts w:hint="eastAsia" w:ascii="宋体" w:hAnsi="宋体" w:eastAsia="宋体" w:cs="宋体"/>
          <w:color w:val="auto"/>
          <w:sz w:val="24"/>
          <w:szCs w:val="24"/>
          <w:highlight w:val="none"/>
          <w:lang w:eastAsia="zh-CN"/>
        </w:rPr>
        <w:t>维吾尔自治区财政绩效管理信息系统</w:t>
      </w:r>
      <w:r>
        <w:rPr>
          <w:rFonts w:hint="eastAsia" w:ascii="宋体" w:hAnsi="宋体" w:eastAsia="宋体" w:cs="宋体"/>
          <w:color w:val="auto"/>
          <w:sz w:val="24"/>
          <w:szCs w:val="24"/>
          <w:highlight w:val="none"/>
        </w:rPr>
        <w:t>绩效评价模块中统一格式和文本框架撰写绩效评价报告并提交审核。</w:t>
      </w:r>
    </w:p>
    <w:p w14:paraId="238A7014">
      <w:pPr>
        <w:pStyle w:val="6"/>
        <w:pageBreakBefore w:val="0"/>
        <w:widowControl w:val="0"/>
        <w:kinsoku/>
        <w:wordWrap/>
        <w:overflowPunct/>
        <w:topLinePunct w:val="0"/>
        <w:autoSpaceDE/>
        <w:autoSpaceDN/>
        <w:bidi w:val="0"/>
        <w:adjustRightInd/>
        <w:snapToGrid/>
        <w:spacing w:before="0" w:after="0" w:line="360" w:lineRule="auto"/>
        <w:ind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5.问题整改</w:t>
      </w:r>
    </w:p>
    <w:p w14:paraId="323F52D2">
      <w:pPr>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80A1569">
      <w:pPr>
        <w:pStyle w:val="6"/>
        <w:pageBreakBefore w:val="0"/>
        <w:widowControl w:val="0"/>
        <w:kinsoku/>
        <w:wordWrap/>
        <w:overflowPunct/>
        <w:topLinePunct w:val="0"/>
        <w:autoSpaceDE/>
        <w:autoSpaceDN/>
        <w:bidi w:val="0"/>
        <w:adjustRightInd/>
        <w:snapToGrid/>
        <w:spacing w:before="0" w:after="0" w:line="360" w:lineRule="auto"/>
        <w:ind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6.档案整理</w:t>
      </w:r>
    </w:p>
    <w:p w14:paraId="0EA1A36F">
      <w:pPr>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建立和落实档案管理制度，将项目相关资料存档，包括但不限于：评价项目基本情况和相关文件、评价实施方案、项目支付资料等相关档案。</w:t>
      </w:r>
    </w:p>
    <w:p w14:paraId="6BE245E8">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p>
    <w:p w14:paraId="2E0C0F71">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三、综合评价情况及评价结论</w:t>
      </w:r>
      <w:bookmarkEnd w:id="11"/>
    </w:p>
    <w:p w14:paraId="699D6A97">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2" w:name="_Toc68364665"/>
      <w:r>
        <w:rPr>
          <w:rFonts w:hint="eastAsia" w:ascii="宋体" w:hAnsi="宋体" w:eastAsia="宋体" w:cs="宋体"/>
          <w:color w:val="auto"/>
          <w:sz w:val="24"/>
          <w:szCs w:val="24"/>
        </w:rPr>
        <w:t>（一）综合评价情况</w:t>
      </w:r>
      <w:bookmarkEnd w:id="12"/>
    </w:p>
    <w:p w14:paraId="5DA741BE">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bookmarkStart w:id="13" w:name="_Toc68364666"/>
      <w:r>
        <w:rPr>
          <w:rFonts w:hint="eastAsia" w:ascii="宋体" w:hAnsi="宋体" w:eastAsia="宋体" w:cs="宋体"/>
          <w:color w:val="auto"/>
          <w:sz w:val="24"/>
          <w:szCs w:val="24"/>
        </w:rPr>
        <w:t>通过实施2024年中央补助地方公共文化服务体系建设资金项目产生以深化推进文化润疆工程为目标，不断提升公共文化服务效能，完善公共文化服务体系，促进文化事业繁荣发展效益。项目实施主要通过项目决策、项目过程、项目产出以及项目效益等方面进行评价，其中：</w:t>
      </w:r>
    </w:p>
    <w:p w14:paraId="2F5424BF">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决策：该项目主要通过《财政部关于下达2024年中央支持地方公共文化服务体系建设补助资金预算的通知》（和地财教【2023】47号）文件及《财政厅关于下达2024年中央支持地方公共文化服务体系建设补助资金（文化润疆工程重点项目）预算的通知》（和地财教【2024】7号）文件立项，项目实施符合</w:t>
      </w:r>
      <w:r>
        <w:rPr>
          <w:rFonts w:hint="eastAsia" w:ascii="宋体" w:hAnsi="宋体" w:eastAsia="宋体" w:cs="宋体"/>
          <w:color w:val="auto"/>
          <w:sz w:val="24"/>
          <w:szCs w:val="24"/>
          <w:lang w:val="en-US" w:eastAsia="zh-CN"/>
        </w:rPr>
        <w:t>相关资金管理办法要求执行，逐级审批；认真落实项目资金使用的各项管理制度。</w:t>
      </w:r>
      <w:r>
        <w:rPr>
          <w:rFonts w:hint="eastAsia" w:ascii="宋体" w:hAnsi="宋体" w:eastAsia="宋体" w:cs="宋体"/>
          <w:color w:val="auto"/>
          <w:sz w:val="24"/>
          <w:szCs w:val="24"/>
        </w:rPr>
        <w:t xml:space="preserve">项目立项依据充分，立项程序规范。 </w:t>
      </w:r>
    </w:p>
    <w:p w14:paraId="4A285418">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项目过程：2024年中央补助地方公共文化服务体系建设资金项目预算安排 </w:t>
      </w:r>
      <w:r>
        <w:rPr>
          <w:rFonts w:hint="eastAsia" w:ascii="宋体" w:hAnsi="宋体" w:eastAsia="宋体" w:cs="宋体"/>
          <w:color w:val="auto"/>
          <w:sz w:val="24"/>
          <w:szCs w:val="24"/>
          <w:lang w:val="en-US" w:eastAsia="zh-CN"/>
        </w:rPr>
        <w:t>16.11</w:t>
      </w:r>
      <w:r>
        <w:rPr>
          <w:rFonts w:hint="eastAsia" w:ascii="宋体" w:hAnsi="宋体" w:eastAsia="宋体" w:cs="宋体"/>
          <w:color w:val="auto"/>
          <w:sz w:val="24"/>
          <w:szCs w:val="24"/>
        </w:rPr>
        <w:t>万元，实际支出</w:t>
      </w:r>
      <w:r>
        <w:rPr>
          <w:rFonts w:hint="eastAsia" w:ascii="宋体" w:hAnsi="宋体" w:eastAsia="宋体" w:cs="宋体"/>
          <w:color w:val="auto"/>
          <w:sz w:val="24"/>
          <w:szCs w:val="24"/>
          <w:lang w:val="en-US" w:eastAsia="zh-CN"/>
        </w:rPr>
        <w:t>16.11</w:t>
      </w:r>
      <w:r>
        <w:rPr>
          <w:rFonts w:hint="eastAsia" w:ascii="宋体" w:hAnsi="宋体" w:eastAsia="宋体" w:cs="宋体"/>
          <w:color w:val="auto"/>
          <w:sz w:val="24"/>
          <w:szCs w:val="24"/>
        </w:rPr>
        <w:t>万元，预算执行率</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%。项目资金使用合规，项目财务管理制度健全，财务监控到位，所有资金支付均按照国库集中支付制度严格执行，现有项目管理制度执行情况良好。</w:t>
      </w:r>
    </w:p>
    <w:p w14:paraId="22EFA868">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项目产出：</w:t>
      </w:r>
      <w:r>
        <w:rPr>
          <w:rFonts w:hint="eastAsia" w:ascii="宋体" w:hAnsi="宋体" w:eastAsia="宋体" w:cs="宋体"/>
          <w:b/>
          <w:bCs/>
          <w:color w:val="auto"/>
          <w:sz w:val="24"/>
          <w:szCs w:val="24"/>
          <w:lang w:val="en-US" w:eastAsia="zh-CN"/>
        </w:rPr>
        <w:t>1、</w:t>
      </w:r>
      <w:r>
        <w:rPr>
          <w:rFonts w:hint="eastAsia" w:ascii="宋体" w:hAnsi="宋体" w:eastAsia="宋体" w:cs="宋体"/>
          <w:color w:val="auto"/>
          <w:sz w:val="24"/>
          <w:szCs w:val="24"/>
          <w:lang w:val="en-US" w:eastAsia="zh-CN"/>
        </w:rPr>
        <w:t>数量指标：</w:t>
      </w:r>
      <w:r>
        <w:rPr>
          <w:rFonts w:hint="eastAsia" w:ascii="宋体" w:hAnsi="宋体" w:eastAsia="宋体" w:cs="宋体"/>
          <w:color w:val="auto"/>
          <w:sz w:val="24"/>
          <w:szCs w:val="24"/>
        </w:rPr>
        <w:t>购置图书、期刊及报刊</w:t>
      </w:r>
      <w:r>
        <w:rPr>
          <w:rFonts w:hint="eastAsia" w:ascii="宋体" w:hAnsi="宋体" w:eastAsia="宋体" w:cs="宋体"/>
          <w:color w:val="auto"/>
          <w:sz w:val="24"/>
          <w:szCs w:val="24"/>
          <w:lang w:val="en-US" w:eastAsia="zh-CN"/>
        </w:rPr>
        <w:t>，预期指标是大于等于1批，实际完成值是1批，指标完成率是100%，达到预期目标。</w:t>
      </w:r>
      <w:r>
        <w:rPr>
          <w:rFonts w:hint="eastAsia" w:ascii="宋体" w:hAnsi="宋体" w:eastAsia="宋体" w:cs="宋体"/>
          <w:b/>
          <w:bCs/>
          <w:color w:val="auto"/>
          <w:sz w:val="24"/>
          <w:szCs w:val="24"/>
          <w:lang w:val="en-US" w:eastAsia="zh-CN"/>
        </w:rPr>
        <w:t>2、</w:t>
      </w:r>
      <w:r>
        <w:rPr>
          <w:rFonts w:hint="eastAsia" w:ascii="宋体" w:hAnsi="宋体" w:eastAsia="宋体" w:cs="宋体"/>
          <w:color w:val="auto"/>
          <w:sz w:val="24"/>
          <w:szCs w:val="24"/>
          <w:lang w:val="en-US" w:eastAsia="zh-CN"/>
        </w:rPr>
        <w:t>质量指标：资金使用合规率，预期指标是等于100%，实际完成值是100%，指标完成率是100%，达到预期目标。</w:t>
      </w:r>
      <w:r>
        <w:rPr>
          <w:rFonts w:hint="eastAsia" w:ascii="宋体" w:hAnsi="宋体" w:eastAsia="宋体" w:cs="宋体"/>
          <w:b/>
          <w:bCs/>
          <w:color w:val="auto"/>
          <w:sz w:val="24"/>
          <w:szCs w:val="24"/>
          <w:lang w:val="en-US" w:eastAsia="zh-CN"/>
        </w:rPr>
        <w:t>3、</w:t>
      </w:r>
      <w:r>
        <w:rPr>
          <w:rFonts w:hint="eastAsia" w:ascii="宋体" w:hAnsi="宋体" w:eastAsia="宋体" w:cs="宋体"/>
          <w:color w:val="auto"/>
          <w:sz w:val="24"/>
          <w:szCs w:val="24"/>
          <w:lang w:val="en-US" w:eastAsia="zh-CN"/>
        </w:rPr>
        <w:t>时效指标：项目完成时间，预期指标是2024年12月，实际完成值是2024年12月，指标完成率是100%，达到预期目标。</w:t>
      </w:r>
      <w:r>
        <w:rPr>
          <w:rFonts w:hint="eastAsia" w:ascii="宋体" w:hAnsi="宋体" w:eastAsia="宋体" w:cs="宋体"/>
          <w:b/>
          <w:bCs/>
          <w:color w:val="auto"/>
          <w:sz w:val="24"/>
          <w:szCs w:val="24"/>
          <w:lang w:val="en-US" w:eastAsia="zh-CN"/>
        </w:rPr>
        <w:t>4、</w:t>
      </w:r>
      <w:r>
        <w:rPr>
          <w:rFonts w:hint="eastAsia" w:ascii="宋体" w:hAnsi="宋体" w:eastAsia="宋体" w:cs="宋体"/>
          <w:color w:val="auto"/>
          <w:sz w:val="24"/>
          <w:szCs w:val="24"/>
          <w:lang w:val="en-US" w:eastAsia="zh-CN"/>
        </w:rPr>
        <w:t>项目完成及时率，预期指标是等于100%，实际完成值是100%，指标完成率是100%，达到预期目标。</w:t>
      </w:r>
      <w:r>
        <w:rPr>
          <w:rFonts w:hint="eastAsia" w:ascii="宋体" w:hAnsi="宋体" w:eastAsia="宋体" w:cs="宋体"/>
          <w:b/>
          <w:bCs/>
          <w:color w:val="auto"/>
          <w:sz w:val="24"/>
          <w:szCs w:val="24"/>
          <w:lang w:val="en-US" w:eastAsia="zh-CN"/>
        </w:rPr>
        <w:t>5、</w:t>
      </w:r>
      <w:r>
        <w:rPr>
          <w:rFonts w:hint="eastAsia" w:ascii="宋体" w:hAnsi="宋体" w:eastAsia="宋体" w:cs="宋体"/>
          <w:color w:val="auto"/>
          <w:sz w:val="24"/>
          <w:szCs w:val="24"/>
          <w:lang w:val="en-US" w:eastAsia="zh-CN"/>
        </w:rPr>
        <w:t>经济成本指标：购置图书、期刊报刊等活动费用，预期指标是小于等于3.63万元，实际完成值是4.33万元，指标完成率是100%，达到预期目标。</w:t>
      </w:r>
      <w:r>
        <w:rPr>
          <w:rFonts w:hint="eastAsia" w:ascii="宋体" w:hAnsi="宋体" w:eastAsia="宋体" w:cs="宋体"/>
          <w:b/>
          <w:bCs/>
          <w:color w:val="auto"/>
          <w:sz w:val="24"/>
          <w:szCs w:val="24"/>
          <w:lang w:val="en-US" w:eastAsia="zh-CN"/>
        </w:rPr>
        <w:t>6、</w:t>
      </w:r>
      <w:r>
        <w:rPr>
          <w:rFonts w:hint="eastAsia" w:ascii="宋体" w:hAnsi="宋体" w:eastAsia="宋体" w:cs="宋体"/>
          <w:color w:val="auto"/>
          <w:sz w:val="24"/>
          <w:szCs w:val="24"/>
          <w:lang w:val="en-US" w:eastAsia="zh-CN"/>
        </w:rPr>
        <w:t>经济成本指标：其他活动费用，预期指标是小于等于8.15万元，实际完成值是8.15万元，指标完成率是100%，达到预期目标。</w:t>
      </w:r>
      <w:r>
        <w:rPr>
          <w:rFonts w:hint="eastAsia" w:ascii="宋体" w:hAnsi="宋体" w:eastAsia="宋体" w:cs="宋体"/>
          <w:b/>
          <w:bCs/>
          <w:color w:val="auto"/>
          <w:sz w:val="24"/>
          <w:szCs w:val="24"/>
          <w:lang w:val="en-US" w:eastAsia="zh-CN"/>
        </w:rPr>
        <w:t>7、</w:t>
      </w:r>
      <w:r>
        <w:rPr>
          <w:rFonts w:hint="eastAsia" w:ascii="宋体" w:hAnsi="宋体" w:eastAsia="宋体" w:cs="宋体"/>
          <w:color w:val="auto"/>
          <w:sz w:val="24"/>
          <w:szCs w:val="24"/>
          <w:lang w:val="en-US" w:eastAsia="zh-CN"/>
        </w:rPr>
        <w:t>经济成本指标：图书馆维修费，预期指标是小于等于4.33万元，实际完成值是3.63万元，指标完成率是84%，达到预期目标。</w:t>
      </w:r>
    </w:p>
    <w:p w14:paraId="3B02B2C6">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项目效益：</w:t>
      </w:r>
      <w:r>
        <w:rPr>
          <w:rFonts w:hint="eastAsia" w:ascii="宋体" w:hAnsi="宋体" w:eastAsia="宋体" w:cs="宋体"/>
          <w:b/>
          <w:bCs/>
          <w:color w:val="auto"/>
          <w:sz w:val="24"/>
          <w:szCs w:val="24"/>
          <w:lang w:val="en-US" w:eastAsia="zh-CN"/>
        </w:rPr>
        <w:t>1、</w:t>
      </w:r>
      <w:r>
        <w:rPr>
          <w:rFonts w:hint="eastAsia" w:ascii="宋体" w:hAnsi="宋体" w:eastAsia="宋体" w:cs="宋体"/>
          <w:color w:val="auto"/>
          <w:sz w:val="24"/>
          <w:szCs w:val="24"/>
          <w:lang w:val="en-US" w:eastAsia="zh-CN"/>
        </w:rPr>
        <w:t>社会效益指标：</w:t>
      </w:r>
      <w:r>
        <w:rPr>
          <w:rFonts w:hint="eastAsia" w:ascii="宋体" w:hAnsi="宋体" w:eastAsia="宋体" w:cs="宋体"/>
          <w:color w:val="auto"/>
          <w:sz w:val="24"/>
          <w:szCs w:val="24"/>
        </w:rPr>
        <w:t>公共文化服务体系建设</w:t>
      </w:r>
      <w:r>
        <w:rPr>
          <w:rFonts w:hint="eastAsia" w:ascii="宋体" w:hAnsi="宋体" w:eastAsia="宋体" w:cs="宋体"/>
          <w:color w:val="auto"/>
          <w:sz w:val="24"/>
          <w:szCs w:val="24"/>
          <w:lang w:val="en-US" w:eastAsia="zh-CN"/>
        </w:rPr>
        <w:t>，预期指标是有效促进，实际完成值是有效促进，指标完成率是100%，达到预期目标。</w:t>
      </w:r>
    </w:p>
    <w:p w14:paraId="3253466A">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（二）综合评价结论</w:t>
      </w:r>
    </w:p>
    <w:p w14:paraId="6A6A5DD3">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据《中共中央国务院关于全面实施预算绩效管理的意见》《项目支出绩效评价管理办法》（财预〔2020〕10号）文件，绩效评价总分设置为100分，划分为四档：90（含）-100分为“优”、80（含）-90分为“良”、70（含）-80分为“中”、70分以下为“差”。经对2024年中央补助地方公共文化服务体系建设资金项目进行客观评价，最终评分结果：评价总分</w:t>
      </w:r>
      <w:r>
        <w:rPr>
          <w:rFonts w:hint="eastAsia" w:ascii="宋体" w:hAnsi="宋体" w:eastAsia="宋体" w:cs="宋体"/>
          <w:color w:val="auto"/>
          <w:sz w:val="24"/>
          <w:szCs w:val="24"/>
          <w:lang w:val="en-US" w:eastAsia="zh-CN"/>
        </w:rPr>
        <w:t>96.52</w:t>
      </w:r>
      <w:r>
        <w:rPr>
          <w:rFonts w:hint="eastAsia" w:ascii="宋体" w:hAnsi="宋体" w:eastAsia="宋体" w:cs="宋体"/>
          <w:color w:val="auto"/>
          <w:sz w:val="24"/>
          <w:szCs w:val="24"/>
        </w:rPr>
        <w:t>分，绩效等级为“</w:t>
      </w:r>
      <w:r>
        <w:rPr>
          <w:rFonts w:hint="eastAsia" w:ascii="宋体" w:hAnsi="宋体" w:eastAsia="宋体" w:cs="宋体"/>
          <w:color w:val="auto"/>
          <w:sz w:val="24"/>
          <w:szCs w:val="24"/>
          <w:lang w:val="en-US" w:eastAsia="zh-CN"/>
        </w:rPr>
        <w:t>优</w:t>
      </w:r>
      <w:r>
        <w:rPr>
          <w:rFonts w:hint="eastAsia" w:ascii="宋体" w:hAnsi="宋体" w:eastAsia="宋体" w:cs="宋体"/>
          <w:color w:val="auto"/>
          <w:sz w:val="24"/>
          <w:szCs w:val="24"/>
        </w:rPr>
        <w:t>”。</w:t>
      </w:r>
      <w:bookmarkEnd w:id="13"/>
      <w:bookmarkStart w:id="14" w:name="_Toc68364667"/>
    </w:p>
    <w:p w14:paraId="275E8239">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p>
    <w:p w14:paraId="34E4CE3E">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四、绩效评价指标分析</w:t>
      </w:r>
      <w:bookmarkEnd w:id="14"/>
    </w:p>
    <w:p w14:paraId="376AB5EE">
      <w:pPr>
        <w:pStyle w:val="5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5" w:name="_Toc68364668"/>
      <w:r>
        <w:rPr>
          <w:rFonts w:hint="eastAsia" w:ascii="宋体" w:hAnsi="宋体" w:eastAsia="宋体" w:cs="宋体"/>
          <w:color w:val="auto"/>
          <w:sz w:val="24"/>
          <w:szCs w:val="24"/>
        </w:rPr>
        <w:t>（一）项目决策情况</w:t>
      </w:r>
    </w:p>
    <w:p w14:paraId="600E0A5C">
      <w:pPr>
        <w:keepNext w:val="0"/>
        <w:keepLines w:val="0"/>
        <w:pageBreakBefore w:val="0"/>
        <w:widowControl w:val="0"/>
        <w:kinsoku/>
        <w:wordWrap/>
        <w:overflowPunct w:val="0"/>
        <w:topLinePunct w:val="0"/>
        <w:autoSpaceDE/>
        <w:autoSpaceDN/>
        <w:bidi w:val="0"/>
        <w:adjustRightInd/>
        <w:snapToGrid/>
        <w:spacing w:line="360" w:lineRule="auto"/>
        <w:ind w:left="0" w:leftChars="0" w:firstLine="480" w:firstLineChars="200"/>
        <w:contextualSpacing/>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项目决策类指标包括项目立项、绩效目标和资金投入三方面的内容，由</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个三级指标构成，权重分</w:t>
      </w:r>
      <w:r>
        <w:rPr>
          <w:rFonts w:hint="eastAsia" w:ascii="宋体" w:hAnsi="宋体" w:eastAsia="宋体" w:cs="宋体"/>
          <w:color w:val="auto"/>
          <w:sz w:val="24"/>
          <w:szCs w:val="24"/>
          <w:highlight w:val="none"/>
        </w:rPr>
        <w:t>为</w:t>
      </w: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rPr>
        <w:t>，实际得分</w:t>
      </w:r>
      <w:r>
        <w:rPr>
          <w:rFonts w:hint="eastAsia" w:ascii="宋体" w:hAnsi="宋体" w:eastAsia="宋体" w:cs="宋体"/>
          <w:color w:val="auto"/>
          <w:sz w:val="24"/>
          <w:szCs w:val="24"/>
          <w:lang w:val="en-US" w:eastAsia="zh-CN"/>
        </w:rPr>
        <w:t>23</w:t>
      </w:r>
      <w:r>
        <w:rPr>
          <w:rFonts w:hint="eastAsia" w:ascii="宋体" w:hAnsi="宋体" w:eastAsia="宋体" w:cs="宋体"/>
          <w:color w:val="auto"/>
          <w:sz w:val="24"/>
          <w:szCs w:val="24"/>
        </w:rPr>
        <w:t>分，得分率为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1E83C67D">
      <w:pPr>
        <w:keepNext w:val="0"/>
        <w:keepLines w:val="0"/>
        <w:pageBreakBefore w:val="0"/>
        <w:widowControl w:val="0"/>
        <w:numPr>
          <w:ilvl w:val="0"/>
          <w:numId w:val="5"/>
        </w:numPr>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立项依据充分性：</w:t>
      </w:r>
    </w:p>
    <w:p w14:paraId="36D56F4E">
      <w:pPr>
        <w:pageBreakBefore w:val="0"/>
        <w:widowControl/>
        <w:kinsoku/>
        <w:wordWrap/>
        <w:topLinePunct w:val="0"/>
        <w:autoSpaceDE/>
        <w:autoSpaceDN/>
        <w:bidi w:val="0"/>
        <w:adjustRightInd/>
        <w:snapToGrid/>
        <w:spacing w:line="360" w:lineRule="auto"/>
        <w:ind w:left="0" w:leftChars="0" w:firstLine="480" w:firstLineChars="200"/>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rPr>
        <w:t>本项目立项符合该项目主要通过《财政部关于下达2024年中央支持地方公共文化服务体系建设补助资金预算的通知》（和地财教【2023】47号）文件及《财政厅关于下达2024年中央支持地方公共文化服务体系建设补助资金（文化润疆工程重点项目）预算的通知》（和地财教【2024】7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本项目立项符合</w:t>
      </w:r>
      <w:r>
        <w:rPr>
          <w:rFonts w:hint="eastAsia" w:ascii="宋体" w:hAnsi="宋体" w:eastAsia="宋体" w:cs="宋体"/>
          <w:b w:val="0"/>
          <w:bCs/>
          <w:color w:val="auto"/>
          <w:kern w:val="2"/>
          <w:sz w:val="24"/>
          <w:szCs w:val="24"/>
          <w:lang w:val="en-US" w:eastAsia="zh-CN" w:bidi="ar-SA"/>
        </w:rPr>
        <w:t>《项目绩效管理办法》及单位相关项目管理制度的规定，对项目的实施进行监督管理。</w:t>
      </w:r>
      <w:r>
        <w:rPr>
          <w:rFonts w:hint="eastAsia" w:ascii="宋体" w:hAnsi="宋体" w:eastAsia="宋体" w:cs="宋体"/>
          <w:color w:val="auto"/>
          <w:sz w:val="24"/>
          <w:szCs w:val="24"/>
        </w:rPr>
        <w:t>符合行业发展规划和政策要求；本项目立项符合《</w:t>
      </w:r>
      <w:r>
        <w:rPr>
          <w:rFonts w:hint="eastAsia" w:ascii="宋体" w:hAnsi="宋体" w:eastAsia="宋体" w:cs="宋体"/>
          <w:color w:val="auto"/>
          <w:sz w:val="24"/>
          <w:szCs w:val="24"/>
          <w:lang w:val="en-US" w:eastAsia="zh-CN"/>
        </w:rPr>
        <w:t>洛浦县图书馆</w:t>
      </w:r>
      <w:r>
        <w:rPr>
          <w:rFonts w:hint="eastAsia" w:ascii="宋体" w:hAnsi="宋体" w:eastAsia="宋体" w:cs="宋体"/>
          <w:color w:val="auto"/>
          <w:sz w:val="24"/>
          <w:szCs w:val="24"/>
        </w:rPr>
        <w:t>单位配置内设机构和人员编制规定》中职责范围中的“</w:t>
      </w:r>
      <w:r>
        <w:rPr>
          <w:rFonts w:hint="eastAsia" w:ascii="宋体" w:hAnsi="宋体" w:eastAsia="宋体" w:cs="宋体"/>
          <w:b w:val="0"/>
          <w:bCs/>
          <w:color w:val="auto"/>
          <w:kern w:val="2"/>
          <w:sz w:val="24"/>
          <w:szCs w:val="24"/>
          <w:lang w:val="en-US" w:eastAsia="zh-CN" w:bidi="ar-SA"/>
        </w:rPr>
        <w:t>提供借阅服务，促进资源共享和地方文化发展；负责对乡镇图书室进行业务指导；负责图书馆设施社保的维护和图书的修复维护工作。</w:t>
      </w:r>
      <w:r>
        <w:rPr>
          <w:rFonts w:hint="eastAsia" w:ascii="宋体" w:hAnsi="宋体" w:eastAsia="宋体" w:cs="宋体"/>
          <w:color w:val="auto"/>
          <w:sz w:val="24"/>
          <w:szCs w:val="24"/>
        </w:rPr>
        <w:t>”，属于我单位履职所需；根据《财政资金直接支付申请书》，本项目资金性质为“公共财政预算”功能分类为“</w:t>
      </w:r>
      <w:r>
        <w:rPr>
          <w:rFonts w:hint="eastAsia" w:ascii="宋体" w:hAnsi="宋体" w:eastAsia="宋体" w:cs="宋体"/>
          <w:color w:val="auto"/>
          <w:sz w:val="24"/>
          <w:szCs w:val="24"/>
          <w:lang w:val="en-US" w:eastAsia="zh-CN"/>
        </w:rPr>
        <w:t>2079999</w:t>
      </w:r>
      <w:r>
        <w:rPr>
          <w:rFonts w:hint="eastAsia" w:ascii="宋体" w:hAnsi="宋体" w:eastAsia="宋体" w:cs="宋体"/>
          <w:color w:val="auto"/>
          <w:sz w:val="24"/>
          <w:szCs w:val="24"/>
        </w:rPr>
        <w:t>”经济分类为“</w:t>
      </w:r>
      <w:r>
        <w:rPr>
          <w:rFonts w:hint="eastAsia" w:ascii="宋体" w:hAnsi="宋体" w:eastAsia="宋体" w:cs="宋体"/>
          <w:color w:val="auto"/>
          <w:sz w:val="24"/>
          <w:szCs w:val="24"/>
          <w:lang w:val="en-US" w:eastAsia="zh-CN"/>
        </w:rPr>
        <w:t>30227</w:t>
      </w:r>
      <w:r>
        <w:rPr>
          <w:rFonts w:hint="eastAsia" w:ascii="宋体" w:hAnsi="宋体" w:eastAsia="宋体" w:cs="宋体"/>
          <w:color w:val="auto"/>
          <w:sz w:val="24"/>
          <w:szCs w:val="24"/>
        </w:rPr>
        <w:t>”属</w:t>
      </w:r>
      <w:r>
        <w:rPr>
          <w:rFonts w:hint="eastAsia" w:ascii="宋体" w:hAnsi="宋体" w:eastAsia="宋体" w:cs="宋体"/>
          <w:color w:val="auto"/>
          <w:sz w:val="24"/>
          <w:szCs w:val="24"/>
          <w:highlight w:val="none"/>
        </w:rPr>
        <w:t>于公共财政支持范围，符合中央、地方事权支出责任划分原则；经检查我单位财政应用平台指标，本项目不存在重复。</w:t>
      </w:r>
    </w:p>
    <w:p w14:paraId="13EFD434">
      <w:pPr>
        <w:keepNext w:val="0"/>
        <w:keepLines w:val="0"/>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综上所述，本指标满分为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分，根据评分标准得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分，本项目立项依据充分。</w:t>
      </w:r>
    </w:p>
    <w:p w14:paraId="0947BBB3">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（2）立项程序规范性：</w:t>
      </w:r>
    </w:p>
    <w:p w14:paraId="19708252">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w:t>
      </w:r>
      <w:r>
        <w:rPr>
          <w:rFonts w:hint="eastAsia" w:ascii="宋体" w:hAnsi="宋体" w:eastAsia="宋体" w:cs="宋体"/>
          <w:color w:val="auto"/>
          <w:sz w:val="24"/>
          <w:szCs w:val="24"/>
        </w:rPr>
        <w:t>2024年中央补助地方公共文化服务体系建设资金</w:t>
      </w:r>
      <w:r>
        <w:rPr>
          <w:rFonts w:hint="eastAsia" w:ascii="宋体" w:hAnsi="宋体" w:eastAsia="宋体" w:cs="宋体"/>
          <w:color w:val="auto"/>
          <w:sz w:val="24"/>
          <w:szCs w:val="24"/>
          <w:highlight w:val="none"/>
        </w:rPr>
        <w:t>，项目立项过程中产生的文件均符合相关要求。本项目为</w:t>
      </w:r>
      <w:r>
        <w:rPr>
          <w:rFonts w:hint="eastAsia" w:ascii="宋体" w:hAnsi="宋体" w:eastAsia="宋体" w:cs="宋体"/>
          <w:color w:val="auto"/>
          <w:sz w:val="24"/>
          <w:szCs w:val="24"/>
          <w:highlight w:val="none"/>
          <w:lang w:val="en-US" w:eastAsia="zh-CN"/>
        </w:rPr>
        <w:t>特定</w:t>
      </w:r>
      <w:r>
        <w:rPr>
          <w:rFonts w:hint="eastAsia" w:ascii="宋体" w:hAnsi="宋体" w:eastAsia="宋体" w:cs="宋体"/>
          <w:color w:val="auto"/>
          <w:sz w:val="24"/>
          <w:szCs w:val="24"/>
          <w:highlight w:val="none"/>
        </w:rPr>
        <w:t>类项目，属于经常性项目，项目预算金额为</w:t>
      </w:r>
      <w:r>
        <w:rPr>
          <w:rFonts w:hint="eastAsia" w:ascii="宋体" w:hAnsi="宋体" w:eastAsia="宋体" w:cs="宋体"/>
          <w:color w:val="auto"/>
          <w:sz w:val="24"/>
          <w:szCs w:val="24"/>
          <w:highlight w:val="none"/>
          <w:lang w:val="en-US" w:eastAsia="zh-CN"/>
        </w:rPr>
        <w:t>16.11</w:t>
      </w:r>
      <w:r>
        <w:rPr>
          <w:rFonts w:hint="eastAsia" w:ascii="宋体" w:hAnsi="宋体" w:eastAsia="宋体" w:cs="宋体"/>
          <w:color w:val="auto"/>
          <w:sz w:val="24"/>
          <w:szCs w:val="24"/>
          <w:highlight w:val="none"/>
        </w:rPr>
        <w:t>万元，不涉及事前绩效评估和风险评估</w:t>
      </w:r>
      <w:r>
        <w:rPr>
          <w:rFonts w:hint="eastAsia" w:ascii="宋体" w:hAnsi="宋体" w:eastAsia="宋体" w:cs="宋体"/>
          <w:color w:val="auto"/>
          <w:sz w:val="24"/>
          <w:szCs w:val="24"/>
          <w:highlight w:val="none"/>
          <w:lang w:eastAsia="zh-CN"/>
        </w:rPr>
        <w:t>。</w:t>
      </w:r>
    </w:p>
    <w:p w14:paraId="4F9C3705">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rPr>
        <w:t>综上所述，本指标满分为3分，根</w:t>
      </w:r>
      <w:r>
        <w:rPr>
          <w:rFonts w:hint="eastAsia" w:ascii="宋体" w:hAnsi="宋体" w:eastAsia="宋体" w:cs="宋体"/>
          <w:color w:val="auto"/>
          <w:sz w:val="24"/>
          <w:szCs w:val="24"/>
        </w:rPr>
        <w:t>据评分标准得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分，本项目立项程序合规。</w:t>
      </w:r>
      <w:r>
        <w:rPr>
          <w:rFonts w:hint="eastAsia" w:ascii="宋体" w:hAnsi="宋体" w:eastAsia="宋体" w:cs="宋体"/>
          <w:b/>
          <w:bCs/>
          <w:color w:val="auto"/>
          <w:sz w:val="24"/>
          <w:szCs w:val="24"/>
        </w:rPr>
        <w:t>（3）绩效目标合理性</w:t>
      </w:r>
      <w:r>
        <w:rPr>
          <w:rFonts w:hint="eastAsia" w:ascii="宋体" w:hAnsi="宋体" w:eastAsia="宋体" w:cs="宋体"/>
          <w:color w:val="auto"/>
          <w:sz w:val="24"/>
          <w:szCs w:val="24"/>
        </w:rPr>
        <w:t>：</w:t>
      </w:r>
    </w:p>
    <w:p w14:paraId="2A8C293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①该项目已设置年度绩效目标，具体内容为“</w:t>
      </w:r>
      <w:r>
        <w:rPr>
          <w:rFonts w:hint="eastAsia" w:ascii="宋体" w:hAnsi="宋体" w:eastAsia="宋体" w:cs="宋体"/>
          <w:i w:val="0"/>
          <w:iCs w:val="0"/>
          <w:caps w:val="0"/>
          <w:color w:val="auto"/>
          <w:spacing w:val="0"/>
          <w:sz w:val="24"/>
          <w:szCs w:val="24"/>
          <w:shd w:val="clear" w:color="auto" w:fill="FFFFFF"/>
        </w:rPr>
        <w:t>购置图书、期刊报刊等，举办图书推广讲座和全民阅读系列活动以及图书馆修缮维修费用</w:t>
      </w:r>
      <w:r>
        <w:rPr>
          <w:rFonts w:hint="eastAsia" w:ascii="宋体" w:hAnsi="宋体" w:eastAsia="宋体" w:cs="宋体"/>
          <w:color w:val="auto"/>
          <w:sz w:val="24"/>
          <w:szCs w:val="24"/>
        </w:rPr>
        <w:t>”。</w:t>
      </w:r>
    </w:p>
    <w:p w14:paraId="060976B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②该项目实际工作内容为：</w:t>
      </w:r>
      <w:r>
        <w:rPr>
          <w:rFonts w:hint="eastAsia" w:ascii="宋体" w:hAnsi="宋体" w:eastAsia="宋体" w:cs="宋体"/>
          <w:i w:val="0"/>
          <w:iCs w:val="0"/>
          <w:caps w:val="0"/>
          <w:color w:val="auto"/>
          <w:spacing w:val="0"/>
          <w:sz w:val="24"/>
          <w:szCs w:val="24"/>
          <w:shd w:val="clear" w:color="auto" w:fill="FFFFFF"/>
        </w:rPr>
        <w:t>购置图书、期刊报刊等，举办图书推广讲座和全民阅读系列活动以及图书馆修缮维修费用。通过项目实施，以深化推进文化润疆工程为目标，不断提升公共文化服务效能，完善公共文化服务体系，促进文化事业繁荣发展</w:t>
      </w:r>
      <w:r>
        <w:rPr>
          <w:rFonts w:hint="eastAsia" w:ascii="宋体" w:hAnsi="宋体" w:eastAsia="宋体" w:cs="宋体"/>
          <w:color w:val="auto"/>
          <w:sz w:val="24"/>
          <w:szCs w:val="24"/>
          <w:highlight w:val="none"/>
        </w:rPr>
        <w:t>。绩效目标与实际工作内容一致，两者具有相关性。</w:t>
      </w:r>
    </w:p>
    <w:p w14:paraId="09BCE81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③该项目按照绩效目标完成数量指标、质量指标、时效指标、成本指标，完成了</w:t>
      </w:r>
      <w:r>
        <w:rPr>
          <w:rFonts w:hint="eastAsia" w:ascii="宋体" w:hAnsi="宋体" w:eastAsia="宋体" w:cs="宋体"/>
          <w:i w:val="0"/>
          <w:iCs w:val="0"/>
          <w:caps w:val="0"/>
          <w:color w:val="auto"/>
          <w:spacing w:val="0"/>
          <w:sz w:val="24"/>
          <w:szCs w:val="24"/>
          <w:shd w:val="clear" w:color="auto" w:fill="FFFFFF"/>
        </w:rPr>
        <w:t>购置图书、期刊报刊</w:t>
      </w:r>
      <w:r>
        <w:rPr>
          <w:rFonts w:hint="eastAsia" w:ascii="宋体" w:hAnsi="宋体" w:eastAsia="宋体" w:cs="宋体"/>
          <w:color w:val="auto"/>
          <w:sz w:val="24"/>
          <w:szCs w:val="24"/>
          <w:highlight w:val="none"/>
        </w:rPr>
        <w:t>，</w:t>
      </w:r>
      <w:r>
        <w:rPr>
          <w:rFonts w:hint="eastAsia" w:ascii="宋体" w:hAnsi="宋体" w:eastAsia="宋体" w:cs="宋体"/>
          <w:i w:val="0"/>
          <w:iCs w:val="0"/>
          <w:caps w:val="0"/>
          <w:color w:val="auto"/>
          <w:spacing w:val="0"/>
          <w:sz w:val="24"/>
          <w:szCs w:val="24"/>
          <w:shd w:val="clear" w:color="auto" w:fill="FFFFFF"/>
        </w:rPr>
        <w:t>图书馆修缮维修</w:t>
      </w:r>
      <w:r>
        <w:rPr>
          <w:rFonts w:hint="eastAsia" w:ascii="宋体" w:hAnsi="宋体" w:eastAsia="宋体" w:cs="宋体"/>
          <w:i w:val="0"/>
          <w:iCs w:val="0"/>
          <w:caps w:val="0"/>
          <w:color w:val="auto"/>
          <w:spacing w:val="0"/>
          <w:sz w:val="24"/>
          <w:szCs w:val="24"/>
          <w:shd w:val="clear" w:color="auto" w:fill="FFFFFF"/>
          <w:lang w:eastAsia="zh-CN"/>
        </w:rPr>
        <w:t>，</w:t>
      </w:r>
      <w:r>
        <w:rPr>
          <w:rFonts w:hint="eastAsia" w:ascii="宋体" w:hAnsi="宋体" w:eastAsia="宋体" w:cs="宋体"/>
          <w:color w:val="auto"/>
          <w:sz w:val="24"/>
          <w:szCs w:val="24"/>
          <w:highlight w:val="none"/>
        </w:rPr>
        <w:t>达到</w:t>
      </w:r>
      <w:r>
        <w:rPr>
          <w:rFonts w:hint="eastAsia" w:ascii="宋体" w:hAnsi="宋体" w:eastAsia="宋体" w:cs="宋体"/>
          <w:i w:val="0"/>
          <w:iCs w:val="0"/>
          <w:caps w:val="0"/>
          <w:color w:val="auto"/>
          <w:spacing w:val="0"/>
          <w:sz w:val="24"/>
          <w:szCs w:val="24"/>
          <w:shd w:val="clear" w:color="auto" w:fill="FFFFFF"/>
        </w:rPr>
        <w:t>完善公共文化服务体系，促进文化事业繁荣发展</w:t>
      </w:r>
      <w:r>
        <w:rPr>
          <w:rFonts w:hint="eastAsia" w:ascii="宋体" w:hAnsi="宋体" w:eastAsia="宋体" w:cs="宋体"/>
          <w:color w:val="auto"/>
          <w:sz w:val="24"/>
          <w:szCs w:val="24"/>
          <w:highlight w:val="none"/>
        </w:rPr>
        <w:t>效益，预期产出效益和效果是否符合正常的业绩水平。</w:t>
      </w:r>
    </w:p>
    <w:p w14:paraId="347BF15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④该项目批复的预算金额为</w:t>
      </w:r>
      <w:r>
        <w:rPr>
          <w:rFonts w:hint="eastAsia" w:ascii="宋体" w:hAnsi="宋体" w:eastAsia="宋体" w:cs="宋体"/>
          <w:color w:val="auto"/>
          <w:sz w:val="24"/>
          <w:szCs w:val="24"/>
          <w:highlight w:val="none"/>
          <w:lang w:val="en-US" w:eastAsia="zh-CN"/>
        </w:rPr>
        <w:t>16.11</w:t>
      </w:r>
      <w:r>
        <w:rPr>
          <w:rFonts w:hint="eastAsia" w:ascii="宋体" w:hAnsi="宋体" w:eastAsia="宋体" w:cs="宋体"/>
          <w:color w:val="auto"/>
          <w:sz w:val="24"/>
          <w:szCs w:val="24"/>
          <w:highlight w:val="none"/>
        </w:rPr>
        <w:t>万元，《项目支出绩效目标表》中预算金额为</w:t>
      </w:r>
      <w:r>
        <w:rPr>
          <w:rFonts w:hint="eastAsia" w:ascii="宋体" w:hAnsi="宋体" w:eastAsia="宋体" w:cs="宋体"/>
          <w:color w:val="auto"/>
          <w:sz w:val="24"/>
          <w:szCs w:val="24"/>
          <w:highlight w:val="none"/>
          <w:lang w:val="en-US" w:eastAsia="zh-CN"/>
        </w:rPr>
        <w:t>16.11</w:t>
      </w:r>
      <w:r>
        <w:rPr>
          <w:rFonts w:hint="eastAsia" w:ascii="宋体" w:hAnsi="宋体" w:eastAsia="宋体" w:cs="宋体"/>
          <w:color w:val="auto"/>
          <w:sz w:val="24"/>
          <w:szCs w:val="24"/>
          <w:highlight w:val="none"/>
        </w:rPr>
        <w:t>万元，预算确定的项目资金与预算确定的项目投资额相匹配。</w:t>
      </w:r>
    </w:p>
    <w:p w14:paraId="288D4B1B">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⑤本单位</w:t>
      </w:r>
      <w:r>
        <w:rPr>
          <w:rFonts w:hint="eastAsia" w:ascii="宋体" w:hAnsi="宋体" w:eastAsia="宋体" w:cs="宋体"/>
          <w:color w:val="auto"/>
          <w:sz w:val="24"/>
          <w:szCs w:val="24"/>
          <w:highlight w:val="none"/>
        </w:rPr>
        <w:t>制定了实施方案，明确了总体思路及目标、并对任务进行了详细分解，对目标进行了细化，根据评分标准，该指标不扣分，得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1A1743E7">
      <w:pPr>
        <w:pageBreakBefore w:val="0"/>
        <w:widowControl w:val="0"/>
        <w:numPr>
          <w:ilvl w:val="0"/>
          <w:numId w:val="0"/>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绩效指标明确性</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sz w:val="24"/>
          <w:szCs w:val="24"/>
          <w:highlight w:val="none"/>
        </w:rPr>
        <w:t>经检查我单位年初设置的《项目支出绩效目标表》，得出如下结论：本项目已将年度绩效目标进行细化为绩效指标</w:t>
      </w:r>
      <w:r>
        <w:rPr>
          <w:rFonts w:hint="eastAsia" w:ascii="宋体" w:hAnsi="宋体" w:eastAsia="宋体" w:cs="宋体"/>
          <w:color w:val="auto"/>
          <w:sz w:val="24"/>
          <w:szCs w:val="24"/>
          <w:highlight w:val="none"/>
          <w:lang w:val="en-US" w:eastAsia="zh-CN"/>
        </w:rPr>
        <w:t>体系</w:t>
      </w:r>
      <w:r>
        <w:rPr>
          <w:rFonts w:hint="eastAsia" w:ascii="宋体" w:hAnsi="宋体" w:eastAsia="宋体" w:cs="宋体"/>
          <w:color w:val="auto"/>
          <w:sz w:val="24"/>
          <w:szCs w:val="24"/>
          <w:highlight w:val="none"/>
        </w:rPr>
        <w:t>，共设置一级指标3个，二级指标</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个，三级指标</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个，定量指标</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个，定性指标</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个，指标量化率为</w:t>
      </w:r>
      <w:r>
        <w:rPr>
          <w:rFonts w:hint="eastAsia" w:ascii="宋体" w:hAnsi="宋体" w:eastAsia="宋体" w:cs="宋体"/>
          <w:color w:val="auto"/>
          <w:sz w:val="24"/>
          <w:szCs w:val="24"/>
          <w:highlight w:val="none"/>
          <w:lang w:val="en-US" w:eastAsia="zh-CN"/>
        </w:rPr>
        <w:t>77.8</w:t>
      </w:r>
      <w:r>
        <w:rPr>
          <w:rFonts w:hint="eastAsia" w:ascii="宋体" w:hAnsi="宋体" w:eastAsia="宋体" w:cs="宋体"/>
          <w:color w:val="auto"/>
          <w:sz w:val="24"/>
          <w:szCs w:val="24"/>
          <w:highlight w:val="none"/>
        </w:rPr>
        <w:t>%，量化率达70.0%以上</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将项目绩效目标细化分解为具体的绩效指标</w:t>
      </w:r>
      <w:r>
        <w:rPr>
          <w:rFonts w:hint="eastAsia" w:ascii="宋体" w:hAnsi="宋体" w:eastAsia="宋体" w:cs="宋体"/>
          <w:color w:val="auto"/>
          <w:sz w:val="24"/>
          <w:szCs w:val="24"/>
          <w:highlight w:val="none"/>
          <w:lang w:eastAsia="zh-CN"/>
        </w:rPr>
        <w:t>。</w:t>
      </w:r>
    </w:p>
    <w:p w14:paraId="2C5D40C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该《项目绩效目标申报表》中，数量指标值为购置图书、期刊及报刊</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，三级指标的年度指标值与年度绩效目标中任务数一致，已设置时效指标“项目完成时间</w:t>
      </w:r>
      <w:r>
        <w:rPr>
          <w:rFonts w:hint="eastAsia" w:ascii="宋体" w:hAnsi="宋体" w:eastAsia="宋体" w:cs="宋体"/>
          <w:color w:val="auto"/>
          <w:sz w:val="24"/>
          <w:szCs w:val="24"/>
          <w:highlight w:val="none"/>
          <w:lang w:eastAsia="zh-CN"/>
        </w:rPr>
        <w:t>、项目完成及时率</w:t>
      </w:r>
      <w:r>
        <w:rPr>
          <w:rFonts w:hint="eastAsia" w:ascii="宋体" w:hAnsi="宋体" w:eastAsia="宋体" w:cs="宋体"/>
          <w:color w:val="auto"/>
          <w:sz w:val="24"/>
          <w:szCs w:val="24"/>
          <w:highlight w:val="none"/>
        </w:rPr>
        <w:t>”。已设置的绩效目标具备明确性、可衡量性、可实现性、相关性、时限性。根据评分标准，该指标不扣分，得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7E60630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（5）预算编制科学性：</w:t>
      </w:r>
      <w:r>
        <w:rPr>
          <w:rFonts w:hint="eastAsia" w:ascii="宋体" w:hAnsi="宋体" w:eastAsia="宋体" w:cs="宋体"/>
          <w:color w:val="auto"/>
          <w:sz w:val="24"/>
          <w:szCs w:val="24"/>
          <w:highlight w:val="none"/>
        </w:rPr>
        <w:t>本项目</w:t>
      </w:r>
      <w:r>
        <w:rPr>
          <w:rFonts w:hint="eastAsia" w:ascii="宋体" w:hAnsi="宋体" w:eastAsia="宋体" w:cs="宋体"/>
          <w:color w:val="auto"/>
          <w:sz w:val="24"/>
          <w:szCs w:val="24"/>
        </w:rPr>
        <w:t>2024年中央补助地方公共文化服务体系建设资金</w:t>
      </w:r>
      <w:r>
        <w:rPr>
          <w:rFonts w:hint="eastAsia" w:ascii="宋体" w:hAnsi="宋体" w:eastAsia="宋体" w:cs="宋体"/>
          <w:color w:val="auto"/>
          <w:sz w:val="24"/>
          <w:szCs w:val="24"/>
          <w:highlight w:val="none"/>
        </w:rPr>
        <w:t>，即预算编制较科学且经过论证；预算申请内容为</w:t>
      </w:r>
      <w:r>
        <w:rPr>
          <w:rFonts w:hint="eastAsia" w:ascii="宋体" w:hAnsi="宋体" w:eastAsia="宋体" w:cs="宋体"/>
          <w:i w:val="0"/>
          <w:iCs w:val="0"/>
          <w:caps w:val="0"/>
          <w:color w:val="auto"/>
          <w:spacing w:val="0"/>
          <w:sz w:val="24"/>
          <w:szCs w:val="24"/>
          <w:shd w:val="clear" w:color="auto" w:fill="FFFFFF"/>
        </w:rPr>
        <w:t>购置图书、期刊报刊等，举办图书推广讲座和全民阅读系列活动以及图书馆修缮维修费用。通过项目实施，以深化推进文化润疆工程为目标，不断提升公共文化服务效能，完善公共文化服务体系，促进文化事业繁荣发展。</w:t>
      </w:r>
      <w:r>
        <w:rPr>
          <w:rFonts w:hint="eastAsia" w:ascii="宋体" w:hAnsi="宋体" w:eastAsia="宋体" w:cs="宋体"/>
          <w:color w:val="auto"/>
          <w:sz w:val="24"/>
          <w:szCs w:val="24"/>
          <w:highlight w:val="none"/>
        </w:rPr>
        <w:t>项目实际内容为</w:t>
      </w:r>
      <w:r>
        <w:rPr>
          <w:rFonts w:hint="eastAsia" w:ascii="宋体" w:hAnsi="宋体" w:eastAsia="宋体" w:cs="宋体"/>
          <w:i w:val="0"/>
          <w:iCs w:val="0"/>
          <w:caps w:val="0"/>
          <w:color w:val="auto"/>
          <w:spacing w:val="0"/>
          <w:sz w:val="24"/>
          <w:szCs w:val="24"/>
          <w:shd w:val="clear" w:color="auto" w:fill="FFFFFF"/>
        </w:rPr>
        <w:t>购置图书、期刊报刊等，举办图书推广讲座和全民阅读系列活动以及图书馆修缮维修费用。通过项目实施，以深化推进文化润疆工程为目标，不断提升公共文化服务效能，完善公共文化服务体系，促进文化事业繁荣发展。</w:t>
      </w:r>
      <w:r>
        <w:rPr>
          <w:rFonts w:hint="eastAsia" w:ascii="宋体" w:hAnsi="宋体" w:eastAsia="宋体" w:cs="宋体"/>
          <w:color w:val="auto"/>
          <w:sz w:val="24"/>
          <w:szCs w:val="24"/>
          <w:highlight w:val="none"/>
        </w:rPr>
        <w:t>预算申请与《</w:t>
      </w:r>
      <w:r>
        <w:rPr>
          <w:rFonts w:hint="eastAsia" w:ascii="宋体" w:hAnsi="宋体" w:eastAsia="宋体" w:cs="宋体"/>
          <w:color w:val="auto"/>
          <w:sz w:val="24"/>
          <w:szCs w:val="24"/>
        </w:rPr>
        <w:t>2024年中央补助地方公共文化服务体系建设资金</w:t>
      </w:r>
      <w:r>
        <w:rPr>
          <w:rFonts w:hint="eastAsia" w:ascii="宋体" w:hAnsi="宋体" w:eastAsia="宋体" w:cs="宋体"/>
          <w:color w:val="auto"/>
          <w:sz w:val="24"/>
          <w:szCs w:val="24"/>
          <w:highlight w:val="none"/>
        </w:rPr>
        <w:t>项目实施方案》中涉及的项目内容匹配；</w:t>
      </w:r>
    </w:p>
    <w:p w14:paraId="7F1BA466">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本项目预算申请资金</w:t>
      </w:r>
      <w:r>
        <w:rPr>
          <w:rFonts w:hint="eastAsia" w:ascii="宋体" w:hAnsi="宋体" w:eastAsia="宋体" w:cs="宋体"/>
          <w:color w:val="auto"/>
          <w:sz w:val="24"/>
          <w:szCs w:val="24"/>
          <w:highlight w:val="none"/>
          <w:lang w:val="en-US" w:eastAsia="zh-CN"/>
        </w:rPr>
        <w:t>16.11</w:t>
      </w:r>
      <w:r>
        <w:rPr>
          <w:rFonts w:hint="eastAsia" w:ascii="宋体" w:hAnsi="宋体" w:eastAsia="宋体" w:cs="宋体"/>
          <w:color w:val="auto"/>
          <w:sz w:val="24"/>
          <w:szCs w:val="24"/>
          <w:highlight w:val="none"/>
        </w:rPr>
        <w:t>万元，我单位在预算申请中严格按照项目实施内容及测算标准进行核算，其中</w:t>
      </w:r>
      <w:r>
        <w:rPr>
          <w:rFonts w:hint="eastAsia" w:ascii="宋体" w:hAnsi="宋体" w:eastAsia="宋体" w:cs="宋体"/>
          <w:color w:val="auto"/>
          <w:sz w:val="24"/>
          <w:szCs w:val="24"/>
          <w:lang w:val="en-US" w:eastAsia="zh-CN"/>
        </w:rPr>
        <w:t>图书、期刊报刊</w:t>
      </w:r>
      <w:r>
        <w:rPr>
          <w:rFonts w:hint="eastAsia" w:ascii="宋体" w:hAnsi="宋体" w:eastAsia="宋体" w:cs="宋体"/>
          <w:color w:val="auto"/>
          <w:sz w:val="24"/>
          <w:szCs w:val="24"/>
          <w:highlight w:val="none"/>
        </w:rPr>
        <w:t>费用</w:t>
      </w:r>
      <w:r>
        <w:rPr>
          <w:rFonts w:hint="eastAsia" w:ascii="宋体" w:hAnsi="宋体" w:eastAsia="宋体" w:cs="宋体"/>
          <w:color w:val="auto"/>
          <w:sz w:val="24"/>
          <w:szCs w:val="24"/>
          <w:lang w:val="en-US" w:eastAsia="zh-CN"/>
        </w:rPr>
        <w:t>4.33，</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lang w:val="en-US" w:eastAsia="zh-CN"/>
        </w:rPr>
        <w:t>其他活动</w:t>
      </w:r>
      <w:r>
        <w:rPr>
          <w:rFonts w:hint="eastAsia" w:ascii="宋体" w:hAnsi="宋体" w:eastAsia="宋体" w:cs="宋体"/>
          <w:color w:val="auto"/>
          <w:sz w:val="24"/>
          <w:szCs w:val="24"/>
          <w:highlight w:val="none"/>
        </w:rPr>
        <w:t>费用</w:t>
      </w:r>
      <w:r>
        <w:rPr>
          <w:rFonts w:hint="eastAsia" w:ascii="宋体" w:hAnsi="宋体" w:eastAsia="宋体" w:cs="宋体"/>
          <w:color w:val="auto"/>
          <w:sz w:val="24"/>
          <w:szCs w:val="24"/>
          <w:highlight w:val="none"/>
          <w:lang w:val="en-US" w:eastAsia="zh-CN"/>
        </w:rPr>
        <w:t>8.15</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lang w:val="en-US" w:eastAsia="zh-CN"/>
        </w:rPr>
        <w:t>图书馆维修</w:t>
      </w:r>
      <w:r>
        <w:rPr>
          <w:rFonts w:hint="eastAsia" w:ascii="宋体" w:hAnsi="宋体" w:eastAsia="宋体" w:cs="宋体"/>
          <w:color w:val="auto"/>
          <w:sz w:val="24"/>
          <w:szCs w:val="24"/>
          <w:highlight w:val="none"/>
        </w:rPr>
        <w:t>费用</w:t>
      </w:r>
      <w:r>
        <w:rPr>
          <w:rFonts w:hint="eastAsia" w:ascii="宋体" w:hAnsi="宋体" w:eastAsia="宋体" w:cs="宋体"/>
          <w:color w:val="auto"/>
          <w:sz w:val="24"/>
          <w:szCs w:val="24"/>
          <w:highlight w:val="none"/>
          <w:lang w:val="en-US" w:eastAsia="zh-CN"/>
        </w:rPr>
        <w:t>3.63</w:t>
      </w:r>
      <w:r>
        <w:rPr>
          <w:rFonts w:hint="eastAsia" w:ascii="宋体" w:hAnsi="宋体" w:eastAsia="宋体" w:cs="宋体"/>
          <w:color w:val="auto"/>
          <w:sz w:val="24"/>
          <w:szCs w:val="24"/>
          <w:highlight w:val="none"/>
        </w:rPr>
        <w:t>万元。预算确定资金量与实际工作任务相匹配。本项目预算额度测算依据充分，严格按照标准编制，预算确定资金量与实际工作任务相匹配；根据评分标准，该指标不扣分，得</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分。</w:t>
      </w:r>
    </w:p>
    <w:p w14:paraId="02B68D4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（6）资金分配合理性：</w:t>
      </w:r>
      <w:r>
        <w:rPr>
          <w:rFonts w:hint="eastAsia" w:ascii="宋体" w:hAnsi="宋体" w:eastAsia="宋体" w:cs="宋体"/>
          <w:color w:val="auto"/>
          <w:sz w:val="24"/>
          <w:szCs w:val="24"/>
          <w:highlight w:val="none"/>
        </w:rPr>
        <w:t>本项目实际分配资金以《关于申请</w:t>
      </w:r>
      <w:r>
        <w:rPr>
          <w:rFonts w:hint="eastAsia" w:ascii="宋体" w:hAnsi="宋体" w:eastAsia="宋体" w:cs="宋体"/>
          <w:color w:val="auto"/>
          <w:sz w:val="24"/>
          <w:szCs w:val="24"/>
        </w:rPr>
        <w:t>2024年中央补助地方公共文化服务体系建设</w:t>
      </w:r>
      <w:r>
        <w:rPr>
          <w:rFonts w:hint="eastAsia" w:ascii="宋体" w:hAnsi="宋体" w:eastAsia="宋体" w:cs="宋体"/>
          <w:color w:val="auto"/>
          <w:sz w:val="24"/>
          <w:szCs w:val="24"/>
          <w:highlight w:val="none"/>
        </w:rPr>
        <w:t>项目资金的请示》和《</w:t>
      </w:r>
      <w:r>
        <w:rPr>
          <w:rFonts w:hint="eastAsia" w:ascii="宋体" w:hAnsi="宋体" w:eastAsia="宋体" w:cs="宋体"/>
          <w:color w:val="auto"/>
          <w:sz w:val="24"/>
          <w:szCs w:val="24"/>
        </w:rPr>
        <w:t>2024年中央补助地方公共文化服务体系建设</w:t>
      </w:r>
      <w:r>
        <w:rPr>
          <w:rFonts w:hint="eastAsia" w:ascii="宋体" w:hAnsi="宋体" w:eastAsia="宋体" w:cs="宋体"/>
          <w:color w:val="auto"/>
          <w:sz w:val="24"/>
          <w:szCs w:val="24"/>
          <w:highlight w:val="none"/>
        </w:rPr>
        <w:t>项目实施方案》为依据进行资金分配，预算资金分配依据充分。根据</w:t>
      </w:r>
      <w:r>
        <w:rPr>
          <w:rFonts w:hint="eastAsia" w:ascii="宋体" w:hAnsi="宋体" w:eastAsia="宋体" w:cs="宋体"/>
          <w:color w:val="auto"/>
          <w:sz w:val="24"/>
          <w:szCs w:val="24"/>
        </w:rPr>
        <w:t>《财政部关于下达2024年中央支持地方公共文化服务体系建设补助资金预算的通知》（和地财教【2023】47号）文件及《财政厅关于下达2024年中央支持地方公共文化服务体系建设补助资金（文化润疆工程重点项目）预算的通知》（和地财教【2024】7号）</w:t>
      </w:r>
      <w:r>
        <w:rPr>
          <w:rFonts w:hint="eastAsia" w:ascii="宋体" w:hAnsi="宋体" w:eastAsia="宋体" w:cs="宋体"/>
          <w:color w:val="auto"/>
          <w:sz w:val="24"/>
          <w:szCs w:val="24"/>
          <w:highlight w:val="none"/>
        </w:rPr>
        <w:t>，本项目实际到位资金</w:t>
      </w:r>
      <w:r>
        <w:rPr>
          <w:rFonts w:hint="eastAsia" w:ascii="宋体" w:hAnsi="宋体" w:eastAsia="宋体" w:cs="宋体"/>
          <w:color w:val="auto"/>
          <w:sz w:val="24"/>
          <w:szCs w:val="24"/>
          <w:highlight w:val="none"/>
          <w:lang w:val="en-US" w:eastAsia="zh-CN"/>
        </w:rPr>
        <w:t>16.11</w:t>
      </w:r>
      <w:r>
        <w:rPr>
          <w:rFonts w:hint="eastAsia" w:ascii="宋体" w:hAnsi="宋体" w:eastAsia="宋体" w:cs="宋体"/>
          <w:color w:val="auto"/>
          <w:sz w:val="24"/>
          <w:szCs w:val="24"/>
          <w:highlight w:val="none"/>
        </w:rPr>
        <w:t>万元，资金分配额度合理，与我单位实际需求相适应。资金分配与实际相适应，根据评分标准，该指标不扣分，得</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分。</w:t>
      </w:r>
    </w:p>
    <w:p w14:paraId="146E8E73">
      <w:pPr>
        <w:pStyle w:val="5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（二）项目过程情况</w:t>
      </w:r>
    </w:p>
    <w:p w14:paraId="17B974A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项目过程类指标包括资金管理和组织实施两方面的内容，由</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个三级指标构成，权重分为</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5F6B678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bCs/>
          <w:color w:val="auto"/>
          <w:sz w:val="24"/>
          <w:szCs w:val="24"/>
          <w:highlight w:val="none"/>
        </w:rPr>
        <w:t>（1）资金到位率：</w:t>
      </w:r>
      <w:r>
        <w:rPr>
          <w:rFonts w:hint="eastAsia" w:ascii="宋体" w:hAnsi="宋体" w:eastAsia="宋体" w:cs="宋体"/>
          <w:b w:val="0"/>
          <w:bCs w:val="0"/>
          <w:color w:val="auto"/>
          <w:sz w:val="24"/>
          <w:szCs w:val="24"/>
          <w:highlight w:val="none"/>
        </w:rPr>
        <w:t>本项目预算资金为</w:t>
      </w:r>
      <w:r>
        <w:rPr>
          <w:rFonts w:hint="eastAsia" w:ascii="宋体" w:hAnsi="宋体" w:eastAsia="宋体" w:cs="宋体"/>
          <w:b w:val="0"/>
          <w:bCs w:val="0"/>
          <w:color w:val="auto"/>
          <w:sz w:val="24"/>
          <w:szCs w:val="24"/>
          <w:highlight w:val="none"/>
          <w:lang w:val="en-US" w:eastAsia="zh-CN"/>
        </w:rPr>
        <w:t>16.11</w:t>
      </w:r>
      <w:r>
        <w:rPr>
          <w:rFonts w:hint="eastAsia" w:ascii="宋体" w:hAnsi="宋体" w:eastAsia="宋体" w:cs="宋体"/>
          <w:b w:val="0"/>
          <w:bCs w:val="0"/>
          <w:color w:val="auto"/>
          <w:sz w:val="24"/>
          <w:szCs w:val="24"/>
          <w:highlight w:val="none"/>
        </w:rPr>
        <w:t>万元，其中：财政安排资金</w:t>
      </w:r>
      <w:r>
        <w:rPr>
          <w:rFonts w:hint="eastAsia" w:ascii="宋体" w:hAnsi="宋体" w:eastAsia="宋体" w:cs="宋体"/>
          <w:b w:val="0"/>
          <w:bCs w:val="0"/>
          <w:color w:val="auto"/>
          <w:sz w:val="24"/>
          <w:szCs w:val="24"/>
          <w:highlight w:val="none"/>
          <w:lang w:val="en-US" w:eastAsia="zh-CN"/>
        </w:rPr>
        <w:t>16.11</w:t>
      </w:r>
      <w:r>
        <w:rPr>
          <w:rFonts w:hint="eastAsia" w:ascii="宋体" w:hAnsi="宋体" w:eastAsia="宋体" w:cs="宋体"/>
          <w:b w:val="0"/>
          <w:bCs w:val="0"/>
          <w:color w:val="auto"/>
          <w:sz w:val="24"/>
          <w:szCs w:val="24"/>
          <w:highlight w:val="none"/>
        </w:rPr>
        <w:t>万元，其他资金</w:t>
      </w:r>
      <w:r>
        <w:rPr>
          <w:rFonts w:hint="eastAsia" w:ascii="宋体" w:hAnsi="宋体" w:eastAsia="宋体" w:cs="宋体"/>
          <w:b w:val="0"/>
          <w:bCs w:val="0"/>
          <w:color w:val="auto"/>
          <w:sz w:val="24"/>
          <w:szCs w:val="24"/>
          <w:highlight w:val="none"/>
          <w:lang w:val="en-US" w:eastAsia="zh-CN"/>
        </w:rPr>
        <w:t>0</w:t>
      </w:r>
      <w:r>
        <w:rPr>
          <w:rFonts w:hint="eastAsia" w:ascii="宋体" w:hAnsi="宋体" w:eastAsia="宋体" w:cs="宋体"/>
          <w:b w:val="0"/>
          <w:bCs w:val="0"/>
          <w:color w:val="auto"/>
          <w:sz w:val="24"/>
          <w:szCs w:val="24"/>
          <w:highlight w:val="none"/>
        </w:rPr>
        <w:t>万元，实际到位资金</w:t>
      </w:r>
      <w:r>
        <w:rPr>
          <w:rFonts w:hint="eastAsia" w:ascii="宋体" w:hAnsi="宋体" w:eastAsia="宋体" w:cs="宋体"/>
          <w:b w:val="0"/>
          <w:bCs w:val="0"/>
          <w:color w:val="auto"/>
          <w:sz w:val="24"/>
          <w:szCs w:val="24"/>
          <w:highlight w:val="none"/>
          <w:lang w:val="en-US" w:eastAsia="zh-CN"/>
        </w:rPr>
        <w:t>16.11</w:t>
      </w:r>
      <w:r>
        <w:rPr>
          <w:rFonts w:hint="eastAsia" w:ascii="宋体" w:hAnsi="宋体" w:eastAsia="宋体" w:cs="宋体"/>
          <w:b w:val="0"/>
          <w:bCs w:val="0"/>
          <w:color w:val="auto"/>
          <w:sz w:val="24"/>
          <w:szCs w:val="24"/>
          <w:highlight w:val="none"/>
        </w:rPr>
        <w:t>万元，资金到位率=</w:t>
      </w:r>
      <w:r>
        <w:rPr>
          <w:rFonts w:hint="eastAsia" w:ascii="宋体" w:hAnsi="宋体" w:eastAsia="宋体" w:cs="宋体"/>
          <w:b w:val="0"/>
          <w:bCs w:val="0"/>
          <w:color w:val="auto"/>
          <w:sz w:val="24"/>
          <w:szCs w:val="24"/>
          <w:highlight w:val="none"/>
          <w:lang w:val="en-US" w:eastAsia="zh-CN"/>
        </w:rPr>
        <w:t>100%；通过分析可知，该项目</w:t>
      </w:r>
      <w:r>
        <w:rPr>
          <w:rFonts w:hint="eastAsia" w:ascii="宋体" w:hAnsi="宋体" w:eastAsia="宋体" w:cs="宋体"/>
          <w:b w:val="0"/>
          <w:bCs w:val="0"/>
          <w:color w:val="auto"/>
          <w:sz w:val="24"/>
          <w:szCs w:val="24"/>
          <w:highlight w:val="none"/>
        </w:rPr>
        <w:t>财政资金足额拨付到位，能够及时足额</w:t>
      </w:r>
      <w:r>
        <w:rPr>
          <w:rFonts w:hint="eastAsia" w:ascii="宋体" w:hAnsi="宋体" w:eastAsia="宋体" w:cs="宋体"/>
          <w:b w:val="0"/>
          <w:bCs w:val="0"/>
          <w:color w:val="auto"/>
          <w:sz w:val="24"/>
          <w:szCs w:val="24"/>
          <w:highlight w:val="none"/>
          <w:lang w:val="en-US" w:eastAsia="zh-CN"/>
        </w:rPr>
        <w:t>支付</w:t>
      </w:r>
      <w:r>
        <w:rPr>
          <w:rFonts w:hint="eastAsia" w:ascii="宋体" w:hAnsi="宋体" w:eastAsia="宋体" w:cs="宋体"/>
          <w:b w:val="0"/>
          <w:bCs w:val="0"/>
          <w:color w:val="auto"/>
          <w:sz w:val="24"/>
          <w:szCs w:val="24"/>
          <w:highlight w:val="none"/>
        </w:rPr>
        <w:t>给</w:t>
      </w:r>
      <w:r>
        <w:rPr>
          <w:rFonts w:hint="eastAsia" w:ascii="宋体" w:hAnsi="宋体" w:eastAsia="宋体" w:cs="宋体"/>
          <w:b w:val="0"/>
          <w:bCs w:val="0"/>
          <w:color w:val="auto"/>
          <w:sz w:val="24"/>
          <w:szCs w:val="24"/>
          <w:highlight w:val="none"/>
          <w:lang w:val="en-US" w:eastAsia="zh-CN"/>
        </w:rPr>
        <w:t>实施</w:t>
      </w:r>
      <w:r>
        <w:rPr>
          <w:rFonts w:hint="eastAsia" w:ascii="宋体" w:hAnsi="宋体" w:eastAsia="宋体" w:cs="宋体"/>
          <w:b w:val="0"/>
          <w:bCs w:val="0"/>
          <w:color w:val="auto"/>
          <w:sz w:val="24"/>
          <w:szCs w:val="24"/>
          <w:highlight w:val="none"/>
        </w:rPr>
        <w:t>单位</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根据评分标准，该指标不扣分，得</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 xml:space="preserve">分。   </w:t>
      </w:r>
    </w:p>
    <w:p w14:paraId="72362432">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（2）预算执行率：</w:t>
      </w:r>
      <w:r>
        <w:rPr>
          <w:rFonts w:hint="eastAsia" w:ascii="宋体" w:hAnsi="宋体" w:eastAsia="宋体" w:cs="宋体"/>
          <w:color w:val="auto"/>
          <w:sz w:val="24"/>
          <w:szCs w:val="24"/>
          <w:highlight w:val="none"/>
        </w:rPr>
        <w:t>本项目实际支出资金</w:t>
      </w:r>
      <w:r>
        <w:rPr>
          <w:rFonts w:hint="eastAsia" w:ascii="宋体" w:hAnsi="宋体" w:eastAsia="宋体" w:cs="宋体"/>
          <w:color w:val="auto"/>
          <w:sz w:val="24"/>
          <w:szCs w:val="24"/>
          <w:highlight w:val="none"/>
          <w:lang w:val="en-US" w:eastAsia="zh-CN"/>
        </w:rPr>
        <w:t>16.11</w:t>
      </w:r>
      <w:r>
        <w:rPr>
          <w:rFonts w:hint="eastAsia" w:ascii="宋体" w:hAnsi="宋体" w:eastAsia="宋体" w:cs="宋体"/>
          <w:color w:val="auto"/>
          <w:sz w:val="24"/>
          <w:szCs w:val="24"/>
          <w:highlight w:val="none"/>
        </w:rPr>
        <w:t>万元，预算执行率=（实际支出资金/实际到位资金）×100.0%=</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通过分析可知，该项目</w:t>
      </w:r>
      <w:r>
        <w:rPr>
          <w:rFonts w:hint="eastAsia" w:ascii="宋体" w:hAnsi="宋体" w:eastAsia="宋体" w:cs="宋体"/>
          <w:color w:val="auto"/>
          <w:sz w:val="24"/>
          <w:szCs w:val="24"/>
          <w:highlight w:val="none"/>
        </w:rPr>
        <w:t>预算编制较为详细，项目资金支出总体能够按照预算执行，根据评分标准，该指标不扣分，得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w:t>
      </w:r>
    </w:p>
    <w:p w14:paraId="61CF83B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（3）资金使用合规性：</w:t>
      </w:r>
      <w:r>
        <w:rPr>
          <w:rFonts w:hint="eastAsia" w:ascii="宋体" w:hAnsi="宋体" w:eastAsia="宋体" w:cs="宋体"/>
          <w:color w:val="auto"/>
          <w:sz w:val="24"/>
          <w:szCs w:val="24"/>
          <w:highlight w:val="none"/>
        </w:rPr>
        <w:t>通过检查项目资金申请文件、</w:t>
      </w:r>
      <w:r>
        <w:rPr>
          <w:rFonts w:hint="eastAsia" w:ascii="宋体" w:hAnsi="宋体" w:eastAsia="宋体" w:cs="宋体"/>
          <w:color w:val="auto"/>
          <w:sz w:val="24"/>
          <w:szCs w:val="24"/>
          <w:highlight w:val="none"/>
          <w:lang w:val="en-US" w:eastAsia="zh-CN"/>
        </w:rPr>
        <w:t>国库支付凭证</w:t>
      </w:r>
      <w:r>
        <w:rPr>
          <w:rFonts w:hint="eastAsia" w:ascii="宋体" w:hAnsi="宋体" w:eastAsia="宋体" w:cs="宋体"/>
          <w:color w:val="auto"/>
          <w:sz w:val="24"/>
          <w:szCs w:val="24"/>
          <w:highlight w:val="none"/>
        </w:rPr>
        <w:t>等财务</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，得出本项目资金支出符合国家财经法规、《政府会计制度》《</w:t>
      </w:r>
      <w:r>
        <w:rPr>
          <w:rFonts w:hint="eastAsia" w:ascii="宋体" w:hAnsi="宋体" w:eastAsia="宋体" w:cs="宋体"/>
          <w:color w:val="auto"/>
          <w:sz w:val="24"/>
          <w:szCs w:val="24"/>
          <w:highlight w:val="none"/>
          <w:lang w:val="en-US" w:eastAsia="zh-CN"/>
        </w:rPr>
        <w:t>洛浦县图书馆</w:t>
      </w:r>
      <w:r>
        <w:rPr>
          <w:rFonts w:hint="eastAsia" w:ascii="宋体" w:hAnsi="宋体" w:eastAsia="宋体" w:cs="宋体"/>
          <w:color w:val="auto"/>
          <w:sz w:val="24"/>
          <w:szCs w:val="24"/>
          <w:highlight w:val="none"/>
        </w:rPr>
        <w:t>单位资金管理办法》《</w:t>
      </w:r>
      <w:r>
        <w:rPr>
          <w:rFonts w:hint="eastAsia" w:ascii="宋体" w:hAnsi="宋体" w:eastAsia="宋体" w:cs="宋体"/>
          <w:color w:val="auto"/>
          <w:sz w:val="24"/>
          <w:szCs w:val="24"/>
        </w:rPr>
        <w:t>公共文化服务体系建设</w:t>
      </w:r>
      <w:r>
        <w:rPr>
          <w:rFonts w:hint="eastAsia" w:ascii="宋体" w:hAnsi="宋体" w:eastAsia="宋体" w:cs="宋体"/>
          <w:color w:val="auto"/>
          <w:sz w:val="24"/>
          <w:szCs w:val="24"/>
          <w:highlight w:val="none"/>
        </w:rPr>
        <w:t>专项资金管理办法》，资金的拨付有完整的审批程序和手续，资金实际使用方向与预算批复用途一致，不存在截留、挤占、挪用、虚列支出的情况。</w:t>
      </w:r>
      <w:r>
        <w:rPr>
          <w:rFonts w:hint="eastAsia" w:ascii="宋体" w:hAnsi="宋体" w:eastAsia="宋体" w:cs="宋体"/>
          <w:color w:val="auto"/>
          <w:sz w:val="24"/>
          <w:szCs w:val="24"/>
          <w:highlight w:val="none"/>
          <w:lang w:val="en-US" w:eastAsia="zh-CN"/>
        </w:rPr>
        <w:t>我单位</w:t>
      </w:r>
      <w:r>
        <w:rPr>
          <w:rFonts w:hint="eastAsia" w:ascii="宋体" w:hAnsi="宋体" w:eastAsia="宋体" w:cs="宋体"/>
          <w:color w:val="auto"/>
          <w:sz w:val="24"/>
          <w:szCs w:val="24"/>
          <w:highlight w:val="none"/>
        </w:rPr>
        <w:t>制定了相关的制度和管理规定对经费使用进行规范管理，财务制度健全、执行严格，根据评分标准，该指标不扣分，得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6BAC1FF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b/>
          <w:bCs/>
          <w:color w:val="auto"/>
          <w:sz w:val="24"/>
          <w:szCs w:val="24"/>
          <w:highlight w:val="none"/>
        </w:rPr>
        <w:t>4）管理制度健全性：</w:t>
      </w:r>
      <w:r>
        <w:rPr>
          <w:rFonts w:hint="eastAsia" w:ascii="宋体" w:hAnsi="宋体" w:eastAsia="宋体" w:cs="宋体"/>
          <w:b w:val="0"/>
          <w:bCs w:val="0"/>
          <w:color w:val="auto"/>
          <w:sz w:val="24"/>
          <w:szCs w:val="24"/>
          <w:highlight w:val="none"/>
        </w:rPr>
        <w:t>我单位已制定《</w:t>
      </w:r>
      <w:r>
        <w:rPr>
          <w:rFonts w:hint="eastAsia" w:ascii="宋体" w:hAnsi="宋体" w:eastAsia="宋体" w:cs="宋体"/>
          <w:color w:val="auto"/>
          <w:sz w:val="24"/>
          <w:szCs w:val="24"/>
          <w:lang w:val="en-US" w:eastAsia="zh-CN"/>
        </w:rPr>
        <w:t>项目支出绩效评价</w:t>
      </w:r>
      <w:r>
        <w:rPr>
          <w:rFonts w:hint="eastAsia" w:ascii="宋体" w:hAnsi="宋体" w:eastAsia="宋体" w:cs="宋体"/>
          <w:b w:val="0"/>
          <w:bCs w:val="0"/>
          <w:color w:val="auto"/>
          <w:sz w:val="24"/>
          <w:szCs w:val="24"/>
          <w:highlight w:val="none"/>
        </w:rPr>
        <w:t>管理办法》《</w:t>
      </w:r>
      <w:r>
        <w:rPr>
          <w:rFonts w:hint="eastAsia" w:ascii="宋体" w:hAnsi="宋体" w:eastAsia="宋体" w:cs="宋体"/>
          <w:color w:val="auto"/>
          <w:sz w:val="24"/>
          <w:szCs w:val="24"/>
          <w:lang w:val="en-US" w:eastAsia="zh-CN"/>
        </w:rPr>
        <w:t>洛浦县图书馆</w:t>
      </w:r>
      <w:r>
        <w:rPr>
          <w:rFonts w:hint="eastAsia" w:ascii="宋体" w:hAnsi="宋体" w:eastAsia="宋体" w:cs="宋体"/>
          <w:b w:val="0"/>
          <w:bCs w:val="0"/>
          <w:color w:val="auto"/>
          <w:sz w:val="24"/>
          <w:szCs w:val="24"/>
          <w:highlight w:val="none"/>
        </w:rPr>
        <w:t>收支业务管理制度》《</w:t>
      </w:r>
      <w:r>
        <w:rPr>
          <w:rFonts w:hint="eastAsia" w:ascii="宋体" w:hAnsi="宋体" w:eastAsia="宋体" w:cs="宋体"/>
          <w:color w:val="auto"/>
          <w:sz w:val="24"/>
          <w:szCs w:val="24"/>
          <w:lang w:val="en-US" w:eastAsia="zh-CN"/>
        </w:rPr>
        <w:t>洛浦县图书馆</w:t>
      </w:r>
      <w:r>
        <w:rPr>
          <w:rFonts w:hint="eastAsia" w:ascii="宋体" w:hAnsi="宋体" w:eastAsia="宋体" w:cs="宋体"/>
          <w:b w:val="0"/>
          <w:bCs w:val="0"/>
          <w:color w:val="auto"/>
          <w:sz w:val="24"/>
          <w:szCs w:val="24"/>
          <w:highlight w:val="none"/>
        </w:rPr>
        <w:t>政府采购业务管理制度》《</w:t>
      </w:r>
      <w:r>
        <w:rPr>
          <w:rFonts w:hint="eastAsia" w:ascii="宋体" w:hAnsi="宋体" w:eastAsia="宋体" w:cs="宋体"/>
          <w:color w:val="auto"/>
          <w:sz w:val="24"/>
          <w:szCs w:val="24"/>
          <w:lang w:val="en-US" w:eastAsia="zh-CN"/>
        </w:rPr>
        <w:t>洛浦县图书馆</w:t>
      </w:r>
      <w:r>
        <w:rPr>
          <w:rFonts w:hint="eastAsia" w:ascii="宋体" w:hAnsi="宋体" w:eastAsia="宋体" w:cs="宋体"/>
          <w:b w:val="0"/>
          <w:bCs w:val="0"/>
          <w:color w:val="auto"/>
          <w:sz w:val="24"/>
          <w:szCs w:val="24"/>
          <w:highlight w:val="none"/>
        </w:rPr>
        <w:t>合同管理制度》，</w:t>
      </w:r>
      <w:r>
        <w:rPr>
          <w:rFonts w:hint="eastAsia" w:ascii="宋体" w:hAnsi="宋体" w:eastAsia="宋体" w:cs="宋体"/>
          <w:b w:val="0"/>
          <w:bCs w:val="0"/>
          <w:color w:val="auto"/>
          <w:sz w:val="24"/>
          <w:szCs w:val="24"/>
          <w:highlight w:val="none"/>
          <w:lang w:val="en-US" w:eastAsia="zh-CN"/>
        </w:rPr>
        <w:t>相关</w:t>
      </w:r>
      <w:r>
        <w:rPr>
          <w:rFonts w:hint="eastAsia" w:ascii="宋体" w:hAnsi="宋体" w:eastAsia="宋体" w:cs="宋体"/>
          <w:b w:val="0"/>
          <w:bCs w:val="0"/>
          <w:color w:val="auto"/>
          <w:sz w:val="24"/>
          <w:szCs w:val="24"/>
          <w:highlight w:val="none"/>
        </w:rPr>
        <w:t>制度均符合行政事业单位内控管理要求，财务和业务管理制度合法、合规、完整，本项目执行符合上述制度规定。根据评分标准，该指标不扣分，得</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分。</w:t>
      </w:r>
    </w:p>
    <w:p w14:paraId="1C3824F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（5）制度执行有效性</w:t>
      </w:r>
      <w:r>
        <w:rPr>
          <w:rFonts w:hint="eastAsia" w:ascii="宋体" w:hAnsi="宋体" w:eastAsia="宋体" w:cs="宋体"/>
          <w:color w:val="auto"/>
          <w:sz w:val="24"/>
          <w:szCs w:val="24"/>
          <w:highlight w:val="none"/>
        </w:rPr>
        <w:t>：①该项目的实施符合《</w:t>
      </w:r>
      <w:r>
        <w:rPr>
          <w:rFonts w:hint="eastAsia" w:ascii="宋体" w:hAnsi="宋体" w:eastAsia="宋体" w:cs="宋体"/>
          <w:color w:val="auto"/>
          <w:sz w:val="24"/>
          <w:szCs w:val="24"/>
          <w:lang w:val="en-US" w:eastAsia="zh-CN"/>
        </w:rPr>
        <w:t>项目支出绩效评价</w:t>
      </w:r>
      <w:r>
        <w:rPr>
          <w:rFonts w:hint="eastAsia" w:ascii="宋体" w:hAnsi="宋体" w:eastAsia="宋体" w:cs="宋体"/>
          <w:b w:val="0"/>
          <w:bCs w:val="0"/>
          <w:color w:val="auto"/>
          <w:sz w:val="24"/>
          <w:szCs w:val="24"/>
          <w:highlight w:val="none"/>
        </w:rPr>
        <w:t>管理办法</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lang w:val="en-US" w:eastAsia="zh-CN"/>
        </w:rPr>
        <w:t>洛浦县图书馆</w:t>
      </w:r>
      <w:r>
        <w:rPr>
          <w:rFonts w:hint="eastAsia" w:ascii="宋体" w:hAnsi="宋体" w:eastAsia="宋体" w:cs="宋体"/>
          <w:b w:val="0"/>
          <w:bCs w:val="0"/>
          <w:color w:val="auto"/>
          <w:sz w:val="24"/>
          <w:szCs w:val="24"/>
          <w:highlight w:val="none"/>
        </w:rPr>
        <w:t>收支业务</w:t>
      </w:r>
      <w:r>
        <w:rPr>
          <w:rFonts w:hint="eastAsia" w:ascii="宋体" w:hAnsi="宋体" w:eastAsia="宋体" w:cs="宋体"/>
          <w:color w:val="auto"/>
          <w:sz w:val="24"/>
          <w:szCs w:val="24"/>
          <w:highlight w:val="none"/>
        </w:rPr>
        <w:t>管理制度》《</w:t>
      </w:r>
      <w:r>
        <w:rPr>
          <w:rFonts w:hint="eastAsia" w:ascii="宋体" w:hAnsi="宋体" w:eastAsia="宋体" w:cs="宋体"/>
          <w:color w:val="auto"/>
          <w:sz w:val="24"/>
          <w:szCs w:val="24"/>
          <w:highlight w:val="none"/>
          <w:lang w:val="en-US" w:eastAsia="zh-CN"/>
        </w:rPr>
        <w:t>洛浦县图书馆</w:t>
      </w:r>
      <w:r>
        <w:rPr>
          <w:rFonts w:hint="eastAsia" w:ascii="宋体" w:hAnsi="宋体" w:eastAsia="宋体" w:cs="宋体"/>
          <w:color w:val="auto"/>
          <w:sz w:val="24"/>
          <w:szCs w:val="24"/>
          <w:highlight w:val="none"/>
        </w:rPr>
        <w:t>采购业务管理制度》《</w:t>
      </w:r>
      <w:r>
        <w:rPr>
          <w:rFonts w:hint="eastAsia" w:ascii="宋体" w:hAnsi="宋体" w:eastAsia="宋体" w:cs="宋体"/>
          <w:color w:val="auto"/>
          <w:sz w:val="24"/>
          <w:szCs w:val="24"/>
          <w:highlight w:val="none"/>
          <w:lang w:val="en-US" w:eastAsia="zh-CN"/>
        </w:rPr>
        <w:t>洛浦县图书馆</w:t>
      </w:r>
      <w:r>
        <w:rPr>
          <w:rFonts w:hint="eastAsia" w:ascii="宋体" w:hAnsi="宋体" w:eastAsia="宋体" w:cs="宋体"/>
          <w:color w:val="auto"/>
          <w:sz w:val="24"/>
          <w:szCs w:val="24"/>
          <w:highlight w:val="none"/>
        </w:rPr>
        <w:t>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p>
    <w:p w14:paraId="17F024C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②经现场查证项目合同书、验收评审表、财务支付凭证等资料齐全并及时归档。</w:t>
      </w:r>
    </w:p>
    <w:p w14:paraId="1737D43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③该项目是否存在调整，调整手续是否齐全，如未调整，则填“该项目实施过程中不存在调整事项”。</w:t>
      </w:r>
    </w:p>
    <w:p w14:paraId="06EEA8C2">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④该项目实施所需要的项目人员和场地设备均已落实到位，具体涉及内容包括：项目资金支出严格按照自治区、地区以及本单位资金管理办法执行，项目启动实施后，为了加快本项目的实施，成立了</w:t>
      </w:r>
      <w:r>
        <w:rPr>
          <w:rFonts w:hint="eastAsia" w:ascii="宋体" w:hAnsi="宋体" w:eastAsia="宋体" w:cs="宋体"/>
          <w:color w:val="auto"/>
          <w:sz w:val="24"/>
          <w:szCs w:val="24"/>
        </w:rPr>
        <w:t>2024年中央支持地方公共文化服务体系建设补助资金</w:t>
      </w:r>
      <w:r>
        <w:rPr>
          <w:rFonts w:hint="eastAsia" w:ascii="宋体" w:hAnsi="宋体" w:eastAsia="宋体" w:cs="宋体"/>
          <w:color w:val="auto"/>
          <w:sz w:val="24"/>
          <w:szCs w:val="24"/>
          <w:highlight w:val="none"/>
        </w:rPr>
        <w:t>项目工作领导小组，由</w:t>
      </w:r>
      <w:r>
        <w:rPr>
          <w:rFonts w:hint="eastAsia" w:ascii="宋体" w:hAnsi="宋体" w:eastAsia="宋体" w:cs="宋体"/>
          <w:color w:val="auto"/>
          <w:sz w:val="24"/>
          <w:szCs w:val="24"/>
          <w:highlight w:val="none"/>
          <w:lang w:val="en-US" w:eastAsia="zh-CN"/>
        </w:rPr>
        <w:t>排日迪古丽</w:t>
      </w:r>
      <w:r>
        <w:rPr>
          <w:rFonts w:hint="eastAsia" w:ascii="宋体" w:hAnsi="宋体" w:eastAsia="宋体" w:cs="宋体"/>
          <w:color w:val="auto"/>
          <w:sz w:val="24"/>
          <w:szCs w:val="24"/>
          <w:highlight w:val="none"/>
        </w:rPr>
        <w:t>任组长，负责项目的组织工作；</w:t>
      </w:r>
      <w:r>
        <w:rPr>
          <w:rFonts w:hint="eastAsia" w:ascii="宋体" w:hAnsi="宋体" w:eastAsia="宋体" w:cs="宋体"/>
          <w:color w:val="auto"/>
          <w:sz w:val="24"/>
          <w:szCs w:val="24"/>
          <w:highlight w:val="none"/>
          <w:lang w:val="en-US" w:eastAsia="zh-CN"/>
        </w:rPr>
        <w:t>再吐娜</w:t>
      </w:r>
      <w:r>
        <w:rPr>
          <w:rFonts w:hint="eastAsia" w:ascii="宋体" w:hAnsi="宋体" w:eastAsia="宋体" w:cs="宋体"/>
          <w:color w:val="auto"/>
          <w:sz w:val="24"/>
          <w:szCs w:val="24"/>
          <w:highlight w:val="none"/>
        </w:rPr>
        <w:t>任副组长，负责项目的实施工作；组员包括：</w:t>
      </w:r>
      <w:r>
        <w:rPr>
          <w:rFonts w:hint="eastAsia" w:ascii="宋体" w:hAnsi="宋体" w:eastAsia="宋体" w:cs="宋体"/>
          <w:color w:val="auto"/>
          <w:sz w:val="24"/>
          <w:szCs w:val="24"/>
          <w:highlight w:val="none"/>
          <w:lang w:val="en-US" w:eastAsia="zh-CN"/>
        </w:rPr>
        <w:t>苏玉</w:t>
      </w:r>
      <w:r>
        <w:rPr>
          <w:rFonts w:hint="eastAsia" w:ascii="宋体" w:hAnsi="宋体" w:eastAsia="宋体" w:cs="宋体"/>
          <w:color w:val="auto"/>
          <w:sz w:val="24"/>
          <w:szCs w:val="24"/>
          <w:highlight w:val="none"/>
        </w:rPr>
        <w:t>和</w:t>
      </w:r>
      <w:r>
        <w:rPr>
          <w:rFonts w:hint="eastAsia" w:ascii="宋体" w:hAnsi="宋体" w:eastAsia="宋体" w:cs="宋体"/>
          <w:color w:val="auto"/>
          <w:sz w:val="24"/>
          <w:szCs w:val="24"/>
          <w:highlight w:val="none"/>
          <w:lang w:val="en-US" w:eastAsia="zh-CN"/>
        </w:rPr>
        <w:t>马洪瑜</w:t>
      </w:r>
      <w:r>
        <w:rPr>
          <w:rFonts w:hint="eastAsia" w:ascii="宋体" w:hAnsi="宋体" w:eastAsia="宋体" w:cs="宋体"/>
          <w:color w:val="auto"/>
          <w:sz w:val="24"/>
          <w:szCs w:val="24"/>
          <w:highlight w:val="none"/>
        </w:rPr>
        <w:t>，主要负责项目监督管理、验收以及资金核拨等工作。根据评分标准，该指标不扣分，得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p>
    <w:p w14:paraId="79A0EF62">
      <w:pPr>
        <w:pStyle w:val="5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（三）项目产出情况</w:t>
      </w:r>
    </w:p>
    <w:p w14:paraId="390A7F4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项目产出类指标包括产出数量、产出质量、产出时效、产出成本四方面的内容，由</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个三级指标构成，权重分为</w:t>
      </w:r>
      <w:r>
        <w:rPr>
          <w:rFonts w:hint="eastAsia" w:ascii="宋体" w:hAnsi="宋体" w:eastAsia="宋体" w:cs="宋体"/>
          <w:color w:val="auto"/>
          <w:sz w:val="24"/>
          <w:szCs w:val="24"/>
          <w:highlight w:val="none"/>
          <w:lang w:val="en-US" w:eastAsia="zh-CN"/>
        </w:rPr>
        <w:t>36.51</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91.28</w:t>
      </w:r>
      <w:r>
        <w:rPr>
          <w:rFonts w:hint="eastAsia" w:ascii="宋体" w:hAnsi="宋体" w:eastAsia="宋体" w:cs="宋体"/>
          <w:color w:val="auto"/>
          <w:sz w:val="24"/>
          <w:szCs w:val="24"/>
          <w:highlight w:val="none"/>
        </w:rPr>
        <w:t>%。</w:t>
      </w:r>
    </w:p>
    <w:p w14:paraId="1D504816">
      <w:pPr>
        <w:pageBreakBefore w:val="0"/>
        <w:widowControl w:val="0"/>
        <w:numPr>
          <w:ilvl w:val="0"/>
          <w:numId w:val="6"/>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对于“产出数量”</w:t>
      </w:r>
    </w:p>
    <w:p w14:paraId="0C9103A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购置图书、期刊及报刊</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指标，预期指标值为</w:t>
      </w:r>
      <w:r>
        <w:rPr>
          <w:rFonts w:hint="eastAsia" w:ascii="宋体" w:hAnsi="宋体" w:eastAsia="宋体" w:cs="宋体"/>
          <w:color w:val="auto"/>
          <w:sz w:val="24"/>
          <w:szCs w:val="24"/>
          <w:highlight w:val="none"/>
          <w:lang w:val="en-US" w:eastAsia="zh-CN"/>
        </w:rPr>
        <w:t>1批</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1批</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p w14:paraId="56B9DD37">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bCs/>
          <w:color w:val="auto"/>
          <w:sz w:val="24"/>
          <w:szCs w:val="24"/>
          <w:highlight w:val="none"/>
        </w:rPr>
        <w:t>合计得</w:t>
      </w:r>
      <w:r>
        <w:rPr>
          <w:rFonts w:hint="eastAsia" w:ascii="宋体" w:hAnsi="宋体" w:eastAsia="宋体" w:cs="宋体"/>
          <w:b w:val="0"/>
          <w:bCs/>
          <w:color w:val="auto"/>
          <w:sz w:val="24"/>
          <w:szCs w:val="24"/>
          <w:highlight w:val="none"/>
          <w:lang w:val="en-US" w:eastAsia="zh-CN"/>
        </w:rPr>
        <w:t>10</w:t>
      </w:r>
      <w:r>
        <w:rPr>
          <w:rFonts w:hint="eastAsia" w:ascii="宋体" w:hAnsi="宋体" w:eastAsia="宋体" w:cs="宋体"/>
          <w:b w:val="0"/>
          <w:bCs/>
          <w:color w:val="auto"/>
          <w:sz w:val="24"/>
          <w:szCs w:val="24"/>
          <w:highlight w:val="none"/>
        </w:rPr>
        <w:t>分。</w:t>
      </w:r>
    </w:p>
    <w:p w14:paraId="29788B3F">
      <w:pPr>
        <w:pageBreakBefore w:val="0"/>
        <w:widowControl w:val="0"/>
        <w:numPr>
          <w:ilvl w:val="0"/>
          <w:numId w:val="6"/>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对于“产出质量”：</w:t>
      </w:r>
    </w:p>
    <w:p w14:paraId="1041186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资金使用合规率指标，预期指标值为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p w14:paraId="67C4159B">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bCs/>
          <w:color w:val="auto"/>
          <w:sz w:val="24"/>
          <w:szCs w:val="24"/>
          <w:highlight w:val="none"/>
        </w:rPr>
        <w:t>合计得</w:t>
      </w:r>
      <w:r>
        <w:rPr>
          <w:rFonts w:hint="eastAsia" w:ascii="宋体" w:hAnsi="宋体" w:eastAsia="宋体" w:cs="宋体"/>
          <w:b w:val="0"/>
          <w:bCs/>
          <w:color w:val="auto"/>
          <w:sz w:val="24"/>
          <w:szCs w:val="24"/>
          <w:highlight w:val="none"/>
          <w:lang w:val="en-US" w:eastAsia="zh-CN"/>
        </w:rPr>
        <w:t>10</w:t>
      </w:r>
      <w:r>
        <w:rPr>
          <w:rFonts w:hint="eastAsia" w:ascii="宋体" w:hAnsi="宋体" w:eastAsia="宋体" w:cs="宋体"/>
          <w:b w:val="0"/>
          <w:bCs/>
          <w:color w:val="auto"/>
          <w:sz w:val="24"/>
          <w:szCs w:val="24"/>
          <w:highlight w:val="none"/>
        </w:rPr>
        <w:t>分。</w:t>
      </w:r>
    </w:p>
    <w:p w14:paraId="05E7553F">
      <w:pPr>
        <w:pStyle w:val="10"/>
        <w:pageBreakBefore w:val="0"/>
        <w:widowControl w:val="0"/>
        <w:numPr>
          <w:ilvl w:val="0"/>
          <w:numId w:val="6"/>
        </w:numPr>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对于“产出时效”：</w:t>
      </w:r>
    </w:p>
    <w:p w14:paraId="0BDE5DB7">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项目完成时间指标，预期指标值为</w:t>
      </w:r>
      <w:r>
        <w:rPr>
          <w:rFonts w:hint="eastAsia" w:ascii="宋体" w:hAnsi="宋体" w:eastAsia="宋体" w:cs="宋体"/>
          <w:b w:val="0"/>
          <w:color w:val="auto"/>
          <w:sz w:val="24"/>
          <w:szCs w:val="24"/>
          <w:highlight w:val="none"/>
          <w:lang w:val="en-US" w:eastAsia="zh-CN"/>
        </w:rPr>
        <w:t>2024年12月</w:t>
      </w:r>
      <w:r>
        <w:rPr>
          <w:rFonts w:hint="eastAsia" w:ascii="宋体" w:hAnsi="宋体" w:eastAsia="宋体" w:cs="宋体"/>
          <w:b w:val="0"/>
          <w:color w:val="auto"/>
          <w:sz w:val="24"/>
          <w:szCs w:val="24"/>
          <w:highlight w:val="none"/>
        </w:rPr>
        <w:t>，实际完成值为</w:t>
      </w:r>
      <w:r>
        <w:rPr>
          <w:rFonts w:hint="eastAsia" w:ascii="宋体" w:hAnsi="宋体" w:eastAsia="宋体" w:cs="宋体"/>
          <w:b w:val="0"/>
          <w:color w:val="auto"/>
          <w:sz w:val="24"/>
          <w:szCs w:val="24"/>
          <w:highlight w:val="none"/>
          <w:lang w:val="en-US" w:eastAsia="zh-CN"/>
        </w:rPr>
        <w:t>2024年12月</w:t>
      </w:r>
      <w:r>
        <w:rPr>
          <w:rFonts w:hint="eastAsia" w:ascii="宋体" w:hAnsi="宋体" w:eastAsia="宋体" w:cs="宋体"/>
          <w:b w:val="0"/>
          <w:color w:val="auto"/>
          <w:sz w:val="24"/>
          <w:szCs w:val="24"/>
          <w:highlight w:val="none"/>
        </w:rPr>
        <w:t>，指标完成率为</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，与预期目标一致，根据评分标准，该指标不扣分，</w:t>
      </w:r>
      <w:r>
        <w:rPr>
          <w:rFonts w:hint="eastAsia" w:ascii="宋体" w:hAnsi="宋体" w:eastAsia="宋体" w:cs="宋体"/>
          <w:b w:val="0"/>
          <w:bCs/>
          <w:color w:val="auto"/>
          <w:sz w:val="24"/>
          <w:szCs w:val="24"/>
          <w:highlight w:val="none"/>
        </w:rPr>
        <w:t>得</w:t>
      </w:r>
      <w:r>
        <w:rPr>
          <w:rFonts w:hint="eastAsia" w:ascii="宋体" w:hAnsi="宋体" w:eastAsia="宋体" w:cs="宋体"/>
          <w:b w:val="0"/>
          <w:bCs/>
          <w:color w:val="auto"/>
          <w:sz w:val="24"/>
          <w:szCs w:val="24"/>
          <w:highlight w:val="none"/>
          <w:lang w:val="en-US" w:eastAsia="zh-CN"/>
        </w:rPr>
        <w:t>5</w:t>
      </w:r>
      <w:r>
        <w:rPr>
          <w:rFonts w:hint="eastAsia" w:ascii="宋体" w:hAnsi="宋体" w:eastAsia="宋体" w:cs="宋体"/>
          <w:b w:val="0"/>
          <w:bCs/>
          <w:color w:val="auto"/>
          <w:sz w:val="24"/>
          <w:szCs w:val="24"/>
          <w:highlight w:val="none"/>
        </w:rPr>
        <w:t>分</w:t>
      </w:r>
      <w:r>
        <w:rPr>
          <w:rFonts w:hint="eastAsia" w:ascii="宋体" w:hAnsi="宋体" w:eastAsia="宋体" w:cs="宋体"/>
          <w:b w:val="0"/>
          <w:color w:val="auto"/>
          <w:sz w:val="24"/>
          <w:szCs w:val="24"/>
          <w:highlight w:val="none"/>
        </w:rPr>
        <w:t>。</w:t>
      </w:r>
    </w:p>
    <w:p w14:paraId="4FA4E644">
      <w:pPr>
        <w:pStyle w:val="22"/>
        <w:pageBreakBefore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项目完成及时率</w:t>
      </w:r>
      <w:r>
        <w:rPr>
          <w:rFonts w:hint="eastAsia" w:ascii="宋体" w:hAnsi="宋体" w:eastAsia="宋体" w:cs="宋体"/>
          <w:b w:val="0"/>
          <w:color w:val="auto"/>
          <w:sz w:val="24"/>
          <w:szCs w:val="24"/>
          <w:highlight w:val="none"/>
        </w:rPr>
        <w:t>指标预期指标值为</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，实际完成值为</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，指标完成率为</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，与预期目标一致，根据评分标准，该指标不扣分，</w:t>
      </w:r>
      <w:r>
        <w:rPr>
          <w:rFonts w:hint="eastAsia" w:ascii="宋体" w:hAnsi="宋体" w:eastAsia="宋体" w:cs="宋体"/>
          <w:b w:val="0"/>
          <w:bCs/>
          <w:color w:val="auto"/>
          <w:sz w:val="24"/>
          <w:szCs w:val="24"/>
          <w:highlight w:val="none"/>
        </w:rPr>
        <w:t>得</w:t>
      </w:r>
      <w:r>
        <w:rPr>
          <w:rFonts w:hint="eastAsia" w:ascii="宋体" w:hAnsi="宋体" w:eastAsia="宋体" w:cs="宋体"/>
          <w:b w:val="0"/>
          <w:bCs/>
          <w:color w:val="auto"/>
          <w:sz w:val="24"/>
          <w:szCs w:val="24"/>
          <w:highlight w:val="none"/>
          <w:lang w:val="en-US" w:eastAsia="zh-CN"/>
        </w:rPr>
        <w:t>5</w:t>
      </w:r>
      <w:r>
        <w:rPr>
          <w:rFonts w:hint="eastAsia" w:ascii="宋体" w:hAnsi="宋体" w:eastAsia="宋体" w:cs="宋体"/>
          <w:b w:val="0"/>
          <w:bCs/>
          <w:color w:val="auto"/>
          <w:sz w:val="24"/>
          <w:szCs w:val="24"/>
          <w:highlight w:val="none"/>
        </w:rPr>
        <w:t>分</w:t>
      </w:r>
      <w:r>
        <w:rPr>
          <w:rFonts w:hint="eastAsia" w:ascii="宋体" w:hAnsi="宋体" w:eastAsia="宋体" w:cs="宋体"/>
          <w:b w:val="0"/>
          <w:color w:val="auto"/>
          <w:sz w:val="24"/>
          <w:szCs w:val="24"/>
          <w:highlight w:val="none"/>
        </w:rPr>
        <w:t>。</w:t>
      </w:r>
    </w:p>
    <w:p w14:paraId="1C71C970">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合计得</w:t>
      </w:r>
      <w:r>
        <w:rPr>
          <w:rFonts w:hint="eastAsia" w:ascii="宋体" w:hAnsi="宋体" w:eastAsia="宋体" w:cs="宋体"/>
          <w:b w:val="0"/>
          <w:bCs/>
          <w:color w:val="auto"/>
          <w:sz w:val="24"/>
          <w:szCs w:val="24"/>
          <w:highlight w:val="none"/>
          <w:lang w:val="en-US" w:eastAsia="zh-CN"/>
        </w:rPr>
        <w:t>10</w:t>
      </w:r>
      <w:r>
        <w:rPr>
          <w:rFonts w:hint="eastAsia" w:ascii="宋体" w:hAnsi="宋体" w:eastAsia="宋体" w:cs="宋体"/>
          <w:b w:val="0"/>
          <w:bCs/>
          <w:color w:val="auto"/>
          <w:sz w:val="24"/>
          <w:szCs w:val="24"/>
          <w:highlight w:val="none"/>
        </w:rPr>
        <w:t>分。</w:t>
      </w:r>
    </w:p>
    <w:p w14:paraId="5E2A3E46">
      <w:pPr>
        <w:pStyle w:val="4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（4）对于“产出成本”：</w:t>
      </w:r>
    </w:p>
    <w:p w14:paraId="0D79140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图书、期刊报刊等活动费用指标，预期指标值为</w:t>
      </w:r>
      <w:r>
        <w:rPr>
          <w:rFonts w:hint="eastAsia" w:ascii="宋体" w:hAnsi="宋体" w:eastAsia="宋体" w:cs="宋体"/>
          <w:color w:val="auto"/>
          <w:sz w:val="24"/>
          <w:szCs w:val="24"/>
          <w:highlight w:val="none"/>
          <w:lang w:val="en-US" w:eastAsia="zh-CN"/>
        </w:rPr>
        <w:t>3.63万元</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4.33万元，指标完成率为100%，</w:t>
      </w:r>
      <w:r>
        <w:rPr>
          <w:rFonts w:hint="eastAsia" w:ascii="宋体" w:hAnsi="宋体" w:eastAsia="宋体" w:cs="宋体"/>
          <w:color w:val="auto"/>
          <w:sz w:val="24"/>
          <w:szCs w:val="24"/>
          <w:highlight w:val="none"/>
        </w:rPr>
        <w:t>项目经费都能控制绩效目标范围内，根据评分标准，该指标扣</w:t>
      </w:r>
      <w:r>
        <w:rPr>
          <w:rFonts w:hint="eastAsia" w:ascii="宋体" w:hAnsi="宋体" w:eastAsia="宋体" w:cs="宋体"/>
          <w:color w:val="auto"/>
          <w:sz w:val="24"/>
          <w:szCs w:val="24"/>
          <w:highlight w:val="none"/>
          <w:lang w:val="en-US" w:eastAsia="zh-CN"/>
        </w:rPr>
        <w:t>0.48</w:t>
      </w:r>
      <w:r>
        <w:rPr>
          <w:rFonts w:hint="eastAsia" w:ascii="宋体" w:hAnsi="宋体" w:eastAsia="宋体" w:cs="宋体"/>
          <w:color w:val="auto"/>
          <w:sz w:val="24"/>
          <w:szCs w:val="24"/>
          <w:highlight w:val="none"/>
        </w:rPr>
        <w:t>分，得</w:t>
      </w:r>
      <w:r>
        <w:rPr>
          <w:rFonts w:hint="eastAsia" w:ascii="宋体" w:hAnsi="宋体" w:eastAsia="宋体" w:cs="宋体"/>
          <w:color w:val="auto"/>
          <w:sz w:val="24"/>
          <w:szCs w:val="24"/>
          <w:highlight w:val="none"/>
          <w:lang w:val="en-US" w:eastAsia="zh-CN"/>
        </w:rPr>
        <w:t>2.52</w:t>
      </w:r>
      <w:r>
        <w:rPr>
          <w:rFonts w:hint="eastAsia" w:ascii="宋体" w:hAnsi="宋体" w:eastAsia="宋体" w:cs="宋体"/>
          <w:color w:val="auto"/>
          <w:sz w:val="24"/>
          <w:szCs w:val="24"/>
          <w:highlight w:val="none"/>
        </w:rPr>
        <w:t>分。</w:t>
      </w:r>
    </w:p>
    <w:p w14:paraId="394549C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其他活动费用</w:t>
      </w:r>
      <w:r>
        <w:rPr>
          <w:rFonts w:hint="eastAsia" w:ascii="宋体" w:hAnsi="宋体" w:eastAsia="宋体" w:cs="宋体"/>
          <w:color w:val="auto"/>
          <w:sz w:val="24"/>
          <w:szCs w:val="24"/>
          <w:highlight w:val="none"/>
          <w:lang w:val="en-US" w:eastAsia="zh-CN"/>
        </w:rPr>
        <w:t>指标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预期指标值为</w:t>
      </w:r>
      <w:r>
        <w:rPr>
          <w:rFonts w:hint="eastAsia" w:ascii="宋体" w:hAnsi="宋体" w:eastAsia="宋体" w:cs="宋体"/>
          <w:color w:val="auto"/>
          <w:sz w:val="24"/>
          <w:szCs w:val="24"/>
          <w:highlight w:val="none"/>
          <w:lang w:val="en-US" w:eastAsia="zh-CN"/>
        </w:rPr>
        <w:t>8.15万元</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8.15万元，指标完成率为100%，</w:t>
      </w:r>
      <w:r>
        <w:rPr>
          <w:rFonts w:hint="eastAsia" w:ascii="宋体" w:hAnsi="宋体" w:eastAsia="宋体" w:cs="宋体"/>
          <w:color w:val="auto"/>
          <w:sz w:val="24"/>
          <w:szCs w:val="24"/>
          <w:highlight w:val="none"/>
        </w:rPr>
        <w:t>项目经费都能控制绩效目标范围内，根据评分标准，该指标不扣分，得</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分。</w:t>
      </w:r>
    </w:p>
    <w:p w14:paraId="0C2BB84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图书馆维修费指标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预期指标值为</w:t>
      </w:r>
      <w:r>
        <w:rPr>
          <w:rFonts w:hint="eastAsia" w:ascii="宋体" w:hAnsi="宋体" w:eastAsia="宋体" w:cs="宋体"/>
          <w:color w:val="auto"/>
          <w:sz w:val="24"/>
          <w:szCs w:val="24"/>
          <w:highlight w:val="none"/>
          <w:lang w:val="en-US" w:eastAsia="zh-CN"/>
        </w:rPr>
        <w:t>4.33万元</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3.63万元，</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94%</w:t>
      </w:r>
      <w:r>
        <w:rPr>
          <w:rFonts w:hint="eastAsia" w:ascii="宋体" w:hAnsi="宋体" w:eastAsia="宋体" w:cs="宋体"/>
          <w:color w:val="auto"/>
          <w:sz w:val="24"/>
          <w:szCs w:val="24"/>
          <w:highlight w:val="none"/>
        </w:rPr>
        <w:t>，根据评分标准，得</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分。</w:t>
      </w:r>
    </w:p>
    <w:p w14:paraId="67962022">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bCs/>
          <w:color w:val="auto"/>
          <w:sz w:val="24"/>
          <w:szCs w:val="24"/>
          <w:highlight w:val="none"/>
        </w:rPr>
        <w:t>合计得</w:t>
      </w:r>
      <w:r>
        <w:rPr>
          <w:rFonts w:hint="eastAsia" w:ascii="宋体" w:hAnsi="宋体" w:eastAsia="宋体" w:cs="宋体"/>
          <w:b w:val="0"/>
          <w:bCs/>
          <w:color w:val="auto"/>
          <w:sz w:val="24"/>
          <w:szCs w:val="24"/>
          <w:highlight w:val="none"/>
          <w:lang w:val="en-US" w:eastAsia="zh-CN"/>
        </w:rPr>
        <w:t>6.52</w:t>
      </w:r>
      <w:r>
        <w:rPr>
          <w:rFonts w:hint="eastAsia" w:ascii="宋体" w:hAnsi="宋体" w:eastAsia="宋体" w:cs="宋体"/>
          <w:b w:val="0"/>
          <w:bCs/>
          <w:color w:val="auto"/>
          <w:sz w:val="24"/>
          <w:szCs w:val="24"/>
          <w:highlight w:val="none"/>
        </w:rPr>
        <w:t>分。</w:t>
      </w:r>
    </w:p>
    <w:p w14:paraId="2F4FB325">
      <w:pPr>
        <w:pStyle w:val="5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（四）项目效益情况</w:t>
      </w:r>
    </w:p>
    <w:p w14:paraId="3F7D3AC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项目效益类指标包括项目效益1个方面的内容，由</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个三级指标构成，权重分为</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t>分，实际得</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t>分，得分率为100%。</w:t>
      </w:r>
    </w:p>
    <w:p w14:paraId="14B4A19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（1）对于“社会效益指标”：</w:t>
      </w:r>
    </w:p>
    <w:p w14:paraId="7316DC4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公共文化服务体系建设指标，该指标预期指标值为有效促进，实际完成值为有效促进，指标完成率为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，与预期指标一致，根据评分标准，该指标不扣分，得</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分。</w:t>
      </w:r>
    </w:p>
    <w:p w14:paraId="31E8D8AE">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）满意度指标分析</w:t>
      </w:r>
    </w:p>
    <w:p w14:paraId="4CF00517">
      <w:pPr>
        <w:pStyle w:val="4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对于“满意度指标：受益人员满意度，该指标预期指标值为</w:t>
      </w:r>
      <w:r>
        <w:rPr>
          <w:rFonts w:hint="eastAsia" w:ascii="宋体" w:hAnsi="宋体" w:eastAsia="宋体" w:cs="宋体"/>
          <w:color w:val="auto"/>
          <w:sz w:val="24"/>
          <w:szCs w:val="24"/>
          <w:lang w:val="en-US" w:eastAsia="zh-CN"/>
        </w:rPr>
        <w:t>95%</w:t>
      </w:r>
      <w:r>
        <w:rPr>
          <w:rFonts w:hint="eastAsia" w:ascii="宋体" w:hAnsi="宋体" w:eastAsia="宋体" w:cs="宋体"/>
          <w:color w:val="auto"/>
          <w:sz w:val="24"/>
          <w:szCs w:val="24"/>
        </w:rPr>
        <w:t>，实际完成值为</w:t>
      </w:r>
      <w:r>
        <w:rPr>
          <w:rFonts w:hint="eastAsia" w:ascii="宋体" w:hAnsi="宋体" w:eastAsia="宋体" w:cs="宋体"/>
          <w:color w:val="auto"/>
          <w:sz w:val="24"/>
          <w:szCs w:val="24"/>
          <w:lang w:val="en-US" w:eastAsia="zh-CN"/>
        </w:rPr>
        <w:t>95%</w:t>
      </w:r>
      <w:r>
        <w:rPr>
          <w:rFonts w:hint="eastAsia" w:ascii="宋体" w:hAnsi="宋体" w:eastAsia="宋体" w:cs="宋体"/>
          <w:color w:val="auto"/>
          <w:sz w:val="24"/>
          <w:szCs w:val="24"/>
        </w:rPr>
        <w:t>，指标完成率为</w:t>
      </w:r>
      <w:r>
        <w:rPr>
          <w:rFonts w:hint="eastAsia" w:ascii="宋体" w:hAnsi="宋体" w:eastAsia="宋体" w:cs="宋体"/>
          <w:color w:val="auto"/>
          <w:sz w:val="24"/>
          <w:szCs w:val="24"/>
          <w:lang w:val="en-US" w:eastAsia="zh-CN"/>
        </w:rPr>
        <w:t>95%</w:t>
      </w:r>
      <w:r>
        <w:rPr>
          <w:rFonts w:hint="eastAsia" w:ascii="宋体" w:hAnsi="宋体" w:eastAsia="宋体" w:cs="宋体"/>
          <w:color w:val="auto"/>
          <w:sz w:val="24"/>
          <w:szCs w:val="24"/>
        </w:rPr>
        <w:t>，与预期目标一致，根据评分标准，该指标不扣分,得10分。</w:t>
      </w:r>
      <w:bookmarkEnd w:id="15"/>
    </w:p>
    <w:p w14:paraId="7AA99395">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p>
    <w:p w14:paraId="6EE92773">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五、预算执行进度与绩效指标偏差情况</w:t>
      </w:r>
    </w:p>
    <w:p w14:paraId="4FF94577">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本项目年初预算资金总额为</w:t>
      </w:r>
      <w:r>
        <w:rPr>
          <w:rFonts w:hint="eastAsia" w:ascii="宋体" w:hAnsi="宋体" w:eastAsia="宋体" w:cs="宋体"/>
          <w:color w:val="auto"/>
          <w:sz w:val="24"/>
          <w:szCs w:val="24"/>
          <w:lang w:val="en-US" w:eastAsia="zh-CN"/>
        </w:rPr>
        <w:t>16.11</w:t>
      </w:r>
      <w:r>
        <w:rPr>
          <w:rFonts w:hint="eastAsia" w:ascii="宋体" w:hAnsi="宋体" w:eastAsia="宋体" w:cs="宋体"/>
          <w:color w:val="auto"/>
          <w:sz w:val="24"/>
          <w:szCs w:val="24"/>
        </w:rPr>
        <w:t>万元，全年预算数为</w:t>
      </w:r>
      <w:r>
        <w:rPr>
          <w:rFonts w:hint="eastAsia" w:ascii="宋体" w:hAnsi="宋体" w:eastAsia="宋体" w:cs="宋体"/>
          <w:color w:val="auto"/>
          <w:sz w:val="24"/>
          <w:szCs w:val="24"/>
          <w:lang w:val="en-US" w:eastAsia="zh-CN"/>
        </w:rPr>
        <w:t>16.11</w:t>
      </w:r>
      <w:r>
        <w:rPr>
          <w:rFonts w:hint="eastAsia" w:ascii="宋体" w:hAnsi="宋体" w:eastAsia="宋体" w:cs="宋体"/>
          <w:color w:val="auto"/>
          <w:sz w:val="24"/>
          <w:szCs w:val="24"/>
        </w:rPr>
        <w:t>万元，全年执行数为</w:t>
      </w:r>
      <w:r>
        <w:rPr>
          <w:rFonts w:hint="eastAsia" w:ascii="宋体" w:hAnsi="宋体" w:eastAsia="宋体" w:cs="宋体"/>
          <w:color w:val="auto"/>
          <w:sz w:val="24"/>
          <w:szCs w:val="24"/>
          <w:lang w:val="en-US" w:eastAsia="zh-CN"/>
        </w:rPr>
        <w:t>16.11</w:t>
      </w:r>
      <w:r>
        <w:rPr>
          <w:rFonts w:hint="eastAsia" w:ascii="宋体" w:hAnsi="宋体" w:eastAsia="宋体" w:cs="宋体"/>
          <w:color w:val="auto"/>
          <w:sz w:val="24"/>
          <w:szCs w:val="24"/>
        </w:rPr>
        <w:t>万元，预算执行率为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241EBE20">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本项目共设置三级指标数量</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个，满分指标数量</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个，扣分指标数量</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个，经分析计算所有三级指标完成率得出，本项目总体完成率为</w:t>
      </w:r>
      <w:r>
        <w:rPr>
          <w:rFonts w:hint="eastAsia" w:ascii="宋体" w:hAnsi="宋体" w:eastAsia="宋体" w:cs="宋体"/>
          <w:color w:val="auto"/>
          <w:sz w:val="24"/>
          <w:szCs w:val="24"/>
          <w:lang w:val="en-US" w:eastAsia="zh-CN"/>
        </w:rPr>
        <w:t>88.88</w:t>
      </w:r>
      <w:r>
        <w:rPr>
          <w:rFonts w:hint="eastAsia" w:ascii="宋体" w:hAnsi="宋体" w:eastAsia="宋体" w:cs="宋体"/>
          <w:color w:val="auto"/>
          <w:sz w:val="24"/>
          <w:szCs w:val="24"/>
        </w:rPr>
        <w:t>%。</w:t>
      </w:r>
    </w:p>
    <w:p w14:paraId="29E957AF">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综上所述本项目预算执行率与总体完成率之间的偏差为</w:t>
      </w:r>
      <w:r>
        <w:rPr>
          <w:rFonts w:hint="eastAsia" w:ascii="宋体" w:hAnsi="宋体" w:eastAsia="宋体" w:cs="宋体"/>
          <w:color w:val="auto"/>
          <w:sz w:val="24"/>
          <w:szCs w:val="24"/>
          <w:lang w:val="en-US" w:eastAsia="zh-CN"/>
        </w:rPr>
        <w:t>22.22</w:t>
      </w:r>
      <w:r>
        <w:rPr>
          <w:rFonts w:hint="eastAsia" w:ascii="宋体" w:hAnsi="宋体" w:eastAsia="宋体" w:cs="宋体"/>
          <w:color w:val="auto"/>
          <w:sz w:val="24"/>
          <w:szCs w:val="24"/>
        </w:rPr>
        <w:t>%。</w:t>
      </w:r>
    </w:p>
    <w:p w14:paraId="1EC0EA22">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bookmarkStart w:id="16" w:name="_Toc68364673"/>
    </w:p>
    <w:p w14:paraId="31DF4CD3">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六、主要经验及做法、存在的问题及原因分析</w:t>
      </w:r>
    </w:p>
    <w:p w14:paraId="18321318">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auto"/>
          <w:sz w:val="24"/>
          <w:szCs w:val="24"/>
        </w:rPr>
      </w:pPr>
      <w:r>
        <w:rPr>
          <w:rFonts w:hint="eastAsia" w:ascii="宋体" w:hAnsi="宋体" w:eastAsia="宋体" w:cs="宋体"/>
          <w:color w:val="auto"/>
          <w:sz w:val="24"/>
          <w:szCs w:val="24"/>
        </w:rPr>
        <w:t>（一）主要经验及做法</w:t>
      </w:r>
      <w:bookmarkEnd w:id="16"/>
    </w:p>
    <w:p w14:paraId="0E886E84">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一是本项目能够严格按照《项目实施方案》执行，项目执行情况较好。</w:t>
      </w:r>
    </w:p>
    <w:p w14:paraId="13EB31B1">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二是加强组织领导，本项目绩效评价工作，有主要领导亲自挂帅，分管领导具体负责，从项目到资金，均能够很好的执行。</w:t>
      </w:r>
    </w:p>
    <w:p w14:paraId="3E8AF51D">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三是加强沟通协调，我单位及时向领导汇报项目建设进度，加强与施工单位的沟通，确保项目按期完工。</w:t>
      </w:r>
    </w:p>
    <w:p w14:paraId="243F455C">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lang w:val="en-US" w:eastAsia="zh-CN"/>
        </w:rPr>
      </w:pPr>
      <w:bookmarkStart w:id="17" w:name="_Toc68364674"/>
      <w:r>
        <w:rPr>
          <w:rFonts w:hint="eastAsia" w:ascii="宋体" w:hAnsi="宋体" w:eastAsia="宋体" w:cs="宋体"/>
          <w:color w:val="auto"/>
          <w:sz w:val="24"/>
          <w:szCs w:val="24"/>
        </w:rPr>
        <w:t>（二）存在问题及原因分析</w:t>
      </w:r>
      <w:bookmarkEnd w:id="17"/>
    </w:p>
    <w:p w14:paraId="0341A971">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auto"/>
          <w:sz w:val="24"/>
          <w:szCs w:val="24"/>
          <w:lang w:val="en-US" w:eastAsia="zh-CN"/>
        </w:rPr>
      </w:pPr>
      <w:bookmarkStart w:id="18" w:name="_Toc68364675"/>
      <w:r>
        <w:rPr>
          <w:rFonts w:hint="eastAsia" w:ascii="宋体" w:hAnsi="宋体" w:eastAsia="宋体" w:cs="宋体"/>
          <w:b w:val="0"/>
          <w:bCs w:val="0"/>
          <w:color w:val="auto"/>
          <w:sz w:val="24"/>
          <w:szCs w:val="24"/>
          <w:lang w:val="en-US" w:eastAsia="zh-CN"/>
        </w:rPr>
        <w:t>1、部门沟通协调不足，监督责任不明确。</w:t>
      </w:r>
    </w:p>
    <w:p w14:paraId="4D31EE03">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2、项目资金监督和管理需进一步完善。</w:t>
      </w:r>
    </w:p>
    <w:p w14:paraId="0A594FFB">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3、现场评价的工作量少，后续效益评价具体措施和方法较少。</w:t>
      </w:r>
    </w:p>
    <w:p w14:paraId="4CFDE976">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p>
    <w:p w14:paraId="3898A3AA">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val="0"/>
          <w:bCs w:val="0"/>
          <w:color w:val="auto"/>
          <w:sz w:val="24"/>
          <w:szCs w:val="24"/>
        </w:rPr>
      </w:pPr>
      <w:r>
        <w:rPr>
          <w:rFonts w:hint="eastAsia" w:ascii="黑体" w:hAnsi="黑体" w:eastAsia="黑体" w:cs="黑体"/>
          <w:color w:val="auto"/>
          <w:sz w:val="24"/>
          <w:szCs w:val="24"/>
        </w:rPr>
        <w:t>七、有关建议</w:t>
      </w:r>
      <w:bookmarkEnd w:id="18"/>
    </w:p>
    <w:p w14:paraId="6FBE9953">
      <w:pPr>
        <w:pStyle w:val="2"/>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bookmarkStart w:id="19" w:name="_Toc68364676"/>
      <w:r>
        <w:rPr>
          <w:rFonts w:hint="eastAsia" w:ascii="宋体" w:hAnsi="宋体" w:eastAsia="宋体" w:cs="宋体"/>
          <w:color w:val="auto"/>
          <w:sz w:val="24"/>
          <w:szCs w:val="24"/>
        </w:rPr>
        <w:t>1、加强财务管理，严格财务审核。加强单位财务管理，健全单位财务管理制度体系，规范单位财务行为。在费用报账支付时，按照预算规定的费用项目和用途进行资金使用审核、财务严格核算，杜绝超支现象的发生。</w:t>
      </w:r>
    </w:p>
    <w:p w14:paraId="4FBA09DD">
      <w:pPr>
        <w:pStyle w:val="2"/>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2、合理安排会计岗位，适当增加会计人员，增加业务知识培训，加强决算工作与账务处理工作衔接。</w:t>
      </w:r>
    </w:p>
    <w:p w14:paraId="6D05650B">
      <w:pPr>
        <w:pStyle w:val="2"/>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3、对相关人员加强培训，特别是针对《中华人民共和国预算法》、《行政事业单位会计制度》等学习培训，规范部门预算收支核算，切实提高部门预算收支管理水平。</w:t>
      </w:r>
    </w:p>
    <w:p w14:paraId="667188DF">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p>
    <w:p w14:paraId="5213B898">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八、其他需要说明的问题</w:t>
      </w:r>
      <w:bookmarkEnd w:id="19"/>
    </w:p>
    <w:p w14:paraId="59304813">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sz w:val="24"/>
          <w:szCs w:val="24"/>
        </w:rPr>
        <w:t>我单位对上述项目支出绩效评价报告内反映内容的真实性、完整性负责，</w:t>
      </w:r>
      <w:r>
        <w:rPr>
          <w:rFonts w:hint="eastAsia" w:ascii="宋体" w:hAnsi="宋体" w:eastAsia="宋体" w:cs="宋体"/>
          <w:color w:val="auto"/>
          <w:sz w:val="24"/>
          <w:szCs w:val="24"/>
          <w:lang w:val="en-US" w:eastAsia="zh-CN"/>
        </w:rPr>
        <w:t>愿</w:t>
      </w:r>
      <w:r>
        <w:rPr>
          <w:rFonts w:hint="eastAsia" w:ascii="宋体" w:hAnsi="宋体" w:eastAsia="宋体" w:cs="宋体"/>
          <w:color w:val="auto"/>
          <w:sz w:val="24"/>
          <w:szCs w:val="24"/>
        </w:rPr>
        <w:t>接受上级部门及社会公众监督。</w:t>
      </w:r>
    </w:p>
    <w:p w14:paraId="22369093">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附件1：2024年中央补助地方公共文化服务体系建设资金项目绩效评价指标体系</w:t>
      </w:r>
    </w:p>
    <w:p w14:paraId="67096979">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附件2：2024年中央补助地方公共文化服务体系建设资金项目综合得分表</w:t>
      </w:r>
    </w:p>
    <w:p w14:paraId="13E7C474">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sectPr>
          <w:footerReference r:id="rId7" w:type="default"/>
          <w:pgSz w:w="11906" w:h="16838"/>
          <w:pgMar w:top="1985" w:right="1531" w:bottom="1701" w:left="1531" w:header="851" w:footer="992" w:gutter="0"/>
          <w:pgNumType w:fmt="decimal" w:start="1"/>
          <w:cols w:space="720" w:num="1"/>
          <w:docGrid w:type="linesAndChars" w:linePitch="386" w:charSpace="0"/>
        </w:sectPr>
      </w:pPr>
      <w:r>
        <w:rPr>
          <w:rFonts w:hint="eastAsia" w:ascii="宋体" w:hAnsi="宋体" w:eastAsia="宋体" w:cs="宋体"/>
          <w:color w:val="auto"/>
          <w:kern w:val="0"/>
          <w:sz w:val="24"/>
          <w:szCs w:val="24"/>
          <w:lang w:val="en-US" w:eastAsia="zh-CN" w:bidi="ar-SA"/>
        </w:rPr>
        <w:t>附件3：满意度调查问分析情况</w:t>
      </w:r>
    </w:p>
    <w:tbl>
      <w:tblPr>
        <w:tblStyle w:val="24"/>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22"/>
        <w:gridCol w:w="587"/>
        <w:gridCol w:w="522"/>
        <w:gridCol w:w="587"/>
        <w:gridCol w:w="816"/>
        <w:gridCol w:w="626"/>
        <w:gridCol w:w="2399"/>
        <w:gridCol w:w="1101"/>
        <w:gridCol w:w="4211"/>
        <w:gridCol w:w="1105"/>
        <w:gridCol w:w="796"/>
      </w:tblGrid>
      <w:tr w14:paraId="1EF00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70" w:hRule="atLeast"/>
        </w:trPr>
        <w:tc>
          <w:tcPr>
            <w:tcW w:w="13272" w:type="dxa"/>
            <w:gridSpan w:val="11"/>
            <w:tcBorders>
              <w:top w:val="nil"/>
              <w:left w:val="nil"/>
              <w:bottom w:val="nil"/>
              <w:right w:val="nil"/>
            </w:tcBorders>
            <w:noWrap w:val="0"/>
            <w:vAlign w:val="center"/>
          </w:tcPr>
          <w:p w14:paraId="52422CB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rPr>
              <w:t>附件1：</w:t>
            </w:r>
          </w:p>
        </w:tc>
      </w:tr>
      <w:tr w14:paraId="3388B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3272" w:type="dxa"/>
            <w:gridSpan w:val="11"/>
            <w:tcBorders>
              <w:top w:val="nil"/>
              <w:left w:val="nil"/>
              <w:bottom w:val="nil"/>
              <w:right w:val="nil"/>
            </w:tcBorders>
            <w:noWrap w:val="0"/>
            <w:vAlign w:val="center"/>
          </w:tcPr>
          <w:p w14:paraId="31B7D3D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rPr>
              <w:t>2024年中央补助地方公共文化服务体系建设资金项目</w:t>
            </w:r>
            <w:r>
              <w:rPr>
                <w:rStyle w:val="64"/>
                <w:rFonts w:hint="eastAsia" w:ascii="宋体" w:hAnsi="宋体" w:eastAsia="宋体" w:cs="宋体"/>
                <w:sz w:val="24"/>
                <w:szCs w:val="24"/>
                <w:lang w:val="en-US" w:eastAsia="zh-CN"/>
              </w:rPr>
              <w:t>绩效评价指标体系综合评分表</w:t>
            </w:r>
          </w:p>
        </w:tc>
      </w:tr>
      <w:tr w14:paraId="5B9299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2" w:type="dxa"/>
            <w:tcBorders>
              <w:top w:val="single" w:color="auto" w:sz="8" w:space="0"/>
              <w:left w:val="single" w:color="auto" w:sz="8" w:space="0"/>
              <w:bottom w:val="single" w:color="auto" w:sz="8" w:space="0"/>
              <w:right w:val="single" w:color="auto" w:sz="8" w:space="0"/>
            </w:tcBorders>
            <w:noWrap w:val="0"/>
            <w:vAlign w:val="center"/>
          </w:tcPr>
          <w:p w14:paraId="159168B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rPr>
              <w:t>一级指标</w:t>
            </w:r>
          </w:p>
        </w:tc>
        <w:tc>
          <w:tcPr>
            <w:tcW w:w="587" w:type="dxa"/>
            <w:tcBorders>
              <w:top w:val="single" w:color="auto" w:sz="8" w:space="0"/>
              <w:left w:val="nil"/>
              <w:bottom w:val="single" w:color="auto" w:sz="8" w:space="0"/>
              <w:right w:val="single" w:color="auto" w:sz="8" w:space="0"/>
            </w:tcBorders>
            <w:noWrap w:val="0"/>
            <w:vAlign w:val="center"/>
          </w:tcPr>
          <w:p w14:paraId="426CAE1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rPr>
              <w:t>分值</w:t>
            </w:r>
          </w:p>
        </w:tc>
        <w:tc>
          <w:tcPr>
            <w:tcW w:w="522" w:type="dxa"/>
            <w:tcBorders>
              <w:top w:val="single" w:color="auto" w:sz="8" w:space="0"/>
              <w:left w:val="nil"/>
              <w:bottom w:val="single" w:color="auto" w:sz="8" w:space="0"/>
              <w:right w:val="single" w:color="auto" w:sz="8" w:space="0"/>
            </w:tcBorders>
            <w:noWrap w:val="0"/>
            <w:vAlign w:val="center"/>
          </w:tcPr>
          <w:p w14:paraId="3BD0572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rPr>
              <w:t>二级指标</w:t>
            </w:r>
          </w:p>
        </w:tc>
        <w:tc>
          <w:tcPr>
            <w:tcW w:w="587" w:type="dxa"/>
            <w:tcBorders>
              <w:top w:val="single" w:color="auto" w:sz="8" w:space="0"/>
              <w:left w:val="nil"/>
              <w:bottom w:val="single" w:color="auto" w:sz="8" w:space="0"/>
              <w:right w:val="single" w:color="auto" w:sz="8" w:space="0"/>
            </w:tcBorders>
            <w:noWrap w:val="0"/>
            <w:vAlign w:val="center"/>
          </w:tcPr>
          <w:p w14:paraId="496AE03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rPr>
              <w:t>分值</w:t>
            </w:r>
          </w:p>
        </w:tc>
        <w:tc>
          <w:tcPr>
            <w:tcW w:w="816" w:type="dxa"/>
            <w:tcBorders>
              <w:top w:val="single" w:color="auto" w:sz="8" w:space="0"/>
              <w:left w:val="nil"/>
              <w:bottom w:val="single" w:color="auto" w:sz="8" w:space="0"/>
              <w:right w:val="single" w:color="auto" w:sz="8" w:space="0"/>
            </w:tcBorders>
            <w:noWrap w:val="0"/>
            <w:vAlign w:val="center"/>
          </w:tcPr>
          <w:p w14:paraId="02A51E0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rPr>
              <w:t>三级指标</w:t>
            </w:r>
          </w:p>
        </w:tc>
        <w:tc>
          <w:tcPr>
            <w:tcW w:w="626" w:type="dxa"/>
            <w:tcBorders>
              <w:top w:val="single" w:color="auto" w:sz="8" w:space="0"/>
              <w:left w:val="nil"/>
              <w:bottom w:val="single" w:color="auto" w:sz="8" w:space="0"/>
              <w:right w:val="single" w:color="auto" w:sz="8" w:space="0"/>
            </w:tcBorders>
            <w:noWrap w:val="0"/>
            <w:vAlign w:val="center"/>
          </w:tcPr>
          <w:p w14:paraId="28DF24C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rPr>
              <w:t>分值</w:t>
            </w:r>
          </w:p>
        </w:tc>
        <w:tc>
          <w:tcPr>
            <w:tcW w:w="2399" w:type="dxa"/>
            <w:tcBorders>
              <w:top w:val="single" w:color="auto" w:sz="8" w:space="0"/>
              <w:left w:val="nil"/>
              <w:bottom w:val="single" w:color="auto" w:sz="8" w:space="0"/>
              <w:right w:val="single" w:color="auto" w:sz="8" w:space="0"/>
            </w:tcBorders>
            <w:noWrap w:val="0"/>
            <w:vAlign w:val="center"/>
          </w:tcPr>
          <w:p w14:paraId="289BB4C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rPr>
              <w:t>指标解释</w:t>
            </w:r>
          </w:p>
        </w:tc>
        <w:tc>
          <w:tcPr>
            <w:tcW w:w="1101" w:type="dxa"/>
            <w:tcBorders>
              <w:top w:val="single" w:color="auto" w:sz="8" w:space="0"/>
              <w:left w:val="nil"/>
              <w:bottom w:val="single" w:color="auto" w:sz="8" w:space="0"/>
              <w:right w:val="single" w:color="auto" w:sz="8" w:space="0"/>
            </w:tcBorders>
            <w:noWrap w:val="0"/>
            <w:vAlign w:val="center"/>
          </w:tcPr>
          <w:p w14:paraId="56570CD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rPr>
              <w:t>标杆值</w:t>
            </w:r>
          </w:p>
        </w:tc>
        <w:tc>
          <w:tcPr>
            <w:tcW w:w="4211" w:type="dxa"/>
            <w:tcBorders>
              <w:top w:val="single" w:color="auto" w:sz="8" w:space="0"/>
              <w:left w:val="nil"/>
              <w:bottom w:val="single" w:color="auto" w:sz="8" w:space="0"/>
              <w:right w:val="single" w:color="auto" w:sz="8" w:space="0"/>
            </w:tcBorders>
            <w:noWrap w:val="0"/>
            <w:vAlign w:val="center"/>
          </w:tcPr>
          <w:p w14:paraId="308A31F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rPr>
              <w:t>评分标准</w:t>
            </w:r>
          </w:p>
        </w:tc>
        <w:tc>
          <w:tcPr>
            <w:tcW w:w="1105" w:type="dxa"/>
            <w:tcBorders>
              <w:top w:val="single" w:color="auto" w:sz="8" w:space="0"/>
              <w:left w:val="nil"/>
              <w:bottom w:val="single" w:color="auto" w:sz="8" w:space="0"/>
              <w:right w:val="single" w:color="auto" w:sz="8" w:space="0"/>
            </w:tcBorders>
            <w:noWrap w:val="0"/>
            <w:vAlign w:val="center"/>
          </w:tcPr>
          <w:p w14:paraId="2EB6A8C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rPr>
              <w:t>完成值</w:t>
            </w:r>
          </w:p>
        </w:tc>
        <w:tc>
          <w:tcPr>
            <w:tcW w:w="796" w:type="dxa"/>
            <w:tcBorders>
              <w:top w:val="single" w:color="auto" w:sz="8" w:space="0"/>
              <w:left w:val="nil"/>
              <w:bottom w:val="single" w:color="auto" w:sz="8" w:space="0"/>
              <w:right w:val="single" w:color="auto" w:sz="8" w:space="0"/>
            </w:tcBorders>
            <w:noWrap w:val="0"/>
            <w:vAlign w:val="center"/>
          </w:tcPr>
          <w:p w14:paraId="59CAC50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rPr>
              <w:t>得分</w:t>
            </w:r>
          </w:p>
        </w:tc>
      </w:tr>
      <w:tr w14:paraId="0B86A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4" w:hRule="atLeast"/>
        </w:trPr>
        <w:tc>
          <w:tcPr>
            <w:tcW w:w="522" w:type="dxa"/>
            <w:vMerge w:val="restart"/>
            <w:tcBorders>
              <w:top w:val="nil"/>
              <w:left w:val="single" w:color="auto" w:sz="8" w:space="0"/>
              <w:bottom w:val="single" w:color="auto" w:sz="8" w:space="0"/>
              <w:right w:val="single" w:color="auto" w:sz="8" w:space="0"/>
            </w:tcBorders>
            <w:noWrap w:val="0"/>
            <w:vAlign w:val="center"/>
          </w:tcPr>
          <w:p w14:paraId="2EFB26B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项目决策</w:t>
            </w:r>
          </w:p>
        </w:tc>
        <w:tc>
          <w:tcPr>
            <w:tcW w:w="587" w:type="dxa"/>
            <w:vMerge w:val="restart"/>
            <w:tcBorders>
              <w:top w:val="nil"/>
              <w:left w:val="nil"/>
              <w:bottom w:val="single" w:color="auto" w:sz="8" w:space="0"/>
              <w:right w:val="single" w:color="auto" w:sz="8" w:space="0"/>
            </w:tcBorders>
            <w:noWrap w:val="0"/>
            <w:vAlign w:val="center"/>
          </w:tcPr>
          <w:p w14:paraId="4083067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23</w:t>
            </w:r>
          </w:p>
        </w:tc>
        <w:tc>
          <w:tcPr>
            <w:tcW w:w="522" w:type="dxa"/>
            <w:vMerge w:val="restart"/>
            <w:tcBorders>
              <w:top w:val="nil"/>
              <w:left w:val="nil"/>
              <w:bottom w:val="single" w:color="auto" w:sz="8" w:space="0"/>
              <w:right w:val="single" w:color="auto" w:sz="8" w:space="0"/>
            </w:tcBorders>
            <w:noWrap w:val="0"/>
            <w:vAlign w:val="center"/>
          </w:tcPr>
          <w:p w14:paraId="4EEAF17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项目立项</w:t>
            </w:r>
          </w:p>
        </w:tc>
        <w:tc>
          <w:tcPr>
            <w:tcW w:w="587" w:type="dxa"/>
            <w:vMerge w:val="restart"/>
            <w:tcBorders>
              <w:top w:val="nil"/>
              <w:left w:val="nil"/>
              <w:bottom w:val="single" w:color="auto" w:sz="8" w:space="0"/>
              <w:right w:val="single" w:color="auto" w:sz="8" w:space="0"/>
            </w:tcBorders>
            <w:noWrap w:val="0"/>
            <w:vAlign w:val="center"/>
          </w:tcPr>
          <w:p w14:paraId="5B7B578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5</w:t>
            </w:r>
          </w:p>
        </w:tc>
        <w:tc>
          <w:tcPr>
            <w:tcW w:w="816" w:type="dxa"/>
            <w:tcBorders>
              <w:top w:val="nil"/>
              <w:left w:val="nil"/>
              <w:bottom w:val="single" w:color="auto" w:sz="8" w:space="0"/>
              <w:right w:val="single" w:color="auto" w:sz="8" w:space="0"/>
            </w:tcBorders>
            <w:noWrap w:val="0"/>
            <w:vAlign w:val="center"/>
          </w:tcPr>
          <w:p w14:paraId="19CD2C8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立项依据充分性</w:t>
            </w:r>
          </w:p>
        </w:tc>
        <w:tc>
          <w:tcPr>
            <w:tcW w:w="626" w:type="dxa"/>
            <w:tcBorders>
              <w:top w:val="nil"/>
              <w:left w:val="nil"/>
              <w:bottom w:val="single" w:color="auto" w:sz="8" w:space="0"/>
              <w:right w:val="single" w:color="auto" w:sz="8" w:space="0"/>
            </w:tcBorders>
            <w:noWrap w:val="0"/>
            <w:vAlign w:val="center"/>
          </w:tcPr>
          <w:p w14:paraId="0B654A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2399" w:type="dxa"/>
            <w:tcBorders>
              <w:top w:val="nil"/>
              <w:left w:val="nil"/>
              <w:bottom w:val="single" w:color="auto" w:sz="8" w:space="0"/>
              <w:right w:val="single" w:color="auto" w:sz="8" w:space="0"/>
            </w:tcBorders>
            <w:noWrap w:val="0"/>
            <w:vAlign w:val="center"/>
          </w:tcPr>
          <w:p w14:paraId="60F2F74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项目立项是否符合法律法规、相关政策、发展规划以及部门职责，用以反映和考核项目立项依据情况。</w:t>
            </w:r>
          </w:p>
        </w:tc>
        <w:tc>
          <w:tcPr>
            <w:tcW w:w="1101" w:type="dxa"/>
            <w:tcBorders>
              <w:top w:val="nil"/>
              <w:left w:val="nil"/>
              <w:bottom w:val="single" w:color="auto" w:sz="8" w:space="0"/>
              <w:right w:val="single" w:color="auto" w:sz="8" w:space="0"/>
            </w:tcBorders>
            <w:noWrap w:val="0"/>
            <w:vAlign w:val="center"/>
          </w:tcPr>
          <w:p w14:paraId="36F90CD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充分</w:t>
            </w:r>
          </w:p>
        </w:tc>
        <w:tc>
          <w:tcPr>
            <w:tcW w:w="4211" w:type="dxa"/>
            <w:tcBorders>
              <w:top w:val="nil"/>
              <w:left w:val="nil"/>
              <w:bottom w:val="single" w:color="auto" w:sz="8" w:space="0"/>
              <w:right w:val="single" w:color="auto" w:sz="8" w:space="0"/>
            </w:tcBorders>
            <w:noWrap w:val="0"/>
            <w:vAlign w:val="center"/>
          </w:tcPr>
          <w:p w14:paraId="060BD38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4"/>
                <w:szCs w:val="24"/>
                <w:u w:val="none"/>
                <w:lang w:val="en-US" w:eastAsia="zh-CN"/>
              </w:rPr>
            </w:pPr>
            <w:r>
              <w:rPr>
                <w:rFonts w:hint="eastAsia" w:ascii="宋体" w:hAnsi="宋体" w:eastAsia="宋体" w:cs="宋体"/>
                <w:i w:val="0"/>
                <w:iCs w:val="0"/>
                <w:color w:val="000000"/>
                <w:kern w:val="0"/>
                <w:sz w:val="24"/>
                <w:szCs w:val="24"/>
                <w:u w:val="none"/>
                <w:lang w:val="en-US" w:eastAsia="zh-CN"/>
              </w:rPr>
              <w:t>①项目立项是否符合国家法律法规、国民经济发展规划和相关政策；</w:t>
            </w:r>
          </w:p>
          <w:p w14:paraId="4E79551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②项目立项是否符合行业发展规划和政策要求；</w:t>
            </w:r>
          </w:p>
          <w:p w14:paraId="007A052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③项目立项是否与部门职责范围相符，属于部门履职所需；</w:t>
            </w:r>
          </w:p>
          <w:p w14:paraId="53552AA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④项目是否属于公共财政支持范围，是否符合中央、地方事权支出责任划分原则；</w:t>
            </w:r>
          </w:p>
          <w:p w14:paraId="18830E2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⑤项目是否与相关部门同类项目或部门内部相关项目重复。</w:t>
            </w:r>
          </w:p>
          <w:p w14:paraId="6B62DFE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以上每条要素占权重分的20%，每有一条不符合，扣除对应权重分，扣完为止。</w:t>
            </w:r>
          </w:p>
        </w:tc>
        <w:tc>
          <w:tcPr>
            <w:tcW w:w="1105" w:type="dxa"/>
            <w:tcBorders>
              <w:top w:val="nil"/>
              <w:left w:val="nil"/>
              <w:bottom w:val="single" w:color="auto" w:sz="8" w:space="0"/>
              <w:right w:val="single" w:color="auto" w:sz="8" w:space="0"/>
            </w:tcBorders>
            <w:noWrap w:val="0"/>
            <w:vAlign w:val="center"/>
          </w:tcPr>
          <w:p w14:paraId="662E37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充分</w:t>
            </w:r>
          </w:p>
        </w:tc>
        <w:tc>
          <w:tcPr>
            <w:tcW w:w="796" w:type="dxa"/>
            <w:tcBorders>
              <w:top w:val="nil"/>
              <w:left w:val="nil"/>
              <w:bottom w:val="single" w:color="auto" w:sz="8" w:space="0"/>
              <w:right w:val="single" w:color="auto" w:sz="8" w:space="0"/>
            </w:tcBorders>
            <w:noWrap w:val="0"/>
            <w:vAlign w:val="center"/>
          </w:tcPr>
          <w:p w14:paraId="43DEE5A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r>
      <w:tr w14:paraId="3BA17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4" w:hRule="atLeast"/>
        </w:trPr>
        <w:tc>
          <w:tcPr>
            <w:tcW w:w="522" w:type="dxa"/>
            <w:vMerge w:val="continue"/>
            <w:tcBorders>
              <w:top w:val="nil"/>
              <w:left w:val="single" w:color="auto" w:sz="8" w:space="0"/>
              <w:bottom w:val="single" w:color="auto" w:sz="8" w:space="0"/>
              <w:right w:val="single" w:color="auto" w:sz="8" w:space="0"/>
            </w:tcBorders>
            <w:noWrap w:val="0"/>
            <w:vAlign w:val="center"/>
          </w:tcPr>
          <w:p w14:paraId="0A709AF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6BACFDE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vMerge w:val="continue"/>
            <w:tcBorders>
              <w:top w:val="nil"/>
              <w:left w:val="nil"/>
              <w:bottom w:val="single" w:color="auto" w:sz="8" w:space="0"/>
              <w:right w:val="single" w:color="auto" w:sz="8" w:space="0"/>
            </w:tcBorders>
            <w:noWrap w:val="0"/>
            <w:vAlign w:val="center"/>
          </w:tcPr>
          <w:p w14:paraId="3EE78FD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67768E2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816" w:type="dxa"/>
            <w:tcBorders>
              <w:top w:val="nil"/>
              <w:left w:val="nil"/>
              <w:bottom w:val="single" w:color="auto" w:sz="8" w:space="0"/>
              <w:right w:val="single" w:color="auto" w:sz="8" w:space="0"/>
            </w:tcBorders>
            <w:noWrap w:val="0"/>
            <w:vAlign w:val="center"/>
          </w:tcPr>
          <w:p w14:paraId="16891A0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立项程序规范性</w:t>
            </w:r>
          </w:p>
        </w:tc>
        <w:tc>
          <w:tcPr>
            <w:tcW w:w="626" w:type="dxa"/>
            <w:tcBorders>
              <w:top w:val="nil"/>
              <w:left w:val="nil"/>
              <w:bottom w:val="single" w:color="auto" w:sz="8" w:space="0"/>
              <w:right w:val="single" w:color="auto" w:sz="8" w:space="0"/>
            </w:tcBorders>
            <w:noWrap w:val="0"/>
            <w:vAlign w:val="center"/>
          </w:tcPr>
          <w:p w14:paraId="6A3D557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3</w:t>
            </w:r>
          </w:p>
        </w:tc>
        <w:tc>
          <w:tcPr>
            <w:tcW w:w="2399" w:type="dxa"/>
            <w:tcBorders>
              <w:top w:val="nil"/>
              <w:left w:val="nil"/>
              <w:bottom w:val="single" w:color="auto" w:sz="8" w:space="0"/>
              <w:right w:val="single" w:color="auto" w:sz="8" w:space="0"/>
            </w:tcBorders>
            <w:noWrap w:val="0"/>
            <w:vAlign w:val="center"/>
          </w:tcPr>
          <w:p w14:paraId="4AD8955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项目申请、设立过程是否符合相关要求，用以反映和考核项目立项的规范情况。</w:t>
            </w:r>
          </w:p>
        </w:tc>
        <w:tc>
          <w:tcPr>
            <w:tcW w:w="1101" w:type="dxa"/>
            <w:tcBorders>
              <w:top w:val="nil"/>
              <w:left w:val="nil"/>
              <w:bottom w:val="single" w:color="auto" w:sz="8" w:space="0"/>
              <w:right w:val="single" w:color="auto" w:sz="8" w:space="0"/>
            </w:tcBorders>
            <w:noWrap w:val="0"/>
            <w:vAlign w:val="center"/>
          </w:tcPr>
          <w:p w14:paraId="2B0F106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规范</w:t>
            </w:r>
          </w:p>
        </w:tc>
        <w:tc>
          <w:tcPr>
            <w:tcW w:w="4211" w:type="dxa"/>
            <w:tcBorders>
              <w:top w:val="nil"/>
              <w:left w:val="nil"/>
              <w:bottom w:val="single" w:color="auto" w:sz="8" w:space="0"/>
              <w:right w:val="single" w:color="auto" w:sz="8" w:space="0"/>
            </w:tcBorders>
            <w:noWrap w:val="0"/>
            <w:vAlign w:val="center"/>
          </w:tcPr>
          <w:p w14:paraId="5D9B6A2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4"/>
                <w:szCs w:val="24"/>
                <w:u w:val="none"/>
                <w:lang w:val="en-US" w:eastAsia="zh-CN"/>
              </w:rPr>
            </w:pPr>
            <w:r>
              <w:rPr>
                <w:rFonts w:hint="eastAsia" w:ascii="宋体" w:hAnsi="宋体" w:eastAsia="宋体" w:cs="宋体"/>
                <w:i w:val="0"/>
                <w:iCs w:val="0"/>
                <w:color w:val="000000"/>
                <w:kern w:val="0"/>
                <w:sz w:val="24"/>
                <w:szCs w:val="24"/>
                <w:u w:val="none"/>
                <w:lang w:val="en-US" w:eastAsia="zh-CN"/>
              </w:rPr>
              <w:t>①项目是否按照规定的程序申请设立；</w:t>
            </w:r>
          </w:p>
          <w:p w14:paraId="7BB1C58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②审批文件、材料是否符合相关要求；</w:t>
            </w:r>
          </w:p>
          <w:p w14:paraId="246359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③事前是否已经过必要的可行性研究、专家论证、风险评估、绩效评估、集体决策。</w:t>
            </w:r>
          </w:p>
          <w:p w14:paraId="7E46A05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①②③齐全得权重分的100%，缺①扣权重分的40%，缺②扣权重分的30%，缺③扣权重分的30%。</w:t>
            </w:r>
          </w:p>
        </w:tc>
        <w:tc>
          <w:tcPr>
            <w:tcW w:w="1105" w:type="dxa"/>
            <w:tcBorders>
              <w:top w:val="nil"/>
              <w:left w:val="nil"/>
              <w:bottom w:val="single" w:color="auto" w:sz="8" w:space="0"/>
              <w:right w:val="single" w:color="auto" w:sz="8" w:space="0"/>
            </w:tcBorders>
            <w:noWrap w:val="0"/>
            <w:vAlign w:val="center"/>
          </w:tcPr>
          <w:p w14:paraId="14DC88A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规范</w:t>
            </w:r>
          </w:p>
        </w:tc>
        <w:tc>
          <w:tcPr>
            <w:tcW w:w="796" w:type="dxa"/>
            <w:tcBorders>
              <w:top w:val="nil"/>
              <w:left w:val="nil"/>
              <w:bottom w:val="single" w:color="auto" w:sz="8" w:space="0"/>
              <w:right w:val="single" w:color="auto" w:sz="8" w:space="0"/>
            </w:tcBorders>
            <w:noWrap w:val="0"/>
            <w:vAlign w:val="center"/>
          </w:tcPr>
          <w:p w14:paraId="67C9E87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3</w:t>
            </w:r>
          </w:p>
        </w:tc>
      </w:tr>
      <w:tr w14:paraId="31927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522" w:type="dxa"/>
            <w:vMerge w:val="continue"/>
            <w:tcBorders>
              <w:top w:val="nil"/>
              <w:left w:val="single" w:color="auto" w:sz="8" w:space="0"/>
              <w:bottom w:val="single" w:color="auto" w:sz="8" w:space="0"/>
              <w:right w:val="single" w:color="auto" w:sz="8" w:space="0"/>
            </w:tcBorders>
            <w:noWrap w:val="0"/>
            <w:vAlign w:val="center"/>
          </w:tcPr>
          <w:p w14:paraId="668CD1C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0411756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vMerge w:val="restart"/>
            <w:tcBorders>
              <w:top w:val="nil"/>
              <w:left w:val="nil"/>
              <w:bottom w:val="single" w:color="auto" w:sz="8" w:space="0"/>
              <w:right w:val="single" w:color="auto" w:sz="8" w:space="0"/>
            </w:tcBorders>
            <w:noWrap w:val="0"/>
            <w:vAlign w:val="center"/>
          </w:tcPr>
          <w:p w14:paraId="0884030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绩效目标</w:t>
            </w:r>
          </w:p>
        </w:tc>
        <w:tc>
          <w:tcPr>
            <w:tcW w:w="587" w:type="dxa"/>
            <w:vMerge w:val="restart"/>
            <w:tcBorders>
              <w:top w:val="nil"/>
              <w:left w:val="nil"/>
              <w:bottom w:val="single" w:color="auto" w:sz="8" w:space="0"/>
              <w:right w:val="single" w:color="auto" w:sz="8" w:space="0"/>
            </w:tcBorders>
            <w:noWrap w:val="0"/>
            <w:vAlign w:val="center"/>
          </w:tcPr>
          <w:p w14:paraId="1E702D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w:t>
            </w:r>
          </w:p>
        </w:tc>
        <w:tc>
          <w:tcPr>
            <w:tcW w:w="816" w:type="dxa"/>
            <w:tcBorders>
              <w:top w:val="nil"/>
              <w:left w:val="nil"/>
              <w:bottom w:val="single" w:color="auto" w:sz="4" w:space="0"/>
              <w:right w:val="single" w:color="auto" w:sz="8" w:space="0"/>
            </w:tcBorders>
            <w:noWrap w:val="0"/>
            <w:vAlign w:val="center"/>
          </w:tcPr>
          <w:p w14:paraId="7ECEE9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绩效目标合理性</w:t>
            </w:r>
          </w:p>
        </w:tc>
        <w:tc>
          <w:tcPr>
            <w:tcW w:w="626" w:type="dxa"/>
            <w:tcBorders>
              <w:top w:val="nil"/>
              <w:left w:val="nil"/>
              <w:bottom w:val="single" w:color="auto" w:sz="4" w:space="0"/>
              <w:right w:val="single" w:color="auto" w:sz="8" w:space="0"/>
            </w:tcBorders>
            <w:noWrap w:val="0"/>
            <w:vAlign w:val="center"/>
          </w:tcPr>
          <w:p w14:paraId="13D7D3A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5</w:t>
            </w:r>
          </w:p>
        </w:tc>
        <w:tc>
          <w:tcPr>
            <w:tcW w:w="2399" w:type="dxa"/>
            <w:tcBorders>
              <w:top w:val="nil"/>
              <w:left w:val="nil"/>
              <w:bottom w:val="single" w:color="auto" w:sz="4" w:space="0"/>
              <w:right w:val="single" w:color="auto" w:sz="8" w:space="0"/>
            </w:tcBorders>
            <w:noWrap w:val="0"/>
            <w:vAlign w:val="center"/>
          </w:tcPr>
          <w:p w14:paraId="3112D96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项目所设定的绩效目标是否依据充分，是否符合客观实际，用以反映和考核项目绩效目标与项目实施的相符情况。</w:t>
            </w:r>
          </w:p>
        </w:tc>
        <w:tc>
          <w:tcPr>
            <w:tcW w:w="1101" w:type="dxa"/>
            <w:tcBorders>
              <w:top w:val="nil"/>
              <w:left w:val="nil"/>
              <w:bottom w:val="single" w:color="auto" w:sz="4" w:space="0"/>
              <w:right w:val="single" w:color="auto" w:sz="8" w:space="0"/>
            </w:tcBorders>
            <w:noWrap w:val="0"/>
            <w:vAlign w:val="center"/>
          </w:tcPr>
          <w:p w14:paraId="77CAE91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合理</w:t>
            </w:r>
          </w:p>
        </w:tc>
        <w:tc>
          <w:tcPr>
            <w:tcW w:w="4211" w:type="dxa"/>
            <w:tcBorders>
              <w:top w:val="nil"/>
              <w:left w:val="nil"/>
              <w:bottom w:val="single" w:color="auto" w:sz="4" w:space="0"/>
              <w:right w:val="single" w:color="auto" w:sz="8" w:space="0"/>
            </w:tcBorders>
            <w:noWrap w:val="0"/>
            <w:vAlign w:val="center"/>
          </w:tcPr>
          <w:p w14:paraId="2FAC998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4"/>
                <w:szCs w:val="24"/>
                <w:u w:val="none"/>
                <w:lang w:val="en-US" w:eastAsia="zh-CN"/>
              </w:rPr>
            </w:pPr>
            <w:r>
              <w:rPr>
                <w:rFonts w:hint="eastAsia" w:ascii="宋体" w:hAnsi="宋体" w:eastAsia="宋体" w:cs="宋体"/>
                <w:i w:val="0"/>
                <w:iCs w:val="0"/>
                <w:color w:val="000000"/>
                <w:kern w:val="0"/>
                <w:sz w:val="24"/>
                <w:szCs w:val="24"/>
                <w:u w:val="none"/>
                <w:lang w:val="en-US" w:eastAsia="zh-CN"/>
              </w:rPr>
              <w:t>①项目是否有绩效目标；</w:t>
            </w:r>
          </w:p>
          <w:p w14:paraId="6795D1D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②项目绩效目标与实际工作内容是否具有相关性；</w:t>
            </w:r>
          </w:p>
          <w:p w14:paraId="2893146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③项目预期产出效益和效果是否符合正常的业绩水平；</w:t>
            </w:r>
          </w:p>
          <w:p w14:paraId="6E79029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④是否与预算确定的项目投资额或资金量相匹配。</w:t>
            </w:r>
          </w:p>
          <w:p w14:paraId="1D11EAD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以上每条要素各占权重的25%，每有一条不符合，扣除对应的权重分，扣完为止。</w:t>
            </w:r>
          </w:p>
        </w:tc>
        <w:tc>
          <w:tcPr>
            <w:tcW w:w="1105" w:type="dxa"/>
            <w:tcBorders>
              <w:top w:val="nil"/>
              <w:left w:val="nil"/>
              <w:bottom w:val="single" w:color="auto" w:sz="4" w:space="0"/>
              <w:right w:val="single" w:color="auto" w:sz="8" w:space="0"/>
            </w:tcBorders>
            <w:noWrap w:val="0"/>
            <w:vAlign w:val="center"/>
          </w:tcPr>
          <w:p w14:paraId="6DF0FA1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合理</w:t>
            </w:r>
          </w:p>
        </w:tc>
        <w:tc>
          <w:tcPr>
            <w:tcW w:w="796" w:type="dxa"/>
            <w:tcBorders>
              <w:top w:val="nil"/>
              <w:left w:val="nil"/>
              <w:bottom w:val="single" w:color="auto" w:sz="4" w:space="0"/>
              <w:right w:val="single" w:color="auto" w:sz="8" w:space="0"/>
            </w:tcBorders>
            <w:noWrap w:val="0"/>
            <w:vAlign w:val="center"/>
          </w:tcPr>
          <w:p w14:paraId="63A102B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5</w:t>
            </w:r>
          </w:p>
        </w:tc>
      </w:tr>
      <w:tr w14:paraId="76B98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0" w:hRule="atLeast"/>
        </w:trPr>
        <w:tc>
          <w:tcPr>
            <w:tcW w:w="522" w:type="dxa"/>
            <w:vMerge w:val="continue"/>
            <w:tcBorders>
              <w:top w:val="nil"/>
              <w:left w:val="single" w:color="auto" w:sz="8" w:space="0"/>
              <w:bottom w:val="single" w:color="auto" w:sz="8" w:space="0"/>
              <w:right w:val="single" w:color="auto" w:sz="8" w:space="0"/>
            </w:tcBorders>
            <w:noWrap w:val="0"/>
            <w:vAlign w:val="center"/>
          </w:tcPr>
          <w:p w14:paraId="4978429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225EA7E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vMerge w:val="continue"/>
            <w:tcBorders>
              <w:top w:val="nil"/>
              <w:left w:val="nil"/>
              <w:bottom w:val="single" w:color="auto" w:sz="8" w:space="0"/>
              <w:right w:val="single" w:color="auto" w:sz="8" w:space="0"/>
            </w:tcBorders>
            <w:noWrap w:val="0"/>
            <w:vAlign w:val="center"/>
          </w:tcPr>
          <w:p w14:paraId="11A6D2D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4" w:space="0"/>
            </w:tcBorders>
            <w:noWrap w:val="0"/>
            <w:vAlign w:val="center"/>
          </w:tcPr>
          <w:p w14:paraId="0A16645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816" w:type="dxa"/>
            <w:tcBorders>
              <w:top w:val="single" w:color="auto" w:sz="4" w:space="0"/>
              <w:left w:val="single" w:color="auto" w:sz="4" w:space="0"/>
              <w:bottom w:val="single" w:color="auto" w:sz="4" w:space="0"/>
              <w:right w:val="single" w:color="auto" w:sz="8" w:space="0"/>
            </w:tcBorders>
            <w:noWrap w:val="0"/>
            <w:vAlign w:val="center"/>
          </w:tcPr>
          <w:p w14:paraId="38CDA5D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绩效指标明确性</w:t>
            </w:r>
          </w:p>
        </w:tc>
        <w:tc>
          <w:tcPr>
            <w:tcW w:w="626" w:type="dxa"/>
            <w:tcBorders>
              <w:top w:val="single" w:color="auto" w:sz="4" w:space="0"/>
              <w:left w:val="nil"/>
              <w:bottom w:val="single" w:color="auto" w:sz="4" w:space="0"/>
              <w:right w:val="single" w:color="auto" w:sz="8" w:space="0"/>
            </w:tcBorders>
            <w:noWrap w:val="0"/>
            <w:vAlign w:val="center"/>
          </w:tcPr>
          <w:p w14:paraId="24DECB1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5</w:t>
            </w:r>
          </w:p>
        </w:tc>
        <w:tc>
          <w:tcPr>
            <w:tcW w:w="2399" w:type="dxa"/>
            <w:tcBorders>
              <w:top w:val="single" w:color="auto" w:sz="4" w:space="0"/>
              <w:left w:val="nil"/>
              <w:bottom w:val="single" w:color="auto" w:sz="4" w:space="0"/>
              <w:right w:val="single" w:color="auto" w:sz="8" w:space="0"/>
            </w:tcBorders>
            <w:noWrap w:val="0"/>
            <w:vAlign w:val="center"/>
          </w:tcPr>
          <w:p w14:paraId="0D8E4DA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依据绩效目标设定的绩效指标是否清晰、细化、可衡量等，用以反映和考核项目绩效目标的明细化情况。</w:t>
            </w:r>
          </w:p>
        </w:tc>
        <w:tc>
          <w:tcPr>
            <w:tcW w:w="1101" w:type="dxa"/>
            <w:tcBorders>
              <w:top w:val="single" w:color="auto" w:sz="4" w:space="0"/>
              <w:left w:val="nil"/>
              <w:bottom w:val="single" w:color="auto" w:sz="4" w:space="0"/>
              <w:right w:val="single" w:color="auto" w:sz="8" w:space="0"/>
            </w:tcBorders>
            <w:noWrap w:val="0"/>
            <w:vAlign w:val="center"/>
          </w:tcPr>
          <w:p w14:paraId="5FBA103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明确</w:t>
            </w:r>
          </w:p>
        </w:tc>
        <w:tc>
          <w:tcPr>
            <w:tcW w:w="4211" w:type="dxa"/>
            <w:tcBorders>
              <w:top w:val="single" w:color="auto" w:sz="4" w:space="0"/>
              <w:left w:val="nil"/>
              <w:bottom w:val="single" w:color="auto" w:sz="8" w:space="0"/>
              <w:right w:val="single" w:color="auto" w:sz="8" w:space="0"/>
            </w:tcBorders>
            <w:noWrap w:val="0"/>
            <w:vAlign w:val="center"/>
          </w:tcPr>
          <w:p w14:paraId="628414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4"/>
                <w:szCs w:val="24"/>
                <w:u w:val="none"/>
                <w:lang w:val="en-US" w:eastAsia="zh-CN"/>
              </w:rPr>
            </w:pPr>
            <w:r>
              <w:rPr>
                <w:rFonts w:hint="eastAsia" w:ascii="宋体" w:hAnsi="宋体" w:eastAsia="宋体" w:cs="宋体"/>
                <w:i w:val="0"/>
                <w:iCs w:val="0"/>
                <w:color w:val="000000"/>
                <w:kern w:val="0"/>
                <w:sz w:val="24"/>
                <w:szCs w:val="24"/>
                <w:u w:val="none"/>
                <w:lang w:val="en-US" w:eastAsia="zh-CN"/>
              </w:rPr>
              <w:t>①是否将项目绩效目标细化分解为具体的绩效指标；</w:t>
            </w:r>
          </w:p>
          <w:p w14:paraId="768B360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②是否通过清晰、可衡量的指标值予以体现；</w:t>
            </w:r>
          </w:p>
          <w:p w14:paraId="2DF6648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③是否与项目目标任务数或计划数相对应。</w:t>
            </w:r>
          </w:p>
          <w:p w14:paraId="4119E72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①②③齐全得权重分的100%，缺①扣权重分的20%，缺②扣权重分的50%，缺③扣权重分的30%。</w:t>
            </w:r>
          </w:p>
        </w:tc>
        <w:tc>
          <w:tcPr>
            <w:tcW w:w="1105" w:type="dxa"/>
            <w:tcBorders>
              <w:top w:val="single" w:color="auto" w:sz="4" w:space="0"/>
              <w:left w:val="nil"/>
              <w:bottom w:val="single" w:color="auto" w:sz="4" w:space="0"/>
              <w:right w:val="single" w:color="auto" w:sz="8" w:space="0"/>
            </w:tcBorders>
            <w:noWrap w:val="0"/>
            <w:vAlign w:val="center"/>
          </w:tcPr>
          <w:p w14:paraId="54DC261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明确</w:t>
            </w:r>
          </w:p>
        </w:tc>
        <w:tc>
          <w:tcPr>
            <w:tcW w:w="796" w:type="dxa"/>
            <w:tcBorders>
              <w:top w:val="single" w:color="auto" w:sz="4" w:space="0"/>
              <w:left w:val="nil"/>
              <w:bottom w:val="single" w:color="auto" w:sz="4" w:space="0"/>
              <w:right w:val="single" w:color="auto" w:sz="4" w:space="0"/>
            </w:tcBorders>
            <w:noWrap w:val="0"/>
            <w:vAlign w:val="center"/>
          </w:tcPr>
          <w:p w14:paraId="5F090B9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5</w:t>
            </w:r>
          </w:p>
        </w:tc>
      </w:tr>
      <w:tr w14:paraId="5715F0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trPr>
        <w:tc>
          <w:tcPr>
            <w:tcW w:w="522" w:type="dxa"/>
            <w:vMerge w:val="continue"/>
            <w:tcBorders>
              <w:top w:val="nil"/>
              <w:left w:val="single" w:color="auto" w:sz="8" w:space="0"/>
              <w:bottom w:val="single" w:color="auto" w:sz="8" w:space="0"/>
              <w:right w:val="single" w:color="auto" w:sz="8" w:space="0"/>
            </w:tcBorders>
            <w:noWrap w:val="0"/>
            <w:vAlign w:val="center"/>
          </w:tcPr>
          <w:p w14:paraId="79220B1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7CB4A0F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vMerge w:val="restart"/>
            <w:tcBorders>
              <w:top w:val="nil"/>
              <w:left w:val="nil"/>
              <w:bottom w:val="single" w:color="auto" w:sz="8" w:space="0"/>
              <w:right w:val="single" w:color="auto" w:sz="8" w:space="0"/>
            </w:tcBorders>
            <w:noWrap w:val="0"/>
            <w:vAlign w:val="center"/>
          </w:tcPr>
          <w:p w14:paraId="02A0A10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资金投入</w:t>
            </w:r>
          </w:p>
        </w:tc>
        <w:tc>
          <w:tcPr>
            <w:tcW w:w="587" w:type="dxa"/>
            <w:vMerge w:val="restart"/>
            <w:tcBorders>
              <w:top w:val="nil"/>
              <w:left w:val="nil"/>
              <w:bottom w:val="single" w:color="auto" w:sz="8" w:space="0"/>
              <w:right w:val="single" w:color="auto" w:sz="8" w:space="0"/>
            </w:tcBorders>
            <w:noWrap w:val="0"/>
            <w:vAlign w:val="center"/>
          </w:tcPr>
          <w:p w14:paraId="7CD23D8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8</w:t>
            </w:r>
          </w:p>
        </w:tc>
        <w:tc>
          <w:tcPr>
            <w:tcW w:w="816" w:type="dxa"/>
            <w:tcBorders>
              <w:top w:val="nil"/>
              <w:left w:val="nil"/>
              <w:bottom w:val="single" w:color="auto" w:sz="8" w:space="0"/>
              <w:right w:val="single" w:color="auto" w:sz="8" w:space="0"/>
            </w:tcBorders>
            <w:noWrap w:val="0"/>
            <w:vAlign w:val="center"/>
          </w:tcPr>
          <w:p w14:paraId="17717BE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预算编制科学性</w:t>
            </w:r>
          </w:p>
        </w:tc>
        <w:tc>
          <w:tcPr>
            <w:tcW w:w="626" w:type="dxa"/>
            <w:tcBorders>
              <w:top w:val="nil"/>
              <w:left w:val="nil"/>
              <w:bottom w:val="single" w:color="auto" w:sz="8" w:space="0"/>
              <w:right w:val="single" w:color="auto" w:sz="8" w:space="0"/>
            </w:tcBorders>
            <w:noWrap w:val="0"/>
            <w:vAlign w:val="center"/>
          </w:tcPr>
          <w:p w14:paraId="6721A5C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4</w:t>
            </w:r>
          </w:p>
        </w:tc>
        <w:tc>
          <w:tcPr>
            <w:tcW w:w="2399" w:type="dxa"/>
            <w:tcBorders>
              <w:top w:val="nil"/>
              <w:left w:val="nil"/>
              <w:bottom w:val="single" w:color="auto" w:sz="8" w:space="0"/>
              <w:right w:val="single" w:color="auto" w:sz="8" w:space="0"/>
            </w:tcBorders>
            <w:noWrap w:val="0"/>
            <w:vAlign w:val="center"/>
          </w:tcPr>
          <w:p w14:paraId="6573DDE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项目预算编制是否经过科学论证、有明确标准，资金额度与年度目标是否相适应，用以反映和考核项目预算编制的科学性、合理性情况。</w:t>
            </w:r>
          </w:p>
        </w:tc>
        <w:tc>
          <w:tcPr>
            <w:tcW w:w="1101" w:type="dxa"/>
            <w:tcBorders>
              <w:top w:val="nil"/>
              <w:left w:val="nil"/>
              <w:bottom w:val="single" w:color="auto" w:sz="8" w:space="0"/>
              <w:right w:val="single" w:color="auto" w:sz="8" w:space="0"/>
            </w:tcBorders>
            <w:noWrap w:val="0"/>
            <w:vAlign w:val="center"/>
          </w:tcPr>
          <w:p w14:paraId="1D4D54E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科学</w:t>
            </w:r>
          </w:p>
        </w:tc>
        <w:tc>
          <w:tcPr>
            <w:tcW w:w="4211" w:type="dxa"/>
            <w:tcBorders>
              <w:top w:val="nil"/>
              <w:left w:val="nil"/>
              <w:bottom w:val="single" w:color="auto" w:sz="8" w:space="0"/>
              <w:right w:val="single" w:color="auto" w:sz="8" w:space="0"/>
            </w:tcBorders>
            <w:noWrap w:val="0"/>
            <w:vAlign w:val="center"/>
          </w:tcPr>
          <w:p w14:paraId="0C24E33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4"/>
                <w:szCs w:val="24"/>
                <w:u w:val="none"/>
                <w:lang w:val="en-US" w:eastAsia="zh-CN"/>
              </w:rPr>
            </w:pPr>
            <w:r>
              <w:rPr>
                <w:rFonts w:hint="eastAsia" w:ascii="宋体" w:hAnsi="宋体" w:eastAsia="宋体" w:cs="宋体"/>
                <w:i w:val="0"/>
                <w:iCs w:val="0"/>
                <w:color w:val="000000"/>
                <w:kern w:val="0"/>
                <w:sz w:val="24"/>
                <w:szCs w:val="24"/>
                <w:u w:val="none"/>
                <w:lang w:val="en-US" w:eastAsia="zh-CN"/>
              </w:rPr>
              <w:t>①预算编制是否经过科学论证；</w:t>
            </w:r>
          </w:p>
          <w:p w14:paraId="10A6FD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②预算内容与项目内容是否匹配；</w:t>
            </w:r>
          </w:p>
          <w:p w14:paraId="2089F87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③预算额度测算依据是否充分，是否按照标准编制；</w:t>
            </w:r>
          </w:p>
          <w:p w14:paraId="6F36C71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④预算确定的项目投资额或资金量是否与工作任务相匹配。</w:t>
            </w:r>
          </w:p>
          <w:p w14:paraId="1D46E0E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以上每条要素各占权重的25%，每有一条不符合，扣除对应的权重分，扣完为止。</w:t>
            </w:r>
          </w:p>
        </w:tc>
        <w:tc>
          <w:tcPr>
            <w:tcW w:w="1105" w:type="dxa"/>
            <w:tcBorders>
              <w:top w:val="nil"/>
              <w:left w:val="nil"/>
              <w:bottom w:val="single" w:color="auto" w:sz="8" w:space="0"/>
              <w:right w:val="single" w:color="auto" w:sz="8" w:space="0"/>
            </w:tcBorders>
            <w:noWrap w:val="0"/>
            <w:vAlign w:val="center"/>
          </w:tcPr>
          <w:p w14:paraId="4F0AAB2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科学</w:t>
            </w:r>
          </w:p>
        </w:tc>
        <w:tc>
          <w:tcPr>
            <w:tcW w:w="796" w:type="dxa"/>
            <w:tcBorders>
              <w:top w:val="nil"/>
              <w:left w:val="nil"/>
              <w:bottom w:val="single" w:color="auto" w:sz="8" w:space="0"/>
              <w:right w:val="single" w:color="auto" w:sz="8" w:space="0"/>
            </w:tcBorders>
            <w:noWrap w:val="0"/>
            <w:vAlign w:val="center"/>
          </w:tcPr>
          <w:p w14:paraId="308A95E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4</w:t>
            </w:r>
          </w:p>
        </w:tc>
      </w:tr>
      <w:tr w14:paraId="34ED3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4" w:hRule="atLeast"/>
        </w:trPr>
        <w:tc>
          <w:tcPr>
            <w:tcW w:w="522" w:type="dxa"/>
            <w:vMerge w:val="continue"/>
            <w:tcBorders>
              <w:top w:val="nil"/>
              <w:left w:val="single" w:color="auto" w:sz="8" w:space="0"/>
              <w:bottom w:val="single" w:color="auto" w:sz="8" w:space="0"/>
              <w:right w:val="single" w:color="auto" w:sz="8" w:space="0"/>
            </w:tcBorders>
            <w:noWrap w:val="0"/>
            <w:vAlign w:val="center"/>
          </w:tcPr>
          <w:p w14:paraId="5584E49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2ED630D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vMerge w:val="continue"/>
            <w:tcBorders>
              <w:top w:val="nil"/>
              <w:left w:val="nil"/>
              <w:bottom w:val="single" w:color="auto" w:sz="8" w:space="0"/>
              <w:right w:val="single" w:color="auto" w:sz="8" w:space="0"/>
            </w:tcBorders>
            <w:noWrap w:val="0"/>
            <w:vAlign w:val="center"/>
          </w:tcPr>
          <w:p w14:paraId="3A218E1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194CDB2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816" w:type="dxa"/>
            <w:tcBorders>
              <w:top w:val="nil"/>
              <w:left w:val="nil"/>
              <w:bottom w:val="single" w:color="auto" w:sz="8" w:space="0"/>
              <w:right w:val="single" w:color="auto" w:sz="8" w:space="0"/>
            </w:tcBorders>
            <w:noWrap w:val="0"/>
            <w:vAlign w:val="center"/>
          </w:tcPr>
          <w:p w14:paraId="1CD458E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资金分配合理性</w:t>
            </w:r>
          </w:p>
        </w:tc>
        <w:tc>
          <w:tcPr>
            <w:tcW w:w="626" w:type="dxa"/>
            <w:tcBorders>
              <w:top w:val="nil"/>
              <w:left w:val="nil"/>
              <w:bottom w:val="single" w:color="auto" w:sz="8" w:space="0"/>
              <w:right w:val="single" w:color="auto" w:sz="8" w:space="0"/>
            </w:tcBorders>
            <w:noWrap w:val="0"/>
            <w:vAlign w:val="center"/>
          </w:tcPr>
          <w:p w14:paraId="39D4875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4</w:t>
            </w:r>
          </w:p>
        </w:tc>
        <w:tc>
          <w:tcPr>
            <w:tcW w:w="2399" w:type="dxa"/>
            <w:tcBorders>
              <w:top w:val="nil"/>
              <w:left w:val="nil"/>
              <w:bottom w:val="single" w:color="auto" w:sz="8" w:space="0"/>
              <w:right w:val="single" w:color="auto" w:sz="8" w:space="0"/>
            </w:tcBorders>
            <w:noWrap w:val="0"/>
            <w:vAlign w:val="center"/>
          </w:tcPr>
          <w:p w14:paraId="551CDD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项目预算资金分配是否有测算依据，与补助单位或地方实际是否相适应，用以反映和考核项目预算资金分配的科学性、合理性情况。</w:t>
            </w:r>
          </w:p>
        </w:tc>
        <w:tc>
          <w:tcPr>
            <w:tcW w:w="1101" w:type="dxa"/>
            <w:tcBorders>
              <w:top w:val="nil"/>
              <w:left w:val="nil"/>
              <w:bottom w:val="single" w:color="auto" w:sz="8" w:space="0"/>
              <w:right w:val="single" w:color="auto" w:sz="8" w:space="0"/>
            </w:tcBorders>
            <w:noWrap w:val="0"/>
            <w:vAlign w:val="center"/>
          </w:tcPr>
          <w:p w14:paraId="2696F7D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合理</w:t>
            </w:r>
          </w:p>
        </w:tc>
        <w:tc>
          <w:tcPr>
            <w:tcW w:w="4211" w:type="dxa"/>
            <w:tcBorders>
              <w:top w:val="nil"/>
              <w:left w:val="nil"/>
              <w:bottom w:val="single" w:color="auto" w:sz="8" w:space="0"/>
              <w:right w:val="single" w:color="auto" w:sz="8" w:space="0"/>
            </w:tcBorders>
            <w:noWrap w:val="0"/>
            <w:vAlign w:val="center"/>
          </w:tcPr>
          <w:p w14:paraId="10CFDCE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4"/>
                <w:szCs w:val="24"/>
                <w:u w:val="none"/>
                <w:lang w:val="en-US" w:eastAsia="zh-CN"/>
              </w:rPr>
            </w:pPr>
            <w:r>
              <w:rPr>
                <w:rFonts w:hint="eastAsia" w:ascii="宋体" w:hAnsi="宋体" w:eastAsia="宋体" w:cs="宋体"/>
                <w:i w:val="0"/>
                <w:iCs w:val="0"/>
                <w:color w:val="000000"/>
                <w:kern w:val="0"/>
                <w:sz w:val="24"/>
                <w:szCs w:val="24"/>
                <w:u w:val="none"/>
                <w:lang w:val="en-US" w:eastAsia="zh-CN"/>
              </w:rPr>
              <w:t>①预算资金分配依据是否充分；</w:t>
            </w:r>
          </w:p>
          <w:p w14:paraId="5B2D08A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②资金分配额度是否合理，与项目单位或地方实际是否相适应。</w:t>
            </w:r>
          </w:p>
          <w:p w14:paraId="23AD693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以上每条要素各占权重的50%，每有一条不符合，扣除对应的权重分，扣完为止。</w:t>
            </w:r>
          </w:p>
        </w:tc>
        <w:tc>
          <w:tcPr>
            <w:tcW w:w="1105" w:type="dxa"/>
            <w:tcBorders>
              <w:top w:val="nil"/>
              <w:left w:val="nil"/>
              <w:bottom w:val="single" w:color="auto" w:sz="8" w:space="0"/>
              <w:right w:val="single" w:color="auto" w:sz="8" w:space="0"/>
            </w:tcBorders>
            <w:noWrap w:val="0"/>
            <w:vAlign w:val="center"/>
          </w:tcPr>
          <w:p w14:paraId="3FA4567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合理</w:t>
            </w:r>
          </w:p>
        </w:tc>
        <w:tc>
          <w:tcPr>
            <w:tcW w:w="796" w:type="dxa"/>
            <w:tcBorders>
              <w:top w:val="nil"/>
              <w:left w:val="nil"/>
              <w:bottom w:val="single" w:color="auto" w:sz="8" w:space="0"/>
              <w:right w:val="single" w:color="auto" w:sz="8" w:space="0"/>
            </w:tcBorders>
            <w:noWrap w:val="0"/>
            <w:vAlign w:val="center"/>
          </w:tcPr>
          <w:p w14:paraId="701E299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4</w:t>
            </w:r>
          </w:p>
        </w:tc>
      </w:tr>
      <w:tr w14:paraId="37AA6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5" w:hRule="atLeast"/>
        </w:trPr>
        <w:tc>
          <w:tcPr>
            <w:tcW w:w="522" w:type="dxa"/>
            <w:vMerge w:val="restart"/>
            <w:tcBorders>
              <w:top w:val="nil"/>
              <w:left w:val="single" w:color="auto" w:sz="8" w:space="0"/>
              <w:bottom w:val="single" w:color="auto" w:sz="8" w:space="0"/>
              <w:right w:val="single" w:color="auto" w:sz="8" w:space="0"/>
            </w:tcBorders>
            <w:noWrap w:val="0"/>
            <w:vAlign w:val="center"/>
          </w:tcPr>
          <w:p w14:paraId="2807947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项目过程</w:t>
            </w:r>
          </w:p>
        </w:tc>
        <w:tc>
          <w:tcPr>
            <w:tcW w:w="587" w:type="dxa"/>
            <w:vMerge w:val="restart"/>
            <w:tcBorders>
              <w:top w:val="nil"/>
              <w:left w:val="nil"/>
              <w:bottom w:val="single" w:color="auto" w:sz="8" w:space="0"/>
              <w:right w:val="single" w:color="auto" w:sz="8" w:space="0"/>
            </w:tcBorders>
            <w:noWrap w:val="0"/>
            <w:vAlign w:val="center"/>
          </w:tcPr>
          <w:p w14:paraId="72A9CB1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12</w:t>
            </w:r>
          </w:p>
        </w:tc>
        <w:tc>
          <w:tcPr>
            <w:tcW w:w="522" w:type="dxa"/>
            <w:vMerge w:val="restart"/>
            <w:tcBorders>
              <w:top w:val="nil"/>
              <w:left w:val="nil"/>
              <w:bottom w:val="single" w:color="auto" w:sz="8" w:space="0"/>
              <w:right w:val="single" w:color="auto" w:sz="8" w:space="0"/>
            </w:tcBorders>
            <w:noWrap w:val="0"/>
            <w:vAlign w:val="center"/>
          </w:tcPr>
          <w:p w14:paraId="0F848F6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资金管理</w:t>
            </w:r>
          </w:p>
        </w:tc>
        <w:tc>
          <w:tcPr>
            <w:tcW w:w="587" w:type="dxa"/>
            <w:vMerge w:val="restart"/>
            <w:tcBorders>
              <w:top w:val="nil"/>
              <w:left w:val="nil"/>
              <w:bottom w:val="single" w:color="auto" w:sz="8" w:space="0"/>
              <w:right w:val="single" w:color="auto" w:sz="8" w:space="0"/>
            </w:tcBorders>
            <w:noWrap w:val="0"/>
            <w:vAlign w:val="center"/>
          </w:tcPr>
          <w:p w14:paraId="44323B1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6</w:t>
            </w:r>
          </w:p>
        </w:tc>
        <w:tc>
          <w:tcPr>
            <w:tcW w:w="816" w:type="dxa"/>
            <w:tcBorders>
              <w:top w:val="nil"/>
              <w:left w:val="nil"/>
              <w:bottom w:val="single" w:color="auto" w:sz="8" w:space="0"/>
              <w:right w:val="single" w:color="auto" w:sz="8" w:space="0"/>
            </w:tcBorders>
            <w:noWrap w:val="0"/>
            <w:vAlign w:val="center"/>
          </w:tcPr>
          <w:p w14:paraId="3F75F89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资金到位率</w:t>
            </w:r>
          </w:p>
        </w:tc>
        <w:tc>
          <w:tcPr>
            <w:tcW w:w="626" w:type="dxa"/>
            <w:tcBorders>
              <w:top w:val="nil"/>
              <w:left w:val="nil"/>
              <w:bottom w:val="single" w:color="auto" w:sz="8" w:space="0"/>
              <w:right w:val="single" w:color="auto" w:sz="8" w:space="0"/>
            </w:tcBorders>
            <w:noWrap w:val="0"/>
            <w:vAlign w:val="center"/>
          </w:tcPr>
          <w:p w14:paraId="5BDF8C3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w:t>
            </w:r>
          </w:p>
        </w:tc>
        <w:tc>
          <w:tcPr>
            <w:tcW w:w="2399" w:type="dxa"/>
            <w:tcBorders>
              <w:top w:val="nil"/>
              <w:left w:val="nil"/>
              <w:bottom w:val="single" w:color="auto" w:sz="8" w:space="0"/>
              <w:right w:val="single" w:color="auto" w:sz="8" w:space="0"/>
            </w:tcBorders>
            <w:noWrap w:val="0"/>
            <w:vAlign w:val="center"/>
          </w:tcPr>
          <w:p w14:paraId="7EB5F33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实际到位资金与预算资金的比率，用以反映和考核资金落实情况对项目实施的总体保障程度。</w:t>
            </w:r>
          </w:p>
        </w:tc>
        <w:tc>
          <w:tcPr>
            <w:tcW w:w="1101" w:type="dxa"/>
            <w:tcBorders>
              <w:top w:val="nil"/>
              <w:left w:val="nil"/>
              <w:bottom w:val="single" w:color="auto" w:sz="8" w:space="0"/>
              <w:right w:val="single" w:color="auto" w:sz="8" w:space="0"/>
            </w:tcBorders>
            <w:noWrap w:val="0"/>
            <w:vAlign w:val="center"/>
          </w:tcPr>
          <w:p w14:paraId="17F27EF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100%</w:t>
            </w:r>
          </w:p>
        </w:tc>
        <w:tc>
          <w:tcPr>
            <w:tcW w:w="4211" w:type="dxa"/>
            <w:tcBorders>
              <w:top w:val="nil"/>
              <w:left w:val="nil"/>
              <w:bottom w:val="single" w:color="auto" w:sz="4" w:space="0"/>
              <w:right w:val="single" w:color="auto" w:sz="8" w:space="0"/>
            </w:tcBorders>
            <w:noWrap w:val="0"/>
            <w:vAlign w:val="center"/>
          </w:tcPr>
          <w:p w14:paraId="49F9C1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4"/>
                <w:szCs w:val="24"/>
                <w:u w:val="none"/>
                <w:lang w:val="en-US" w:eastAsia="zh-CN"/>
              </w:rPr>
            </w:pPr>
            <w:r>
              <w:rPr>
                <w:rFonts w:hint="eastAsia" w:ascii="宋体" w:hAnsi="宋体" w:eastAsia="宋体" w:cs="宋体"/>
                <w:i w:val="0"/>
                <w:iCs w:val="0"/>
                <w:color w:val="000000"/>
                <w:kern w:val="0"/>
                <w:sz w:val="24"/>
                <w:szCs w:val="24"/>
                <w:u w:val="none"/>
                <w:lang w:val="en-US" w:eastAsia="zh-CN"/>
              </w:rPr>
              <w:t>资金到位率=（实际到位资金/预算资金）×100%。</w:t>
            </w:r>
          </w:p>
          <w:p w14:paraId="1F33EC5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资金到位率=100%，得权重分满分，每降低1%，扣除5%权重分，扣完为止。</w:t>
            </w:r>
          </w:p>
        </w:tc>
        <w:tc>
          <w:tcPr>
            <w:tcW w:w="1105" w:type="dxa"/>
            <w:tcBorders>
              <w:top w:val="nil"/>
              <w:left w:val="nil"/>
              <w:bottom w:val="single" w:color="auto" w:sz="4" w:space="0"/>
              <w:right w:val="single" w:color="auto" w:sz="8" w:space="0"/>
            </w:tcBorders>
            <w:noWrap w:val="0"/>
            <w:vAlign w:val="center"/>
          </w:tcPr>
          <w:p w14:paraId="7C3C35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100%</w:t>
            </w:r>
          </w:p>
        </w:tc>
        <w:tc>
          <w:tcPr>
            <w:tcW w:w="796" w:type="dxa"/>
            <w:tcBorders>
              <w:top w:val="nil"/>
              <w:left w:val="nil"/>
              <w:bottom w:val="single" w:color="auto" w:sz="4" w:space="0"/>
              <w:right w:val="single" w:color="auto" w:sz="8" w:space="0"/>
            </w:tcBorders>
            <w:noWrap w:val="0"/>
            <w:vAlign w:val="center"/>
          </w:tcPr>
          <w:p w14:paraId="47F2BE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w:t>
            </w:r>
          </w:p>
        </w:tc>
      </w:tr>
      <w:tr w14:paraId="35294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 w:hRule="atLeast"/>
        </w:trPr>
        <w:tc>
          <w:tcPr>
            <w:tcW w:w="522" w:type="dxa"/>
            <w:vMerge w:val="continue"/>
            <w:tcBorders>
              <w:top w:val="nil"/>
              <w:left w:val="single" w:color="auto" w:sz="8" w:space="0"/>
              <w:bottom w:val="single" w:color="auto" w:sz="8" w:space="0"/>
              <w:right w:val="single" w:color="auto" w:sz="8" w:space="0"/>
            </w:tcBorders>
            <w:noWrap w:val="0"/>
            <w:vAlign w:val="center"/>
          </w:tcPr>
          <w:p w14:paraId="0AAF1C5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148553B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vMerge w:val="continue"/>
            <w:tcBorders>
              <w:top w:val="nil"/>
              <w:left w:val="nil"/>
              <w:bottom w:val="single" w:color="auto" w:sz="8" w:space="0"/>
              <w:right w:val="single" w:color="auto" w:sz="8" w:space="0"/>
            </w:tcBorders>
            <w:noWrap w:val="0"/>
            <w:vAlign w:val="center"/>
          </w:tcPr>
          <w:p w14:paraId="5EB8061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1DED3C6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816" w:type="dxa"/>
            <w:tcBorders>
              <w:top w:val="nil"/>
              <w:left w:val="nil"/>
              <w:bottom w:val="single" w:color="auto" w:sz="8" w:space="0"/>
              <w:right w:val="single" w:color="auto" w:sz="8" w:space="0"/>
            </w:tcBorders>
            <w:noWrap w:val="0"/>
            <w:vAlign w:val="center"/>
          </w:tcPr>
          <w:p w14:paraId="05A1F58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预算执行率</w:t>
            </w:r>
          </w:p>
        </w:tc>
        <w:tc>
          <w:tcPr>
            <w:tcW w:w="626" w:type="dxa"/>
            <w:tcBorders>
              <w:top w:val="nil"/>
              <w:left w:val="nil"/>
              <w:bottom w:val="single" w:color="auto" w:sz="8" w:space="0"/>
              <w:right w:val="single" w:color="auto" w:sz="8" w:space="0"/>
            </w:tcBorders>
            <w:noWrap w:val="0"/>
            <w:vAlign w:val="center"/>
          </w:tcPr>
          <w:p w14:paraId="24446F6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c>
          <w:tcPr>
            <w:tcW w:w="2399" w:type="dxa"/>
            <w:tcBorders>
              <w:top w:val="nil"/>
              <w:left w:val="nil"/>
              <w:bottom w:val="single" w:color="auto" w:sz="8" w:space="0"/>
              <w:right w:val="single" w:color="auto" w:sz="8" w:space="0"/>
            </w:tcBorders>
            <w:noWrap w:val="0"/>
            <w:vAlign w:val="center"/>
          </w:tcPr>
          <w:p w14:paraId="779693F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项目预算资金是否按照计划执行，用以反映或考核项目预算执行情况。</w:t>
            </w:r>
          </w:p>
        </w:tc>
        <w:tc>
          <w:tcPr>
            <w:tcW w:w="1101" w:type="dxa"/>
            <w:tcBorders>
              <w:top w:val="nil"/>
              <w:left w:val="nil"/>
              <w:bottom w:val="single" w:color="auto" w:sz="8" w:space="0"/>
              <w:right w:val="single" w:color="auto" w:sz="4" w:space="0"/>
            </w:tcBorders>
            <w:noWrap w:val="0"/>
            <w:vAlign w:val="center"/>
          </w:tcPr>
          <w:p w14:paraId="4ADF98C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100%</w:t>
            </w:r>
          </w:p>
        </w:tc>
        <w:tc>
          <w:tcPr>
            <w:tcW w:w="4211" w:type="dxa"/>
            <w:vMerge w:val="restart"/>
            <w:tcBorders>
              <w:top w:val="single" w:color="auto" w:sz="4" w:space="0"/>
              <w:left w:val="single" w:color="auto" w:sz="4" w:space="0"/>
              <w:right w:val="single" w:color="auto" w:sz="8" w:space="0"/>
            </w:tcBorders>
            <w:noWrap w:val="0"/>
            <w:vAlign w:val="center"/>
          </w:tcPr>
          <w:p w14:paraId="1469F48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4"/>
                <w:szCs w:val="24"/>
                <w:u w:val="none"/>
                <w:lang w:val="en-US" w:eastAsia="zh-CN"/>
              </w:rPr>
            </w:pPr>
            <w:r>
              <w:rPr>
                <w:rFonts w:hint="eastAsia" w:ascii="宋体" w:hAnsi="宋体" w:eastAsia="宋体" w:cs="宋体"/>
                <w:i w:val="0"/>
                <w:iCs w:val="0"/>
                <w:color w:val="000000"/>
                <w:kern w:val="0"/>
                <w:sz w:val="24"/>
                <w:szCs w:val="24"/>
                <w:u w:val="none"/>
                <w:lang w:val="en-US" w:eastAsia="zh-CN"/>
              </w:rPr>
              <w:t>预算执行率=（实际支出资金/实际到位资金）×100%。</w:t>
            </w:r>
          </w:p>
          <w:p w14:paraId="62ADF9D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预算执行率=100%，得权重分满分；若预算执行率＜100%，得分=预算执行率*分值；若执行率≤60%，则不得分。</w:t>
            </w:r>
          </w:p>
          <w:p w14:paraId="23E9064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①否符合国家财经法规和财务管理制度以及有关专项资金管理办法的规定；</w:t>
            </w:r>
          </w:p>
          <w:p w14:paraId="4959AB3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②资金的拨付是否有完整的审批程序和手续；</w:t>
            </w:r>
          </w:p>
          <w:p w14:paraId="5AB85AC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③是否符合项目预算批复或合同规定的用途；</w:t>
            </w:r>
          </w:p>
          <w:p w14:paraId="76AC7B8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④是否存在截留、挤占、挪用、虚列支出等情况。</w:t>
            </w:r>
          </w:p>
          <w:p w14:paraId="25D412C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以上每条指标各占权重分的25%，要素①②不符合，扣除对应权重分；要素③④不符合属于重大违纪，该指标不得分。</w:t>
            </w:r>
          </w:p>
        </w:tc>
        <w:tc>
          <w:tcPr>
            <w:tcW w:w="1105" w:type="dxa"/>
            <w:tcBorders>
              <w:top w:val="single" w:color="auto" w:sz="4" w:space="0"/>
              <w:left w:val="nil"/>
              <w:bottom w:val="single" w:color="auto" w:sz="8" w:space="0"/>
              <w:right w:val="single" w:color="auto" w:sz="8" w:space="0"/>
            </w:tcBorders>
            <w:noWrap w:val="0"/>
            <w:vAlign w:val="center"/>
          </w:tcPr>
          <w:p w14:paraId="73DB476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100.00%</w:t>
            </w:r>
          </w:p>
        </w:tc>
        <w:tc>
          <w:tcPr>
            <w:tcW w:w="796" w:type="dxa"/>
            <w:tcBorders>
              <w:top w:val="single" w:color="auto" w:sz="4" w:space="0"/>
              <w:left w:val="nil"/>
              <w:bottom w:val="single" w:color="auto" w:sz="8" w:space="0"/>
              <w:right w:val="single" w:color="auto" w:sz="4" w:space="0"/>
            </w:tcBorders>
            <w:noWrap w:val="0"/>
            <w:vAlign w:val="center"/>
          </w:tcPr>
          <w:p w14:paraId="349C824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w:t>
            </w:r>
          </w:p>
        </w:tc>
      </w:tr>
      <w:tr w14:paraId="7C73C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22" w:type="dxa"/>
            <w:vMerge w:val="continue"/>
            <w:tcBorders>
              <w:top w:val="nil"/>
              <w:left w:val="single" w:color="auto" w:sz="8" w:space="0"/>
              <w:bottom w:val="single" w:color="auto" w:sz="8" w:space="0"/>
              <w:right w:val="single" w:color="auto" w:sz="8" w:space="0"/>
            </w:tcBorders>
            <w:noWrap w:val="0"/>
            <w:vAlign w:val="center"/>
          </w:tcPr>
          <w:p w14:paraId="7E23E21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5E7C182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vMerge w:val="continue"/>
            <w:tcBorders>
              <w:top w:val="nil"/>
              <w:left w:val="nil"/>
              <w:bottom w:val="single" w:color="auto" w:sz="8" w:space="0"/>
              <w:right w:val="single" w:color="auto" w:sz="8" w:space="0"/>
            </w:tcBorders>
            <w:noWrap w:val="0"/>
            <w:vAlign w:val="center"/>
          </w:tcPr>
          <w:p w14:paraId="3D49D1D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6675800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816" w:type="dxa"/>
            <w:tcBorders>
              <w:top w:val="nil"/>
              <w:left w:val="nil"/>
              <w:bottom w:val="single" w:color="auto" w:sz="8" w:space="0"/>
              <w:right w:val="single" w:color="auto" w:sz="8" w:space="0"/>
            </w:tcBorders>
            <w:noWrap w:val="0"/>
            <w:vAlign w:val="center"/>
          </w:tcPr>
          <w:p w14:paraId="539B7AF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资金使用合规性</w:t>
            </w:r>
          </w:p>
        </w:tc>
        <w:tc>
          <w:tcPr>
            <w:tcW w:w="626" w:type="dxa"/>
            <w:tcBorders>
              <w:top w:val="nil"/>
              <w:left w:val="nil"/>
              <w:bottom w:val="single" w:color="auto" w:sz="8" w:space="0"/>
              <w:right w:val="single" w:color="auto" w:sz="8" w:space="0"/>
            </w:tcBorders>
            <w:noWrap w:val="0"/>
            <w:vAlign w:val="center"/>
          </w:tcPr>
          <w:p w14:paraId="544C640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3</w:t>
            </w:r>
          </w:p>
        </w:tc>
        <w:tc>
          <w:tcPr>
            <w:tcW w:w="2399" w:type="dxa"/>
            <w:tcBorders>
              <w:top w:val="nil"/>
              <w:left w:val="nil"/>
              <w:bottom w:val="single" w:color="auto" w:sz="8" w:space="0"/>
              <w:right w:val="single" w:color="auto" w:sz="8" w:space="0"/>
            </w:tcBorders>
            <w:noWrap w:val="0"/>
            <w:vAlign w:val="center"/>
          </w:tcPr>
          <w:p w14:paraId="439FCBC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项目资金使用是否符合相关的财务管理制度规定，用以反映和考核项目资金的规范运行情况。</w:t>
            </w:r>
          </w:p>
        </w:tc>
        <w:tc>
          <w:tcPr>
            <w:tcW w:w="1101" w:type="dxa"/>
            <w:tcBorders>
              <w:top w:val="nil"/>
              <w:left w:val="nil"/>
              <w:bottom w:val="single" w:color="auto" w:sz="8" w:space="0"/>
              <w:right w:val="single" w:color="auto" w:sz="4" w:space="0"/>
            </w:tcBorders>
            <w:noWrap w:val="0"/>
            <w:vAlign w:val="center"/>
          </w:tcPr>
          <w:p w14:paraId="57E238C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合规</w:t>
            </w:r>
          </w:p>
        </w:tc>
        <w:tc>
          <w:tcPr>
            <w:tcW w:w="4211" w:type="dxa"/>
            <w:vMerge w:val="continue"/>
            <w:tcBorders>
              <w:left w:val="single" w:color="auto" w:sz="4" w:space="0"/>
              <w:bottom w:val="single" w:color="auto" w:sz="4" w:space="0"/>
              <w:right w:val="single" w:color="auto" w:sz="8" w:space="0"/>
            </w:tcBorders>
            <w:noWrap w:val="0"/>
            <w:vAlign w:val="center"/>
          </w:tcPr>
          <w:p w14:paraId="7EFF1E6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p>
        </w:tc>
        <w:tc>
          <w:tcPr>
            <w:tcW w:w="1105" w:type="dxa"/>
            <w:tcBorders>
              <w:top w:val="nil"/>
              <w:left w:val="nil"/>
              <w:bottom w:val="single" w:color="auto" w:sz="4" w:space="0"/>
              <w:right w:val="single" w:color="auto" w:sz="8" w:space="0"/>
            </w:tcBorders>
            <w:noWrap w:val="0"/>
            <w:vAlign w:val="center"/>
          </w:tcPr>
          <w:p w14:paraId="67F39CC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合规</w:t>
            </w:r>
          </w:p>
        </w:tc>
        <w:tc>
          <w:tcPr>
            <w:tcW w:w="796" w:type="dxa"/>
            <w:tcBorders>
              <w:top w:val="nil"/>
              <w:left w:val="nil"/>
              <w:bottom w:val="single" w:color="auto" w:sz="4" w:space="0"/>
              <w:right w:val="single" w:color="auto" w:sz="4" w:space="0"/>
            </w:tcBorders>
            <w:noWrap w:val="0"/>
            <w:vAlign w:val="center"/>
          </w:tcPr>
          <w:p w14:paraId="1C3A737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3</w:t>
            </w:r>
          </w:p>
        </w:tc>
      </w:tr>
      <w:tr w14:paraId="69DDC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0" w:hRule="atLeast"/>
        </w:trPr>
        <w:tc>
          <w:tcPr>
            <w:tcW w:w="522" w:type="dxa"/>
            <w:vMerge w:val="continue"/>
            <w:tcBorders>
              <w:top w:val="nil"/>
              <w:left w:val="single" w:color="auto" w:sz="8" w:space="0"/>
              <w:bottom w:val="single" w:color="auto" w:sz="8" w:space="0"/>
              <w:right w:val="single" w:color="auto" w:sz="8" w:space="0"/>
            </w:tcBorders>
            <w:noWrap w:val="0"/>
            <w:vAlign w:val="center"/>
          </w:tcPr>
          <w:p w14:paraId="5A08C1B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0A01882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vMerge w:val="restart"/>
            <w:tcBorders>
              <w:top w:val="nil"/>
              <w:left w:val="nil"/>
              <w:bottom w:val="single" w:color="auto" w:sz="8" w:space="0"/>
              <w:right w:val="single" w:color="auto" w:sz="8" w:space="0"/>
            </w:tcBorders>
            <w:noWrap w:val="0"/>
            <w:vAlign w:val="center"/>
          </w:tcPr>
          <w:p w14:paraId="78DF686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组织实施</w:t>
            </w:r>
          </w:p>
        </w:tc>
        <w:tc>
          <w:tcPr>
            <w:tcW w:w="587" w:type="dxa"/>
            <w:vMerge w:val="restart"/>
            <w:tcBorders>
              <w:top w:val="nil"/>
              <w:left w:val="nil"/>
              <w:bottom w:val="single" w:color="auto" w:sz="8" w:space="0"/>
              <w:right w:val="single" w:color="auto" w:sz="8" w:space="0"/>
            </w:tcBorders>
            <w:noWrap w:val="0"/>
            <w:vAlign w:val="center"/>
          </w:tcPr>
          <w:p w14:paraId="6CE6EBB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6</w:t>
            </w:r>
          </w:p>
        </w:tc>
        <w:tc>
          <w:tcPr>
            <w:tcW w:w="816" w:type="dxa"/>
            <w:tcBorders>
              <w:top w:val="nil"/>
              <w:left w:val="nil"/>
              <w:bottom w:val="single" w:color="auto" w:sz="8" w:space="0"/>
              <w:right w:val="single" w:color="auto" w:sz="8" w:space="0"/>
            </w:tcBorders>
            <w:noWrap w:val="0"/>
            <w:vAlign w:val="center"/>
          </w:tcPr>
          <w:p w14:paraId="4582EC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管理制度健全性</w:t>
            </w:r>
          </w:p>
        </w:tc>
        <w:tc>
          <w:tcPr>
            <w:tcW w:w="626" w:type="dxa"/>
            <w:tcBorders>
              <w:top w:val="nil"/>
              <w:left w:val="nil"/>
              <w:bottom w:val="single" w:color="auto" w:sz="8" w:space="0"/>
              <w:right w:val="single" w:color="auto" w:sz="8" w:space="0"/>
            </w:tcBorders>
            <w:noWrap w:val="0"/>
            <w:vAlign w:val="center"/>
          </w:tcPr>
          <w:p w14:paraId="16E29E6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3</w:t>
            </w:r>
          </w:p>
        </w:tc>
        <w:tc>
          <w:tcPr>
            <w:tcW w:w="2399" w:type="dxa"/>
            <w:tcBorders>
              <w:top w:val="nil"/>
              <w:left w:val="nil"/>
              <w:bottom w:val="single" w:color="auto" w:sz="8" w:space="0"/>
              <w:right w:val="single" w:color="auto" w:sz="8" w:space="0"/>
            </w:tcBorders>
            <w:noWrap w:val="0"/>
            <w:vAlign w:val="center"/>
          </w:tcPr>
          <w:p w14:paraId="17CCE68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项目实施单位的财务和业务管理制度是否健全，用以反映和考核财务和业务管理制度对项目顺利实施的保障情况。</w:t>
            </w:r>
          </w:p>
        </w:tc>
        <w:tc>
          <w:tcPr>
            <w:tcW w:w="1101" w:type="dxa"/>
            <w:tcBorders>
              <w:top w:val="nil"/>
              <w:left w:val="nil"/>
              <w:bottom w:val="single" w:color="auto" w:sz="8" w:space="0"/>
              <w:right w:val="single" w:color="auto" w:sz="8" w:space="0"/>
            </w:tcBorders>
            <w:noWrap w:val="0"/>
            <w:vAlign w:val="center"/>
          </w:tcPr>
          <w:p w14:paraId="56B27CD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健全</w:t>
            </w:r>
          </w:p>
        </w:tc>
        <w:tc>
          <w:tcPr>
            <w:tcW w:w="4211" w:type="dxa"/>
            <w:tcBorders>
              <w:top w:val="single" w:color="auto" w:sz="4" w:space="0"/>
              <w:left w:val="nil"/>
              <w:bottom w:val="single" w:color="auto" w:sz="8" w:space="0"/>
              <w:right w:val="single" w:color="auto" w:sz="8" w:space="0"/>
            </w:tcBorders>
            <w:noWrap w:val="0"/>
            <w:vAlign w:val="center"/>
          </w:tcPr>
          <w:p w14:paraId="70BA0B7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4"/>
                <w:szCs w:val="24"/>
                <w:u w:val="none"/>
                <w:lang w:val="en-US" w:eastAsia="zh-CN"/>
              </w:rPr>
            </w:pPr>
            <w:r>
              <w:rPr>
                <w:rFonts w:hint="eastAsia" w:ascii="宋体" w:hAnsi="宋体" w:eastAsia="宋体" w:cs="宋体"/>
                <w:i w:val="0"/>
                <w:iCs w:val="0"/>
                <w:color w:val="000000"/>
                <w:kern w:val="0"/>
                <w:sz w:val="24"/>
                <w:szCs w:val="24"/>
                <w:u w:val="none"/>
                <w:lang w:val="en-US" w:eastAsia="zh-CN"/>
              </w:rPr>
              <w:t>①是否已制定或具有相应的财务和业务管理制度；</w:t>
            </w:r>
          </w:p>
          <w:p w14:paraId="4919622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②财务和业务管理制度是否合法、合规、完整。</w:t>
            </w:r>
          </w:p>
          <w:p w14:paraId="4802EED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以上每条要素各占权重的50%，每有一条不符合，扣除对应的权重分，扣完为止。</w:t>
            </w:r>
          </w:p>
        </w:tc>
        <w:tc>
          <w:tcPr>
            <w:tcW w:w="1105" w:type="dxa"/>
            <w:tcBorders>
              <w:top w:val="single" w:color="auto" w:sz="4" w:space="0"/>
              <w:left w:val="nil"/>
              <w:bottom w:val="single" w:color="auto" w:sz="8" w:space="0"/>
              <w:right w:val="single" w:color="auto" w:sz="8" w:space="0"/>
            </w:tcBorders>
            <w:noWrap w:val="0"/>
            <w:vAlign w:val="center"/>
          </w:tcPr>
          <w:p w14:paraId="6CAC130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健全</w:t>
            </w:r>
          </w:p>
        </w:tc>
        <w:tc>
          <w:tcPr>
            <w:tcW w:w="796" w:type="dxa"/>
            <w:tcBorders>
              <w:top w:val="single" w:color="auto" w:sz="4" w:space="0"/>
              <w:left w:val="nil"/>
              <w:bottom w:val="single" w:color="auto" w:sz="8" w:space="0"/>
              <w:right w:val="single" w:color="auto" w:sz="8" w:space="0"/>
            </w:tcBorders>
            <w:noWrap w:val="0"/>
            <w:vAlign w:val="center"/>
          </w:tcPr>
          <w:p w14:paraId="562072C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3</w:t>
            </w:r>
          </w:p>
        </w:tc>
      </w:tr>
      <w:tr w14:paraId="5892E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3" w:hRule="atLeast"/>
        </w:trPr>
        <w:tc>
          <w:tcPr>
            <w:tcW w:w="522" w:type="dxa"/>
            <w:vMerge w:val="continue"/>
            <w:tcBorders>
              <w:top w:val="nil"/>
              <w:left w:val="single" w:color="auto" w:sz="8" w:space="0"/>
              <w:bottom w:val="single" w:color="auto" w:sz="4" w:space="0"/>
              <w:right w:val="single" w:color="auto" w:sz="8" w:space="0"/>
            </w:tcBorders>
            <w:noWrap w:val="0"/>
            <w:vAlign w:val="center"/>
          </w:tcPr>
          <w:p w14:paraId="661A604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4" w:space="0"/>
              <w:right w:val="single" w:color="auto" w:sz="8" w:space="0"/>
            </w:tcBorders>
            <w:noWrap w:val="0"/>
            <w:vAlign w:val="center"/>
          </w:tcPr>
          <w:p w14:paraId="4C662A6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vMerge w:val="continue"/>
            <w:tcBorders>
              <w:top w:val="nil"/>
              <w:left w:val="nil"/>
              <w:bottom w:val="single" w:color="auto" w:sz="4" w:space="0"/>
              <w:right w:val="single" w:color="auto" w:sz="8" w:space="0"/>
            </w:tcBorders>
            <w:noWrap w:val="0"/>
            <w:vAlign w:val="center"/>
          </w:tcPr>
          <w:p w14:paraId="0C92CD4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4" w:space="0"/>
              <w:right w:val="single" w:color="auto" w:sz="8" w:space="0"/>
            </w:tcBorders>
            <w:noWrap w:val="0"/>
            <w:vAlign w:val="center"/>
          </w:tcPr>
          <w:p w14:paraId="01345B2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816" w:type="dxa"/>
            <w:tcBorders>
              <w:top w:val="nil"/>
              <w:left w:val="nil"/>
              <w:bottom w:val="single" w:color="auto" w:sz="4" w:space="0"/>
              <w:right w:val="single" w:color="auto" w:sz="8" w:space="0"/>
            </w:tcBorders>
            <w:noWrap w:val="0"/>
            <w:vAlign w:val="center"/>
          </w:tcPr>
          <w:p w14:paraId="15BA268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制度执行有效性</w:t>
            </w:r>
          </w:p>
        </w:tc>
        <w:tc>
          <w:tcPr>
            <w:tcW w:w="626" w:type="dxa"/>
            <w:tcBorders>
              <w:top w:val="nil"/>
              <w:left w:val="nil"/>
              <w:bottom w:val="single" w:color="auto" w:sz="4" w:space="0"/>
              <w:right w:val="nil"/>
            </w:tcBorders>
            <w:noWrap w:val="0"/>
            <w:vAlign w:val="center"/>
          </w:tcPr>
          <w:p w14:paraId="2475E66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3</w:t>
            </w:r>
          </w:p>
        </w:tc>
        <w:tc>
          <w:tcPr>
            <w:tcW w:w="2399" w:type="dxa"/>
            <w:tcBorders>
              <w:top w:val="single" w:color="auto" w:sz="4" w:space="0"/>
              <w:left w:val="single" w:color="auto" w:sz="4" w:space="0"/>
              <w:bottom w:val="single" w:color="auto" w:sz="4" w:space="0"/>
              <w:right w:val="single" w:color="auto" w:sz="4" w:space="0"/>
            </w:tcBorders>
            <w:noWrap w:val="0"/>
            <w:vAlign w:val="center"/>
          </w:tcPr>
          <w:p w14:paraId="4D9F60C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项目实施是否符合相关管理规定，用以反映和考核相关管理制度的有效执行情况。</w:t>
            </w:r>
          </w:p>
        </w:tc>
        <w:tc>
          <w:tcPr>
            <w:tcW w:w="1101" w:type="dxa"/>
            <w:tcBorders>
              <w:top w:val="nil"/>
              <w:left w:val="nil"/>
              <w:bottom w:val="single" w:color="auto" w:sz="4" w:space="0"/>
              <w:right w:val="single" w:color="auto" w:sz="8" w:space="0"/>
            </w:tcBorders>
            <w:noWrap w:val="0"/>
            <w:vAlign w:val="center"/>
          </w:tcPr>
          <w:p w14:paraId="7894607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有效</w:t>
            </w:r>
          </w:p>
        </w:tc>
        <w:tc>
          <w:tcPr>
            <w:tcW w:w="4211" w:type="dxa"/>
            <w:tcBorders>
              <w:top w:val="nil"/>
              <w:left w:val="nil"/>
              <w:bottom w:val="single" w:color="auto" w:sz="4" w:space="0"/>
              <w:right w:val="single" w:color="auto" w:sz="8" w:space="0"/>
            </w:tcBorders>
            <w:noWrap w:val="0"/>
            <w:vAlign w:val="center"/>
          </w:tcPr>
          <w:p w14:paraId="1A859D5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4"/>
                <w:szCs w:val="24"/>
                <w:u w:val="none"/>
                <w:lang w:val="en-US" w:eastAsia="zh-CN"/>
              </w:rPr>
            </w:pPr>
            <w:r>
              <w:rPr>
                <w:rFonts w:hint="eastAsia" w:ascii="宋体" w:hAnsi="宋体" w:eastAsia="宋体" w:cs="宋体"/>
                <w:i w:val="0"/>
                <w:iCs w:val="0"/>
                <w:color w:val="000000"/>
                <w:kern w:val="0"/>
                <w:sz w:val="24"/>
                <w:szCs w:val="24"/>
                <w:u w:val="none"/>
                <w:lang w:val="en-US" w:eastAsia="zh-CN"/>
              </w:rPr>
              <w:t>①否遵守相关法律法规和相关管理规定；</w:t>
            </w:r>
          </w:p>
          <w:p w14:paraId="499A6BA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②项目调整及支出调整手续是否完备；</w:t>
            </w:r>
          </w:p>
          <w:p w14:paraId="2187F9B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③项目资料是否齐全并及时归档。</w:t>
            </w:r>
          </w:p>
          <w:p w14:paraId="6FB4ED5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①②③齐全得权重分的100%，缺①扣权重分的30%，缺②扣权重分的40%，缺③扣权重分的30%。</w:t>
            </w:r>
          </w:p>
        </w:tc>
        <w:tc>
          <w:tcPr>
            <w:tcW w:w="1105" w:type="dxa"/>
            <w:tcBorders>
              <w:top w:val="nil"/>
              <w:left w:val="nil"/>
              <w:bottom w:val="single" w:color="auto" w:sz="4" w:space="0"/>
              <w:right w:val="single" w:color="auto" w:sz="8" w:space="0"/>
            </w:tcBorders>
            <w:noWrap w:val="0"/>
            <w:vAlign w:val="center"/>
          </w:tcPr>
          <w:p w14:paraId="1B761B2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有效</w:t>
            </w:r>
          </w:p>
        </w:tc>
        <w:tc>
          <w:tcPr>
            <w:tcW w:w="796" w:type="dxa"/>
            <w:tcBorders>
              <w:top w:val="nil"/>
              <w:left w:val="nil"/>
              <w:bottom w:val="single" w:color="auto" w:sz="4" w:space="0"/>
              <w:right w:val="single" w:color="auto" w:sz="8" w:space="0"/>
            </w:tcBorders>
            <w:noWrap w:val="0"/>
            <w:vAlign w:val="center"/>
          </w:tcPr>
          <w:p w14:paraId="381F8E8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3</w:t>
            </w:r>
          </w:p>
        </w:tc>
      </w:tr>
      <w:tr w14:paraId="6F132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522" w:type="dxa"/>
            <w:vMerge w:val="restart"/>
            <w:tcBorders>
              <w:top w:val="single" w:color="auto" w:sz="4" w:space="0"/>
              <w:left w:val="single" w:color="auto" w:sz="4" w:space="0"/>
              <w:bottom w:val="single" w:color="auto" w:sz="4" w:space="0"/>
              <w:right w:val="single" w:color="auto" w:sz="4" w:space="0"/>
            </w:tcBorders>
            <w:noWrap w:val="0"/>
            <w:vAlign w:val="center"/>
          </w:tcPr>
          <w:p w14:paraId="7CE7A58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项目产出</w:t>
            </w:r>
          </w:p>
        </w:tc>
        <w:tc>
          <w:tcPr>
            <w:tcW w:w="587" w:type="dxa"/>
            <w:vMerge w:val="restart"/>
            <w:tcBorders>
              <w:top w:val="single" w:color="auto" w:sz="4" w:space="0"/>
              <w:left w:val="single" w:color="auto" w:sz="4" w:space="0"/>
              <w:bottom w:val="single" w:color="auto" w:sz="4" w:space="0"/>
              <w:right w:val="single" w:color="auto" w:sz="4" w:space="0"/>
            </w:tcBorders>
            <w:noWrap w:val="0"/>
            <w:vAlign w:val="center"/>
          </w:tcPr>
          <w:p w14:paraId="3A6B22F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40</w:t>
            </w:r>
          </w:p>
        </w:tc>
        <w:tc>
          <w:tcPr>
            <w:tcW w:w="522" w:type="dxa"/>
            <w:tcBorders>
              <w:top w:val="single" w:color="auto" w:sz="4" w:space="0"/>
              <w:left w:val="single" w:color="auto" w:sz="4" w:space="0"/>
              <w:bottom w:val="single" w:color="auto" w:sz="4" w:space="0"/>
              <w:right w:val="single" w:color="auto" w:sz="4" w:space="0"/>
            </w:tcBorders>
            <w:noWrap w:val="0"/>
            <w:vAlign w:val="center"/>
          </w:tcPr>
          <w:p w14:paraId="290F329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产出数量</w:t>
            </w:r>
          </w:p>
        </w:tc>
        <w:tc>
          <w:tcPr>
            <w:tcW w:w="587" w:type="dxa"/>
            <w:tcBorders>
              <w:top w:val="single" w:color="auto" w:sz="4" w:space="0"/>
              <w:left w:val="single" w:color="auto" w:sz="4" w:space="0"/>
              <w:bottom w:val="single" w:color="auto" w:sz="4" w:space="0"/>
              <w:right w:val="single" w:color="auto" w:sz="4" w:space="0"/>
            </w:tcBorders>
            <w:noWrap w:val="0"/>
            <w:vAlign w:val="center"/>
          </w:tcPr>
          <w:p w14:paraId="5B5EE0E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w:t>
            </w:r>
          </w:p>
        </w:tc>
        <w:tc>
          <w:tcPr>
            <w:tcW w:w="816" w:type="dxa"/>
            <w:tcBorders>
              <w:top w:val="single" w:color="auto" w:sz="4" w:space="0"/>
              <w:left w:val="single" w:color="auto" w:sz="4" w:space="0"/>
              <w:bottom w:val="single" w:color="auto" w:sz="4" w:space="0"/>
              <w:right w:val="single" w:color="auto" w:sz="4" w:space="0"/>
            </w:tcBorders>
            <w:noWrap w:val="0"/>
            <w:vAlign w:val="center"/>
          </w:tcPr>
          <w:p w14:paraId="61555A9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实际完成率</w:t>
            </w:r>
          </w:p>
        </w:tc>
        <w:tc>
          <w:tcPr>
            <w:tcW w:w="626" w:type="dxa"/>
            <w:tcBorders>
              <w:top w:val="single" w:color="auto" w:sz="4" w:space="0"/>
              <w:left w:val="single" w:color="auto" w:sz="4" w:space="0"/>
              <w:bottom w:val="single" w:color="auto" w:sz="4" w:space="0"/>
              <w:right w:val="single" w:color="auto" w:sz="4" w:space="0"/>
            </w:tcBorders>
            <w:noWrap w:val="0"/>
            <w:vAlign w:val="center"/>
          </w:tcPr>
          <w:p w14:paraId="2120DEB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w:t>
            </w:r>
          </w:p>
        </w:tc>
        <w:tc>
          <w:tcPr>
            <w:tcW w:w="2399" w:type="dxa"/>
            <w:tcBorders>
              <w:top w:val="single" w:color="auto" w:sz="4" w:space="0"/>
              <w:left w:val="single" w:color="auto" w:sz="4" w:space="0"/>
              <w:bottom w:val="single" w:color="auto" w:sz="4" w:space="0"/>
              <w:right w:val="single" w:color="auto" w:sz="4" w:space="0"/>
            </w:tcBorders>
            <w:noWrap/>
            <w:vAlign w:val="center"/>
          </w:tcPr>
          <w:p w14:paraId="6DA6D51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购置图书、期刊及报刊</w:t>
            </w:r>
          </w:p>
        </w:tc>
        <w:tc>
          <w:tcPr>
            <w:tcW w:w="1101" w:type="dxa"/>
            <w:tcBorders>
              <w:top w:val="single" w:color="auto" w:sz="4" w:space="0"/>
              <w:left w:val="single" w:color="auto" w:sz="4" w:space="0"/>
              <w:bottom w:val="single" w:color="auto" w:sz="4" w:space="0"/>
              <w:right w:val="single" w:color="auto" w:sz="4" w:space="0"/>
            </w:tcBorders>
            <w:noWrap w:val="0"/>
            <w:vAlign w:val="center"/>
          </w:tcPr>
          <w:p w14:paraId="271BB2D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1批</w:t>
            </w:r>
          </w:p>
        </w:tc>
        <w:tc>
          <w:tcPr>
            <w:tcW w:w="4211" w:type="dxa"/>
            <w:tcBorders>
              <w:top w:val="single" w:color="auto" w:sz="4" w:space="0"/>
              <w:left w:val="single" w:color="auto" w:sz="4" w:space="0"/>
              <w:bottom w:val="single" w:color="auto" w:sz="4" w:space="0"/>
              <w:right w:val="single" w:color="auto" w:sz="4" w:space="0"/>
            </w:tcBorders>
            <w:noWrap w:val="0"/>
            <w:vAlign w:val="center"/>
          </w:tcPr>
          <w:p w14:paraId="1BB593F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实际完成率=（实际完成/预期完成）×100%。①实际完成率≥100%，且偏离程度＜20%，得满分；②实际完成率≥100%，偏离程度≥20%，得0分；③实际完成率×100%＜100%，得分=实际完成率×指标分值。</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3EAB35D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1批</w:t>
            </w:r>
          </w:p>
        </w:tc>
        <w:tc>
          <w:tcPr>
            <w:tcW w:w="796" w:type="dxa"/>
            <w:tcBorders>
              <w:top w:val="single" w:color="auto" w:sz="4" w:space="0"/>
              <w:left w:val="single" w:color="auto" w:sz="4" w:space="0"/>
              <w:bottom w:val="single" w:color="auto" w:sz="4" w:space="0"/>
              <w:right w:val="single" w:color="auto" w:sz="4" w:space="0"/>
            </w:tcBorders>
            <w:noWrap w:val="0"/>
            <w:vAlign w:val="center"/>
          </w:tcPr>
          <w:p w14:paraId="0A380E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w:t>
            </w:r>
          </w:p>
        </w:tc>
      </w:tr>
      <w:tr w14:paraId="5D869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22" w:type="dxa"/>
            <w:vMerge w:val="continue"/>
            <w:tcBorders>
              <w:top w:val="single" w:color="auto" w:sz="4" w:space="0"/>
              <w:left w:val="single" w:color="auto" w:sz="4" w:space="0"/>
              <w:bottom w:val="single" w:color="auto" w:sz="8" w:space="0"/>
              <w:right w:val="single" w:color="auto" w:sz="8" w:space="0"/>
            </w:tcBorders>
            <w:noWrap w:val="0"/>
            <w:vAlign w:val="center"/>
          </w:tcPr>
          <w:p w14:paraId="1E17100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single" w:color="auto" w:sz="4" w:space="0"/>
              <w:left w:val="nil"/>
              <w:bottom w:val="single" w:color="auto" w:sz="8" w:space="0"/>
              <w:right w:val="single" w:color="auto" w:sz="8" w:space="0"/>
            </w:tcBorders>
            <w:noWrap w:val="0"/>
            <w:vAlign w:val="center"/>
          </w:tcPr>
          <w:p w14:paraId="7D1DECA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tcBorders>
              <w:top w:val="single" w:color="auto" w:sz="4" w:space="0"/>
              <w:left w:val="nil"/>
              <w:bottom w:val="single" w:color="auto" w:sz="8" w:space="0"/>
              <w:right w:val="single" w:color="auto" w:sz="8" w:space="0"/>
            </w:tcBorders>
            <w:noWrap w:val="0"/>
            <w:vAlign w:val="center"/>
          </w:tcPr>
          <w:p w14:paraId="6FF9210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产出质量</w:t>
            </w:r>
          </w:p>
        </w:tc>
        <w:tc>
          <w:tcPr>
            <w:tcW w:w="587" w:type="dxa"/>
            <w:tcBorders>
              <w:top w:val="single" w:color="auto" w:sz="4" w:space="0"/>
              <w:left w:val="nil"/>
              <w:bottom w:val="single" w:color="auto" w:sz="8" w:space="0"/>
              <w:right w:val="single" w:color="auto" w:sz="8" w:space="0"/>
            </w:tcBorders>
            <w:noWrap w:val="0"/>
            <w:vAlign w:val="center"/>
          </w:tcPr>
          <w:p w14:paraId="5250192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w:t>
            </w:r>
          </w:p>
        </w:tc>
        <w:tc>
          <w:tcPr>
            <w:tcW w:w="816" w:type="dxa"/>
            <w:tcBorders>
              <w:top w:val="single" w:color="auto" w:sz="4" w:space="0"/>
              <w:left w:val="nil"/>
              <w:bottom w:val="single" w:color="auto" w:sz="8" w:space="0"/>
              <w:right w:val="single" w:color="auto" w:sz="8" w:space="0"/>
            </w:tcBorders>
            <w:noWrap w:val="0"/>
            <w:vAlign w:val="center"/>
          </w:tcPr>
          <w:p w14:paraId="16C2937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质量达标率</w:t>
            </w:r>
          </w:p>
        </w:tc>
        <w:tc>
          <w:tcPr>
            <w:tcW w:w="626" w:type="dxa"/>
            <w:tcBorders>
              <w:top w:val="single" w:color="auto" w:sz="4" w:space="0"/>
              <w:left w:val="nil"/>
              <w:bottom w:val="single" w:color="auto" w:sz="8" w:space="0"/>
              <w:right w:val="nil"/>
            </w:tcBorders>
            <w:noWrap w:val="0"/>
            <w:vAlign w:val="center"/>
          </w:tcPr>
          <w:p w14:paraId="3658A4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w:t>
            </w:r>
          </w:p>
        </w:tc>
        <w:tc>
          <w:tcPr>
            <w:tcW w:w="2399" w:type="dxa"/>
            <w:tcBorders>
              <w:top w:val="single" w:color="auto" w:sz="4" w:space="0"/>
              <w:left w:val="single" w:color="auto" w:sz="4" w:space="0"/>
              <w:bottom w:val="nil"/>
              <w:right w:val="single" w:color="auto" w:sz="4" w:space="0"/>
            </w:tcBorders>
            <w:noWrap/>
            <w:vAlign w:val="center"/>
          </w:tcPr>
          <w:p w14:paraId="500278E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资金使用合规率</w:t>
            </w:r>
          </w:p>
        </w:tc>
        <w:tc>
          <w:tcPr>
            <w:tcW w:w="1101" w:type="dxa"/>
            <w:tcBorders>
              <w:top w:val="single" w:color="auto" w:sz="4" w:space="0"/>
              <w:left w:val="nil"/>
              <w:bottom w:val="single" w:color="auto" w:sz="8" w:space="0"/>
              <w:right w:val="nil"/>
            </w:tcBorders>
            <w:noWrap w:val="0"/>
            <w:vAlign w:val="center"/>
          </w:tcPr>
          <w:p w14:paraId="59A87E1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100%</w:t>
            </w:r>
          </w:p>
        </w:tc>
        <w:tc>
          <w:tcPr>
            <w:tcW w:w="4211" w:type="dxa"/>
            <w:tcBorders>
              <w:top w:val="single" w:color="auto" w:sz="4" w:space="0"/>
              <w:left w:val="single" w:color="auto" w:sz="4" w:space="0"/>
              <w:bottom w:val="single" w:color="auto" w:sz="4" w:space="0"/>
              <w:right w:val="single" w:color="auto" w:sz="4" w:space="0"/>
            </w:tcBorders>
            <w:noWrap w:val="0"/>
            <w:vAlign w:val="center"/>
          </w:tcPr>
          <w:p w14:paraId="2B53C40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若指标达到标杆值，则得100%权重分；否则，得分=（实际完成/预期完成）×100%×指标分值。若指标完成值达到标杆值，则得100%权重分；否则，不得分。</w:t>
            </w:r>
          </w:p>
        </w:tc>
        <w:tc>
          <w:tcPr>
            <w:tcW w:w="1105" w:type="dxa"/>
            <w:tcBorders>
              <w:top w:val="single" w:color="auto" w:sz="4" w:space="0"/>
              <w:left w:val="nil"/>
              <w:bottom w:val="single" w:color="auto" w:sz="8" w:space="0"/>
              <w:right w:val="single" w:color="auto" w:sz="8" w:space="0"/>
            </w:tcBorders>
            <w:noWrap w:val="0"/>
            <w:vAlign w:val="center"/>
          </w:tcPr>
          <w:p w14:paraId="76EFBF7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100%</w:t>
            </w:r>
          </w:p>
        </w:tc>
        <w:tc>
          <w:tcPr>
            <w:tcW w:w="796" w:type="dxa"/>
            <w:tcBorders>
              <w:top w:val="single" w:color="auto" w:sz="4" w:space="0"/>
              <w:left w:val="nil"/>
              <w:bottom w:val="single" w:color="auto" w:sz="8" w:space="0"/>
              <w:right w:val="single" w:color="auto" w:sz="8" w:space="0"/>
            </w:tcBorders>
            <w:noWrap w:val="0"/>
            <w:vAlign w:val="center"/>
          </w:tcPr>
          <w:p w14:paraId="37F567E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w:t>
            </w:r>
          </w:p>
        </w:tc>
      </w:tr>
      <w:tr w14:paraId="49D17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22" w:type="dxa"/>
            <w:vMerge w:val="continue"/>
            <w:tcBorders>
              <w:top w:val="nil"/>
              <w:left w:val="single" w:color="auto" w:sz="4" w:space="0"/>
              <w:bottom w:val="single" w:color="auto" w:sz="8" w:space="0"/>
              <w:right w:val="single" w:color="auto" w:sz="8" w:space="0"/>
            </w:tcBorders>
            <w:noWrap w:val="0"/>
            <w:vAlign w:val="center"/>
          </w:tcPr>
          <w:p w14:paraId="2AEF431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4C409E2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vMerge w:val="restart"/>
            <w:tcBorders>
              <w:top w:val="nil"/>
              <w:left w:val="nil"/>
              <w:bottom w:val="single" w:color="auto" w:sz="8" w:space="0"/>
              <w:right w:val="single" w:color="auto" w:sz="8" w:space="0"/>
            </w:tcBorders>
            <w:noWrap w:val="0"/>
            <w:vAlign w:val="center"/>
          </w:tcPr>
          <w:p w14:paraId="4945B8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产出时效</w:t>
            </w:r>
          </w:p>
        </w:tc>
        <w:tc>
          <w:tcPr>
            <w:tcW w:w="587" w:type="dxa"/>
            <w:vMerge w:val="restart"/>
            <w:tcBorders>
              <w:top w:val="nil"/>
              <w:left w:val="nil"/>
              <w:bottom w:val="single" w:color="auto" w:sz="8" w:space="0"/>
              <w:right w:val="single" w:color="auto" w:sz="8" w:space="0"/>
            </w:tcBorders>
            <w:noWrap w:val="0"/>
            <w:vAlign w:val="center"/>
          </w:tcPr>
          <w:p w14:paraId="51655A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w:t>
            </w:r>
          </w:p>
        </w:tc>
        <w:tc>
          <w:tcPr>
            <w:tcW w:w="816" w:type="dxa"/>
            <w:vMerge w:val="restart"/>
            <w:tcBorders>
              <w:top w:val="nil"/>
              <w:left w:val="nil"/>
              <w:bottom w:val="single" w:color="auto" w:sz="8" w:space="0"/>
              <w:right w:val="single" w:color="auto" w:sz="8" w:space="0"/>
            </w:tcBorders>
            <w:noWrap w:val="0"/>
            <w:vAlign w:val="center"/>
          </w:tcPr>
          <w:p w14:paraId="00EAB5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完成及时率</w:t>
            </w:r>
          </w:p>
        </w:tc>
        <w:tc>
          <w:tcPr>
            <w:tcW w:w="626" w:type="dxa"/>
            <w:vMerge w:val="restart"/>
            <w:tcBorders>
              <w:top w:val="nil"/>
              <w:left w:val="nil"/>
              <w:bottom w:val="single" w:color="auto" w:sz="8" w:space="0"/>
              <w:right w:val="nil"/>
            </w:tcBorders>
            <w:noWrap w:val="0"/>
            <w:vAlign w:val="center"/>
          </w:tcPr>
          <w:p w14:paraId="19BB685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w:t>
            </w:r>
          </w:p>
        </w:tc>
        <w:tc>
          <w:tcPr>
            <w:tcW w:w="2399" w:type="dxa"/>
            <w:tcBorders>
              <w:top w:val="single" w:color="auto" w:sz="4" w:space="0"/>
              <w:left w:val="single" w:color="auto" w:sz="4" w:space="0"/>
              <w:bottom w:val="single" w:color="auto" w:sz="4" w:space="0"/>
              <w:right w:val="single" w:color="auto" w:sz="4" w:space="0"/>
            </w:tcBorders>
            <w:noWrap/>
            <w:vAlign w:val="center"/>
          </w:tcPr>
          <w:p w14:paraId="2066A59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项目完成时间</w:t>
            </w:r>
          </w:p>
        </w:tc>
        <w:tc>
          <w:tcPr>
            <w:tcW w:w="1101" w:type="dxa"/>
            <w:tcBorders>
              <w:top w:val="nil"/>
              <w:left w:val="nil"/>
              <w:bottom w:val="single" w:color="auto" w:sz="8" w:space="0"/>
              <w:right w:val="single" w:color="auto" w:sz="8" w:space="0"/>
            </w:tcBorders>
            <w:noWrap w:val="0"/>
            <w:vAlign w:val="center"/>
          </w:tcPr>
          <w:p w14:paraId="0715979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2024年12月</w:t>
            </w:r>
          </w:p>
        </w:tc>
        <w:tc>
          <w:tcPr>
            <w:tcW w:w="4211" w:type="dxa"/>
            <w:tcBorders>
              <w:top w:val="nil"/>
              <w:left w:val="nil"/>
              <w:bottom w:val="nil"/>
              <w:right w:val="single" w:color="auto" w:sz="8" w:space="0"/>
            </w:tcBorders>
            <w:noWrap w:val="0"/>
            <w:vAlign w:val="center"/>
          </w:tcPr>
          <w:p w14:paraId="37A6265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若指标完成值达到标杆值，则得100%权重分；否则，得分=（实际完成/预期完成）×100%×指标分值。</w:t>
            </w:r>
          </w:p>
        </w:tc>
        <w:tc>
          <w:tcPr>
            <w:tcW w:w="1105" w:type="dxa"/>
            <w:tcBorders>
              <w:top w:val="nil"/>
              <w:left w:val="nil"/>
              <w:bottom w:val="single" w:color="auto" w:sz="8" w:space="0"/>
              <w:right w:val="single" w:color="auto" w:sz="8" w:space="0"/>
            </w:tcBorders>
            <w:noWrap w:val="0"/>
            <w:vAlign w:val="center"/>
          </w:tcPr>
          <w:p w14:paraId="619FA76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2024年12月</w:t>
            </w:r>
          </w:p>
        </w:tc>
        <w:tc>
          <w:tcPr>
            <w:tcW w:w="796" w:type="dxa"/>
            <w:tcBorders>
              <w:top w:val="nil"/>
              <w:left w:val="nil"/>
              <w:bottom w:val="single" w:color="auto" w:sz="8" w:space="0"/>
              <w:right w:val="single" w:color="auto" w:sz="8" w:space="0"/>
            </w:tcBorders>
            <w:noWrap w:val="0"/>
            <w:vAlign w:val="center"/>
          </w:tcPr>
          <w:p w14:paraId="3E8F501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5</w:t>
            </w:r>
          </w:p>
        </w:tc>
      </w:tr>
      <w:tr w14:paraId="3CC71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trPr>
        <w:tc>
          <w:tcPr>
            <w:tcW w:w="522" w:type="dxa"/>
            <w:vMerge w:val="continue"/>
            <w:tcBorders>
              <w:top w:val="nil"/>
              <w:left w:val="single" w:color="auto" w:sz="4" w:space="0"/>
              <w:bottom w:val="single" w:color="auto" w:sz="8" w:space="0"/>
              <w:right w:val="single" w:color="auto" w:sz="8" w:space="0"/>
            </w:tcBorders>
            <w:noWrap w:val="0"/>
            <w:vAlign w:val="center"/>
          </w:tcPr>
          <w:p w14:paraId="739C133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7FCCCEC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vMerge w:val="continue"/>
            <w:tcBorders>
              <w:top w:val="nil"/>
              <w:left w:val="nil"/>
              <w:bottom w:val="single" w:color="auto" w:sz="8" w:space="0"/>
              <w:right w:val="single" w:color="auto" w:sz="8" w:space="0"/>
            </w:tcBorders>
            <w:noWrap w:val="0"/>
            <w:vAlign w:val="center"/>
          </w:tcPr>
          <w:p w14:paraId="27963C8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5438B28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816" w:type="dxa"/>
            <w:vMerge w:val="continue"/>
            <w:tcBorders>
              <w:top w:val="nil"/>
              <w:left w:val="nil"/>
              <w:bottom w:val="single" w:color="auto" w:sz="8" w:space="0"/>
              <w:right w:val="single" w:color="auto" w:sz="8" w:space="0"/>
            </w:tcBorders>
            <w:noWrap w:val="0"/>
            <w:vAlign w:val="center"/>
          </w:tcPr>
          <w:p w14:paraId="0CF6148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626" w:type="dxa"/>
            <w:vMerge w:val="continue"/>
            <w:tcBorders>
              <w:top w:val="nil"/>
              <w:left w:val="nil"/>
              <w:bottom w:val="single" w:color="auto" w:sz="8" w:space="0"/>
              <w:right w:val="nil"/>
            </w:tcBorders>
            <w:noWrap w:val="0"/>
            <w:vAlign w:val="center"/>
          </w:tcPr>
          <w:p w14:paraId="7F6EF37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2399" w:type="dxa"/>
            <w:tcBorders>
              <w:top w:val="single" w:color="auto" w:sz="4" w:space="0"/>
              <w:left w:val="single" w:color="auto" w:sz="4" w:space="0"/>
              <w:bottom w:val="single" w:color="auto" w:sz="4" w:space="0"/>
              <w:right w:val="single" w:color="auto" w:sz="4" w:space="0"/>
            </w:tcBorders>
            <w:noWrap/>
            <w:vAlign w:val="center"/>
          </w:tcPr>
          <w:p w14:paraId="203BF0C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项目完成及时率</w:t>
            </w:r>
          </w:p>
        </w:tc>
        <w:tc>
          <w:tcPr>
            <w:tcW w:w="1101" w:type="dxa"/>
            <w:tcBorders>
              <w:top w:val="nil"/>
              <w:left w:val="nil"/>
              <w:bottom w:val="single" w:color="auto" w:sz="8" w:space="0"/>
              <w:right w:val="single" w:color="auto" w:sz="8" w:space="0"/>
            </w:tcBorders>
            <w:noWrap w:val="0"/>
            <w:vAlign w:val="center"/>
          </w:tcPr>
          <w:p w14:paraId="03CAEF9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100%</w:t>
            </w:r>
          </w:p>
        </w:tc>
        <w:tc>
          <w:tcPr>
            <w:tcW w:w="4211" w:type="dxa"/>
            <w:tcBorders>
              <w:top w:val="nil"/>
              <w:left w:val="nil"/>
              <w:bottom w:val="nil"/>
              <w:right w:val="single" w:color="auto" w:sz="8" w:space="0"/>
            </w:tcBorders>
            <w:noWrap w:val="0"/>
            <w:vAlign w:val="center"/>
          </w:tcPr>
          <w:p w14:paraId="50FEAEE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若在规定时间内完成，得100%权重分；若未在规定的时间内完成，得分=（1-未在规定时间内完成工作数/实际完成工作总数）×分值。</w:t>
            </w:r>
          </w:p>
        </w:tc>
        <w:tc>
          <w:tcPr>
            <w:tcW w:w="1105" w:type="dxa"/>
            <w:tcBorders>
              <w:top w:val="nil"/>
              <w:left w:val="nil"/>
              <w:bottom w:val="single" w:color="auto" w:sz="4" w:space="0"/>
              <w:right w:val="single" w:color="auto" w:sz="8" w:space="0"/>
            </w:tcBorders>
            <w:noWrap w:val="0"/>
            <w:vAlign w:val="center"/>
          </w:tcPr>
          <w:p w14:paraId="35A72DD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100%</w:t>
            </w:r>
          </w:p>
        </w:tc>
        <w:tc>
          <w:tcPr>
            <w:tcW w:w="796" w:type="dxa"/>
            <w:tcBorders>
              <w:top w:val="nil"/>
              <w:left w:val="nil"/>
              <w:bottom w:val="single" w:color="auto" w:sz="4" w:space="0"/>
              <w:right w:val="single" w:color="auto" w:sz="8" w:space="0"/>
            </w:tcBorders>
            <w:noWrap w:val="0"/>
            <w:vAlign w:val="center"/>
          </w:tcPr>
          <w:p w14:paraId="11A8A5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5</w:t>
            </w:r>
          </w:p>
        </w:tc>
      </w:tr>
      <w:tr w14:paraId="6BC51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22" w:type="dxa"/>
            <w:vMerge w:val="continue"/>
            <w:tcBorders>
              <w:top w:val="nil"/>
              <w:left w:val="single" w:color="auto" w:sz="4" w:space="0"/>
              <w:bottom w:val="single" w:color="auto" w:sz="8" w:space="0"/>
              <w:right w:val="single" w:color="auto" w:sz="8" w:space="0"/>
            </w:tcBorders>
            <w:noWrap w:val="0"/>
            <w:vAlign w:val="center"/>
          </w:tcPr>
          <w:p w14:paraId="24A38EA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482F932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vMerge w:val="restart"/>
            <w:tcBorders>
              <w:top w:val="nil"/>
              <w:left w:val="nil"/>
              <w:bottom w:val="single" w:color="auto" w:sz="8" w:space="0"/>
              <w:right w:val="single" w:color="auto" w:sz="8" w:space="0"/>
            </w:tcBorders>
            <w:noWrap w:val="0"/>
            <w:vAlign w:val="center"/>
          </w:tcPr>
          <w:p w14:paraId="0954B30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产出成本</w:t>
            </w:r>
          </w:p>
        </w:tc>
        <w:tc>
          <w:tcPr>
            <w:tcW w:w="587" w:type="dxa"/>
            <w:vMerge w:val="restart"/>
            <w:tcBorders>
              <w:top w:val="nil"/>
              <w:left w:val="nil"/>
              <w:bottom w:val="single" w:color="auto" w:sz="8" w:space="0"/>
              <w:right w:val="single" w:color="auto" w:sz="8" w:space="0"/>
            </w:tcBorders>
            <w:noWrap w:val="0"/>
            <w:vAlign w:val="center"/>
          </w:tcPr>
          <w:p w14:paraId="691CA52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w:t>
            </w:r>
          </w:p>
        </w:tc>
        <w:tc>
          <w:tcPr>
            <w:tcW w:w="816" w:type="dxa"/>
            <w:vMerge w:val="restart"/>
            <w:tcBorders>
              <w:top w:val="nil"/>
              <w:left w:val="nil"/>
              <w:bottom w:val="single" w:color="auto" w:sz="8" w:space="0"/>
              <w:right w:val="single" w:color="auto" w:sz="8" w:space="0"/>
            </w:tcBorders>
            <w:noWrap w:val="0"/>
            <w:vAlign w:val="center"/>
          </w:tcPr>
          <w:p w14:paraId="05CB41B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成本节约率</w:t>
            </w:r>
          </w:p>
        </w:tc>
        <w:tc>
          <w:tcPr>
            <w:tcW w:w="626" w:type="dxa"/>
            <w:vMerge w:val="restart"/>
            <w:tcBorders>
              <w:top w:val="nil"/>
              <w:left w:val="nil"/>
              <w:bottom w:val="single" w:color="auto" w:sz="8" w:space="0"/>
              <w:right w:val="nil"/>
            </w:tcBorders>
            <w:noWrap w:val="0"/>
            <w:vAlign w:val="center"/>
          </w:tcPr>
          <w:p w14:paraId="42CEBC1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w:t>
            </w:r>
          </w:p>
        </w:tc>
        <w:tc>
          <w:tcPr>
            <w:tcW w:w="2399" w:type="dxa"/>
            <w:tcBorders>
              <w:top w:val="single" w:color="auto" w:sz="4" w:space="0"/>
              <w:left w:val="single" w:color="auto" w:sz="4" w:space="0"/>
              <w:bottom w:val="single" w:color="auto" w:sz="4" w:space="0"/>
              <w:right w:val="single" w:color="auto" w:sz="4" w:space="0"/>
            </w:tcBorders>
            <w:noWrap/>
            <w:vAlign w:val="center"/>
          </w:tcPr>
          <w:p w14:paraId="1F2776A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图书、期刊报刊等活动费用</w:t>
            </w:r>
          </w:p>
        </w:tc>
        <w:tc>
          <w:tcPr>
            <w:tcW w:w="1101" w:type="dxa"/>
            <w:tcBorders>
              <w:top w:val="nil"/>
              <w:left w:val="nil"/>
              <w:bottom w:val="single" w:color="auto" w:sz="8" w:space="0"/>
              <w:right w:val="nil"/>
            </w:tcBorders>
            <w:noWrap w:val="0"/>
            <w:vAlign w:val="center"/>
          </w:tcPr>
          <w:p w14:paraId="6FBBF49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≤4.33万元</w:t>
            </w:r>
          </w:p>
        </w:tc>
        <w:tc>
          <w:tcPr>
            <w:tcW w:w="4211" w:type="dxa"/>
            <w:vMerge w:val="restart"/>
            <w:tcBorders>
              <w:top w:val="single" w:color="auto" w:sz="4" w:space="0"/>
              <w:left w:val="single" w:color="auto" w:sz="4" w:space="0"/>
              <w:right w:val="single" w:color="auto" w:sz="4" w:space="0"/>
            </w:tcBorders>
            <w:noWrap w:val="0"/>
            <w:vAlign w:val="center"/>
          </w:tcPr>
          <w:p w14:paraId="628AF7C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4"/>
                <w:szCs w:val="24"/>
                <w:u w:val="none"/>
                <w:lang w:val="en-US" w:eastAsia="zh-CN"/>
              </w:rPr>
            </w:pPr>
            <w:r>
              <w:rPr>
                <w:rFonts w:hint="eastAsia" w:ascii="宋体" w:hAnsi="宋体" w:eastAsia="宋体" w:cs="宋体"/>
                <w:i w:val="0"/>
                <w:iCs w:val="0"/>
                <w:color w:val="000000"/>
                <w:kern w:val="0"/>
                <w:sz w:val="24"/>
                <w:szCs w:val="24"/>
                <w:u w:val="none"/>
                <w:lang w:val="en-US" w:eastAsia="zh-CN"/>
              </w:rPr>
              <w:t>实际完成率=（实际支付资金数/计划应支付资金数）×100%。</w:t>
            </w:r>
          </w:p>
          <w:p w14:paraId="1F41CD3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①实际完成率＞年度指标值，得0得分；</w:t>
            </w:r>
          </w:p>
          <w:p w14:paraId="14C39BE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②实际完成率≤年度指标值，且偏离程度＜20%，得满分；③实际完成率＜年度指标值，且偏离程度≥20%，得分=实际完成率×分值。</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2EA0040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3.63万元</w:t>
            </w:r>
          </w:p>
        </w:tc>
        <w:tc>
          <w:tcPr>
            <w:tcW w:w="796" w:type="dxa"/>
            <w:tcBorders>
              <w:top w:val="single" w:color="auto" w:sz="4" w:space="0"/>
              <w:left w:val="single" w:color="auto" w:sz="4" w:space="0"/>
              <w:bottom w:val="single" w:color="auto" w:sz="4" w:space="0"/>
              <w:right w:val="single" w:color="auto" w:sz="4" w:space="0"/>
            </w:tcBorders>
            <w:noWrap w:val="0"/>
            <w:vAlign w:val="center"/>
          </w:tcPr>
          <w:p w14:paraId="4EF83D4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rPr>
              <w:t>2.52</w:t>
            </w:r>
          </w:p>
        </w:tc>
      </w:tr>
      <w:tr w14:paraId="6A760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2" w:type="dxa"/>
            <w:vMerge w:val="continue"/>
            <w:tcBorders>
              <w:top w:val="nil"/>
              <w:left w:val="single" w:color="auto" w:sz="4" w:space="0"/>
              <w:bottom w:val="single" w:color="auto" w:sz="8" w:space="0"/>
              <w:right w:val="single" w:color="auto" w:sz="8" w:space="0"/>
            </w:tcBorders>
            <w:noWrap w:val="0"/>
            <w:vAlign w:val="center"/>
          </w:tcPr>
          <w:p w14:paraId="22EBDB1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2820B90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vMerge w:val="continue"/>
            <w:tcBorders>
              <w:top w:val="nil"/>
              <w:left w:val="nil"/>
              <w:bottom w:val="single" w:color="auto" w:sz="8" w:space="0"/>
              <w:right w:val="single" w:color="auto" w:sz="8" w:space="0"/>
            </w:tcBorders>
            <w:noWrap w:val="0"/>
            <w:vAlign w:val="center"/>
          </w:tcPr>
          <w:p w14:paraId="5E16686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1E48480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816" w:type="dxa"/>
            <w:vMerge w:val="continue"/>
            <w:tcBorders>
              <w:top w:val="nil"/>
              <w:left w:val="nil"/>
              <w:bottom w:val="single" w:color="auto" w:sz="8" w:space="0"/>
              <w:right w:val="single" w:color="auto" w:sz="8" w:space="0"/>
            </w:tcBorders>
            <w:noWrap w:val="0"/>
            <w:vAlign w:val="center"/>
          </w:tcPr>
          <w:p w14:paraId="1ADB965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626" w:type="dxa"/>
            <w:vMerge w:val="continue"/>
            <w:tcBorders>
              <w:top w:val="nil"/>
              <w:left w:val="nil"/>
              <w:bottom w:val="single" w:color="auto" w:sz="8" w:space="0"/>
              <w:right w:val="nil"/>
            </w:tcBorders>
            <w:noWrap w:val="0"/>
            <w:vAlign w:val="center"/>
          </w:tcPr>
          <w:p w14:paraId="4F902C7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2399" w:type="dxa"/>
            <w:tcBorders>
              <w:top w:val="single" w:color="auto" w:sz="4" w:space="0"/>
              <w:left w:val="single" w:color="auto" w:sz="4" w:space="0"/>
              <w:bottom w:val="single" w:color="auto" w:sz="4" w:space="0"/>
              <w:right w:val="single" w:color="auto" w:sz="4" w:space="0"/>
            </w:tcBorders>
            <w:noWrap/>
            <w:vAlign w:val="center"/>
          </w:tcPr>
          <w:p w14:paraId="1C36A65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其他活动费用</w:t>
            </w:r>
          </w:p>
        </w:tc>
        <w:tc>
          <w:tcPr>
            <w:tcW w:w="1101" w:type="dxa"/>
            <w:tcBorders>
              <w:top w:val="nil"/>
              <w:left w:val="nil"/>
              <w:bottom w:val="single" w:color="auto" w:sz="8" w:space="0"/>
              <w:right w:val="nil"/>
            </w:tcBorders>
            <w:noWrap w:val="0"/>
            <w:vAlign w:val="center"/>
          </w:tcPr>
          <w:p w14:paraId="72CADDD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≤8.15万元</w:t>
            </w:r>
          </w:p>
        </w:tc>
        <w:tc>
          <w:tcPr>
            <w:tcW w:w="4211" w:type="dxa"/>
            <w:vMerge w:val="continue"/>
            <w:tcBorders>
              <w:left w:val="single" w:color="auto" w:sz="4" w:space="0"/>
              <w:right w:val="single" w:color="auto" w:sz="4" w:space="0"/>
            </w:tcBorders>
            <w:noWrap w:val="0"/>
            <w:vAlign w:val="center"/>
          </w:tcPr>
          <w:p w14:paraId="348DA1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29C97FA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8.15万元</w:t>
            </w:r>
          </w:p>
        </w:tc>
        <w:tc>
          <w:tcPr>
            <w:tcW w:w="796" w:type="dxa"/>
            <w:tcBorders>
              <w:top w:val="single" w:color="auto" w:sz="4" w:space="0"/>
              <w:left w:val="single" w:color="auto" w:sz="4" w:space="0"/>
              <w:bottom w:val="single" w:color="auto" w:sz="4" w:space="0"/>
              <w:right w:val="single" w:color="auto" w:sz="4" w:space="0"/>
            </w:tcBorders>
            <w:noWrap w:val="0"/>
            <w:vAlign w:val="center"/>
          </w:tcPr>
          <w:p w14:paraId="58512F5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4</w:t>
            </w:r>
          </w:p>
        </w:tc>
      </w:tr>
      <w:tr w14:paraId="07B5C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522" w:type="dxa"/>
            <w:vMerge w:val="continue"/>
            <w:tcBorders>
              <w:top w:val="nil"/>
              <w:left w:val="single" w:color="auto" w:sz="4" w:space="0"/>
              <w:bottom w:val="single" w:color="auto" w:sz="8" w:space="0"/>
              <w:right w:val="single" w:color="auto" w:sz="8" w:space="0"/>
            </w:tcBorders>
            <w:noWrap w:val="0"/>
            <w:vAlign w:val="center"/>
          </w:tcPr>
          <w:p w14:paraId="60A0016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6E8F7A5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vMerge w:val="continue"/>
            <w:tcBorders>
              <w:top w:val="nil"/>
              <w:left w:val="nil"/>
              <w:bottom w:val="single" w:color="auto" w:sz="8" w:space="0"/>
              <w:right w:val="single" w:color="auto" w:sz="8" w:space="0"/>
            </w:tcBorders>
            <w:noWrap w:val="0"/>
            <w:vAlign w:val="center"/>
          </w:tcPr>
          <w:p w14:paraId="397DD87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7A8D2B8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816" w:type="dxa"/>
            <w:vMerge w:val="continue"/>
            <w:tcBorders>
              <w:top w:val="nil"/>
              <w:left w:val="nil"/>
              <w:bottom w:val="single" w:color="auto" w:sz="8" w:space="0"/>
              <w:right w:val="single" w:color="auto" w:sz="8" w:space="0"/>
            </w:tcBorders>
            <w:noWrap w:val="0"/>
            <w:vAlign w:val="center"/>
          </w:tcPr>
          <w:p w14:paraId="248DD0E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626" w:type="dxa"/>
            <w:vMerge w:val="continue"/>
            <w:tcBorders>
              <w:top w:val="nil"/>
              <w:left w:val="nil"/>
              <w:bottom w:val="single" w:color="auto" w:sz="8" w:space="0"/>
              <w:right w:val="nil"/>
            </w:tcBorders>
            <w:noWrap w:val="0"/>
            <w:vAlign w:val="center"/>
          </w:tcPr>
          <w:p w14:paraId="6E3033A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2399" w:type="dxa"/>
            <w:tcBorders>
              <w:top w:val="single" w:color="auto" w:sz="4" w:space="0"/>
              <w:left w:val="single" w:color="auto" w:sz="4" w:space="0"/>
              <w:bottom w:val="single" w:color="auto" w:sz="4" w:space="0"/>
              <w:right w:val="single" w:color="auto" w:sz="4" w:space="0"/>
            </w:tcBorders>
            <w:noWrap/>
            <w:vAlign w:val="center"/>
          </w:tcPr>
          <w:p w14:paraId="32351F4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图书馆维修费</w:t>
            </w:r>
          </w:p>
        </w:tc>
        <w:tc>
          <w:tcPr>
            <w:tcW w:w="1101" w:type="dxa"/>
            <w:tcBorders>
              <w:top w:val="nil"/>
              <w:left w:val="nil"/>
              <w:bottom w:val="single" w:color="auto" w:sz="8" w:space="0"/>
              <w:right w:val="nil"/>
            </w:tcBorders>
            <w:noWrap w:val="0"/>
            <w:vAlign w:val="center"/>
          </w:tcPr>
          <w:p w14:paraId="26E3647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≤3.63万元</w:t>
            </w:r>
          </w:p>
        </w:tc>
        <w:tc>
          <w:tcPr>
            <w:tcW w:w="4211" w:type="dxa"/>
            <w:vMerge w:val="continue"/>
            <w:tcBorders>
              <w:left w:val="single" w:color="auto" w:sz="4" w:space="0"/>
              <w:bottom w:val="single" w:color="auto" w:sz="4" w:space="0"/>
              <w:right w:val="single" w:color="auto" w:sz="4" w:space="0"/>
            </w:tcBorders>
            <w:noWrap w:val="0"/>
            <w:vAlign w:val="center"/>
          </w:tcPr>
          <w:p w14:paraId="1D131F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5565329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4.33万元</w:t>
            </w:r>
          </w:p>
        </w:tc>
        <w:tc>
          <w:tcPr>
            <w:tcW w:w="796" w:type="dxa"/>
            <w:tcBorders>
              <w:top w:val="single" w:color="auto" w:sz="4" w:space="0"/>
              <w:left w:val="single" w:color="auto" w:sz="4" w:space="0"/>
              <w:bottom w:val="single" w:color="auto" w:sz="4" w:space="0"/>
              <w:right w:val="single" w:color="auto" w:sz="4" w:space="0"/>
            </w:tcBorders>
            <w:noWrap w:val="0"/>
            <w:vAlign w:val="center"/>
          </w:tcPr>
          <w:p w14:paraId="1E663F6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0</w:t>
            </w:r>
          </w:p>
        </w:tc>
      </w:tr>
      <w:tr w14:paraId="0DBD9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trPr>
        <w:tc>
          <w:tcPr>
            <w:tcW w:w="522" w:type="dxa"/>
            <w:vMerge w:val="restart"/>
            <w:tcBorders>
              <w:top w:val="nil"/>
              <w:left w:val="single" w:color="auto" w:sz="8" w:space="0"/>
              <w:bottom w:val="single" w:color="auto" w:sz="8" w:space="0"/>
              <w:right w:val="single" w:color="auto" w:sz="8" w:space="0"/>
            </w:tcBorders>
            <w:noWrap w:val="0"/>
            <w:vAlign w:val="center"/>
          </w:tcPr>
          <w:p w14:paraId="5407891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项目效益</w:t>
            </w:r>
          </w:p>
        </w:tc>
        <w:tc>
          <w:tcPr>
            <w:tcW w:w="587" w:type="dxa"/>
            <w:vMerge w:val="restart"/>
            <w:tcBorders>
              <w:top w:val="nil"/>
              <w:left w:val="nil"/>
              <w:bottom w:val="single" w:color="auto" w:sz="8" w:space="0"/>
              <w:right w:val="single" w:color="auto" w:sz="8" w:space="0"/>
            </w:tcBorders>
            <w:noWrap w:val="0"/>
            <w:vAlign w:val="center"/>
          </w:tcPr>
          <w:p w14:paraId="788958F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25</w:t>
            </w:r>
          </w:p>
        </w:tc>
        <w:tc>
          <w:tcPr>
            <w:tcW w:w="522" w:type="dxa"/>
            <w:vMerge w:val="restart"/>
            <w:tcBorders>
              <w:top w:val="nil"/>
              <w:left w:val="nil"/>
              <w:bottom w:val="single" w:color="auto" w:sz="8" w:space="0"/>
              <w:right w:val="single" w:color="auto" w:sz="8" w:space="0"/>
            </w:tcBorders>
            <w:noWrap w:val="0"/>
            <w:vAlign w:val="center"/>
          </w:tcPr>
          <w:p w14:paraId="1904D26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项目效益</w:t>
            </w:r>
          </w:p>
        </w:tc>
        <w:tc>
          <w:tcPr>
            <w:tcW w:w="587" w:type="dxa"/>
            <w:vMerge w:val="restart"/>
            <w:tcBorders>
              <w:top w:val="nil"/>
              <w:left w:val="nil"/>
              <w:bottom w:val="single" w:color="auto" w:sz="8" w:space="0"/>
              <w:right w:val="single" w:color="auto" w:sz="8" w:space="0"/>
            </w:tcBorders>
            <w:noWrap w:val="0"/>
            <w:vAlign w:val="center"/>
          </w:tcPr>
          <w:p w14:paraId="3ED8D4E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25</w:t>
            </w:r>
          </w:p>
        </w:tc>
        <w:tc>
          <w:tcPr>
            <w:tcW w:w="816" w:type="dxa"/>
            <w:tcBorders>
              <w:top w:val="nil"/>
              <w:left w:val="nil"/>
              <w:bottom w:val="single" w:color="auto" w:sz="8" w:space="0"/>
              <w:right w:val="single" w:color="auto" w:sz="8" w:space="0"/>
            </w:tcBorders>
            <w:noWrap w:val="0"/>
            <w:vAlign w:val="center"/>
          </w:tcPr>
          <w:p w14:paraId="1F94A35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社会效益</w:t>
            </w:r>
          </w:p>
        </w:tc>
        <w:tc>
          <w:tcPr>
            <w:tcW w:w="626" w:type="dxa"/>
            <w:tcBorders>
              <w:top w:val="nil"/>
              <w:left w:val="nil"/>
              <w:bottom w:val="single" w:color="auto" w:sz="8" w:space="0"/>
              <w:right w:val="nil"/>
            </w:tcBorders>
            <w:noWrap w:val="0"/>
            <w:vAlign w:val="center"/>
          </w:tcPr>
          <w:p w14:paraId="0A71492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15</w:t>
            </w:r>
          </w:p>
        </w:tc>
        <w:tc>
          <w:tcPr>
            <w:tcW w:w="2399" w:type="dxa"/>
            <w:tcBorders>
              <w:top w:val="single" w:color="auto" w:sz="4" w:space="0"/>
              <w:left w:val="single" w:color="auto" w:sz="4" w:space="0"/>
              <w:bottom w:val="single" w:color="auto" w:sz="4" w:space="0"/>
              <w:right w:val="single" w:color="auto" w:sz="4" w:space="0"/>
            </w:tcBorders>
            <w:noWrap/>
            <w:vAlign w:val="center"/>
          </w:tcPr>
          <w:p w14:paraId="6D4B3E4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公共文化服务体系建设</w:t>
            </w:r>
          </w:p>
        </w:tc>
        <w:tc>
          <w:tcPr>
            <w:tcW w:w="1101" w:type="dxa"/>
            <w:tcBorders>
              <w:top w:val="nil"/>
              <w:left w:val="nil"/>
              <w:bottom w:val="single" w:color="auto" w:sz="8" w:space="0"/>
              <w:right w:val="single" w:color="auto" w:sz="8" w:space="0"/>
            </w:tcBorders>
            <w:noWrap w:val="0"/>
            <w:vAlign w:val="center"/>
          </w:tcPr>
          <w:p w14:paraId="0B7BD26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有效促进</w:t>
            </w:r>
          </w:p>
        </w:tc>
        <w:tc>
          <w:tcPr>
            <w:tcW w:w="4211" w:type="dxa"/>
            <w:tcBorders>
              <w:top w:val="nil"/>
              <w:left w:val="nil"/>
              <w:bottom w:val="single" w:color="auto" w:sz="8" w:space="0"/>
              <w:right w:val="single" w:color="auto" w:sz="8" w:space="0"/>
            </w:tcBorders>
            <w:noWrap w:val="0"/>
            <w:vAlign w:val="center"/>
          </w:tcPr>
          <w:p w14:paraId="41FA995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按评判等级赋分。分为基本达成目标、部分实现目标、实现目标程度较低三个档次，并分别按照该指标对应分值区间100%-80%（含）、80%-60%（含）、60%-0%合理确定分值。</w:t>
            </w:r>
          </w:p>
        </w:tc>
        <w:tc>
          <w:tcPr>
            <w:tcW w:w="1105" w:type="dxa"/>
            <w:tcBorders>
              <w:top w:val="single" w:color="auto" w:sz="4" w:space="0"/>
              <w:left w:val="nil"/>
              <w:bottom w:val="single" w:color="auto" w:sz="8" w:space="0"/>
              <w:right w:val="single" w:color="auto" w:sz="8" w:space="0"/>
            </w:tcBorders>
            <w:noWrap w:val="0"/>
            <w:vAlign w:val="center"/>
          </w:tcPr>
          <w:p w14:paraId="7E43CE6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有效促进</w:t>
            </w:r>
          </w:p>
        </w:tc>
        <w:tc>
          <w:tcPr>
            <w:tcW w:w="796" w:type="dxa"/>
            <w:tcBorders>
              <w:top w:val="single" w:color="auto" w:sz="4" w:space="0"/>
              <w:left w:val="nil"/>
              <w:bottom w:val="single" w:color="auto" w:sz="8" w:space="0"/>
              <w:right w:val="single" w:color="auto" w:sz="8" w:space="0"/>
            </w:tcBorders>
            <w:noWrap w:val="0"/>
            <w:vAlign w:val="center"/>
          </w:tcPr>
          <w:p w14:paraId="01A4F6B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15</w:t>
            </w:r>
          </w:p>
        </w:tc>
      </w:tr>
      <w:tr w14:paraId="68FB6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22" w:type="dxa"/>
            <w:vMerge w:val="continue"/>
            <w:tcBorders>
              <w:top w:val="nil"/>
              <w:left w:val="single" w:color="auto" w:sz="8" w:space="0"/>
              <w:bottom w:val="single" w:color="auto" w:sz="8" w:space="0"/>
              <w:right w:val="single" w:color="auto" w:sz="8" w:space="0"/>
            </w:tcBorders>
            <w:noWrap w:val="0"/>
            <w:vAlign w:val="center"/>
          </w:tcPr>
          <w:p w14:paraId="0EE6EF8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57AD551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22" w:type="dxa"/>
            <w:vMerge w:val="continue"/>
            <w:tcBorders>
              <w:top w:val="nil"/>
              <w:left w:val="nil"/>
              <w:bottom w:val="single" w:color="auto" w:sz="8" w:space="0"/>
              <w:right w:val="single" w:color="auto" w:sz="8" w:space="0"/>
            </w:tcBorders>
            <w:noWrap w:val="0"/>
            <w:vAlign w:val="center"/>
          </w:tcPr>
          <w:p w14:paraId="236270B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vMerge w:val="continue"/>
            <w:tcBorders>
              <w:top w:val="nil"/>
              <w:left w:val="nil"/>
              <w:bottom w:val="single" w:color="auto" w:sz="8" w:space="0"/>
              <w:right w:val="single" w:color="auto" w:sz="8" w:space="0"/>
            </w:tcBorders>
            <w:noWrap w:val="0"/>
            <w:vAlign w:val="center"/>
          </w:tcPr>
          <w:p w14:paraId="521F243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816" w:type="dxa"/>
            <w:tcBorders>
              <w:top w:val="nil"/>
              <w:left w:val="nil"/>
              <w:bottom w:val="single" w:color="auto" w:sz="8" w:space="0"/>
              <w:right w:val="single" w:color="auto" w:sz="8" w:space="0"/>
            </w:tcBorders>
            <w:noWrap w:val="0"/>
            <w:vAlign w:val="center"/>
          </w:tcPr>
          <w:p w14:paraId="2E8BF7C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服务对象满意度</w:t>
            </w:r>
          </w:p>
        </w:tc>
        <w:tc>
          <w:tcPr>
            <w:tcW w:w="626" w:type="dxa"/>
            <w:tcBorders>
              <w:top w:val="nil"/>
              <w:left w:val="nil"/>
              <w:bottom w:val="single" w:color="auto" w:sz="8" w:space="0"/>
              <w:right w:val="nil"/>
            </w:tcBorders>
            <w:noWrap w:val="0"/>
            <w:vAlign w:val="center"/>
          </w:tcPr>
          <w:p w14:paraId="4EF21E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w:t>
            </w:r>
          </w:p>
        </w:tc>
        <w:tc>
          <w:tcPr>
            <w:tcW w:w="2399" w:type="dxa"/>
            <w:tcBorders>
              <w:top w:val="single" w:color="auto" w:sz="4" w:space="0"/>
              <w:left w:val="single" w:color="auto" w:sz="4" w:space="0"/>
              <w:bottom w:val="single" w:color="auto" w:sz="4" w:space="0"/>
              <w:right w:val="single" w:color="auto" w:sz="4" w:space="0"/>
            </w:tcBorders>
            <w:noWrap/>
            <w:vAlign w:val="center"/>
          </w:tcPr>
          <w:p w14:paraId="1DDB36E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受益人员满意度</w:t>
            </w:r>
          </w:p>
        </w:tc>
        <w:tc>
          <w:tcPr>
            <w:tcW w:w="1101" w:type="dxa"/>
            <w:tcBorders>
              <w:top w:val="nil"/>
              <w:left w:val="nil"/>
              <w:bottom w:val="single" w:color="auto" w:sz="8" w:space="0"/>
              <w:right w:val="single" w:color="auto" w:sz="8" w:space="0"/>
            </w:tcBorders>
            <w:noWrap w:val="0"/>
            <w:vAlign w:val="center"/>
          </w:tcPr>
          <w:p w14:paraId="5A959F3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95%</w:t>
            </w:r>
          </w:p>
        </w:tc>
        <w:tc>
          <w:tcPr>
            <w:tcW w:w="4211" w:type="dxa"/>
            <w:tcBorders>
              <w:top w:val="nil"/>
              <w:left w:val="nil"/>
              <w:bottom w:val="single" w:color="auto" w:sz="8" w:space="0"/>
              <w:right w:val="single" w:color="auto" w:sz="8" w:space="0"/>
            </w:tcBorders>
            <w:noWrap w:val="0"/>
            <w:vAlign w:val="center"/>
          </w:tcPr>
          <w:p w14:paraId="2CBF50D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根据问卷调查，满意度达到标杆值，得权重分的100%；否则低于95%，得分=实际满意度*指标分值。</w:t>
            </w:r>
          </w:p>
        </w:tc>
        <w:tc>
          <w:tcPr>
            <w:tcW w:w="1105" w:type="dxa"/>
            <w:tcBorders>
              <w:top w:val="nil"/>
              <w:left w:val="nil"/>
              <w:bottom w:val="single" w:color="auto" w:sz="8" w:space="0"/>
              <w:right w:val="single" w:color="auto" w:sz="8" w:space="0"/>
            </w:tcBorders>
            <w:noWrap w:val="0"/>
            <w:vAlign w:val="center"/>
          </w:tcPr>
          <w:p w14:paraId="3FAB749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95%</w:t>
            </w:r>
          </w:p>
        </w:tc>
        <w:tc>
          <w:tcPr>
            <w:tcW w:w="796" w:type="dxa"/>
            <w:tcBorders>
              <w:top w:val="nil"/>
              <w:left w:val="nil"/>
              <w:bottom w:val="single" w:color="auto" w:sz="8" w:space="0"/>
              <w:right w:val="single" w:color="auto" w:sz="8" w:space="0"/>
            </w:tcBorders>
            <w:noWrap w:val="0"/>
            <w:vAlign w:val="center"/>
          </w:tcPr>
          <w:p w14:paraId="5F4B4B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w:t>
            </w:r>
          </w:p>
        </w:tc>
      </w:tr>
      <w:tr w14:paraId="66803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22" w:type="dxa"/>
            <w:tcBorders>
              <w:top w:val="nil"/>
              <w:left w:val="single" w:color="auto" w:sz="8" w:space="0"/>
              <w:bottom w:val="single" w:color="auto" w:sz="8" w:space="0"/>
              <w:right w:val="single" w:color="auto" w:sz="8" w:space="0"/>
            </w:tcBorders>
            <w:noWrap w:val="0"/>
            <w:vAlign w:val="center"/>
          </w:tcPr>
          <w:p w14:paraId="5A62E07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总分</w:t>
            </w:r>
          </w:p>
        </w:tc>
        <w:tc>
          <w:tcPr>
            <w:tcW w:w="587" w:type="dxa"/>
            <w:tcBorders>
              <w:top w:val="nil"/>
              <w:left w:val="nil"/>
              <w:bottom w:val="single" w:color="auto" w:sz="8" w:space="0"/>
              <w:right w:val="single" w:color="auto" w:sz="8" w:space="0"/>
            </w:tcBorders>
            <w:noWrap w:val="0"/>
            <w:vAlign w:val="center"/>
          </w:tcPr>
          <w:p w14:paraId="6591897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100</w:t>
            </w:r>
          </w:p>
        </w:tc>
        <w:tc>
          <w:tcPr>
            <w:tcW w:w="522" w:type="dxa"/>
            <w:tcBorders>
              <w:top w:val="nil"/>
              <w:left w:val="nil"/>
              <w:bottom w:val="single" w:color="auto" w:sz="8" w:space="0"/>
              <w:right w:val="single" w:color="auto" w:sz="8" w:space="0"/>
            </w:tcBorders>
            <w:noWrap w:val="0"/>
            <w:vAlign w:val="center"/>
          </w:tcPr>
          <w:p w14:paraId="58FB54A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587" w:type="dxa"/>
            <w:tcBorders>
              <w:top w:val="nil"/>
              <w:left w:val="nil"/>
              <w:bottom w:val="single" w:color="auto" w:sz="8" w:space="0"/>
              <w:right w:val="single" w:color="auto" w:sz="8" w:space="0"/>
            </w:tcBorders>
            <w:noWrap w:val="0"/>
            <w:vAlign w:val="center"/>
          </w:tcPr>
          <w:p w14:paraId="0705BB3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100</w:t>
            </w:r>
          </w:p>
        </w:tc>
        <w:tc>
          <w:tcPr>
            <w:tcW w:w="816" w:type="dxa"/>
            <w:tcBorders>
              <w:top w:val="nil"/>
              <w:left w:val="nil"/>
              <w:bottom w:val="single" w:color="auto" w:sz="8" w:space="0"/>
              <w:right w:val="single" w:color="auto" w:sz="8" w:space="0"/>
            </w:tcBorders>
            <w:noWrap w:val="0"/>
            <w:vAlign w:val="center"/>
          </w:tcPr>
          <w:p w14:paraId="692BB18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626" w:type="dxa"/>
            <w:tcBorders>
              <w:top w:val="nil"/>
              <w:left w:val="nil"/>
              <w:bottom w:val="single" w:color="auto" w:sz="8" w:space="0"/>
              <w:right w:val="nil"/>
            </w:tcBorders>
            <w:noWrap w:val="0"/>
            <w:vAlign w:val="center"/>
          </w:tcPr>
          <w:p w14:paraId="7D89A81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100</w:t>
            </w:r>
          </w:p>
        </w:tc>
        <w:tc>
          <w:tcPr>
            <w:tcW w:w="2399" w:type="dxa"/>
            <w:tcBorders>
              <w:top w:val="single" w:color="auto" w:sz="4" w:space="0"/>
              <w:left w:val="single" w:color="auto" w:sz="4" w:space="0"/>
              <w:bottom w:val="single" w:color="auto" w:sz="4" w:space="0"/>
              <w:right w:val="single" w:color="auto" w:sz="4" w:space="0"/>
            </w:tcBorders>
            <w:noWrap/>
            <w:vAlign w:val="center"/>
          </w:tcPr>
          <w:p w14:paraId="4F619594">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4"/>
                <w:szCs w:val="24"/>
                <w:u w:val="none"/>
              </w:rPr>
            </w:pPr>
          </w:p>
        </w:tc>
        <w:tc>
          <w:tcPr>
            <w:tcW w:w="1101" w:type="dxa"/>
            <w:tcBorders>
              <w:top w:val="nil"/>
              <w:left w:val="nil"/>
              <w:bottom w:val="single" w:color="auto" w:sz="8" w:space="0"/>
              <w:right w:val="single" w:color="auto" w:sz="8" w:space="0"/>
            </w:tcBorders>
            <w:noWrap w:val="0"/>
            <w:vAlign w:val="center"/>
          </w:tcPr>
          <w:p w14:paraId="40269F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rPr>
              <w:t>-</w:t>
            </w:r>
          </w:p>
        </w:tc>
        <w:tc>
          <w:tcPr>
            <w:tcW w:w="4211" w:type="dxa"/>
            <w:tcBorders>
              <w:top w:val="nil"/>
              <w:left w:val="nil"/>
              <w:bottom w:val="single" w:color="auto" w:sz="8" w:space="0"/>
              <w:right w:val="single" w:color="auto" w:sz="8" w:space="0"/>
            </w:tcBorders>
            <w:noWrap w:val="0"/>
            <w:vAlign w:val="center"/>
          </w:tcPr>
          <w:p w14:paraId="42E752F4">
            <w:pPr>
              <w:keepNext w:val="0"/>
              <w:keepLines w:val="0"/>
              <w:pageBreakBefore w:val="0"/>
              <w:widowControl/>
              <w:kinsoku/>
              <w:wordWrap/>
              <w:overflowPunct/>
              <w:topLinePunct w:val="0"/>
              <w:autoSpaceDE/>
              <w:autoSpaceDN/>
              <w:bidi w:val="0"/>
              <w:adjustRightInd/>
              <w:snapToGrid/>
              <w:spacing w:line="240" w:lineRule="exact"/>
              <w:ind w:firstLine="0" w:firstLineChars="0"/>
              <w:jc w:val="left"/>
              <w:rPr>
                <w:rFonts w:hint="eastAsia" w:ascii="宋体" w:hAnsi="宋体" w:eastAsia="宋体" w:cs="宋体"/>
                <w:i w:val="0"/>
                <w:iCs w:val="0"/>
                <w:color w:val="000000"/>
                <w:sz w:val="24"/>
                <w:szCs w:val="24"/>
                <w:u w:val="none"/>
              </w:rPr>
            </w:pPr>
          </w:p>
        </w:tc>
        <w:tc>
          <w:tcPr>
            <w:tcW w:w="1105" w:type="dxa"/>
            <w:tcBorders>
              <w:top w:val="nil"/>
              <w:left w:val="nil"/>
              <w:bottom w:val="single" w:color="auto" w:sz="8" w:space="0"/>
              <w:right w:val="single" w:color="auto" w:sz="8" w:space="0"/>
            </w:tcBorders>
            <w:noWrap w:val="0"/>
            <w:vAlign w:val="center"/>
          </w:tcPr>
          <w:p w14:paraId="151B8A7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4"/>
                <w:szCs w:val="24"/>
                <w:u w:val="none"/>
              </w:rPr>
            </w:pPr>
          </w:p>
        </w:tc>
        <w:tc>
          <w:tcPr>
            <w:tcW w:w="796" w:type="dxa"/>
            <w:tcBorders>
              <w:top w:val="nil"/>
              <w:left w:val="nil"/>
              <w:bottom w:val="single" w:color="auto" w:sz="8" w:space="0"/>
              <w:right w:val="single" w:color="auto" w:sz="8" w:space="0"/>
            </w:tcBorders>
            <w:noWrap w:val="0"/>
            <w:vAlign w:val="center"/>
          </w:tcPr>
          <w:p w14:paraId="289DE66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rPr>
              <w:t>96.52</w:t>
            </w:r>
          </w:p>
        </w:tc>
      </w:tr>
    </w:tbl>
    <w:p w14:paraId="5AD4E7A8">
      <w:pPr>
        <w:pStyle w:val="2"/>
        <w:ind w:left="0" w:leftChars="0" w:firstLine="0" w:firstLineChars="0"/>
        <w:rPr>
          <w:rFonts w:hint="eastAsia"/>
        </w:rPr>
      </w:pPr>
    </w:p>
    <w:p w14:paraId="1A2888DA">
      <w:pPr>
        <w:pStyle w:val="2"/>
        <w:ind w:left="0" w:leftChars="0" w:firstLine="0" w:firstLineChars="0"/>
        <w:rPr>
          <w:rFonts w:hint="eastAsia"/>
        </w:rPr>
      </w:pPr>
    </w:p>
    <w:p w14:paraId="6E11A38F">
      <w:pPr>
        <w:pStyle w:val="10"/>
        <w:ind w:left="0" w:leftChars="0" w:firstLine="0" w:firstLineChars="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附件2：</w:t>
      </w:r>
    </w:p>
    <w:tbl>
      <w:tblPr>
        <w:tblStyle w:val="2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01"/>
        <w:gridCol w:w="2454"/>
        <w:gridCol w:w="2283"/>
        <w:gridCol w:w="2283"/>
        <w:gridCol w:w="2455"/>
        <w:gridCol w:w="2292"/>
      </w:tblGrid>
      <w:tr w14:paraId="653C5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5000" w:type="pct"/>
            <w:gridSpan w:val="6"/>
            <w:tcBorders>
              <w:top w:val="nil"/>
              <w:left w:val="nil"/>
              <w:bottom w:val="nil"/>
              <w:right w:val="nil"/>
            </w:tcBorders>
            <w:noWrap/>
            <w:vAlign w:val="center"/>
          </w:tcPr>
          <w:p w14:paraId="476CE452">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auto"/>
                <w:kern w:val="0"/>
                <w:sz w:val="24"/>
                <w:szCs w:val="24"/>
                <w:u w:val="none"/>
                <w:lang w:val="en-US" w:eastAsia="zh-CN"/>
              </w:rPr>
              <w:t>2024年中央补助地方公共文化服务体系建设资金项目</w:t>
            </w:r>
            <w:r>
              <w:rPr>
                <w:rFonts w:hint="eastAsia" w:ascii="宋体" w:hAnsi="宋体" w:eastAsia="宋体" w:cs="宋体"/>
                <w:b/>
                <w:bCs/>
                <w:i w:val="0"/>
                <w:iCs w:val="0"/>
                <w:color w:val="000000"/>
                <w:kern w:val="0"/>
                <w:sz w:val="21"/>
                <w:szCs w:val="21"/>
                <w:u w:val="none"/>
                <w:lang w:val="en-US" w:eastAsia="zh-CN"/>
              </w:rPr>
              <w:t>综合得分表</w:t>
            </w:r>
          </w:p>
        </w:tc>
      </w:tr>
      <w:tr w14:paraId="46921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599" w:type="pct"/>
            <w:tcBorders>
              <w:top w:val="single" w:color="auto" w:sz="8" w:space="0"/>
              <w:left w:val="single" w:color="auto" w:sz="8" w:space="0"/>
              <w:bottom w:val="single" w:color="auto" w:sz="8" w:space="0"/>
              <w:right w:val="single" w:color="auto" w:sz="8" w:space="0"/>
            </w:tcBorders>
            <w:shd w:val="clear" w:color="auto" w:fill="FFFFFF"/>
            <w:noWrap w:val="0"/>
            <w:vAlign w:val="center"/>
          </w:tcPr>
          <w:p w14:paraId="12DA8EE5">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指标</w:t>
            </w:r>
          </w:p>
        </w:tc>
        <w:tc>
          <w:tcPr>
            <w:tcW w:w="918" w:type="pct"/>
            <w:tcBorders>
              <w:top w:val="single" w:color="auto" w:sz="8" w:space="0"/>
              <w:left w:val="nil"/>
              <w:bottom w:val="single" w:color="auto" w:sz="8" w:space="0"/>
              <w:right w:val="single" w:color="auto" w:sz="8" w:space="0"/>
            </w:tcBorders>
            <w:shd w:val="clear" w:color="auto" w:fill="FFFFFF"/>
            <w:noWrap w:val="0"/>
            <w:vAlign w:val="center"/>
          </w:tcPr>
          <w:p w14:paraId="0F012805">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项目决策</w:t>
            </w:r>
          </w:p>
        </w:tc>
        <w:tc>
          <w:tcPr>
            <w:tcW w:w="854" w:type="pct"/>
            <w:tcBorders>
              <w:top w:val="single" w:color="auto" w:sz="8" w:space="0"/>
              <w:left w:val="nil"/>
              <w:bottom w:val="single" w:color="auto" w:sz="8" w:space="0"/>
              <w:right w:val="single" w:color="auto" w:sz="8" w:space="0"/>
            </w:tcBorders>
            <w:shd w:val="clear" w:color="auto" w:fill="FFFFFF"/>
            <w:noWrap w:val="0"/>
            <w:vAlign w:val="center"/>
          </w:tcPr>
          <w:p w14:paraId="04F49D79">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项目过程</w:t>
            </w:r>
          </w:p>
        </w:tc>
        <w:tc>
          <w:tcPr>
            <w:tcW w:w="854" w:type="pct"/>
            <w:tcBorders>
              <w:top w:val="single" w:color="auto" w:sz="8" w:space="0"/>
              <w:left w:val="nil"/>
              <w:bottom w:val="single" w:color="auto" w:sz="8" w:space="0"/>
              <w:right w:val="single" w:color="auto" w:sz="8" w:space="0"/>
            </w:tcBorders>
            <w:shd w:val="clear" w:color="auto" w:fill="FFFFFF"/>
            <w:noWrap w:val="0"/>
            <w:vAlign w:val="center"/>
          </w:tcPr>
          <w:p w14:paraId="760C5156">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项目产出</w:t>
            </w:r>
          </w:p>
        </w:tc>
        <w:tc>
          <w:tcPr>
            <w:tcW w:w="918" w:type="pct"/>
            <w:tcBorders>
              <w:top w:val="single" w:color="auto" w:sz="8" w:space="0"/>
              <w:left w:val="nil"/>
              <w:bottom w:val="single" w:color="auto" w:sz="8" w:space="0"/>
              <w:right w:val="single" w:color="auto" w:sz="8" w:space="0"/>
            </w:tcBorders>
            <w:shd w:val="clear" w:color="auto" w:fill="FFFFFF"/>
            <w:noWrap w:val="0"/>
            <w:vAlign w:val="center"/>
          </w:tcPr>
          <w:p w14:paraId="1CBCDA55">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项目效益</w:t>
            </w:r>
          </w:p>
        </w:tc>
        <w:tc>
          <w:tcPr>
            <w:tcW w:w="855" w:type="pct"/>
            <w:tcBorders>
              <w:top w:val="single" w:color="auto" w:sz="8" w:space="0"/>
              <w:left w:val="nil"/>
              <w:bottom w:val="single" w:color="auto" w:sz="8" w:space="0"/>
              <w:right w:val="single" w:color="auto" w:sz="8" w:space="0"/>
            </w:tcBorders>
            <w:shd w:val="clear" w:color="auto" w:fill="FFFFFF"/>
            <w:noWrap w:val="0"/>
            <w:vAlign w:val="center"/>
          </w:tcPr>
          <w:p w14:paraId="556AA2FA">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合计</w:t>
            </w:r>
          </w:p>
        </w:tc>
      </w:tr>
      <w:tr w14:paraId="40781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599" w:type="pct"/>
            <w:tcBorders>
              <w:top w:val="nil"/>
              <w:left w:val="single" w:color="auto" w:sz="8" w:space="0"/>
              <w:bottom w:val="single" w:color="auto" w:sz="8" w:space="0"/>
              <w:right w:val="single" w:color="auto" w:sz="8" w:space="0"/>
            </w:tcBorders>
            <w:shd w:val="clear" w:color="auto" w:fill="FFFFFF"/>
            <w:noWrap w:val="0"/>
            <w:vAlign w:val="center"/>
          </w:tcPr>
          <w:p w14:paraId="5392102F">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权重</w:t>
            </w:r>
          </w:p>
        </w:tc>
        <w:tc>
          <w:tcPr>
            <w:tcW w:w="2454" w:type="dxa"/>
            <w:tcBorders>
              <w:top w:val="nil"/>
              <w:left w:val="nil"/>
              <w:bottom w:val="single" w:color="auto" w:sz="8" w:space="0"/>
              <w:right w:val="single" w:color="auto" w:sz="8" w:space="0"/>
            </w:tcBorders>
            <w:noWrap w:val="0"/>
            <w:vAlign w:val="center"/>
          </w:tcPr>
          <w:p w14:paraId="1BA33FE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rPr>
              <w:t>23</w:t>
            </w:r>
          </w:p>
        </w:tc>
        <w:tc>
          <w:tcPr>
            <w:tcW w:w="2283" w:type="dxa"/>
            <w:tcBorders>
              <w:top w:val="nil"/>
              <w:left w:val="nil"/>
              <w:bottom w:val="single" w:color="auto" w:sz="8" w:space="0"/>
              <w:right w:val="single" w:color="auto" w:sz="8" w:space="0"/>
            </w:tcBorders>
            <w:noWrap w:val="0"/>
            <w:vAlign w:val="center"/>
          </w:tcPr>
          <w:p w14:paraId="7019DF4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rPr>
              <w:t>12</w:t>
            </w:r>
          </w:p>
        </w:tc>
        <w:tc>
          <w:tcPr>
            <w:tcW w:w="2283" w:type="dxa"/>
            <w:tcBorders>
              <w:top w:val="nil"/>
              <w:left w:val="nil"/>
              <w:bottom w:val="single" w:color="auto" w:sz="8" w:space="0"/>
              <w:right w:val="single" w:color="auto" w:sz="8" w:space="0"/>
            </w:tcBorders>
            <w:noWrap w:val="0"/>
            <w:vAlign w:val="center"/>
          </w:tcPr>
          <w:p w14:paraId="47CEBDA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rPr>
              <w:t>40</w:t>
            </w:r>
          </w:p>
        </w:tc>
        <w:tc>
          <w:tcPr>
            <w:tcW w:w="2455" w:type="dxa"/>
            <w:tcBorders>
              <w:top w:val="nil"/>
              <w:left w:val="nil"/>
              <w:bottom w:val="single" w:color="auto" w:sz="8" w:space="0"/>
              <w:right w:val="single" w:color="auto" w:sz="8" w:space="0"/>
            </w:tcBorders>
            <w:noWrap w:val="0"/>
            <w:vAlign w:val="center"/>
          </w:tcPr>
          <w:p w14:paraId="4C4C038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rPr>
              <w:t>25</w:t>
            </w:r>
          </w:p>
        </w:tc>
        <w:tc>
          <w:tcPr>
            <w:tcW w:w="855" w:type="pct"/>
            <w:tcBorders>
              <w:top w:val="nil"/>
              <w:left w:val="nil"/>
              <w:bottom w:val="single" w:color="auto" w:sz="8" w:space="0"/>
              <w:right w:val="single" w:color="auto" w:sz="8" w:space="0"/>
            </w:tcBorders>
            <w:noWrap w:val="0"/>
            <w:vAlign w:val="center"/>
          </w:tcPr>
          <w:p w14:paraId="0FE9EF65">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r>
      <w:tr w14:paraId="7E861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599" w:type="pct"/>
            <w:tcBorders>
              <w:top w:val="nil"/>
              <w:left w:val="single" w:color="auto" w:sz="8" w:space="0"/>
              <w:bottom w:val="single" w:color="auto" w:sz="8" w:space="0"/>
              <w:right w:val="single" w:color="auto" w:sz="8" w:space="0"/>
            </w:tcBorders>
            <w:shd w:val="clear" w:color="auto" w:fill="FFFFFF"/>
            <w:noWrap w:val="0"/>
            <w:vAlign w:val="center"/>
          </w:tcPr>
          <w:p w14:paraId="174FAFFF">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得分</w:t>
            </w:r>
          </w:p>
        </w:tc>
        <w:tc>
          <w:tcPr>
            <w:tcW w:w="2454" w:type="dxa"/>
            <w:tcBorders>
              <w:top w:val="nil"/>
              <w:left w:val="nil"/>
              <w:bottom w:val="single" w:color="auto" w:sz="8" w:space="0"/>
              <w:right w:val="single" w:color="auto" w:sz="8" w:space="0"/>
            </w:tcBorders>
            <w:shd w:val="clear" w:color="auto" w:fill="auto"/>
            <w:noWrap w:val="0"/>
            <w:vAlign w:val="center"/>
          </w:tcPr>
          <w:p w14:paraId="2E42725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rPr>
              <w:t>23</w:t>
            </w:r>
          </w:p>
        </w:tc>
        <w:tc>
          <w:tcPr>
            <w:tcW w:w="2283" w:type="dxa"/>
            <w:tcBorders>
              <w:top w:val="nil"/>
              <w:left w:val="nil"/>
              <w:bottom w:val="single" w:color="auto" w:sz="8" w:space="0"/>
              <w:right w:val="single" w:color="auto" w:sz="8" w:space="0"/>
            </w:tcBorders>
            <w:shd w:val="clear" w:color="auto" w:fill="auto"/>
            <w:noWrap w:val="0"/>
            <w:vAlign w:val="center"/>
          </w:tcPr>
          <w:p w14:paraId="02C01F4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rPr>
              <w:t>12</w:t>
            </w:r>
          </w:p>
        </w:tc>
        <w:tc>
          <w:tcPr>
            <w:tcW w:w="2283" w:type="dxa"/>
            <w:tcBorders>
              <w:top w:val="nil"/>
              <w:left w:val="nil"/>
              <w:bottom w:val="single" w:color="auto" w:sz="8" w:space="0"/>
              <w:right w:val="single" w:color="auto" w:sz="8" w:space="0"/>
            </w:tcBorders>
            <w:shd w:val="clear" w:color="auto" w:fill="auto"/>
            <w:noWrap w:val="0"/>
            <w:vAlign w:val="center"/>
          </w:tcPr>
          <w:p w14:paraId="60FF4FB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36.51</w:t>
            </w:r>
          </w:p>
        </w:tc>
        <w:tc>
          <w:tcPr>
            <w:tcW w:w="2455" w:type="dxa"/>
            <w:tcBorders>
              <w:top w:val="nil"/>
              <w:left w:val="nil"/>
              <w:bottom w:val="single" w:color="auto" w:sz="8" w:space="0"/>
              <w:right w:val="single" w:color="auto" w:sz="8" w:space="0"/>
            </w:tcBorders>
            <w:shd w:val="clear" w:color="auto" w:fill="FFFFFF"/>
            <w:noWrap w:val="0"/>
            <w:vAlign w:val="center"/>
          </w:tcPr>
          <w:p w14:paraId="3E13C29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2"/>
                <w:szCs w:val="22"/>
                <w:u w:val="none"/>
                <w:lang w:val="en-US" w:eastAsia="zh-CN"/>
              </w:rPr>
              <w:t>25</w:t>
            </w:r>
          </w:p>
        </w:tc>
        <w:tc>
          <w:tcPr>
            <w:tcW w:w="855" w:type="pct"/>
            <w:tcBorders>
              <w:top w:val="nil"/>
              <w:left w:val="nil"/>
              <w:bottom w:val="single" w:color="auto" w:sz="8" w:space="0"/>
              <w:right w:val="single" w:color="auto" w:sz="8" w:space="0"/>
            </w:tcBorders>
            <w:noWrap w:val="0"/>
            <w:vAlign w:val="center"/>
          </w:tcPr>
          <w:p w14:paraId="707CA22E">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rPr>
              <w:t>96.52</w:t>
            </w:r>
          </w:p>
        </w:tc>
      </w:tr>
      <w:tr w14:paraId="7B5AB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 w:hRule="atLeast"/>
        </w:trPr>
        <w:tc>
          <w:tcPr>
            <w:tcW w:w="599" w:type="pct"/>
            <w:tcBorders>
              <w:top w:val="nil"/>
              <w:left w:val="single" w:color="auto" w:sz="8" w:space="0"/>
              <w:bottom w:val="single" w:color="auto" w:sz="8" w:space="0"/>
              <w:right w:val="single" w:color="auto" w:sz="8" w:space="0"/>
            </w:tcBorders>
            <w:shd w:val="clear" w:color="auto" w:fill="FFFFFF"/>
            <w:noWrap w:val="0"/>
            <w:vAlign w:val="center"/>
          </w:tcPr>
          <w:p w14:paraId="43DA1082">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得分率</w:t>
            </w:r>
          </w:p>
        </w:tc>
        <w:tc>
          <w:tcPr>
            <w:tcW w:w="918" w:type="pct"/>
            <w:tcBorders>
              <w:top w:val="nil"/>
              <w:left w:val="nil"/>
              <w:bottom w:val="single" w:color="auto" w:sz="8" w:space="0"/>
              <w:right w:val="single" w:color="auto" w:sz="8" w:space="0"/>
            </w:tcBorders>
            <w:noWrap w:val="0"/>
            <w:vAlign w:val="center"/>
          </w:tcPr>
          <w:p w14:paraId="40E2BF75">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100.00%</w:t>
            </w:r>
          </w:p>
        </w:tc>
        <w:tc>
          <w:tcPr>
            <w:tcW w:w="854" w:type="pct"/>
            <w:tcBorders>
              <w:top w:val="nil"/>
              <w:left w:val="nil"/>
              <w:bottom w:val="single" w:color="auto" w:sz="8" w:space="0"/>
              <w:right w:val="single" w:color="auto" w:sz="8" w:space="0"/>
            </w:tcBorders>
            <w:noWrap w:val="0"/>
            <w:vAlign w:val="center"/>
          </w:tcPr>
          <w:p w14:paraId="0E225EE1">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100.00%</w:t>
            </w:r>
          </w:p>
        </w:tc>
        <w:tc>
          <w:tcPr>
            <w:tcW w:w="854" w:type="pct"/>
            <w:tcBorders>
              <w:top w:val="nil"/>
              <w:left w:val="nil"/>
              <w:bottom w:val="single" w:color="auto" w:sz="8" w:space="0"/>
              <w:right w:val="single" w:color="auto" w:sz="8" w:space="0"/>
            </w:tcBorders>
            <w:noWrap w:val="0"/>
            <w:vAlign w:val="center"/>
          </w:tcPr>
          <w:p w14:paraId="6238B5F9">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rPr>
              <w:t>91.28%</w:t>
            </w:r>
          </w:p>
        </w:tc>
        <w:tc>
          <w:tcPr>
            <w:tcW w:w="918" w:type="pct"/>
            <w:tcBorders>
              <w:top w:val="nil"/>
              <w:left w:val="nil"/>
              <w:bottom w:val="single" w:color="auto" w:sz="8" w:space="0"/>
              <w:right w:val="single" w:color="auto" w:sz="8" w:space="0"/>
            </w:tcBorders>
            <w:noWrap w:val="0"/>
            <w:vAlign w:val="center"/>
          </w:tcPr>
          <w:p w14:paraId="7A9A4BA1">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100.00%</w:t>
            </w:r>
          </w:p>
        </w:tc>
        <w:tc>
          <w:tcPr>
            <w:tcW w:w="855" w:type="pct"/>
            <w:tcBorders>
              <w:top w:val="nil"/>
              <w:left w:val="nil"/>
              <w:bottom w:val="single" w:color="auto" w:sz="8" w:space="0"/>
              <w:right w:val="single" w:color="auto" w:sz="8" w:space="0"/>
            </w:tcBorders>
            <w:noWrap w:val="0"/>
            <w:vAlign w:val="center"/>
          </w:tcPr>
          <w:p w14:paraId="0F7D54B8">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96.52%</w:t>
            </w:r>
          </w:p>
        </w:tc>
      </w:tr>
    </w:tbl>
    <w:p w14:paraId="5AF40CE5">
      <w:pPr>
        <w:pStyle w:val="2"/>
        <w:ind w:left="0" w:leftChars="0" w:firstLine="0" w:firstLineChars="0"/>
        <w:rPr>
          <w:rFonts w:hint="eastAsia"/>
        </w:rPr>
        <w:sectPr>
          <w:pgSz w:w="16838" w:h="11906" w:orient="landscape"/>
          <w:pgMar w:top="1531" w:right="1985" w:bottom="1531" w:left="1701" w:header="851" w:footer="992" w:gutter="0"/>
          <w:pgNumType w:fmt="decimal"/>
          <w:cols w:space="720" w:num="1"/>
          <w:docGrid w:type="linesAndChars" w:linePitch="386" w:charSpace="0"/>
        </w:sectPr>
      </w:pPr>
    </w:p>
    <w:p w14:paraId="256E85A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附件3：</w:t>
      </w:r>
    </w:p>
    <w:p w14:paraId="1D86FF7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2024年中央补助地方公共文化服务体系建设资金项目</w:t>
      </w:r>
    </w:p>
    <w:p w14:paraId="6676B2B4">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b/>
          <w:bCs/>
          <w:color w:val="auto"/>
          <w:sz w:val="24"/>
          <w:szCs w:val="24"/>
          <w:highlight w:val="none"/>
          <w:lang w:val="en-US" w:eastAsia="zh-CN"/>
        </w:rPr>
        <w:t>满意度</w:t>
      </w:r>
      <w:r>
        <w:rPr>
          <w:rFonts w:hint="eastAsia" w:ascii="宋体" w:hAnsi="宋体" w:eastAsia="宋体" w:cs="宋体"/>
          <w:b/>
          <w:bCs/>
          <w:color w:val="auto"/>
          <w:sz w:val="24"/>
          <w:szCs w:val="24"/>
          <w:highlight w:val="none"/>
        </w:rPr>
        <w:t>调查问卷</w:t>
      </w:r>
      <w:r>
        <w:rPr>
          <w:rFonts w:hint="eastAsia" w:ascii="宋体" w:hAnsi="宋体" w:eastAsia="宋体" w:cs="宋体"/>
          <w:b/>
          <w:bCs/>
          <w:color w:val="auto"/>
          <w:sz w:val="24"/>
          <w:szCs w:val="24"/>
          <w:highlight w:val="none"/>
          <w:lang w:val="en-US" w:eastAsia="zh-CN"/>
        </w:rPr>
        <w:t>分析报告</w:t>
      </w:r>
    </w:p>
    <w:p w14:paraId="6F1BC65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color w:val="auto"/>
          <w:sz w:val="24"/>
          <w:szCs w:val="24"/>
          <w:highlight w:val="none"/>
        </w:rPr>
        <w:t>为客观评价该项目的社会效果，了解</w:t>
      </w:r>
      <w:r>
        <w:rPr>
          <w:rFonts w:hint="eastAsia" w:ascii="宋体" w:hAnsi="宋体" w:eastAsia="宋体" w:cs="宋体"/>
          <w:color w:val="auto"/>
          <w:sz w:val="24"/>
          <w:szCs w:val="24"/>
          <w:highlight w:val="none"/>
          <w:lang w:val="en-US" w:eastAsia="zh-CN"/>
        </w:rPr>
        <w:t>项目受益群体</w:t>
      </w:r>
      <w:r>
        <w:rPr>
          <w:rFonts w:hint="eastAsia" w:ascii="宋体" w:hAnsi="宋体" w:eastAsia="宋体" w:cs="宋体"/>
          <w:color w:val="auto"/>
          <w:sz w:val="24"/>
          <w:szCs w:val="24"/>
          <w:highlight w:val="none"/>
        </w:rPr>
        <w:t>对项目</w:t>
      </w:r>
      <w:r>
        <w:rPr>
          <w:rFonts w:hint="eastAsia" w:ascii="宋体" w:hAnsi="宋体" w:eastAsia="宋体" w:cs="宋体"/>
          <w:color w:val="auto"/>
          <w:sz w:val="24"/>
          <w:szCs w:val="24"/>
          <w:highlight w:val="none"/>
          <w:lang w:val="en-US" w:eastAsia="zh-CN"/>
        </w:rPr>
        <w:t>实施后</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真实</w:t>
      </w:r>
      <w:r>
        <w:rPr>
          <w:rFonts w:hint="eastAsia" w:ascii="宋体" w:hAnsi="宋体" w:eastAsia="宋体" w:cs="宋体"/>
          <w:color w:val="auto"/>
          <w:sz w:val="24"/>
          <w:szCs w:val="24"/>
          <w:highlight w:val="none"/>
        </w:rPr>
        <w:t>评价情况，对本项目</w:t>
      </w:r>
      <w:r>
        <w:rPr>
          <w:rFonts w:hint="eastAsia" w:ascii="宋体" w:hAnsi="宋体" w:eastAsia="宋体" w:cs="宋体"/>
          <w:color w:val="auto"/>
          <w:sz w:val="24"/>
          <w:szCs w:val="24"/>
          <w:highlight w:val="none"/>
          <w:lang w:eastAsia="zh-CN"/>
        </w:rPr>
        <w:t>开展</w:t>
      </w:r>
      <w:r>
        <w:rPr>
          <w:rFonts w:hint="eastAsia" w:ascii="宋体" w:hAnsi="宋体" w:eastAsia="宋体" w:cs="宋体"/>
          <w:color w:val="auto"/>
          <w:sz w:val="24"/>
          <w:szCs w:val="24"/>
          <w:highlight w:val="none"/>
        </w:rPr>
        <w:t>满意度问卷调查。问卷调查工作情况如下。问卷调查工作情况如下：</w:t>
      </w:r>
    </w:p>
    <w:p w14:paraId="67B653C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该问卷调查从202</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年</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月</w:t>
      </w:r>
      <w:r>
        <w:rPr>
          <w:rFonts w:hint="eastAsia" w:ascii="宋体" w:hAnsi="宋体" w:eastAsia="宋体" w:cs="宋体"/>
          <w:b/>
          <w:bCs/>
          <w:color w:val="auto"/>
          <w:sz w:val="24"/>
          <w:szCs w:val="24"/>
          <w:highlight w:val="none"/>
          <w:lang w:val="en-US" w:eastAsia="zh-CN"/>
        </w:rPr>
        <w:t>20</w:t>
      </w:r>
      <w:r>
        <w:rPr>
          <w:rFonts w:hint="eastAsia" w:ascii="宋体" w:hAnsi="宋体" w:eastAsia="宋体" w:cs="宋体"/>
          <w:b/>
          <w:bCs/>
          <w:color w:val="auto"/>
          <w:sz w:val="24"/>
          <w:szCs w:val="24"/>
          <w:highlight w:val="none"/>
        </w:rPr>
        <w:t>日开始至202</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年</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月</w:t>
      </w:r>
      <w:r>
        <w:rPr>
          <w:rFonts w:hint="eastAsia" w:ascii="宋体" w:hAnsi="宋体" w:eastAsia="宋体" w:cs="宋体"/>
          <w:b/>
          <w:bCs/>
          <w:color w:val="auto"/>
          <w:sz w:val="24"/>
          <w:szCs w:val="24"/>
          <w:highlight w:val="none"/>
          <w:lang w:val="en-US" w:eastAsia="zh-CN"/>
        </w:rPr>
        <w:t>20</w:t>
      </w:r>
      <w:r>
        <w:rPr>
          <w:rFonts w:hint="eastAsia" w:ascii="宋体" w:hAnsi="宋体" w:eastAsia="宋体" w:cs="宋体"/>
          <w:b/>
          <w:bCs/>
          <w:color w:val="auto"/>
          <w:sz w:val="24"/>
          <w:szCs w:val="24"/>
          <w:highlight w:val="none"/>
        </w:rPr>
        <w:t>日结束，调查问卷共设置</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道题目。</w:t>
      </w:r>
    </w:p>
    <w:p w14:paraId="1B8B02E4">
      <w:pPr>
        <w:pStyle w:val="10"/>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调查</w:t>
      </w:r>
      <w:r>
        <w:rPr>
          <w:rFonts w:hint="eastAsia" w:ascii="宋体" w:hAnsi="宋体" w:eastAsia="宋体" w:cs="宋体"/>
          <w:b/>
          <w:bCs/>
          <w:color w:val="auto"/>
          <w:sz w:val="24"/>
          <w:szCs w:val="24"/>
          <w:highlight w:val="none"/>
        </w:rPr>
        <w:t>对象</w:t>
      </w:r>
    </w:p>
    <w:p w14:paraId="14428611">
      <w:pPr>
        <w:pStyle w:val="10"/>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i w:val="0"/>
          <w:iCs w:val="0"/>
          <w:color w:val="auto"/>
          <w:sz w:val="24"/>
          <w:szCs w:val="24"/>
          <w:highlight w:val="none"/>
        </w:rPr>
      </w:pPr>
      <w:r>
        <w:rPr>
          <w:rFonts w:hint="eastAsia" w:ascii="宋体" w:hAnsi="宋体" w:eastAsia="宋体" w:cs="宋体"/>
          <w:b w:val="0"/>
          <w:bCs/>
          <w:color w:val="auto"/>
          <w:sz w:val="24"/>
          <w:szCs w:val="24"/>
          <w:highlight w:val="none"/>
        </w:rPr>
        <w:t>本次</w:t>
      </w:r>
      <w:r>
        <w:rPr>
          <w:rFonts w:hint="eastAsia" w:ascii="宋体" w:hAnsi="宋体" w:eastAsia="宋体" w:cs="宋体"/>
          <w:b w:val="0"/>
          <w:bCs/>
          <w:color w:val="auto"/>
          <w:sz w:val="24"/>
          <w:szCs w:val="24"/>
          <w:highlight w:val="none"/>
          <w:lang w:eastAsia="zh-CN"/>
        </w:rPr>
        <w:t>调查</w:t>
      </w:r>
      <w:r>
        <w:rPr>
          <w:rFonts w:hint="eastAsia" w:ascii="宋体" w:hAnsi="宋体" w:eastAsia="宋体" w:cs="宋体"/>
          <w:b w:val="0"/>
          <w:bCs/>
          <w:color w:val="auto"/>
          <w:sz w:val="24"/>
          <w:szCs w:val="24"/>
          <w:highlight w:val="none"/>
        </w:rPr>
        <w:t>的受益对象为</w:t>
      </w:r>
      <w:r>
        <w:rPr>
          <w:rFonts w:hint="eastAsia" w:ascii="宋体" w:hAnsi="宋体" w:eastAsia="宋体" w:cs="宋体"/>
          <w:b w:val="0"/>
          <w:bCs/>
          <w:color w:val="auto"/>
          <w:sz w:val="24"/>
          <w:szCs w:val="24"/>
          <w:highlight w:val="none"/>
          <w:lang w:val="en-US" w:eastAsia="zh-CN"/>
        </w:rPr>
        <w:t>社会公众</w:t>
      </w:r>
      <w:r>
        <w:rPr>
          <w:rFonts w:hint="eastAsia" w:ascii="宋体" w:hAnsi="宋体" w:eastAsia="宋体" w:cs="宋体"/>
          <w:b w:val="0"/>
          <w:bCs/>
          <w:color w:val="auto"/>
          <w:sz w:val="24"/>
          <w:szCs w:val="24"/>
          <w:highlight w:val="none"/>
        </w:rPr>
        <w:t>。</w:t>
      </w:r>
    </w:p>
    <w:p w14:paraId="3BDE2FD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i w:val="0"/>
          <w:iCs w:val="0"/>
          <w:color w:val="auto"/>
          <w:sz w:val="24"/>
          <w:szCs w:val="24"/>
          <w:highlight w:val="none"/>
        </w:rPr>
        <w:t>2.</w:t>
      </w:r>
      <w:r>
        <w:rPr>
          <w:rFonts w:hint="eastAsia" w:ascii="宋体" w:hAnsi="宋体" w:eastAsia="宋体" w:cs="宋体"/>
          <w:b/>
          <w:bCs/>
          <w:i w:val="0"/>
          <w:iCs w:val="0"/>
          <w:color w:val="auto"/>
          <w:sz w:val="24"/>
          <w:szCs w:val="24"/>
          <w:highlight w:val="none"/>
          <w:lang w:eastAsia="zh-CN"/>
        </w:rPr>
        <w:t>调查</w:t>
      </w:r>
      <w:r>
        <w:rPr>
          <w:rFonts w:hint="eastAsia" w:ascii="宋体" w:hAnsi="宋体" w:eastAsia="宋体" w:cs="宋体"/>
          <w:b/>
          <w:bCs/>
          <w:i w:val="0"/>
          <w:iCs w:val="0"/>
          <w:color w:val="auto"/>
          <w:sz w:val="24"/>
          <w:szCs w:val="24"/>
          <w:highlight w:val="none"/>
        </w:rPr>
        <w:t>内容</w:t>
      </w:r>
    </w:p>
    <w:p w14:paraId="3B1C60C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①您对2024年中央补助地方公共文化服务体系建设资金项目的实施质量是否满意?  </w:t>
      </w:r>
    </w:p>
    <w:p w14:paraId="27E1D51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非常满意     比较满意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highlight w:val="none"/>
          <w:lang w:val="en-US" w:eastAsia="zh-CN"/>
        </w:rPr>
        <w:t xml:space="preserve">一般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highlight w:val="none"/>
          <w:lang w:val="en-US" w:eastAsia="zh-CN"/>
        </w:rPr>
        <w:t>不满意       非常不满意</w:t>
      </w:r>
    </w:p>
    <w:p w14:paraId="339DA93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highlight w:val="none"/>
          <w:lang w:val="en-US" w:eastAsia="zh-CN"/>
        </w:rPr>
        <w:t>②您对2024年中央补助地方公共文化服务体系建设资金项目公共文化活动类型是否满意？</w:t>
      </w:r>
    </w:p>
    <w:p w14:paraId="6B8D4B62">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非常满意     比较满意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highlight w:val="none"/>
          <w:lang w:val="en-US" w:eastAsia="zh-CN"/>
        </w:rPr>
        <w:t xml:space="preserve">一般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highlight w:val="none"/>
          <w:lang w:val="en-US" w:eastAsia="zh-CN"/>
        </w:rPr>
        <w:t>不满意       非常不满意</w:t>
      </w:r>
      <w:r>
        <w:rPr>
          <w:rFonts w:hint="eastAsia" w:ascii="宋体" w:hAnsi="宋体" w:eastAsia="宋体" w:cs="宋体"/>
          <w:color w:val="auto"/>
          <w:sz w:val="24"/>
          <w:szCs w:val="24"/>
        </w:rPr>
        <w:tab/>
      </w:r>
    </w:p>
    <w:p w14:paraId="4FDCED2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highlight w:val="none"/>
          <w:lang w:val="en-US" w:eastAsia="zh-CN"/>
        </w:rPr>
        <w:t>③总的来说，您对目前2024年中央补助地方公共文化服务体系建设资金项目实施后的整体满意程度如何？</w:t>
      </w:r>
    </w:p>
    <w:p w14:paraId="2C7F79C5">
      <w:pPr>
        <w:pStyle w:val="2"/>
        <w:keepNext w:val="0"/>
        <w:keepLines w:val="0"/>
        <w:pageBreakBefore w:val="0"/>
        <w:widowControl w:val="0"/>
        <w:tabs>
          <w:tab w:val="left" w:pos="4261"/>
        </w:tabs>
        <w:kinsoku/>
        <w:wordWrap/>
        <w:overflowPunct/>
        <w:topLinePunct w:val="0"/>
        <w:autoSpaceDE/>
        <w:autoSpaceDN/>
        <w:bidi w:val="0"/>
        <w:adjustRightInd/>
        <w:snapToGrid/>
        <w:spacing w:after="0"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非常满意     比较满意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highlight w:val="none"/>
          <w:lang w:val="en-US" w:eastAsia="zh-CN"/>
        </w:rPr>
        <w:t xml:space="preserve">一般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highlight w:val="none"/>
          <w:lang w:val="en-US" w:eastAsia="zh-CN"/>
        </w:rPr>
        <w:t>不满意      非常不满意</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highlight w:val="none"/>
          <w:lang w:val="en-US" w:eastAsia="zh-CN"/>
        </w:rPr>
        <w:t xml:space="preserve">             </w:t>
      </w:r>
    </w:p>
    <w:p w14:paraId="2CAA4474">
      <w:pPr>
        <w:pStyle w:val="10"/>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调查</w:t>
      </w:r>
      <w:r>
        <w:rPr>
          <w:rFonts w:hint="eastAsia" w:ascii="宋体" w:hAnsi="宋体" w:eastAsia="宋体" w:cs="宋体"/>
          <w:b/>
          <w:bCs/>
          <w:color w:val="auto"/>
          <w:sz w:val="24"/>
          <w:szCs w:val="24"/>
          <w:highlight w:val="none"/>
        </w:rPr>
        <w:t>方法</w:t>
      </w:r>
    </w:p>
    <w:p w14:paraId="07B2904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问卷调查采取</w:t>
      </w:r>
      <w:r>
        <w:rPr>
          <w:rFonts w:hint="eastAsia" w:ascii="宋体" w:hAnsi="宋体" w:eastAsia="宋体" w:cs="宋体"/>
          <w:color w:val="auto"/>
          <w:sz w:val="24"/>
          <w:szCs w:val="24"/>
          <w:highlight w:val="none"/>
          <w:lang w:val="en-US" w:eastAsia="zh-CN"/>
        </w:rPr>
        <w:t>分层</w:t>
      </w:r>
      <w:r>
        <w:rPr>
          <w:rFonts w:hint="eastAsia" w:ascii="宋体" w:hAnsi="宋体" w:eastAsia="宋体" w:cs="宋体"/>
          <w:color w:val="auto"/>
          <w:sz w:val="24"/>
          <w:szCs w:val="24"/>
          <w:highlight w:val="none"/>
        </w:rPr>
        <w:t>抽样和</w:t>
      </w:r>
      <w:r>
        <w:rPr>
          <w:rFonts w:hint="eastAsia" w:ascii="宋体" w:hAnsi="宋体" w:eastAsia="宋体" w:cs="宋体"/>
          <w:color w:val="auto"/>
          <w:sz w:val="24"/>
          <w:szCs w:val="24"/>
          <w:highlight w:val="none"/>
          <w:lang w:val="en-US" w:eastAsia="zh-CN"/>
        </w:rPr>
        <w:t>随机抽样相结合</w:t>
      </w:r>
      <w:r>
        <w:rPr>
          <w:rFonts w:hint="eastAsia" w:ascii="宋体" w:hAnsi="宋体" w:eastAsia="宋体" w:cs="宋体"/>
          <w:color w:val="auto"/>
          <w:sz w:val="24"/>
          <w:szCs w:val="24"/>
          <w:highlight w:val="none"/>
        </w:rPr>
        <w:t>的方式进行。在全面</w:t>
      </w:r>
      <w:r>
        <w:rPr>
          <w:rFonts w:hint="eastAsia" w:ascii="宋体" w:hAnsi="宋体" w:eastAsia="宋体" w:cs="宋体"/>
          <w:color w:val="auto"/>
          <w:sz w:val="24"/>
          <w:szCs w:val="24"/>
          <w:highlight w:val="none"/>
          <w:lang w:eastAsia="zh-CN"/>
        </w:rPr>
        <w:t>调查</w:t>
      </w:r>
      <w:r>
        <w:rPr>
          <w:rFonts w:hint="eastAsia" w:ascii="宋体" w:hAnsi="宋体" w:eastAsia="宋体" w:cs="宋体"/>
          <w:color w:val="auto"/>
          <w:sz w:val="24"/>
          <w:szCs w:val="24"/>
          <w:highlight w:val="none"/>
        </w:rPr>
        <w:t>开展之前会先进行论证，依据论证结果对问卷和抽样方案再进行一次修改和调整</w:t>
      </w:r>
      <w:r>
        <w:rPr>
          <w:rFonts w:hint="eastAsia" w:ascii="宋体" w:hAnsi="宋体" w:eastAsia="宋体" w:cs="宋体"/>
          <w:color w:val="auto"/>
          <w:sz w:val="24"/>
          <w:szCs w:val="24"/>
          <w:highlight w:val="none"/>
          <w:lang w:val="en-US" w:eastAsia="zh-CN"/>
        </w:rPr>
        <w:t>之后再付诸实施</w:t>
      </w:r>
      <w:r>
        <w:rPr>
          <w:rFonts w:hint="eastAsia" w:ascii="宋体" w:hAnsi="宋体" w:eastAsia="宋体" w:cs="宋体"/>
          <w:color w:val="auto"/>
          <w:sz w:val="24"/>
          <w:szCs w:val="24"/>
          <w:highlight w:val="none"/>
        </w:rPr>
        <w:t>。</w:t>
      </w:r>
    </w:p>
    <w:p w14:paraId="7E91C50A">
      <w:pPr>
        <w:pStyle w:val="10"/>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抽样方式</w:t>
      </w:r>
    </w:p>
    <w:p w14:paraId="476EAE2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为确保问卷</w:t>
      </w:r>
      <w:r>
        <w:rPr>
          <w:rFonts w:hint="eastAsia" w:ascii="宋体" w:hAnsi="宋体" w:eastAsia="宋体" w:cs="宋体"/>
          <w:color w:val="auto"/>
          <w:sz w:val="24"/>
          <w:szCs w:val="24"/>
          <w:highlight w:val="none"/>
          <w:lang w:eastAsia="zh-CN"/>
        </w:rPr>
        <w:t>调查</w:t>
      </w:r>
      <w:r>
        <w:rPr>
          <w:rFonts w:hint="eastAsia" w:ascii="宋体" w:hAnsi="宋体" w:eastAsia="宋体" w:cs="宋体"/>
          <w:color w:val="auto"/>
          <w:sz w:val="24"/>
          <w:szCs w:val="24"/>
          <w:highlight w:val="none"/>
        </w:rPr>
        <w:t>的全面性和代表性，本次</w:t>
      </w:r>
      <w:r>
        <w:rPr>
          <w:rFonts w:hint="eastAsia" w:ascii="宋体" w:hAnsi="宋体" w:eastAsia="宋体" w:cs="宋体"/>
          <w:color w:val="auto"/>
          <w:sz w:val="24"/>
          <w:szCs w:val="24"/>
          <w:highlight w:val="none"/>
          <w:lang w:eastAsia="zh-CN"/>
        </w:rPr>
        <w:t>调查</w:t>
      </w:r>
      <w:r>
        <w:rPr>
          <w:rFonts w:hint="eastAsia" w:ascii="宋体" w:hAnsi="宋体" w:eastAsia="宋体" w:cs="宋体"/>
          <w:color w:val="auto"/>
          <w:sz w:val="24"/>
          <w:szCs w:val="24"/>
          <w:highlight w:val="none"/>
        </w:rPr>
        <w:t>问卷调查采取</w:t>
      </w:r>
      <w:r>
        <w:rPr>
          <w:rFonts w:hint="eastAsia" w:ascii="宋体" w:hAnsi="宋体" w:eastAsia="宋体" w:cs="宋体"/>
          <w:color w:val="auto"/>
          <w:sz w:val="24"/>
          <w:szCs w:val="24"/>
          <w:highlight w:val="none"/>
          <w:lang w:val="en-US" w:eastAsia="zh-CN"/>
        </w:rPr>
        <w:t>随机</w:t>
      </w:r>
      <w:r>
        <w:rPr>
          <w:rFonts w:hint="eastAsia" w:ascii="宋体" w:hAnsi="宋体" w:eastAsia="宋体" w:cs="宋体"/>
          <w:color w:val="auto"/>
          <w:sz w:val="24"/>
          <w:szCs w:val="24"/>
          <w:highlight w:val="none"/>
        </w:rPr>
        <w:t>抽样和</w:t>
      </w:r>
      <w:r>
        <w:rPr>
          <w:rFonts w:hint="eastAsia" w:ascii="宋体" w:hAnsi="宋体" w:eastAsia="宋体" w:cs="宋体"/>
          <w:color w:val="auto"/>
          <w:sz w:val="24"/>
          <w:szCs w:val="24"/>
          <w:highlight w:val="none"/>
          <w:lang w:val="en-US" w:eastAsia="zh-CN"/>
        </w:rPr>
        <w:t>分层抽样相结合</w:t>
      </w:r>
      <w:r>
        <w:rPr>
          <w:rFonts w:hint="eastAsia" w:ascii="宋体" w:hAnsi="宋体" w:eastAsia="宋体" w:cs="宋体"/>
          <w:color w:val="auto"/>
          <w:sz w:val="24"/>
          <w:szCs w:val="24"/>
          <w:highlight w:val="none"/>
        </w:rPr>
        <w:t>方式进行。</w:t>
      </w:r>
    </w:p>
    <w:p w14:paraId="5F5D544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5.问卷的发放和回收</w:t>
      </w:r>
    </w:p>
    <w:p w14:paraId="0B4620B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为了给调查对象营造良好的作答环境，保证调查的科学性和严谨性，由我单位工作人员在线下发放问卷，邀请相应的调查对象填写问卷。到目前为止共回收问卷</w:t>
      </w:r>
      <w:r>
        <w:rPr>
          <w:rFonts w:hint="eastAsia" w:ascii="宋体" w:hAnsi="宋体" w:eastAsia="宋体" w:cs="宋体"/>
          <w:color w:val="auto"/>
          <w:sz w:val="24"/>
          <w:szCs w:val="24"/>
          <w:highlight w:val="none"/>
          <w:lang w:val="en-US" w:eastAsia="zh-CN"/>
        </w:rPr>
        <w:t>30</w:t>
      </w:r>
      <w:r>
        <w:rPr>
          <w:rFonts w:hint="eastAsia" w:ascii="宋体" w:hAnsi="宋体" w:eastAsia="宋体" w:cs="宋体"/>
          <w:sz w:val="24"/>
          <w:szCs w:val="24"/>
          <w:highlight w:val="none"/>
          <w:lang w:val="en-US" w:eastAsia="zh-CN"/>
        </w:rPr>
        <w:t>份，其中有效问卷</w:t>
      </w:r>
      <w:r>
        <w:rPr>
          <w:rFonts w:hint="eastAsia" w:ascii="宋体" w:hAnsi="宋体" w:eastAsia="宋体" w:cs="宋体"/>
          <w:color w:val="auto"/>
          <w:sz w:val="24"/>
          <w:szCs w:val="24"/>
          <w:highlight w:val="none"/>
          <w:lang w:val="en-US" w:eastAsia="zh-CN"/>
        </w:rPr>
        <w:t>30</w:t>
      </w:r>
      <w:r>
        <w:rPr>
          <w:rFonts w:hint="eastAsia" w:ascii="宋体" w:hAnsi="宋体" w:eastAsia="宋体" w:cs="宋体"/>
          <w:sz w:val="24"/>
          <w:szCs w:val="24"/>
          <w:highlight w:val="none"/>
          <w:lang w:val="en-US" w:eastAsia="zh-CN"/>
        </w:rPr>
        <w:t>份，有效问卷回收率为100%。</w:t>
      </w:r>
    </w:p>
    <w:p w14:paraId="1D6E360E">
      <w:pPr>
        <w:pStyle w:val="10"/>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6.问卷调查分析结果</w:t>
      </w:r>
    </w:p>
    <w:p w14:paraId="05F0A86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本次调查过程中，评价小组实际发放问卷30份，回收问卷30份，问卷回收率为100.00%，有效问卷30份，有效回收率100.00%，本次调查的整体情况如下：</w:t>
      </w:r>
    </w:p>
    <w:p w14:paraId="5C8E211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第一个问题：该项统计有效问卷数量30份，选择非常满意的人数为30人。选择比较满意的人数为0人，选择一般的人数0人，选择不满意的人数0人，选择非常不满意的人数0人。</w:t>
      </w:r>
    </w:p>
    <w:p w14:paraId="3B535C1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第二个问题：该项统计有效问卷数量30份，选择非常满意的人数为30人。选择比较满意的人数为0人，选择一般的人数0人，选择不满意的人数0人，选择非常不满意的人数0人。</w:t>
      </w:r>
    </w:p>
    <w:p w14:paraId="60C64A5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第三个问题：该项统计有效问卷数量30份，选择非常满意的人数为30人。选择比较满意的人数为0人，选择一般的人数0人，选择不满意的人数0人，选择非常不满意的人数0人。</w:t>
      </w:r>
    </w:p>
    <w:p w14:paraId="3B22303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highlight w:val="none"/>
          <w:lang w:val="en-US" w:eastAsia="zh-CN"/>
        </w:rPr>
      </w:pPr>
    </w:p>
    <w:p w14:paraId="1154C44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二、调查结果统计</w:t>
      </w:r>
    </w:p>
    <w:p w14:paraId="25B104F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auto"/>
          <w:sz w:val="24"/>
          <w:szCs w:val="24"/>
          <w:highlight w:val="none"/>
          <w:lang w:val="en-US" w:eastAsia="zh-CN"/>
        </w:rPr>
        <w:t>2024年中央补助地方公共文化服务体系建设资金项目</w:t>
      </w:r>
      <w:r>
        <w:rPr>
          <w:rFonts w:hint="eastAsia" w:ascii="宋体" w:hAnsi="宋体" w:eastAsia="宋体" w:cs="宋体"/>
          <w:sz w:val="24"/>
          <w:szCs w:val="24"/>
          <w:highlight w:val="none"/>
          <w:lang w:val="en-US" w:eastAsia="zh-CN"/>
        </w:rPr>
        <w:t>针对受益人员发放30份调查问卷，最终统计受益人群满意度为100%。</w:t>
      </w:r>
    </w:p>
    <w:p w14:paraId="6A7BAB1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p>
    <w:p w14:paraId="1F07A0B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p>
    <w:p w14:paraId="3BD158D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p>
    <w:p w14:paraId="04C2645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洛浦县图书馆  </w:t>
      </w:r>
    </w:p>
    <w:p w14:paraId="389F9066">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right"/>
        <w:textAlignment w:val="auto"/>
        <w:rPr>
          <w:rFonts w:hint="default" w:ascii="宋体" w:hAnsi="宋体" w:eastAsia="宋体" w:cs="宋体"/>
          <w:sz w:val="24"/>
          <w:szCs w:val="24"/>
          <w:lang w:val="en-US"/>
        </w:rPr>
        <w:sectPr>
          <w:pgSz w:w="11906" w:h="16838"/>
          <w:pgMar w:top="1985" w:right="1531" w:bottom="1701" w:left="1531" w:header="851" w:footer="992" w:gutter="0"/>
          <w:pgNumType w:fmt="decimal"/>
          <w:cols w:space="720" w:num="1"/>
          <w:docGrid w:type="linesAndChars" w:linePitch="386" w:charSpace="0"/>
        </w:sectPr>
      </w:pPr>
      <w:r>
        <w:rPr>
          <w:rFonts w:hint="eastAsia" w:ascii="宋体" w:hAnsi="宋体" w:eastAsia="宋体" w:cs="宋体"/>
          <w:sz w:val="24"/>
          <w:szCs w:val="24"/>
          <w:highlight w:val="none"/>
          <w:lang w:val="en-US" w:eastAsia="zh-CN"/>
        </w:rPr>
        <w:t xml:space="preserve">   2025年3月31日</w:t>
      </w:r>
    </w:p>
    <w:p w14:paraId="39682E9F">
      <w:pPr>
        <w:pStyle w:val="10"/>
        <w:ind w:left="0" w:leftChars="0" w:firstLine="0" w:firstLineChars="0"/>
        <w:jc w:val="both"/>
        <w:rPr>
          <w:rFonts w:hint="eastAsia" w:ascii="宋体" w:hAnsi="宋体" w:eastAsia="宋体" w:cs="宋体"/>
          <w:sz w:val="24"/>
          <w:szCs w:val="24"/>
          <w:lang w:eastAsia="zh-CN"/>
        </w:rPr>
      </w:pPr>
    </w:p>
    <w:sectPr>
      <w:pgSz w:w="16838" w:h="11906" w:orient="landscape"/>
      <w:pgMar w:top="1531" w:right="1985" w:bottom="1531" w:left="1701" w:header="851" w:footer="992" w:gutter="0"/>
      <w:pgNumType w:fmt="decimal"/>
      <w:cols w:space="720" w:num="1"/>
      <w:docGrid w:type="linesAndChar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EAE0734-C399-4FB4-824F-8C12EB17582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1E46D741-5159-4CCC-A847-607C656C0DBF}"/>
  </w:font>
  <w:font w:name="Cambria">
    <w:panose1 w:val="02040503050406030204"/>
    <w:charset w:val="00"/>
    <w:family w:val="roman"/>
    <w:pitch w:val="default"/>
    <w:sig w:usb0="E00006FF" w:usb1="420024FF" w:usb2="02000000" w:usb3="00000000" w:csb0="2000019F" w:csb1="00000000"/>
  </w:font>
  <w:font w:name="方正仿宋_GBK">
    <w:panose1 w:val="02000000000000000000"/>
    <w:charset w:val="86"/>
    <w:family w:val="script"/>
    <w:pitch w:val="default"/>
    <w:sig w:usb0="A00002BF" w:usb1="38CF7CFA" w:usb2="00082016" w:usb3="00000000" w:csb0="00040001" w:csb1="00000000"/>
    <w:embedRegular r:id="rId3" w:fontKey="{1ED80FEF-A2F0-4A08-8DBD-6C9382160603}"/>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B0C31">
    <w:pPr>
      <w:pStyle w:val="1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A2AEB3">
    <w:pPr>
      <w:pStyle w:val="15"/>
      <w:ind w:firstLine="36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14:paraId="000FB106">
                <w:pPr>
                  <w:pStyle w:val="15"/>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28</w:t>
                </w:r>
                <w:r>
                  <w:t xml:space="preserve"> 页</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A8E9E">
    <w:pPr>
      <w:pStyle w:val="16"/>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suff w:val="nothing"/>
      <w:lvlText w:val="（%1）"/>
      <w:lvlJc w:val="left"/>
    </w:lvl>
  </w:abstractNum>
  <w:abstractNum w:abstractNumId="1">
    <w:nsid w:val="BF205925"/>
    <w:multiLevelType w:val="singleLevel"/>
    <w:tmpl w:val="BF205925"/>
    <w:lvl w:ilvl="0" w:tentative="0">
      <w:start w:val="1"/>
      <w:numFmt w:val="decimal"/>
      <w:suff w:val="nothing"/>
      <w:lvlText w:val="%1）"/>
      <w:lvlJc w:val="left"/>
    </w:lvl>
  </w:abstractNum>
  <w:abstractNum w:abstractNumId="2">
    <w:nsid w:val="CF092B84"/>
    <w:multiLevelType w:val="singleLevel"/>
    <w:tmpl w:val="CF092B84"/>
    <w:lvl w:ilvl="0" w:tentative="0">
      <w:start w:val="2"/>
      <w:numFmt w:val="decimal"/>
      <w:lvlText w:val="%1."/>
      <w:lvlJc w:val="left"/>
      <w:pPr>
        <w:tabs>
          <w:tab w:val="left" w:pos="312"/>
        </w:tabs>
      </w:pPr>
    </w:lvl>
  </w:abstractNum>
  <w:abstractNum w:abstractNumId="3">
    <w:nsid w:val="0053208E"/>
    <w:multiLevelType w:val="singleLevel"/>
    <w:tmpl w:val="0053208E"/>
    <w:lvl w:ilvl="0" w:tentative="0">
      <w:start w:val="1"/>
      <w:numFmt w:val="decimal"/>
      <w:lvlText w:val="%1."/>
      <w:lvlJc w:val="left"/>
      <w:pPr>
        <w:tabs>
          <w:tab w:val="left" w:pos="312"/>
        </w:tabs>
      </w:pPr>
    </w:lvl>
  </w:abstractNum>
  <w:abstractNum w:abstractNumId="4">
    <w:nsid w:val="03D62ECE"/>
    <w:multiLevelType w:val="singleLevel"/>
    <w:tmpl w:val="03D62ECE"/>
    <w:lvl w:ilvl="0" w:tentative="0">
      <w:start w:val="1"/>
      <w:numFmt w:val="decimal"/>
      <w:suff w:val="nothing"/>
      <w:lvlText w:val="（%1）"/>
      <w:lvlJc w:val="left"/>
    </w:lvl>
  </w:abstractNum>
  <w:abstractNum w:abstractNumId="5">
    <w:nsid w:val="59ADCABA"/>
    <w:multiLevelType w:val="singleLevel"/>
    <w:tmpl w:val="59ADCABA"/>
    <w:lvl w:ilvl="0" w:tentative="0">
      <w:start w:val="1"/>
      <w:numFmt w:val="decimal"/>
      <w:suff w:val="nothing"/>
      <w:lvlText w:val="（%1）"/>
      <w:lvlJc w:val="left"/>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NotTrackMoves/>
  <w:documentProtection w:enforcement="0"/>
  <w:defaultTabStop w:val="420"/>
  <w:drawingGridHorizontalSpacing w:val="140"/>
  <w:drawingGridVerticalSpacing w:val="193"/>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IzNjhjZjkxMjg2OGJjOTQ0NThhNzBhOGI4YTVmYWYifQ=="/>
  </w:docVars>
  <w:rsids>
    <w:rsidRoot w:val="00000000"/>
    <w:rsid w:val="488C4727"/>
    <w:rsid w:val="5D13431C"/>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uiPriority="39" w:semiHidden="0" w:name="toc 4"/>
    <w:lsdException w:qFormat="1" w:uiPriority="39" w:semiHidden="0" w:name="toc 5"/>
    <w:lsdException w:uiPriority="39" w:semiHidden="0" w:name="toc 6"/>
    <w:lsdException w:qFormat="1" w:uiPriority="39" w:semiHidden="0" w:name="toc 7"/>
    <w:lsdException w:uiPriority="39" w:semiHidden="0" w:name="toc 8"/>
    <w:lsdException w:uiPriority="39" w:semiHidden="0"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4">
    <w:name w:val="heading 1"/>
    <w:basedOn w:val="1"/>
    <w:next w:val="2"/>
    <w:link w:val="3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link w:val="35"/>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link w:val="36"/>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link w:val="37"/>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6">
    <w:name w:val="Default Paragraph Font"/>
    <w:unhideWhenUsed/>
    <w:uiPriority w:val="1"/>
  </w:style>
  <w:style w:type="table" w:default="1" w:styleId="24">
    <w:name w:val="Normal Table"/>
    <w:unhideWhenUsed/>
    <w:qFormat/>
    <w:uiPriority w:val="99"/>
    <w:tblPr>
      <w:tblCellMar>
        <w:top w:w="0" w:type="dxa"/>
        <w:left w:w="108" w:type="dxa"/>
        <w:bottom w:w="0" w:type="dxa"/>
        <w:right w:w="108" w:type="dxa"/>
      </w:tblCellMar>
    </w:tblPr>
  </w:style>
  <w:style w:type="paragraph" w:styleId="2">
    <w:name w:val="Body Text First Indent 2"/>
    <w:basedOn w:val="3"/>
    <w:link w:val="33"/>
    <w:unhideWhenUsed/>
    <w:qFormat/>
    <w:uiPriority w:val="0"/>
    <w:pPr>
      <w:ind w:firstLine="420"/>
    </w:pPr>
  </w:style>
  <w:style w:type="paragraph" w:styleId="3">
    <w:name w:val="Body Text Indent"/>
    <w:basedOn w:val="1"/>
    <w:link w:val="32"/>
    <w:unhideWhenUsed/>
    <w:qFormat/>
    <w:uiPriority w:val="99"/>
    <w:pPr>
      <w:spacing w:after="120"/>
      <w:ind w:left="420" w:leftChars="200"/>
    </w:pPr>
    <w:rPr>
      <w:rFonts w:cs="Times New Roman"/>
      <w:kern w:val="0"/>
      <w:szCs w:val="20"/>
    </w:rPr>
  </w:style>
  <w:style w:type="paragraph" w:styleId="8">
    <w:name w:val="toc 7"/>
    <w:basedOn w:val="1"/>
    <w:next w:val="1"/>
    <w:unhideWhenUsed/>
    <w:qFormat/>
    <w:uiPriority w:val="39"/>
    <w:pPr>
      <w:ind w:left="1680"/>
      <w:jc w:val="left"/>
    </w:pPr>
    <w:rPr>
      <w:rFonts w:ascii="Calibri" w:hAnsi="Calibri" w:cs="Calibri"/>
      <w:sz w:val="18"/>
      <w:szCs w:val="18"/>
    </w:rPr>
  </w:style>
  <w:style w:type="paragraph" w:styleId="9">
    <w:name w:val="Document Map"/>
    <w:basedOn w:val="1"/>
    <w:link w:val="38"/>
    <w:unhideWhenUsed/>
    <w:uiPriority w:val="99"/>
    <w:rPr>
      <w:rFonts w:ascii="宋体" w:eastAsia="宋体" w:cs="Times New Roman"/>
      <w:kern w:val="0"/>
      <w:sz w:val="18"/>
      <w:szCs w:val="18"/>
    </w:rPr>
  </w:style>
  <w:style w:type="paragraph" w:styleId="10">
    <w:name w:val="Body Text"/>
    <w:basedOn w:val="1"/>
    <w:qFormat/>
    <w:uiPriority w:val="0"/>
    <w:pPr>
      <w:spacing w:before="240" w:after="240" w:line="360" w:lineRule="auto"/>
      <w:jc w:val="center"/>
    </w:pPr>
    <w:rPr>
      <w:b/>
      <w:sz w:val="44"/>
    </w:rPr>
  </w:style>
  <w:style w:type="paragraph" w:styleId="11">
    <w:name w:val="toc 5"/>
    <w:basedOn w:val="1"/>
    <w:next w:val="1"/>
    <w:unhideWhenUsed/>
    <w:qFormat/>
    <w:uiPriority w:val="39"/>
    <w:pPr>
      <w:ind w:left="1120"/>
      <w:jc w:val="left"/>
    </w:pPr>
    <w:rPr>
      <w:rFonts w:ascii="Calibri" w:hAnsi="Calibri" w:cs="Calibri"/>
      <w:sz w:val="18"/>
      <w:szCs w:val="18"/>
    </w:rPr>
  </w:style>
  <w:style w:type="paragraph" w:styleId="12">
    <w:name w:val="toc 3"/>
    <w:basedOn w:val="1"/>
    <w:next w:val="1"/>
    <w:unhideWhenUsed/>
    <w:qFormat/>
    <w:uiPriority w:val="39"/>
    <w:pPr>
      <w:ind w:left="560"/>
      <w:jc w:val="left"/>
    </w:pPr>
    <w:rPr>
      <w:rFonts w:ascii="Calibri" w:hAnsi="Calibri" w:cs="Calibri"/>
      <w:i/>
      <w:iCs/>
      <w:sz w:val="20"/>
      <w:szCs w:val="20"/>
    </w:rPr>
  </w:style>
  <w:style w:type="paragraph" w:styleId="13">
    <w:name w:val="toc 8"/>
    <w:basedOn w:val="1"/>
    <w:next w:val="1"/>
    <w:unhideWhenUsed/>
    <w:uiPriority w:val="39"/>
    <w:pPr>
      <w:ind w:left="1960"/>
      <w:jc w:val="left"/>
    </w:pPr>
    <w:rPr>
      <w:rFonts w:ascii="Calibri" w:hAnsi="Calibri" w:cs="Calibri"/>
      <w:sz w:val="18"/>
      <w:szCs w:val="18"/>
    </w:rPr>
  </w:style>
  <w:style w:type="paragraph" w:styleId="14">
    <w:name w:val="Balloon Text"/>
    <w:basedOn w:val="1"/>
    <w:link w:val="40"/>
    <w:unhideWhenUsed/>
    <w:uiPriority w:val="99"/>
    <w:rPr>
      <w:rFonts w:cs="Times New Roman"/>
      <w:kern w:val="0"/>
      <w:sz w:val="18"/>
      <w:szCs w:val="18"/>
    </w:rPr>
  </w:style>
  <w:style w:type="paragraph" w:styleId="15">
    <w:name w:val="footer"/>
    <w:basedOn w:val="1"/>
    <w:link w:val="41"/>
    <w:unhideWhenUsed/>
    <w:qFormat/>
    <w:uiPriority w:val="99"/>
    <w:pPr>
      <w:tabs>
        <w:tab w:val="center" w:pos="4153"/>
        <w:tab w:val="right" w:pos="8306"/>
      </w:tabs>
      <w:snapToGrid w:val="0"/>
      <w:jc w:val="left"/>
    </w:pPr>
    <w:rPr>
      <w:rFonts w:cs="Times New Roman"/>
      <w:kern w:val="0"/>
      <w:sz w:val="18"/>
      <w:szCs w:val="18"/>
    </w:rPr>
  </w:style>
  <w:style w:type="paragraph" w:styleId="16">
    <w:name w:val="header"/>
    <w:basedOn w:val="1"/>
    <w:link w:val="42"/>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7">
    <w:name w:val="toc 1"/>
    <w:basedOn w:val="1"/>
    <w:next w:val="1"/>
    <w:unhideWhenUsed/>
    <w:uiPriority w:val="39"/>
    <w:pPr>
      <w:spacing w:before="120" w:after="120"/>
      <w:jc w:val="left"/>
    </w:pPr>
    <w:rPr>
      <w:rFonts w:ascii="Calibri" w:hAnsi="Calibri" w:cs="Calibri"/>
      <w:b/>
      <w:bCs/>
      <w:caps/>
      <w:sz w:val="20"/>
      <w:szCs w:val="20"/>
    </w:rPr>
  </w:style>
  <w:style w:type="paragraph" w:styleId="18">
    <w:name w:val="toc 4"/>
    <w:basedOn w:val="1"/>
    <w:next w:val="1"/>
    <w:unhideWhenUsed/>
    <w:uiPriority w:val="39"/>
    <w:pPr>
      <w:ind w:left="840"/>
      <w:jc w:val="left"/>
    </w:pPr>
    <w:rPr>
      <w:rFonts w:ascii="Calibri" w:hAnsi="Calibri" w:cs="Calibri"/>
      <w:sz w:val="18"/>
      <w:szCs w:val="18"/>
    </w:rPr>
  </w:style>
  <w:style w:type="paragraph" w:styleId="19">
    <w:name w:val="toc 6"/>
    <w:basedOn w:val="1"/>
    <w:next w:val="1"/>
    <w:unhideWhenUsed/>
    <w:uiPriority w:val="39"/>
    <w:pPr>
      <w:ind w:left="1400"/>
      <w:jc w:val="left"/>
    </w:pPr>
    <w:rPr>
      <w:rFonts w:ascii="Calibri" w:hAnsi="Calibri" w:cs="Calibri"/>
      <w:sz w:val="18"/>
      <w:szCs w:val="18"/>
    </w:rPr>
  </w:style>
  <w:style w:type="paragraph" w:styleId="20">
    <w:name w:val="toc 2"/>
    <w:basedOn w:val="1"/>
    <w:next w:val="1"/>
    <w:unhideWhenUsed/>
    <w:uiPriority w:val="39"/>
    <w:pPr>
      <w:ind w:left="280"/>
      <w:jc w:val="left"/>
    </w:pPr>
    <w:rPr>
      <w:rFonts w:ascii="Calibri" w:hAnsi="Calibri" w:cs="Calibri"/>
      <w:smallCaps/>
      <w:sz w:val="20"/>
      <w:szCs w:val="20"/>
    </w:rPr>
  </w:style>
  <w:style w:type="paragraph" w:styleId="21">
    <w:name w:val="toc 9"/>
    <w:basedOn w:val="1"/>
    <w:next w:val="1"/>
    <w:unhideWhenUsed/>
    <w:uiPriority w:val="39"/>
    <w:pPr>
      <w:ind w:left="2240"/>
      <w:jc w:val="left"/>
    </w:pPr>
    <w:rPr>
      <w:rFonts w:ascii="Calibri" w:hAnsi="Calibri" w:cs="Calibri"/>
      <w:sz w:val="18"/>
      <w:szCs w:val="18"/>
    </w:rPr>
  </w:style>
  <w:style w:type="paragraph" w:styleId="22">
    <w:name w:val="Body Text 2"/>
    <w:basedOn w:val="1"/>
    <w:qFormat/>
    <w:uiPriority w:val="0"/>
    <w:pPr>
      <w:spacing w:after="120" w:line="480" w:lineRule="auto"/>
    </w:pPr>
    <w:rPr>
      <w:rFonts w:ascii="Times New Roman" w:hAnsi="Times New Roman" w:eastAsia="宋体"/>
    </w:rPr>
  </w:style>
  <w:style w:type="paragraph" w:styleId="23">
    <w:name w:val="Title"/>
    <w:basedOn w:val="1"/>
    <w:next w:val="1"/>
    <w:link w:val="43"/>
    <w:qFormat/>
    <w:uiPriority w:val="10"/>
    <w:pPr>
      <w:spacing w:before="240" w:after="60"/>
      <w:jc w:val="center"/>
      <w:outlineLvl w:val="0"/>
    </w:pPr>
    <w:rPr>
      <w:rFonts w:ascii="Cambria" w:hAnsi="Cambria" w:eastAsia="宋体" w:cs="Times New Roman"/>
      <w:b/>
      <w:bCs/>
      <w:sz w:val="32"/>
      <w:szCs w:val="32"/>
    </w:rPr>
  </w:style>
  <w:style w:type="table" w:styleId="25">
    <w:name w:val="Table Grid"/>
    <w:basedOn w:val="2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basedOn w:val="26"/>
    <w:qFormat/>
    <w:uiPriority w:val="0"/>
    <w:rPr>
      <w:b/>
      <w:bCs/>
    </w:rPr>
  </w:style>
  <w:style w:type="character" w:styleId="28">
    <w:name w:val="Hyperlink"/>
    <w:unhideWhenUsed/>
    <w:uiPriority w:val="99"/>
    <w:rPr>
      <w:color w:val="0000FF"/>
      <w:u w:val="single"/>
    </w:rPr>
  </w:style>
  <w:style w:type="paragraph" w:customStyle="1" w:styleId="29">
    <w:name w:val="Comment Text"/>
    <w:basedOn w:val="1"/>
    <w:link w:val="39"/>
    <w:unhideWhenUsed/>
    <w:uiPriority w:val="99"/>
    <w:rPr>
      <w:rFonts w:cs="Times New Roman"/>
      <w:kern w:val="0"/>
      <w:sz w:val="20"/>
      <w:szCs w:val="20"/>
    </w:rPr>
  </w:style>
  <w:style w:type="paragraph" w:customStyle="1" w:styleId="30">
    <w:name w:val="Comment Subject"/>
    <w:basedOn w:val="29"/>
    <w:next w:val="29"/>
    <w:link w:val="44"/>
    <w:unhideWhenUsed/>
    <w:uiPriority w:val="99"/>
    <w:rPr>
      <w:b/>
      <w:bCs/>
    </w:rPr>
  </w:style>
  <w:style w:type="character" w:customStyle="1" w:styleId="31">
    <w:name w:val="Comment Reference"/>
    <w:unhideWhenUsed/>
    <w:uiPriority w:val="99"/>
    <w:rPr>
      <w:sz w:val="16"/>
      <w:szCs w:val="16"/>
    </w:rPr>
  </w:style>
  <w:style w:type="character" w:customStyle="1" w:styleId="32">
    <w:name w:val="正文文本缩进 Char"/>
    <w:link w:val="3"/>
    <w:semiHidden/>
    <w:uiPriority w:val="99"/>
    <w:rPr>
      <w:rFonts w:ascii="Calibri" w:hAnsi="Calibri" w:eastAsia="仿宋_GB2312" w:cs="黑体"/>
      <w:sz w:val="28"/>
    </w:rPr>
  </w:style>
  <w:style w:type="character" w:customStyle="1" w:styleId="33">
    <w:name w:val="正文首行缩进 2 Char"/>
    <w:link w:val="2"/>
    <w:uiPriority w:val="0"/>
    <w:rPr>
      <w:rFonts w:ascii="Calibri" w:hAnsi="Calibri" w:eastAsia="仿宋_GB2312" w:cs="黑体"/>
      <w:sz w:val="28"/>
    </w:rPr>
  </w:style>
  <w:style w:type="character" w:customStyle="1" w:styleId="34">
    <w:name w:val="标题 1 Char"/>
    <w:link w:val="4"/>
    <w:uiPriority w:val="9"/>
    <w:rPr>
      <w:rFonts w:ascii="Times New Roman" w:hAnsi="Times New Roman" w:eastAsia="仿宋_GB2312" w:cs="Times New Roman"/>
      <w:b/>
      <w:bCs/>
      <w:kern w:val="44"/>
      <w:sz w:val="32"/>
      <w:szCs w:val="44"/>
    </w:rPr>
  </w:style>
  <w:style w:type="character" w:customStyle="1" w:styleId="35">
    <w:name w:val="标题 2 Char"/>
    <w:link w:val="5"/>
    <w:uiPriority w:val="0"/>
    <w:rPr>
      <w:rFonts w:ascii="Cambria" w:hAnsi="Cambria" w:eastAsia="仿宋_GB2312" w:cs="Times New Roman"/>
      <w:b/>
      <w:bCs/>
      <w:kern w:val="0"/>
      <w:sz w:val="30"/>
      <w:szCs w:val="32"/>
    </w:rPr>
  </w:style>
  <w:style w:type="character" w:customStyle="1" w:styleId="36">
    <w:name w:val="标题 3 Char"/>
    <w:link w:val="6"/>
    <w:uiPriority w:val="9"/>
    <w:rPr>
      <w:rFonts w:ascii="Calibri" w:hAnsi="Calibri" w:eastAsia="仿宋_GB2312" w:cs="黑体"/>
      <w:bCs/>
      <w:sz w:val="28"/>
      <w:szCs w:val="32"/>
    </w:rPr>
  </w:style>
  <w:style w:type="character" w:customStyle="1" w:styleId="37">
    <w:name w:val="标题 4 Char"/>
    <w:link w:val="7"/>
    <w:semiHidden/>
    <w:uiPriority w:val="9"/>
    <w:rPr>
      <w:rFonts w:ascii="Cambria" w:hAnsi="Cambria" w:eastAsia="宋体" w:cs="Times New Roman"/>
      <w:b/>
      <w:bCs/>
      <w:sz w:val="28"/>
      <w:szCs w:val="28"/>
    </w:rPr>
  </w:style>
  <w:style w:type="character" w:customStyle="1" w:styleId="38">
    <w:name w:val="文档结构图 Char"/>
    <w:link w:val="9"/>
    <w:semiHidden/>
    <w:uiPriority w:val="99"/>
    <w:rPr>
      <w:rFonts w:ascii="宋体" w:hAnsi="Calibri" w:eastAsia="宋体" w:cs="黑体"/>
      <w:sz w:val="18"/>
      <w:szCs w:val="18"/>
    </w:rPr>
  </w:style>
  <w:style w:type="character" w:customStyle="1" w:styleId="39">
    <w:name w:val="批注文字 Char"/>
    <w:link w:val="29"/>
    <w:semiHidden/>
    <w:uiPriority w:val="99"/>
    <w:rPr>
      <w:rFonts w:ascii="Calibri" w:hAnsi="Calibri" w:eastAsia="仿宋_GB2312" w:cs="黑体"/>
      <w:sz w:val="20"/>
      <w:szCs w:val="20"/>
    </w:rPr>
  </w:style>
  <w:style w:type="character" w:customStyle="1" w:styleId="40">
    <w:name w:val="批注框文本 Char"/>
    <w:link w:val="14"/>
    <w:semiHidden/>
    <w:uiPriority w:val="99"/>
    <w:rPr>
      <w:rFonts w:ascii="Calibri" w:hAnsi="Calibri" w:eastAsia="仿宋_GB2312" w:cs="黑体"/>
      <w:sz w:val="18"/>
      <w:szCs w:val="18"/>
    </w:rPr>
  </w:style>
  <w:style w:type="character" w:customStyle="1" w:styleId="41">
    <w:name w:val="页脚 Char"/>
    <w:link w:val="15"/>
    <w:uiPriority w:val="99"/>
    <w:rPr>
      <w:rFonts w:ascii="Calibri" w:hAnsi="Calibri" w:eastAsia="仿宋_GB2312" w:cs="黑体"/>
      <w:sz w:val="18"/>
      <w:szCs w:val="18"/>
    </w:rPr>
  </w:style>
  <w:style w:type="character" w:customStyle="1" w:styleId="42">
    <w:name w:val="页眉 Char"/>
    <w:link w:val="16"/>
    <w:uiPriority w:val="99"/>
    <w:rPr>
      <w:rFonts w:ascii="Calibri" w:hAnsi="Calibri" w:eastAsia="仿宋_GB2312" w:cs="黑体"/>
      <w:sz w:val="18"/>
      <w:szCs w:val="18"/>
    </w:rPr>
  </w:style>
  <w:style w:type="character" w:customStyle="1" w:styleId="43">
    <w:name w:val="标题 Char"/>
    <w:link w:val="23"/>
    <w:uiPriority w:val="10"/>
    <w:rPr>
      <w:rFonts w:ascii="Cambria" w:hAnsi="Cambria"/>
      <w:b/>
      <w:bCs/>
      <w:kern w:val="2"/>
      <w:sz w:val="32"/>
      <w:szCs w:val="32"/>
    </w:rPr>
  </w:style>
  <w:style w:type="character" w:customStyle="1" w:styleId="44">
    <w:name w:val="批注主题 Char"/>
    <w:link w:val="30"/>
    <w:semiHidden/>
    <w:uiPriority w:val="99"/>
    <w:rPr>
      <w:rFonts w:ascii="Calibri" w:hAnsi="Calibri" w:eastAsia="仿宋_GB2312" w:cs="黑体"/>
      <w:b/>
      <w:bCs/>
      <w:sz w:val="20"/>
      <w:szCs w:val="20"/>
    </w:rPr>
  </w:style>
  <w:style w:type="character" w:customStyle="1" w:styleId="45">
    <w:name w:val="闻政-正文一级标题 Char"/>
    <w:link w:val="46"/>
    <w:uiPriority w:val="3"/>
    <w:rPr>
      <w:rFonts w:ascii="黑体" w:hAnsi="黑体" w:eastAsia="黑体"/>
      <w:bCs/>
      <w:sz w:val="32"/>
      <w:szCs w:val="32"/>
    </w:rPr>
  </w:style>
  <w:style w:type="paragraph" w:customStyle="1" w:styleId="46">
    <w:name w:val="闻政-正文一级标题"/>
    <w:basedOn w:val="6"/>
    <w:next w:val="47"/>
    <w:link w:val="45"/>
    <w:qFormat/>
    <w:uiPriority w:val="3"/>
    <w:pPr>
      <w:spacing w:before="120" w:after="60" w:line="500" w:lineRule="exact"/>
      <w:ind w:firstLine="0" w:firstLineChars="0"/>
      <w:outlineLvl w:val="0"/>
    </w:pPr>
    <w:rPr>
      <w:rFonts w:ascii="黑体" w:hAnsi="黑体" w:eastAsia="黑体"/>
      <w:sz w:val="32"/>
    </w:rPr>
  </w:style>
  <w:style w:type="paragraph" w:customStyle="1" w:styleId="47">
    <w:name w:val="闻政-正文段落文字"/>
    <w:basedOn w:val="1"/>
    <w:link w:val="48"/>
    <w:qFormat/>
    <w:uiPriority w:val="3"/>
    <w:pPr>
      <w:spacing w:line="500" w:lineRule="exact"/>
      <w:ind w:firstLine="200"/>
    </w:pPr>
    <w:rPr>
      <w:rFonts w:ascii="Times New Roman" w:hAnsi="Times New Roman" w:cs="Times New Roman"/>
      <w:kern w:val="0"/>
      <w:szCs w:val="28"/>
    </w:rPr>
  </w:style>
  <w:style w:type="character" w:customStyle="1" w:styleId="48">
    <w:name w:val="闻政-正文段落文字 Char"/>
    <w:link w:val="47"/>
    <w:uiPriority w:val="3"/>
    <w:rPr>
      <w:rFonts w:ascii="Times New Roman" w:hAnsi="Times New Roman" w:eastAsia="仿宋_GB2312"/>
      <w:sz w:val="28"/>
      <w:szCs w:val="28"/>
    </w:rPr>
  </w:style>
  <w:style w:type="character" w:customStyle="1" w:styleId="49">
    <w:name w:val="闻政-正文二级标题 Char"/>
    <w:link w:val="50"/>
    <w:uiPriority w:val="3"/>
    <w:rPr>
      <w:rFonts w:ascii="Times New Roman" w:hAnsi="Times New Roman" w:eastAsia="仿宋_GB2312"/>
      <w:b/>
      <w:bCs/>
      <w:sz w:val="28"/>
      <w:szCs w:val="32"/>
    </w:rPr>
  </w:style>
  <w:style w:type="paragraph" w:customStyle="1" w:styleId="50">
    <w:name w:val="闻政-正文二级标题"/>
    <w:basedOn w:val="5"/>
    <w:next w:val="47"/>
    <w:link w:val="49"/>
    <w:qFormat/>
    <w:uiPriority w:val="3"/>
    <w:pPr>
      <w:spacing w:before="120" w:after="60" w:line="500" w:lineRule="exact"/>
      <w:ind w:left="200" w:leftChars="200" w:firstLine="0" w:firstLineChars="0"/>
    </w:pPr>
    <w:rPr>
      <w:rFonts w:ascii="Times New Roman" w:hAnsi="Times New Roman"/>
      <w:sz w:val="28"/>
    </w:rPr>
  </w:style>
  <w:style w:type="character" w:customStyle="1" w:styleId="51">
    <w:name w:val="font11"/>
    <w:uiPriority w:val="0"/>
    <w:rPr>
      <w:rFonts w:hint="eastAsia" w:ascii="方正仿宋_GBK" w:hAnsi="方正仿宋_GBK" w:eastAsia="方正仿宋_GBK" w:cs="方正仿宋_GBK"/>
      <w:color w:val="000000"/>
      <w:sz w:val="24"/>
      <w:szCs w:val="24"/>
      <w:u w:val="none"/>
    </w:rPr>
  </w:style>
  <w:style w:type="character" w:customStyle="1" w:styleId="52">
    <w:name w:val="52"/>
    <w:qFormat/>
    <w:uiPriority w:val="0"/>
    <w:rPr>
      <w:b/>
      <w:bCs/>
      <w:smallCaps/>
      <w:color w:val="C0504D"/>
      <w:spacing w:val="5"/>
      <w:u w:val="single"/>
    </w:rPr>
  </w:style>
  <w:style w:type="character" w:customStyle="1" w:styleId="53">
    <w:name w:val="闻政-正文三级标题 Char"/>
    <w:link w:val="54"/>
    <w:uiPriority w:val="3"/>
    <w:rPr>
      <w:rFonts w:ascii="Times New Roman" w:hAnsi="Times New Roman" w:eastAsia="仿宋_GB2312"/>
      <w:b/>
      <w:snapToGrid w:val="0"/>
      <w:sz w:val="28"/>
      <w:szCs w:val="28"/>
    </w:rPr>
  </w:style>
  <w:style w:type="paragraph" w:customStyle="1" w:styleId="54">
    <w:name w:val="闻政-正文三级标题"/>
    <w:basedOn w:val="1"/>
    <w:next w:val="47"/>
    <w:link w:val="53"/>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character" w:customStyle="1" w:styleId="55">
    <w:name w:val="font21"/>
    <w:uiPriority w:val="0"/>
    <w:rPr>
      <w:rFonts w:hint="default" w:ascii="Times New Roman" w:hAnsi="Times New Roman" w:cs="Times New Roman"/>
      <w:color w:val="000000"/>
      <w:sz w:val="24"/>
      <w:szCs w:val="24"/>
      <w:u w:val="none"/>
    </w:rPr>
  </w:style>
  <w:style w:type="character" w:customStyle="1" w:styleId="56">
    <w:name w:val="无间隔 Char"/>
    <w:link w:val="57"/>
    <w:uiPriority w:val="1"/>
    <w:rPr>
      <w:rFonts w:eastAsia="仿宋_GB2312" w:cs="黑体"/>
      <w:kern w:val="2"/>
      <w:sz w:val="28"/>
      <w:szCs w:val="22"/>
      <w:lang w:val="en-US" w:eastAsia="zh-CN" w:bidi="ar-SA"/>
    </w:rPr>
  </w:style>
  <w:style w:type="paragraph" w:styleId="57">
    <w:name w:val="No Spacing"/>
    <w:link w:val="56"/>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58">
    <w:name w:val="List Paragraph"/>
    <w:basedOn w:val="1"/>
    <w:qFormat/>
    <w:uiPriority w:val="34"/>
    <w:pPr>
      <w:ind w:firstLine="420"/>
    </w:pPr>
  </w:style>
  <w:style w:type="paragraph" w:customStyle="1" w:styleId="59">
    <w:name w:val="和田正文1a"/>
    <w:basedOn w:val="1"/>
    <w:qFormat/>
    <w:uiPriority w:val="0"/>
    <w:pPr>
      <w:spacing w:line="560" w:lineRule="exact"/>
      <w:ind w:firstLine="1004" w:firstLineChars="200"/>
      <w:jc w:val="left"/>
    </w:pPr>
    <w:rPr>
      <w:rFonts w:ascii="Times New Roman" w:hAnsi="Times New Roman" w:cs="Times New Roman"/>
      <w:kern w:val="0"/>
      <w:sz w:val="32"/>
      <w:szCs w:val="32"/>
      <w:lang w:bidi="en-US"/>
    </w:rPr>
  </w:style>
  <w:style w:type="character" w:customStyle="1" w:styleId="60">
    <w:name w:val="font71"/>
    <w:basedOn w:val="26"/>
    <w:uiPriority w:val="0"/>
    <w:rPr>
      <w:rFonts w:hint="eastAsia" w:ascii="微软雅黑" w:hAnsi="微软雅黑" w:eastAsia="微软雅黑" w:cs="微软雅黑"/>
      <w:b/>
      <w:bCs/>
      <w:color w:val="000000"/>
      <w:sz w:val="32"/>
      <w:szCs w:val="32"/>
      <w:u w:val="none"/>
    </w:rPr>
  </w:style>
  <w:style w:type="paragraph" w:customStyle="1" w:styleId="61">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62">
    <w:name w:val="62"/>
    <w:basedOn w:val="1"/>
    <w:next w:val="1"/>
    <w:qFormat/>
    <w:uiPriority w:val="0"/>
    <w:pPr>
      <w:pBdr>
        <w:bottom w:val="single" w:color="auto" w:sz="6" w:space="1"/>
      </w:pBdr>
      <w:jc w:val="center"/>
    </w:pPr>
    <w:rPr>
      <w:rFonts w:ascii="Arial" w:eastAsia="宋体"/>
      <w:vanish/>
      <w:sz w:val="16"/>
    </w:rPr>
  </w:style>
  <w:style w:type="paragraph" w:customStyle="1" w:styleId="63">
    <w:name w:val="63"/>
    <w:basedOn w:val="1"/>
    <w:next w:val="1"/>
    <w:qFormat/>
    <w:uiPriority w:val="0"/>
    <w:pPr>
      <w:pBdr>
        <w:top w:val="single" w:color="auto" w:sz="6" w:space="1"/>
      </w:pBdr>
      <w:jc w:val="center"/>
    </w:pPr>
    <w:rPr>
      <w:rFonts w:ascii="Arial" w:eastAsia="宋体"/>
      <w:vanish/>
      <w:sz w:val="16"/>
    </w:rPr>
  </w:style>
  <w:style w:type="character" w:customStyle="1" w:styleId="64">
    <w:name w:val="font61"/>
    <w:basedOn w:val="26"/>
    <w:uiPriority w:val="0"/>
    <w:rPr>
      <w:rFonts w:hint="eastAsia" w:ascii="微软雅黑" w:hAnsi="微软雅黑" w:eastAsia="微软雅黑" w:cs="微软雅黑"/>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C3FEBD99EA4F4526A590C779EC392F52_13</vt:lpwstr>
  </property>
  <property fmtid="{D5CDD505-2E9C-101B-9397-08002B2CF9AE}" pid="4" name="KSOTemplateDocerSaveRecord">
    <vt:lpwstr>eyJoZGlkIjoiZDE5MGZhMTJhZDM2OTQwYzkzYWVjM2FhZDUxN2Q0M2IiLCJ1c2VySWQiOiI2NTE5NDIwMjYifQ==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356841-78d5-48e2-8425-ea29b58f526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14533</Words>
  <Characters>15490</Characters>
  <Lines>44</Lines>
  <Paragraphs>12</Paragraphs>
  <TotalTime>5</TotalTime>
  <ScaleCrop>false</ScaleCrop>
  <LinksUpToDate>false</LinksUpToDate>
  <CharactersWithSpaces>15655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2021-04-03T09:53:00Z</dcterms:created>
  <dc:creator>User</dc:creator>
  <cp:lastModifiedBy>白羊</cp:lastModifiedBy>
  <dcterms:modified xsi:type="dcterms:W3CDTF">2025-12-25T11:13:52Z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C3FEBD99EA4F4526A590C779EC392F52_13</vt:lpwstr>
  </property>
  <property fmtid="{D5CDD505-2E9C-101B-9397-08002B2CF9AE}" pid="4" name="KSOTemplateDocerSaveRecord">
    <vt:lpwstr>eyJoZGlkIjoiYjM4NWYyMWE2NWU1OGNiMmIxMmZkYzA5MWEwNzJlZmIiLCJ1c2VySWQiOiI0MzE2NzY3NzkifQ==</vt:lpwstr>
  </property>
</Properties>
</file>