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3EBED1"/>
    <w:p w14:paraId="741B8DC3">
      <w:pPr>
        <w:pageBreakBefore w:val="0"/>
        <w:widowControl w:val="0"/>
        <w:kinsoku/>
        <w:wordWrap/>
        <w:topLinePunct w:val="0"/>
        <w:autoSpaceDE/>
        <w:autoSpaceDN/>
        <w:bidi w:val="0"/>
        <w:spacing w:line="560" w:lineRule="exact"/>
        <w:ind w:left="0" w:leftChars="0" w:firstLine="0" w:firstLineChars="0"/>
        <w:textAlignment w:val="auto"/>
        <w:rPr>
          <w:rFonts w:hint="eastAsia" w:ascii="仿宋_GB2312" w:hAnsi="仿宋_GB2312" w:eastAsia="仿宋_GB2312" w:cs="仿宋_GB2312"/>
          <w:b/>
          <w:color w:val="auto"/>
          <w:kern w:val="0"/>
          <w:sz w:val="36"/>
          <w:szCs w:val="36"/>
          <w:lang w:val="en-US" w:eastAsia="zh-CN" w:bidi="en-US"/>
        </w:rPr>
      </w:pPr>
    </w:p>
    <w:p w14:paraId="36B1C711">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仿宋_GB2312" w:hAnsi="仿宋_GB2312" w:eastAsia="仿宋_GB2312" w:cs="仿宋_GB2312"/>
          <w:b/>
          <w:color w:val="auto"/>
          <w:sz w:val="36"/>
          <w:szCs w:val="36"/>
          <w:lang w:val="en-US" w:eastAsia="zh-CN"/>
        </w:rPr>
      </w:pPr>
      <w:r>
        <w:rPr>
          <w:rFonts w:hint="eastAsia" w:ascii="仿宋_GB2312" w:hAnsi="仿宋_GB2312" w:eastAsia="仿宋_GB2312" w:cs="仿宋_GB2312"/>
          <w:b/>
          <w:color w:val="auto"/>
          <w:sz w:val="36"/>
          <w:szCs w:val="36"/>
          <w:lang w:val="en-US" w:eastAsia="zh-CN"/>
        </w:rPr>
        <w:t>和田地区洛浦县乌昌工作站及带队干部</w:t>
      </w:r>
    </w:p>
    <w:p w14:paraId="6C74FFC7">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803"/>
        <w:jc w:val="center"/>
        <w:textAlignment w:val="auto"/>
        <w:outlineLvl w:val="0"/>
        <w:rPr>
          <w:rFonts w:hint="eastAsia" w:ascii="仿宋_GB2312" w:hAnsi="仿宋_GB2312" w:eastAsia="仿宋_GB2312" w:cs="仿宋_GB2312"/>
          <w:color w:val="auto"/>
          <w:sz w:val="36"/>
          <w:szCs w:val="36"/>
        </w:rPr>
      </w:pPr>
      <w:r>
        <w:rPr>
          <w:rFonts w:hint="eastAsia" w:ascii="仿宋_GB2312" w:hAnsi="仿宋_GB2312" w:eastAsia="仿宋_GB2312" w:cs="仿宋_GB2312"/>
          <w:b/>
          <w:color w:val="auto"/>
          <w:sz w:val="36"/>
          <w:szCs w:val="36"/>
          <w:lang w:val="en-US" w:eastAsia="zh-CN"/>
        </w:rPr>
        <w:t>生活补助</w:t>
      </w:r>
      <w:r>
        <w:rPr>
          <w:rFonts w:hint="eastAsia" w:ascii="仿宋_GB2312" w:hAnsi="仿宋_GB2312" w:eastAsia="仿宋_GB2312" w:cs="仿宋_GB2312"/>
          <w:b/>
          <w:color w:val="auto"/>
          <w:sz w:val="36"/>
          <w:szCs w:val="36"/>
        </w:rPr>
        <w:t>支出绩效评价报告</w:t>
      </w:r>
    </w:p>
    <w:p w14:paraId="6AE9ECEF">
      <w:pPr>
        <w:pStyle w:val="6"/>
        <w:jc w:val="center"/>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2024年度</w:t>
      </w:r>
      <w:r>
        <w:rPr>
          <w:rFonts w:hint="eastAsia" w:ascii="仿宋_GB2312" w:hAnsi="仿宋_GB2312" w:eastAsia="仿宋_GB2312" w:cs="仿宋_GB2312"/>
          <w:color w:val="auto"/>
          <w:sz w:val="32"/>
          <w:szCs w:val="32"/>
          <w:lang w:eastAsia="zh-CN"/>
        </w:rPr>
        <w:t>）</w:t>
      </w:r>
    </w:p>
    <w:p w14:paraId="6DCABE6A">
      <w:pPr>
        <w:pageBreakBefore w:val="0"/>
        <w:widowControl w:val="0"/>
        <w:kinsoku/>
        <w:wordWrap/>
        <w:topLinePunct w:val="0"/>
        <w:autoSpaceDE/>
        <w:autoSpaceDN/>
        <w:bidi w:val="0"/>
        <w:spacing w:line="560" w:lineRule="exact"/>
        <w:ind w:left="0" w:leftChars="0" w:firstLine="0" w:firstLineChars="0"/>
        <w:jc w:val="center"/>
        <w:textAlignment w:val="auto"/>
        <w:rPr>
          <w:rFonts w:hint="eastAsia" w:ascii="仿宋_GB2312" w:hAnsi="仿宋_GB2312" w:eastAsia="仿宋_GB2312" w:cs="仿宋_GB2312"/>
          <w:b/>
          <w:color w:val="auto"/>
          <w:kern w:val="0"/>
          <w:sz w:val="32"/>
          <w:szCs w:val="32"/>
          <w:lang w:val="en-US" w:eastAsia="zh-CN" w:bidi="en-US"/>
        </w:rPr>
      </w:pPr>
      <w:r>
        <w:rPr>
          <w:rFonts w:hint="eastAsia" w:ascii="仿宋_GB2312" w:hAnsi="仿宋_GB2312" w:eastAsia="仿宋_GB2312" w:cs="仿宋_GB2312"/>
          <w:b/>
          <w:color w:val="auto"/>
          <w:kern w:val="0"/>
          <w:sz w:val="32"/>
          <w:szCs w:val="32"/>
          <w:lang w:val="en-US" w:eastAsia="zh-CN" w:bidi="en-US"/>
        </w:rPr>
        <w:t xml:space="preserve"> </w:t>
      </w:r>
    </w:p>
    <w:p w14:paraId="180D7736">
      <w:pPr>
        <w:pageBreakBefore w:val="0"/>
        <w:widowControl w:val="0"/>
        <w:kinsoku/>
        <w:wordWrap/>
        <w:topLinePunct w:val="0"/>
        <w:autoSpaceDE/>
        <w:autoSpaceDN/>
        <w:bidi w:val="0"/>
        <w:spacing w:line="560" w:lineRule="exact"/>
        <w:ind w:left="0" w:leftChars="0" w:firstLine="0" w:firstLineChars="0"/>
        <w:jc w:val="center"/>
        <w:textAlignment w:val="auto"/>
        <w:rPr>
          <w:rFonts w:hint="eastAsia" w:ascii="仿宋_GB2312" w:hAnsi="仿宋_GB2312" w:eastAsia="仿宋_GB2312" w:cs="仿宋_GB2312"/>
          <w:b/>
          <w:color w:val="auto"/>
          <w:kern w:val="0"/>
          <w:sz w:val="32"/>
          <w:szCs w:val="32"/>
          <w:lang w:bidi="en-US"/>
        </w:rPr>
      </w:pPr>
    </w:p>
    <w:p w14:paraId="55410480">
      <w:pPr>
        <w:pStyle w:val="6"/>
        <w:rPr>
          <w:rFonts w:hint="eastAsia" w:ascii="仿宋_GB2312" w:hAnsi="仿宋_GB2312" w:eastAsia="仿宋_GB2312" w:cs="仿宋_GB2312"/>
          <w:b/>
          <w:color w:val="auto"/>
          <w:kern w:val="0"/>
          <w:sz w:val="32"/>
          <w:szCs w:val="32"/>
          <w:lang w:bidi="en-US"/>
        </w:rPr>
      </w:pPr>
    </w:p>
    <w:p w14:paraId="17887757">
      <w:pPr>
        <w:rPr>
          <w:rFonts w:hint="eastAsia" w:ascii="仿宋_GB2312" w:hAnsi="仿宋_GB2312" w:eastAsia="仿宋_GB2312" w:cs="仿宋_GB2312"/>
          <w:b/>
          <w:color w:val="auto"/>
          <w:kern w:val="0"/>
          <w:sz w:val="32"/>
          <w:szCs w:val="32"/>
          <w:lang w:bidi="en-US"/>
        </w:rPr>
      </w:pPr>
    </w:p>
    <w:p w14:paraId="1F10D6A1">
      <w:pPr>
        <w:pStyle w:val="6"/>
        <w:rPr>
          <w:rFonts w:hint="eastAsia" w:ascii="仿宋_GB2312" w:hAnsi="仿宋_GB2312" w:eastAsia="仿宋_GB2312" w:cs="仿宋_GB2312"/>
          <w:color w:val="auto"/>
          <w:sz w:val="32"/>
          <w:szCs w:val="32"/>
        </w:rPr>
      </w:pPr>
    </w:p>
    <w:p w14:paraId="2063A090">
      <w:pPr>
        <w:pStyle w:val="6"/>
        <w:pageBreakBefore w:val="0"/>
        <w:widowControl w:val="0"/>
        <w:kinsoku/>
        <w:wordWrap/>
        <w:topLinePunct w:val="0"/>
        <w:autoSpaceDE/>
        <w:autoSpaceDN/>
        <w:bidi w:val="0"/>
        <w:spacing w:before="0" w:after="0" w:line="560" w:lineRule="exact"/>
        <w:ind w:left="0" w:leftChars="0" w:firstLine="643"/>
        <w:textAlignment w:val="auto"/>
        <w:rPr>
          <w:rFonts w:hint="eastAsia" w:ascii="仿宋_GB2312" w:hAnsi="仿宋_GB2312" w:eastAsia="仿宋_GB2312" w:cs="仿宋_GB2312"/>
          <w:b/>
          <w:color w:val="auto"/>
          <w:sz w:val="32"/>
          <w:szCs w:val="32"/>
          <w:lang w:bidi="en-US"/>
        </w:rPr>
      </w:pPr>
    </w:p>
    <w:p w14:paraId="6B49B930">
      <w:pPr>
        <w:pageBreakBefore w:val="0"/>
        <w:widowControl w:val="0"/>
        <w:kinsoku/>
        <w:wordWrap/>
        <w:topLinePunct w:val="0"/>
        <w:autoSpaceDE/>
        <w:autoSpaceDN/>
        <w:bidi w:val="0"/>
        <w:spacing w:line="560" w:lineRule="exact"/>
        <w:ind w:left="0" w:leftChars="0" w:firstLine="560"/>
        <w:textAlignment w:val="auto"/>
        <w:rPr>
          <w:rFonts w:hint="eastAsia" w:ascii="仿宋_GB2312" w:hAnsi="仿宋_GB2312" w:eastAsia="仿宋_GB2312" w:cs="仿宋_GB2312"/>
          <w:color w:val="auto"/>
          <w:sz w:val="32"/>
          <w:szCs w:val="32"/>
        </w:rPr>
      </w:pPr>
    </w:p>
    <w:p w14:paraId="4D208FB3">
      <w:pPr>
        <w:pageBreakBefore w:val="0"/>
        <w:widowControl w:val="0"/>
        <w:kinsoku/>
        <w:wordWrap/>
        <w:topLinePunct w:val="0"/>
        <w:autoSpaceDE/>
        <w:autoSpaceDN/>
        <w:bidi w:val="0"/>
        <w:spacing w:line="560" w:lineRule="exact"/>
        <w:ind w:left="0" w:leftChars="0" w:firstLine="0" w:firstLineChars="0"/>
        <w:textAlignment w:val="auto"/>
        <w:rPr>
          <w:rFonts w:hint="eastAsia" w:ascii="仿宋_GB2312" w:hAnsi="仿宋_GB2312" w:eastAsia="仿宋_GB2312" w:cs="仿宋_GB2312"/>
          <w:color w:val="auto"/>
          <w:kern w:val="0"/>
          <w:sz w:val="32"/>
          <w:szCs w:val="32"/>
          <w:lang w:bidi="en-US"/>
        </w:rPr>
      </w:pPr>
    </w:p>
    <w:p w14:paraId="66D45CF9">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bidi="en-US"/>
        </w:rPr>
      </w:pPr>
      <w:r>
        <w:rPr>
          <w:rFonts w:hint="eastAsia" w:ascii="宋体" w:hAnsi="宋体" w:eastAsia="宋体" w:cs="宋体"/>
          <w:color w:val="auto"/>
          <w:kern w:val="0"/>
          <w:sz w:val="28"/>
          <w:szCs w:val="28"/>
          <w:lang w:bidi="en-US"/>
        </w:rPr>
        <w:t>项目名称：乌昌工作站及带队干部生活补助</w:t>
      </w:r>
    </w:p>
    <w:p w14:paraId="1B6CA66D">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val="en-US" w:eastAsia="zh-CN" w:bidi="en-US"/>
        </w:rPr>
      </w:pPr>
      <w:r>
        <w:rPr>
          <w:rFonts w:hint="eastAsia" w:ascii="宋体" w:hAnsi="宋体" w:eastAsia="宋体" w:cs="宋体"/>
          <w:color w:val="auto"/>
          <w:kern w:val="0"/>
          <w:sz w:val="28"/>
          <w:szCs w:val="28"/>
          <w:lang w:bidi="en-US"/>
        </w:rPr>
        <w:t>项目单位：</w:t>
      </w:r>
      <w:r>
        <w:rPr>
          <w:rFonts w:hint="eastAsia" w:ascii="宋体" w:hAnsi="宋体" w:eastAsia="宋体" w:cs="宋体"/>
          <w:color w:val="auto"/>
          <w:kern w:val="0"/>
          <w:sz w:val="28"/>
          <w:szCs w:val="28"/>
          <w:lang w:eastAsia="zh-CN" w:bidi="en-US"/>
        </w:rPr>
        <w:t>中共洛浦县委政法委员会</w:t>
      </w:r>
    </w:p>
    <w:p w14:paraId="1382A2E9">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bidi="en-US"/>
        </w:rPr>
      </w:pPr>
      <w:r>
        <w:rPr>
          <w:rFonts w:hint="eastAsia" w:ascii="宋体" w:hAnsi="宋体" w:eastAsia="宋体" w:cs="宋体"/>
          <w:color w:val="auto"/>
          <w:kern w:val="0"/>
          <w:sz w:val="28"/>
          <w:szCs w:val="28"/>
          <w:lang w:bidi="en-US"/>
        </w:rPr>
        <w:t>主管部门：</w:t>
      </w:r>
      <w:r>
        <w:rPr>
          <w:rFonts w:hint="eastAsia" w:ascii="宋体" w:hAnsi="宋体" w:eastAsia="宋体" w:cs="宋体"/>
          <w:color w:val="auto"/>
          <w:kern w:val="0"/>
          <w:sz w:val="28"/>
          <w:szCs w:val="28"/>
          <w:lang w:eastAsia="zh-CN" w:bidi="en-US"/>
        </w:rPr>
        <w:t>中共洛浦县委政法委员会</w:t>
      </w:r>
    </w:p>
    <w:p w14:paraId="72005D4D">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eastAsia="zh-CN" w:bidi="en-US"/>
        </w:rPr>
      </w:pPr>
      <w:r>
        <w:rPr>
          <w:rFonts w:hint="eastAsia" w:ascii="宋体" w:hAnsi="宋体" w:eastAsia="宋体" w:cs="宋体"/>
          <w:color w:val="auto"/>
          <w:kern w:val="0"/>
          <w:sz w:val="28"/>
          <w:szCs w:val="28"/>
          <w:lang w:bidi="en-US"/>
        </w:rPr>
        <w:t>项目负责人：</w:t>
      </w:r>
      <w:r>
        <w:rPr>
          <w:rFonts w:hint="eastAsia" w:ascii="宋体" w:hAnsi="宋体" w:eastAsia="宋体" w:cs="宋体"/>
          <w:color w:val="auto"/>
          <w:kern w:val="0"/>
          <w:sz w:val="28"/>
          <w:szCs w:val="28"/>
          <w:lang w:eastAsia="zh-CN" w:bidi="en-US"/>
        </w:rPr>
        <w:t>方焜</w:t>
      </w:r>
    </w:p>
    <w:p w14:paraId="52019D0B">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color w:val="auto"/>
          <w:kern w:val="0"/>
          <w:sz w:val="28"/>
          <w:szCs w:val="28"/>
          <w:lang w:bidi="en-US"/>
        </w:rPr>
      </w:pPr>
      <w:r>
        <w:rPr>
          <w:rFonts w:hint="eastAsia" w:ascii="宋体" w:hAnsi="宋体" w:eastAsia="宋体" w:cs="宋体"/>
          <w:color w:val="auto"/>
          <w:kern w:val="0"/>
          <w:sz w:val="28"/>
          <w:szCs w:val="28"/>
          <w:lang w:bidi="en-US"/>
        </w:rPr>
        <w:t>填报时间：</w:t>
      </w:r>
      <w:r>
        <w:rPr>
          <w:rFonts w:hint="eastAsia" w:ascii="宋体" w:hAnsi="宋体" w:eastAsia="宋体" w:cs="宋体"/>
          <w:color w:val="auto"/>
          <w:kern w:val="0"/>
          <w:sz w:val="28"/>
          <w:szCs w:val="28"/>
          <w:lang w:val="en-US" w:eastAsia="zh-CN" w:bidi="en-US"/>
        </w:rPr>
        <w:t>2025</w:t>
      </w:r>
      <w:r>
        <w:rPr>
          <w:rFonts w:hint="eastAsia" w:ascii="宋体" w:hAnsi="宋体" w:eastAsia="宋体" w:cs="宋体"/>
          <w:color w:val="auto"/>
          <w:kern w:val="0"/>
          <w:sz w:val="28"/>
          <w:szCs w:val="28"/>
          <w:lang w:bidi="en-US"/>
        </w:rPr>
        <w:t xml:space="preserve">年 </w:t>
      </w:r>
      <w:r>
        <w:rPr>
          <w:rFonts w:hint="eastAsia" w:ascii="宋体" w:hAnsi="宋体" w:eastAsia="宋体" w:cs="宋体"/>
          <w:color w:val="auto"/>
          <w:kern w:val="0"/>
          <w:sz w:val="28"/>
          <w:szCs w:val="28"/>
          <w:lang w:val="en-US" w:eastAsia="zh-CN" w:bidi="en-US"/>
        </w:rPr>
        <w:t>3</w:t>
      </w:r>
      <w:r>
        <w:rPr>
          <w:rFonts w:hint="eastAsia" w:ascii="宋体" w:hAnsi="宋体" w:eastAsia="宋体" w:cs="宋体"/>
          <w:color w:val="auto"/>
          <w:kern w:val="0"/>
          <w:sz w:val="28"/>
          <w:szCs w:val="28"/>
          <w:lang w:bidi="en-US"/>
        </w:rPr>
        <w:t>月</w:t>
      </w:r>
      <w:r>
        <w:rPr>
          <w:rFonts w:hint="eastAsia" w:ascii="宋体" w:hAnsi="宋体" w:eastAsia="宋体" w:cs="宋体"/>
          <w:color w:val="auto"/>
          <w:kern w:val="0"/>
          <w:sz w:val="28"/>
          <w:szCs w:val="28"/>
          <w:lang w:val="en-US" w:eastAsia="zh-CN" w:bidi="en-US"/>
        </w:rPr>
        <w:t>31</w:t>
      </w:r>
      <w:r>
        <w:rPr>
          <w:rFonts w:hint="eastAsia" w:ascii="宋体" w:hAnsi="宋体" w:eastAsia="宋体" w:cs="宋体"/>
          <w:color w:val="auto"/>
          <w:kern w:val="0"/>
          <w:sz w:val="28"/>
          <w:szCs w:val="28"/>
          <w:lang w:bidi="en-US"/>
        </w:rPr>
        <w:t>日</w:t>
      </w:r>
    </w:p>
    <w:p w14:paraId="7EF08563">
      <w:pPr>
        <w:pageBreakBefore w:val="0"/>
        <w:widowControl w:val="0"/>
        <w:kinsoku/>
        <w:wordWrap/>
        <w:topLinePunct w:val="0"/>
        <w:autoSpaceDE/>
        <w:autoSpaceDN/>
        <w:bidi w:val="0"/>
        <w:spacing w:line="560" w:lineRule="exact"/>
        <w:ind w:left="0" w:leftChars="0" w:firstLine="0" w:firstLineChars="0"/>
        <w:textAlignment w:val="auto"/>
        <w:rPr>
          <w:rFonts w:hint="eastAsia" w:ascii="仿宋_GB2312" w:hAnsi="仿宋_GB2312" w:eastAsia="仿宋_GB2312" w:cs="仿宋_GB2312"/>
          <w:b/>
          <w:color w:val="auto"/>
          <w:kern w:val="0"/>
          <w:sz w:val="32"/>
          <w:szCs w:val="32"/>
          <w:lang w:bidi="en-US"/>
        </w:rPr>
      </w:pPr>
    </w:p>
    <w:p w14:paraId="3545DAA9">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bookmarkStart w:id="0" w:name="_Toc68364657"/>
      <w:r>
        <w:rPr>
          <w:rFonts w:hint="eastAsia" w:ascii="黑体" w:hAnsi="黑体" w:eastAsia="黑体" w:cs="黑体"/>
          <w:color w:val="auto"/>
          <w:sz w:val="24"/>
          <w:szCs w:val="24"/>
          <w:lang w:val="en-US" w:eastAsia="zh-CN"/>
        </w:rPr>
        <w:t>一、</w:t>
      </w:r>
      <w:r>
        <w:rPr>
          <w:rFonts w:hint="eastAsia" w:ascii="黑体" w:hAnsi="黑体" w:eastAsia="黑体" w:cs="黑体"/>
          <w:color w:val="auto"/>
          <w:sz w:val="24"/>
          <w:szCs w:val="24"/>
        </w:rPr>
        <w:t>基本情况</w:t>
      </w:r>
      <w:bookmarkEnd w:id="0"/>
    </w:p>
    <w:p w14:paraId="7FA27F60">
      <w:pPr>
        <w:pStyle w:val="57"/>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 w:name="_Toc68364658"/>
      <w:r>
        <w:rPr>
          <w:rFonts w:hint="eastAsia" w:ascii="宋体" w:hAnsi="宋体" w:eastAsia="宋体" w:cs="宋体"/>
          <w:color w:val="auto"/>
          <w:sz w:val="24"/>
          <w:szCs w:val="24"/>
          <w:lang w:eastAsia="zh-CN"/>
        </w:rPr>
        <w:t>（一）</w:t>
      </w:r>
      <w:r>
        <w:rPr>
          <w:rFonts w:hint="eastAsia" w:ascii="宋体" w:hAnsi="宋体" w:eastAsia="宋体" w:cs="宋体"/>
          <w:color w:val="auto"/>
          <w:sz w:val="24"/>
          <w:szCs w:val="24"/>
        </w:rPr>
        <w:t>项目概况</w:t>
      </w:r>
      <w:bookmarkEnd w:id="1"/>
    </w:p>
    <w:p w14:paraId="2389FCA8">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 项目背景</w:t>
      </w:r>
    </w:p>
    <w:p w14:paraId="3CADFE81">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本项目根据和地劳转﹝2020﹞1号、洛劳转办﹝2020﹞4号文件立项，旨在为乌昌工作站干部解决办公经费和生活补助，保障人员正常运转，规范管理有组织转移就业人员。</w:t>
      </w:r>
    </w:p>
    <w:p w14:paraId="0D7AC74E">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b w:val="0"/>
          <w:bCs w:val="0"/>
          <w:color w:val="auto"/>
          <w:sz w:val="24"/>
          <w:szCs w:val="24"/>
          <w:lang w:val="en-US" w:eastAsia="zh-CN"/>
        </w:rPr>
        <w:t>本项目主要为乌昌工作站干部解决办公经费和生活补助，保障人员正常运转，规范管理有组织转移就业人员。项目背景：通过有组织转移就业人员的规范管理，切实解决当前和田“就业难、难就业”的问题。做到信息互通、资源共享、业务协同、有序开展。项目立项依据：通过有组织转移就业人员的规范管理，切实解决当前和田“就业难、难就业”的问题。做到信息互通、资源共享、业务协同、有序开展。</w:t>
      </w:r>
    </w:p>
    <w:p w14:paraId="1FC7BFDE">
      <w:pPr>
        <w:pStyle w:val="57"/>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lang w:eastAsia="zh-CN"/>
        </w:rPr>
        <w:t>主要内容及实施情况</w:t>
      </w:r>
    </w:p>
    <w:p w14:paraId="73DA4C6E">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1）主要内容</w:t>
      </w:r>
    </w:p>
    <w:p w14:paraId="1E879F90">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项目实施内容：根据财经委员会（洛财纪字﹝2024﹞1号），为提高干部工作效率，项目总投资为11.91万元，项目完成时间为2024年12月；通过本项目实施，有效提高干部工作效率，争取使受益干部满意度达到98%以上。</w:t>
      </w:r>
    </w:p>
    <w:p w14:paraId="5A492AC3">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2.实施情况</w:t>
      </w:r>
    </w:p>
    <w:p w14:paraId="1D8FF19E">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1）项目实施主体</w:t>
      </w:r>
    </w:p>
    <w:p w14:paraId="35D2D38D">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本项目主管部门为中共洛浦县委政法委员会，实施单位为中共洛浦县委政法委员会。</w:t>
      </w:r>
    </w:p>
    <w:p w14:paraId="7B186A7C">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lang w:val="en-US" w:eastAsia="zh-CN"/>
        </w:rPr>
        <w:t>（2）项目实施时间：</w:t>
      </w:r>
      <w:r>
        <w:rPr>
          <w:rFonts w:hint="eastAsia" w:ascii="宋体" w:hAnsi="宋体" w:eastAsia="宋体" w:cs="宋体"/>
          <w:b w:val="0"/>
          <w:bCs w:val="0"/>
          <w:color w:val="auto"/>
          <w:sz w:val="24"/>
          <w:szCs w:val="24"/>
          <w:lang w:val="en-US" w:eastAsia="zh-CN"/>
        </w:rPr>
        <w:t>2024年1月-2024年12月</w:t>
      </w:r>
    </w:p>
    <w:p w14:paraId="53E575F2">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（3）项目实施情况</w:t>
      </w:r>
    </w:p>
    <w:p w14:paraId="07E6FE5D">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目因人员动态优化，实际主要完成对1-5月11人，6-11月4人的乌昌干部生活补助。项目资金已使用11.91万元。通过项目的实施，有效提高国家干部工作积极性，受益干部满意度达98.33%。</w:t>
      </w:r>
    </w:p>
    <w:p w14:paraId="6EF159BB">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 资金投入和使用情况</w:t>
      </w:r>
    </w:p>
    <w:p w14:paraId="6BE3FE11">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（1）项目资金安排</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投入情况</w:t>
      </w:r>
    </w:p>
    <w:p w14:paraId="11EC48D6">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本项目预算安排总额为</w:t>
      </w:r>
      <w:r>
        <w:rPr>
          <w:rFonts w:hint="eastAsia" w:ascii="宋体" w:hAnsi="宋体" w:eastAsia="宋体" w:cs="宋体"/>
          <w:color w:val="auto"/>
          <w:sz w:val="24"/>
          <w:szCs w:val="24"/>
          <w:lang w:val="en-US" w:eastAsia="zh-CN"/>
        </w:rPr>
        <w:t>13.29</w:t>
      </w:r>
      <w:r>
        <w:rPr>
          <w:rFonts w:hint="eastAsia" w:ascii="宋体" w:hAnsi="宋体" w:eastAsia="宋体" w:cs="宋体"/>
          <w:color w:val="auto"/>
          <w:sz w:val="24"/>
          <w:szCs w:val="24"/>
        </w:rPr>
        <w:t>万元，资金来源为部门预算</w:t>
      </w:r>
      <w:r>
        <w:rPr>
          <w:rFonts w:hint="eastAsia" w:ascii="宋体" w:hAnsi="宋体" w:eastAsia="宋体" w:cs="宋体"/>
          <w:color w:val="auto"/>
          <w:sz w:val="24"/>
          <w:szCs w:val="24"/>
          <w:lang w:val="en-US" w:eastAsia="zh-CN"/>
        </w:rPr>
        <w:t>资金</w:t>
      </w:r>
      <w:r>
        <w:rPr>
          <w:rFonts w:hint="eastAsia" w:ascii="宋体" w:hAnsi="宋体" w:eastAsia="宋体" w:cs="宋体"/>
          <w:color w:val="auto"/>
          <w:sz w:val="24"/>
          <w:szCs w:val="24"/>
        </w:rPr>
        <w:t>，其中：财政资金</w:t>
      </w:r>
      <w:r>
        <w:rPr>
          <w:rFonts w:hint="eastAsia" w:ascii="宋体" w:hAnsi="宋体" w:eastAsia="宋体" w:cs="宋体"/>
          <w:color w:val="auto"/>
          <w:sz w:val="24"/>
          <w:szCs w:val="24"/>
          <w:lang w:val="en-US" w:eastAsia="zh-CN"/>
        </w:rPr>
        <w:t>13.29</w:t>
      </w:r>
      <w:r>
        <w:rPr>
          <w:rFonts w:hint="eastAsia" w:ascii="宋体" w:hAnsi="宋体" w:eastAsia="宋体" w:cs="宋体"/>
          <w:color w:val="auto"/>
          <w:sz w:val="24"/>
          <w:szCs w:val="24"/>
        </w:rPr>
        <w:t>万元，其他资金</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万元，202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年实际收到预算资金</w:t>
      </w:r>
      <w:r>
        <w:rPr>
          <w:rFonts w:hint="eastAsia" w:ascii="宋体" w:hAnsi="宋体" w:eastAsia="宋体" w:cs="宋体"/>
          <w:color w:val="auto"/>
          <w:sz w:val="24"/>
          <w:szCs w:val="24"/>
          <w:lang w:val="en-US" w:eastAsia="zh-CN"/>
        </w:rPr>
        <w:t>13.29</w:t>
      </w:r>
      <w:r>
        <w:rPr>
          <w:rFonts w:hint="eastAsia" w:ascii="宋体" w:hAnsi="宋体" w:eastAsia="宋体" w:cs="宋体"/>
          <w:color w:val="auto"/>
          <w:sz w:val="24"/>
          <w:szCs w:val="24"/>
        </w:rPr>
        <w:t>万元，预算资金到位率为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3749E145">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（2）项目资金实际使用情况分析</w:t>
      </w:r>
    </w:p>
    <w:p w14:paraId="6646E8F1">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本项目实际支付资金</w:t>
      </w:r>
      <w:r>
        <w:rPr>
          <w:rFonts w:hint="eastAsia" w:ascii="宋体" w:hAnsi="宋体" w:eastAsia="宋体" w:cs="宋体"/>
          <w:color w:val="auto"/>
          <w:sz w:val="24"/>
          <w:szCs w:val="24"/>
          <w:lang w:val="en-US" w:eastAsia="zh-CN"/>
        </w:rPr>
        <w:t>11.91</w:t>
      </w:r>
      <w:r>
        <w:rPr>
          <w:rFonts w:hint="eastAsia" w:ascii="宋体" w:hAnsi="宋体" w:eastAsia="宋体" w:cs="宋体"/>
          <w:color w:val="auto"/>
          <w:sz w:val="24"/>
          <w:szCs w:val="24"/>
        </w:rPr>
        <w:t>万元，预算执行</w:t>
      </w:r>
      <w:r>
        <w:rPr>
          <w:rFonts w:hint="eastAsia" w:ascii="宋体" w:hAnsi="宋体" w:eastAsia="宋体" w:cs="宋体"/>
          <w:color w:val="auto"/>
          <w:sz w:val="24"/>
          <w:szCs w:val="24"/>
          <w:lang w:val="en-US" w:eastAsia="zh-CN"/>
        </w:rPr>
        <w:t>率89.62</w:t>
      </w:r>
      <w:r>
        <w:rPr>
          <w:rFonts w:hint="eastAsia" w:ascii="宋体" w:hAnsi="宋体" w:eastAsia="宋体" w:cs="宋体"/>
          <w:color w:val="auto"/>
          <w:sz w:val="24"/>
          <w:szCs w:val="24"/>
        </w:rPr>
        <w:t>%。本项目资金主要用于支付</w:t>
      </w:r>
      <w:r>
        <w:rPr>
          <w:rFonts w:hint="eastAsia" w:ascii="宋体" w:hAnsi="宋体" w:eastAsia="宋体" w:cs="宋体"/>
          <w:color w:val="auto"/>
          <w:sz w:val="24"/>
          <w:szCs w:val="24"/>
          <w:lang w:eastAsia="zh-CN"/>
        </w:rPr>
        <w:t>乌昌工作站干部伙食补助</w:t>
      </w:r>
      <w:r>
        <w:rPr>
          <w:rFonts w:hint="eastAsia" w:ascii="宋体" w:hAnsi="宋体" w:eastAsia="宋体" w:cs="宋体"/>
          <w:color w:val="auto"/>
          <w:sz w:val="24"/>
          <w:szCs w:val="24"/>
        </w:rPr>
        <w:t>费用</w:t>
      </w:r>
      <w:r>
        <w:rPr>
          <w:rFonts w:hint="eastAsia" w:ascii="宋体" w:hAnsi="宋体" w:eastAsia="宋体" w:cs="宋体"/>
          <w:color w:val="auto"/>
          <w:sz w:val="24"/>
          <w:szCs w:val="24"/>
          <w:lang w:val="en-US" w:eastAsia="zh-CN"/>
        </w:rPr>
        <w:t>11.91</w:t>
      </w:r>
      <w:r>
        <w:rPr>
          <w:rFonts w:hint="eastAsia" w:ascii="宋体" w:hAnsi="宋体" w:eastAsia="宋体" w:cs="宋体"/>
          <w:color w:val="auto"/>
          <w:sz w:val="24"/>
          <w:szCs w:val="24"/>
        </w:rPr>
        <w:t>万元。</w:t>
      </w:r>
    </w:p>
    <w:p w14:paraId="66668B9E">
      <w:pPr>
        <w:pStyle w:val="57"/>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2" w:name="_Toc68364659"/>
      <w:r>
        <w:rPr>
          <w:rFonts w:hint="eastAsia" w:ascii="宋体" w:hAnsi="宋体" w:eastAsia="宋体" w:cs="宋体"/>
          <w:color w:val="auto"/>
          <w:sz w:val="24"/>
          <w:szCs w:val="24"/>
        </w:rPr>
        <w:t>（二）项目绩效目标</w:t>
      </w:r>
      <w:bookmarkEnd w:id="2"/>
    </w:p>
    <w:p w14:paraId="362ABCF0">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项目绩效目标包括项目总</w:t>
      </w:r>
      <w:r>
        <w:rPr>
          <w:rFonts w:hint="eastAsia" w:ascii="宋体" w:hAnsi="宋体" w:eastAsia="宋体" w:cs="宋体"/>
          <w:color w:val="auto"/>
          <w:sz w:val="24"/>
          <w:szCs w:val="24"/>
          <w:lang w:val="en-US" w:eastAsia="zh-CN"/>
        </w:rPr>
        <w:t>体</w:t>
      </w:r>
      <w:r>
        <w:rPr>
          <w:rFonts w:hint="eastAsia" w:ascii="宋体" w:hAnsi="宋体" w:eastAsia="宋体" w:cs="宋体"/>
          <w:color w:val="auto"/>
          <w:sz w:val="24"/>
          <w:szCs w:val="24"/>
        </w:rPr>
        <w:t>目标和阶段性目标。</w:t>
      </w:r>
    </w:p>
    <w:p w14:paraId="4689D312">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1.总</w:t>
      </w:r>
      <w:r>
        <w:rPr>
          <w:rFonts w:hint="eastAsia" w:ascii="宋体" w:hAnsi="宋体" w:eastAsia="宋体" w:cs="宋体"/>
          <w:b/>
          <w:bCs/>
          <w:color w:val="auto"/>
          <w:sz w:val="24"/>
          <w:szCs w:val="24"/>
          <w:lang w:val="en-US" w:eastAsia="zh-CN"/>
        </w:rPr>
        <w:t>体</w:t>
      </w:r>
      <w:r>
        <w:rPr>
          <w:rFonts w:hint="eastAsia" w:ascii="宋体" w:hAnsi="宋体" w:eastAsia="宋体" w:cs="宋体"/>
          <w:b/>
          <w:bCs/>
          <w:color w:val="auto"/>
          <w:sz w:val="24"/>
          <w:szCs w:val="24"/>
        </w:rPr>
        <w:t>目标</w:t>
      </w:r>
    </w:p>
    <w:p w14:paraId="67A75411">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年度总体目标为：为提高干部工作效率，项目总投资为4.83万元，项目完成时间为2024年12月；通过本项目实施，有效提高干部工作效率，争取使受益干部满意度达到98%以上。</w:t>
      </w:r>
    </w:p>
    <w:p w14:paraId="13A825C3">
      <w:pPr>
        <w:pStyle w:val="45"/>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阶段性目标</w:t>
      </w:r>
    </w:p>
    <w:p w14:paraId="428721A1">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bookmarkStart w:id="3" w:name="_Toc68364660"/>
      <w:r>
        <w:rPr>
          <w:rFonts w:hint="eastAsia" w:ascii="宋体" w:hAnsi="宋体" w:eastAsia="宋体" w:cs="宋体"/>
          <w:color w:val="auto"/>
          <w:sz w:val="24"/>
          <w:szCs w:val="24"/>
          <w:lang w:val="en-US" w:eastAsia="zh-CN"/>
        </w:rPr>
        <w:t>我</w:t>
      </w:r>
      <w:r>
        <w:rPr>
          <w:rFonts w:hint="eastAsia" w:ascii="宋体" w:hAnsi="宋体" w:eastAsia="宋体" w:cs="宋体"/>
          <w:color w:val="auto"/>
          <w:sz w:val="24"/>
          <w:szCs w:val="24"/>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3CB714D5">
      <w:pPr>
        <w:pStyle w:val="45"/>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产出指标</w:t>
      </w:r>
    </w:p>
    <w:p w14:paraId="460C0A0F">
      <w:pPr>
        <w:pStyle w:val="45"/>
        <w:pageBreakBefore w:val="0"/>
        <w:widowControl w:val="0"/>
        <w:numPr>
          <w:ilvl w:val="0"/>
          <w:numId w:val="3"/>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数量指标:</w:t>
      </w:r>
    </w:p>
    <w:p w14:paraId="4241939B">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乌昌补贴保障人数</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人</w:t>
      </w:r>
      <w:r>
        <w:rPr>
          <w:rFonts w:hint="eastAsia" w:ascii="宋体" w:hAnsi="宋体" w:eastAsia="宋体" w:cs="宋体"/>
          <w:color w:val="auto"/>
          <w:sz w:val="24"/>
          <w:szCs w:val="24"/>
          <w:lang w:eastAsia="zh-CN"/>
        </w:rPr>
        <w:t>”；</w:t>
      </w:r>
    </w:p>
    <w:p w14:paraId="762AD781">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2）质量指标：</w:t>
      </w:r>
    </w:p>
    <w:p w14:paraId="5386E01E">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补贴发放覆盖率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02D2BCE3">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指标2：</w:t>
      </w:r>
      <w:r>
        <w:rPr>
          <w:rFonts w:hint="eastAsia" w:ascii="宋体" w:hAnsi="宋体" w:eastAsia="宋体" w:cs="宋体"/>
          <w:color w:val="auto"/>
          <w:sz w:val="24"/>
          <w:szCs w:val="24"/>
        </w:rPr>
        <w:t>资金使用合格率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4239326F">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3）时效目标：</w:t>
      </w:r>
    </w:p>
    <w:p w14:paraId="4E8C2429">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资金支付及时率</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68AA5863">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指标2：</w:t>
      </w:r>
      <w:r>
        <w:rPr>
          <w:rFonts w:hint="eastAsia" w:ascii="宋体" w:hAnsi="宋体" w:eastAsia="宋体" w:cs="宋体"/>
          <w:color w:val="auto"/>
          <w:sz w:val="24"/>
          <w:szCs w:val="24"/>
        </w:rPr>
        <w:t>项目完成时间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2024年12月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16E8DDFB">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 xml:space="preserve">（2）成本指标： </w:t>
      </w:r>
    </w:p>
    <w:p w14:paraId="094279CF">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1）经济成本指标</w:t>
      </w:r>
    </w:p>
    <w:p w14:paraId="4CE633A2">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人均乌昌补助金额</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0.15万元</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71129817">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2）社会成本指标</w:t>
      </w:r>
    </w:p>
    <w:p w14:paraId="3D3B748F">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该项目无社会成本指标；</w:t>
      </w:r>
    </w:p>
    <w:p w14:paraId="6595A647">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3）生态成本指标</w:t>
      </w:r>
    </w:p>
    <w:p w14:paraId="53259401">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该项目无生态成本指标；</w:t>
      </w:r>
    </w:p>
    <w:p w14:paraId="60C863B6">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（3）效益指标：</w:t>
      </w:r>
    </w:p>
    <w:p w14:paraId="73FC0A0F">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经济</w:t>
      </w:r>
      <w:r>
        <w:rPr>
          <w:rFonts w:hint="eastAsia" w:ascii="宋体" w:hAnsi="宋体" w:eastAsia="宋体" w:cs="宋体"/>
          <w:color w:val="auto"/>
          <w:sz w:val="24"/>
          <w:szCs w:val="24"/>
        </w:rPr>
        <w:t>效益指标：</w:t>
      </w:r>
    </w:p>
    <w:p w14:paraId="7F794163">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该项目无经济</w:t>
      </w:r>
      <w:r>
        <w:rPr>
          <w:rFonts w:hint="eastAsia" w:ascii="宋体" w:hAnsi="宋体" w:eastAsia="宋体" w:cs="宋体"/>
          <w:color w:val="auto"/>
          <w:sz w:val="24"/>
          <w:szCs w:val="24"/>
        </w:rPr>
        <w:t>效益</w:t>
      </w:r>
      <w:r>
        <w:rPr>
          <w:rFonts w:hint="eastAsia" w:ascii="宋体" w:hAnsi="宋体" w:eastAsia="宋体" w:cs="宋体"/>
          <w:color w:val="auto"/>
          <w:sz w:val="24"/>
          <w:szCs w:val="24"/>
          <w:lang w:val="en-US" w:eastAsia="zh-CN"/>
        </w:rPr>
        <w:t>指标；</w:t>
      </w:r>
    </w:p>
    <w:p w14:paraId="4E5EE4D4">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）社会效益指标：</w:t>
      </w:r>
    </w:p>
    <w:p w14:paraId="508FCD31">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提高国家干部工作积极性</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有效提高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18CE7CCB">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生态</w:t>
      </w:r>
      <w:r>
        <w:rPr>
          <w:rFonts w:hint="eastAsia" w:ascii="宋体" w:hAnsi="宋体" w:eastAsia="宋体" w:cs="宋体"/>
          <w:color w:val="auto"/>
          <w:sz w:val="24"/>
          <w:szCs w:val="24"/>
        </w:rPr>
        <w:t>效益指标：</w:t>
      </w:r>
    </w:p>
    <w:p w14:paraId="69FC27BF">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该项目无生态</w:t>
      </w:r>
      <w:r>
        <w:rPr>
          <w:rFonts w:hint="eastAsia" w:ascii="宋体" w:hAnsi="宋体" w:eastAsia="宋体" w:cs="宋体"/>
          <w:color w:val="auto"/>
          <w:sz w:val="24"/>
          <w:szCs w:val="24"/>
        </w:rPr>
        <w:t>效益</w:t>
      </w:r>
      <w:r>
        <w:rPr>
          <w:rFonts w:hint="eastAsia" w:ascii="宋体" w:hAnsi="宋体" w:eastAsia="宋体" w:cs="宋体"/>
          <w:color w:val="auto"/>
          <w:sz w:val="24"/>
          <w:szCs w:val="24"/>
          <w:lang w:val="en-US" w:eastAsia="zh-CN"/>
        </w:rPr>
        <w:t>指标；</w:t>
      </w:r>
    </w:p>
    <w:p w14:paraId="75187DA6">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（4）服务对象满意度指标：</w:t>
      </w:r>
    </w:p>
    <w:p w14:paraId="14C40E26">
      <w:pPr>
        <w:pStyle w:val="45"/>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指标1：</w:t>
      </w:r>
      <w:r>
        <w:rPr>
          <w:rFonts w:hint="eastAsia" w:ascii="宋体" w:hAnsi="宋体" w:eastAsia="宋体" w:cs="宋体"/>
          <w:color w:val="auto"/>
          <w:sz w:val="24"/>
          <w:szCs w:val="24"/>
        </w:rPr>
        <w:t>受益干部满意度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预期指标值为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98%</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w:t>
      </w:r>
    </w:p>
    <w:p w14:paraId="63BDB9D9">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33D15AE7">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二、绩效评价工作开展情况</w:t>
      </w:r>
      <w:bookmarkEnd w:id="3"/>
    </w:p>
    <w:p w14:paraId="17F1A226">
      <w:pPr>
        <w:pStyle w:val="57"/>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4" w:name="_Toc68364661"/>
      <w:r>
        <w:rPr>
          <w:rFonts w:hint="eastAsia" w:ascii="宋体" w:hAnsi="宋体" w:eastAsia="宋体" w:cs="宋体"/>
          <w:color w:val="auto"/>
          <w:sz w:val="24"/>
          <w:szCs w:val="24"/>
        </w:rPr>
        <w:t>（一）绩效评价目的、对象和范围</w:t>
      </w:r>
      <w:bookmarkEnd w:id="4"/>
    </w:p>
    <w:p w14:paraId="36C7F127">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 绩效评价目的</w:t>
      </w:r>
    </w:p>
    <w:p w14:paraId="371C0C14">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本次绩效评价遵循财政部《项目支出绩效评价管理办法》（财预〔2020〕10号）《自治区财政支出绩效评价管理暂行办法》（新财预〔2018〕189号）</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rPr>
        <w:t>自治区财政厅《关于印发〈自治区项目支出绩效目标设置指引〉的通知》（新财预〔2022〕42号）</w:t>
      </w:r>
      <w:r>
        <w:rPr>
          <w:rFonts w:hint="eastAsia" w:ascii="宋体" w:hAnsi="宋体" w:eastAsia="宋体" w:cs="宋体"/>
          <w:color w:val="auto"/>
          <w:sz w:val="24"/>
          <w:szCs w:val="24"/>
          <w:highlight w:val="none"/>
        </w:rPr>
        <w:t>等相关政策文件与规</w:t>
      </w:r>
      <w:r>
        <w:rPr>
          <w:rFonts w:hint="eastAsia" w:ascii="宋体" w:hAnsi="宋体" w:eastAsia="宋体" w:cs="宋体"/>
          <w:color w:val="auto"/>
          <w:sz w:val="24"/>
          <w:szCs w:val="24"/>
        </w:rPr>
        <w:t>定，对</w:t>
      </w:r>
      <w:r>
        <w:rPr>
          <w:rFonts w:hint="eastAsia" w:ascii="宋体" w:hAnsi="宋体" w:eastAsia="宋体" w:cs="宋体"/>
          <w:color w:val="auto"/>
          <w:kern w:val="0"/>
          <w:sz w:val="24"/>
          <w:szCs w:val="24"/>
          <w:lang w:bidi="en-US"/>
        </w:rPr>
        <w:t>乌昌工作站干部生活补助</w:t>
      </w:r>
      <w:r>
        <w:rPr>
          <w:rFonts w:hint="eastAsia" w:ascii="宋体" w:hAnsi="宋体" w:eastAsia="宋体" w:cs="宋体"/>
          <w:color w:val="auto"/>
          <w:sz w:val="24"/>
          <w:szCs w:val="24"/>
        </w:rPr>
        <w:t>项目开展本次部门项目支出绩效评价工作。全面了解</w:t>
      </w:r>
      <w:r>
        <w:rPr>
          <w:rFonts w:hint="eastAsia" w:ascii="宋体" w:hAnsi="宋体" w:eastAsia="宋体" w:cs="宋体"/>
          <w:color w:val="auto"/>
          <w:kern w:val="0"/>
          <w:sz w:val="24"/>
          <w:szCs w:val="24"/>
          <w:lang w:bidi="en-US"/>
        </w:rPr>
        <w:t>乌昌工作站干部生活补助</w:t>
      </w:r>
      <w:r>
        <w:rPr>
          <w:rFonts w:hint="eastAsia" w:ascii="宋体" w:hAnsi="宋体" w:eastAsia="宋体" w:cs="宋体"/>
          <w:color w:val="auto"/>
          <w:sz w:val="24"/>
          <w:szCs w:val="24"/>
        </w:rPr>
        <w:t>项目预算编制合理性、资金使用合规性、项目管理的规范性、项目目标的实现情况、服务对象的满意度等项目实施前期、过程及</w:t>
      </w:r>
      <w:r>
        <w:rPr>
          <w:rFonts w:hint="eastAsia" w:ascii="宋体" w:hAnsi="宋体" w:eastAsia="宋体" w:cs="宋体"/>
          <w:color w:val="auto"/>
          <w:sz w:val="24"/>
          <w:szCs w:val="24"/>
          <w:lang w:val="en-US" w:eastAsia="zh-CN"/>
        </w:rPr>
        <w:t>实施</w:t>
      </w:r>
      <w:r>
        <w:rPr>
          <w:rFonts w:hint="eastAsia" w:ascii="宋体" w:hAnsi="宋体" w:eastAsia="宋体" w:cs="宋体"/>
          <w:color w:val="auto"/>
          <w:sz w:val="24"/>
          <w:szCs w:val="24"/>
        </w:rPr>
        <w:t>效果</w:t>
      </w:r>
      <w:r>
        <w:rPr>
          <w:rFonts w:hint="eastAsia" w:ascii="宋体" w:hAnsi="宋体" w:eastAsia="宋体" w:cs="宋体"/>
          <w:color w:val="auto"/>
          <w:sz w:val="24"/>
          <w:szCs w:val="24"/>
          <w:lang w:val="en-US" w:eastAsia="zh-CN"/>
        </w:rPr>
        <w:t>情况。</w:t>
      </w:r>
    </w:p>
    <w:p w14:paraId="7B1D822D">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5996A3FD">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22E8C505">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lang w:val="en-US" w:eastAsia="zh-CN"/>
        </w:rPr>
        <w:t>同时，通过部门项目支出绩效评价，可促进本单位发现预算项目管理中的问题、总结经验、改进工作，以提高</w:t>
      </w:r>
      <w:r>
        <w:rPr>
          <w:rFonts w:hint="eastAsia" w:ascii="宋体" w:hAnsi="宋体" w:eastAsia="宋体" w:cs="宋体"/>
          <w:color w:val="auto"/>
          <w:sz w:val="24"/>
          <w:szCs w:val="24"/>
        </w:rPr>
        <w:t>财政预算资金使用的效率及效益。</w:t>
      </w:r>
    </w:p>
    <w:p w14:paraId="185830FA">
      <w:pPr>
        <w:pStyle w:val="4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绩效评价对象</w:t>
      </w:r>
    </w:p>
    <w:p w14:paraId="6A1F8641">
      <w:pPr>
        <w:pStyle w:val="4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w:t>
      </w:r>
      <w:r>
        <w:rPr>
          <w:rFonts w:hint="eastAsia" w:ascii="宋体" w:hAnsi="宋体" w:eastAsia="宋体" w:cs="宋体"/>
          <w:color w:val="auto"/>
          <w:sz w:val="24"/>
          <w:szCs w:val="24"/>
          <w:highlight w:val="none"/>
        </w:rPr>
        <w:t>次绩效评价遵循财政部《项目支出绩效评价管理办法》（财预〔2020〕10号）和《自治区财政支出绩效评价管理暂行办法》（新财预〔2018〕189号）等政策文件规定，以</w:t>
      </w:r>
      <w:r>
        <w:rPr>
          <w:rFonts w:hint="eastAsia" w:ascii="宋体" w:hAnsi="宋体" w:eastAsia="宋体" w:cs="宋体"/>
          <w:color w:val="auto"/>
          <w:kern w:val="0"/>
          <w:sz w:val="24"/>
          <w:szCs w:val="24"/>
          <w:lang w:bidi="en-US"/>
        </w:rPr>
        <w:t>乌昌工作站干部生活补助</w:t>
      </w:r>
      <w:r>
        <w:rPr>
          <w:rFonts w:hint="eastAsia" w:ascii="宋体" w:hAnsi="宋体" w:eastAsia="宋体" w:cs="宋体"/>
          <w:color w:val="auto"/>
          <w:sz w:val="24"/>
          <w:szCs w:val="24"/>
          <w:highlight w:val="none"/>
        </w:rPr>
        <w:t>项目为</w:t>
      </w:r>
      <w:r>
        <w:rPr>
          <w:rFonts w:hint="eastAsia" w:ascii="宋体" w:hAnsi="宋体" w:eastAsia="宋体" w:cs="宋体"/>
          <w:color w:val="auto"/>
          <w:sz w:val="24"/>
          <w:szCs w:val="24"/>
          <w:highlight w:val="none"/>
          <w:lang w:val="en-US" w:eastAsia="zh-CN"/>
        </w:rPr>
        <w:t>评价</w:t>
      </w:r>
      <w:r>
        <w:rPr>
          <w:rFonts w:hint="eastAsia" w:ascii="宋体" w:hAnsi="宋体" w:eastAsia="宋体" w:cs="宋体"/>
          <w:color w:val="auto"/>
          <w:sz w:val="24"/>
          <w:szCs w:val="24"/>
          <w:highlight w:val="none"/>
        </w:rPr>
        <w:t>对象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对该项目决策、</w:t>
      </w:r>
      <w:r>
        <w:rPr>
          <w:rFonts w:hint="eastAsia" w:ascii="宋体" w:hAnsi="宋体" w:eastAsia="宋体" w:cs="宋体"/>
          <w:color w:val="auto"/>
          <w:sz w:val="24"/>
          <w:szCs w:val="24"/>
          <w:highlight w:val="none"/>
          <w:lang w:val="en-US" w:eastAsia="zh-CN"/>
        </w:rPr>
        <w:t>项目资金管理、项目实施</w:t>
      </w:r>
      <w:r>
        <w:rPr>
          <w:rFonts w:hint="eastAsia" w:ascii="宋体" w:hAnsi="宋体" w:eastAsia="宋体" w:cs="宋体"/>
          <w:color w:val="auto"/>
          <w:sz w:val="24"/>
          <w:szCs w:val="24"/>
          <w:highlight w:val="none"/>
        </w:rPr>
        <w:t>过程</w:t>
      </w:r>
      <w:r>
        <w:rPr>
          <w:rFonts w:hint="eastAsia" w:ascii="宋体" w:hAnsi="宋体" w:eastAsia="宋体" w:cs="宋体"/>
          <w:color w:val="auto"/>
          <w:sz w:val="24"/>
          <w:szCs w:val="24"/>
          <w:highlight w:val="none"/>
          <w:lang w:val="en-US" w:eastAsia="zh-CN"/>
        </w:rPr>
        <w:t>管理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项目实施所带来的产出和效果</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进行综合评价。</w:t>
      </w:r>
    </w:p>
    <w:p w14:paraId="61E7399C">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3. 绩效评价范围</w:t>
      </w:r>
    </w:p>
    <w:p w14:paraId="1DCDBE68">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本次绩效评价主要围绕</w:t>
      </w:r>
      <w:r>
        <w:rPr>
          <w:rFonts w:hint="eastAsia" w:ascii="宋体" w:hAnsi="宋体" w:eastAsia="宋体" w:cs="宋体"/>
          <w:color w:val="auto"/>
          <w:kern w:val="0"/>
          <w:sz w:val="24"/>
          <w:szCs w:val="24"/>
          <w:lang w:bidi="en-US"/>
        </w:rPr>
        <w:t>乌昌工作站干部生活补助</w:t>
      </w:r>
      <w:r>
        <w:rPr>
          <w:rFonts w:hint="eastAsia" w:ascii="宋体" w:hAnsi="宋体" w:eastAsia="宋体" w:cs="宋体"/>
          <w:color w:val="auto"/>
          <w:sz w:val="24"/>
          <w:szCs w:val="24"/>
        </w:rPr>
        <w:t>项目决策、项目资金管理、项目实施过程管理，以及项目实施所带来的产出和效果等内容，进行综合评价。范围涵盖项目总体绩效目标、各项绩效指标完成情况以及预算执行情况</w:t>
      </w:r>
      <w:bookmarkStart w:id="5" w:name="_Toc68364662"/>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覆盖预算资金支出项目的所有内容进行评价。</w:t>
      </w:r>
    </w:p>
    <w:p w14:paraId="27DB7586">
      <w:pPr>
        <w:pStyle w:val="57"/>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（二）绩效评价原则、评价指标体系、评价方法评价标准</w:t>
      </w:r>
      <w:bookmarkEnd w:id="5"/>
    </w:p>
    <w:p w14:paraId="39AD2F97">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1. 绩效评价原则</w:t>
      </w:r>
    </w:p>
    <w:p w14:paraId="22790B02">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3BF1087F">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（1）科学公正。绩效评价应当运用科学合理的方法，按照规范的程序，对项目绩效进行客观、公正的反映。</w:t>
      </w:r>
    </w:p>
    <w:p w14:paraId="4F1A01AA">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ED0421D">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（3）激励约束。绩效评价结果应与预算安排、政策调整、改进管理实质性挂钩，体现奖优罚劣和激励相容导向，有效要安排、低效要压减、无效要问责。</w:t>
      </w:r>
    </w:p>
    <w:p w14:paraId="157C2334">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（4）公开透明。绩效评价结果应依法依规公开，并自觉接受社会监督。</w:t>
      </w:r>
    </w:p>
    <w:p w14:paraId="6E0255FD">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根据以上原则，绩效评价应遵循如下要求:</w:t>
      </w:r>
    </w:p>
    <w:p w14:paraId="1F0A9CD7">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（1）在数据采集时，采取客观数据，主管部门审查、社会中介组织复查，与问卷调查相结合的形式，以保证各项指标的真实性。</w:t>
      </w:r>
    </w:p>
    <w:p w14:paraId="3B89F7EF">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（2）保证评价结果的真实性、公正性，提高评价报告的公信力。</w:t>
      </w:r>
    </w:p>
    <w:p w14:paraId="4626C028">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rPr>
      </w:pPr>
      <w:r>
        <w:rPr>
          <w:rFonts w:hint="eastAsia" w:ascii="宋体" w:hAnsi="宋体" w:eastAsia="宋体" w:cs="宋体"/>
          <w:color w:val="auto"/>
          <w:sz w:val="24"/>
          <w:szCs w:val="24"/>
        </w:rPr>
        <w:t>（3）绩</w:t>
      </w:r>
      <w:r>
        <w:rPr>
          <w:rFonts w:hint="eastAsia" w:ascii="宋体" w:hAnsi="宋体" w:eastAsia="宋体" w:cs="宋体"/>
          <w:color w:val="auto"/>
          <w:sz w:val="24"/>
          <w:szCs w:val="24"/>
          <w:lang w:val="en-US" w:eastAsia="zh-CN"/>
        </w:rPr>
        <w:t>效</w:t>
      </w:r>
      <w:r>
        <w:rPr>
          <w:rFonts w:hint="eastAsia" w:ascii="宋体" w:hAnsi="宋体" w:eastAsia="宋体" w:cs="宋体"/>
          <w:color w:val="auto"/>
          <w:sz w:val="24"/>
          <w:szCs w:val="24"/>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6FB9117A">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2. 绩效评价指标体系</w:t>
      </w:r>
    </w:p>
    <w:p w14:paraId="247B388F">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个二级指标。项目绩效评价体系</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详细指标体系见“附件1：项目支出绩效评价体系”。</w:t>
      </w:r>
    </w:p>
    <w:p w14:paraId="0111188E">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3. 绩效评价方法</w:t>
      </w:r>
    </w:p>
    <w:p w14:paraId="00ADD9E3">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8754E6D">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具体</w:t>
      </w:r>
      <w:r>
        <w:rPr>
          <w:rFonts w:hint="eastAsia" w:ascii="宋体" w:hAnsi="宋体" w:eastAsia="宋体" w:cs="宋体"/>
          <w:b w:val="0"/>
          <w:bCs/>
          <w:color w:val="auto"/>
          <w:sz w:val="24"/>
          <w:szCs w:val="24"/>
        </w:rPr>
        <w:t>评价方法的应用如下:</w:t>
      </w:r>
    </w:p>
    <w:p w14:paraId="11FFA271">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立项依据充分性：比较法、文献法，查找法律法规政策以及规划，对比实际执行内容和政策支持内容是否匹配。</w:t>
      </w:r>
    </w:p>
    <w:p w14:paraId="3CC2597F">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立项程序规范性：比较法、文献法，查找相关项目设立的政策和文件要求，对比分析实际执行程序是否按照政策及文件要求执行，分析立项程序的规范性。</w:t>
      </w:r>
    </w:p>
    <w:p w14:paraId="5D4350FE">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绩效目标合理性：比较法，对比分析年初编制项目支出绩效目标表与项目内容的相关性、资金的匹配性等。</w:t>
      </w:r>
    </w:p>
    <w:p w14:paraId="07787ED8">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绩效指标明确性：比较法，比较分析年初编制项目支出绩效目标表是否符合双七原则，是否可衡量。</w:t>
      </w:r>
    </w:p>
    <w:p w14:paraId="7691F5E9">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预算编制科学性</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成本效益分析法</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分析在产出一定的情况下，成本取值是否有依据，是否经过询价，是否按照市场最低成本编制。</w:t>
      </w:r>
    </w:p>
    <w:p w14:paraId="56523D45">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lang w:eastAsia="zh-CN"/>
        </w:rPr>
      </w:pPr>
      <w:r>
        <w:rPr>
          <w:rFonts w:hint="eastAsia" w:ascii="宋体" w:hAnsi="宋体" w:eastAsia="宋体" w:cs="宋体"/>
          <w:b w:val="0"/>
          <w:bCs/>
          <w:color w:val="auto"/>
          <w:sz w:val="24"/>
          <w:szCs w:val="24"/>
        </w:rPr>
        <w:t>资金分配合理性：因素分析法，综合分析资金的分配依据是否充分，分配金额是否与项目实施单位需求金额一致</w:t>
      </w:r>
      <w:r>
        <w:rPr>
          <w:rFonts w:hint="eastAsia" w:ascii="宋体" w:hAnsi="宋体" w:eastAsia="宋体" w:cs="宋体"/>
          <w:b w:val="0"/>
          <w:bCs/>
          <w:color w:val="auto"/>
          <w:sz w:val="24"/>
          <w:szCs w:val="24"/>
          <w:lang w:eastAsia="zh-CN"/>
        </w:rPr>
        <w:t>。</w:t>
      </w:r>
    </w:p>
    <w:p w14:paraId="772F2867">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资金到位率：比较法，资金到位率预期指标值应为100%，通过实际计算，分析实际完成值和预期指标值之间的差距和原因。</w:t>
      </w:r>
    </w:p>
    <w:p w14:paraId="5B340FD8">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预算执行率：比较法，预算执行率预期指标值应为100%，通过实际计算，分析实际完成值和预期指标值之间的差距和原因。</w:t>
      </w:r>
    </w:p>
    <w:p w14:paraId="5E0318AD">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资金使用合规性：文献法、实地勘察法，一是查找资金管理办法，包括专项资金管理办法和单位自有资金管理办法；二是通过查账了解具体开支情况，是否专用专用，是否按照标准支出。</w:t>
      </w:r>
    </w:p>
    <w:p w14:paraId="13B9BF8A">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管理制度健全性：文献法、比较法，查阅项目实施人员提供的财务和业务管理制度，将已建立的制度与现行的法律法规和政策要求进行对比，分析项目制度的合法性、合规性、完整性。</w:t>
      </w:r>
    </w:p>
    <w:p w14:paraId="634DB66E">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制度执行有效性：比较法，结合项目实际实施过程性文件，根据已建设的财务管理制度和项目管理制度综合分析制度执行的有效性。</w:t>
      </w:r>
    </w:p>
    <w:p w14:paraId="075C55A2">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3EB719C">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定性指标：公众评判法，通过问卷及抽样调查等方式评价本项目实施后社会公众对于其实施效果的满意程度。</w:t>
      </w:r>
    </w:p>
    <w:p w14:paraId="1E74681C">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rPr>
      </w:pPr>
      <w:r>
        <w:rPr>
          <w:rFonts w:hint="eastAsia" w:ascii="宋体" w:hAnsi="宋体" w:eastAsia="宋体" w:cs="宋体"/>
          <w:b/>
          <w:bCs/>
          <w:color w:val="auto"/>
          <w:sz w:val="24"/>
          <w:szCs w:val="24"/>
        </w:rPr>
        <w:t>4. 绩效评价标准</w:t>
      </w:r>
    </w:p>
    <w:p w14:paraId="3E8D7AC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6" w:name="_Toc68364663"/>
      <w:r>
        <w:rPr>
          <w:rFonts w:hint="eastAsia" w:ascii="宋体" w:hAnsi="宋体" w:eastAsia="宋体" w:cs="宋体"/>
          <w:color w:val="auto"/>
          <w:sz w:val="24"/>
          <w:szCs w:val="24"/>
        </w:rPr>
        <w:t>绩效评价标准通常包括计划标准、行业标准、历史标准等，用于对绩效指标完成情况进行比较、分析、评价。本次评价主要采用了</w:t>
      </w:r>
      <w:r>
        <w:rPr>
          <w:rFonts w:hint="eastAsia" w:ascii="宋体" w:hAnsi="宋体" w:eastAsia="宋体" w:cs="宋体"/>
          <w:color w:val="auto"/>
          <w:sz w:val="24"/>
          <w:szCs w:val="24"/>
          <w:lang w:eastAsia="zh-CN"/>
        </w:rPr>
        <w:t>计划</w:t>
      </w:r>
      <w:r>
        <w:rPr>
          <w:rFonts w:hint="eastAsia" w:ascii="宋体" w:hAnsi="宋体" w:eastAsia="宋体" w:cs="宋体"/>
          <w:color w:val="auto"/>
          <w:sz w:val="24"/>
          <w:szCs w:val="24"/>
        </w:rPr>
        <w:t>标准。</w:t>
      </w:r>
    </w:p>
    <w:p w14:paraId="0C4A1B3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7" w:name="_Toc17882"/>
      <w:bookmarkStart w:id="8" w:name="_Toc31464"/>
      <w:r>
        <w:rPr>
          <w:rFonts w:hint="eastAsia" w:ascii="宋体" w:hAnsi="宋体" w:eastAsia="宋体" w:cs="宋体"/>
          <w:b/>
          <w:bCs/>
          <w:color w:val="auto"/>
          <w:sz w:val="24"/>
          <w:szCs w:val="24"/>
        </w:rPr>
        <w:t>计划标准：</w:t>
      </w:r>
      <w:r>
        <w:rPr>
          <w:rFonts w:hint="eastAsia" w:ascii="宋体" w:hAnsi="宋体" w:eastAsia="宋体" w:cs="宋体"/>
          <w:color w:val="auto"/>
          <w:sz w:val="24"/>
          <w:szCs w:val="24"/>
        </w:rPr>
        <w:t>指以预先制定的目标、计划、预算、定额等作为评价标准。</w:t>
      </w:r>
      <w:bookmarkEnd w:id="7"/>
      <w:bookmarkEnd w:id="8"/>
    </w:p>
    <w:p w14:paraId="5CBF288E">
      <w:pPr>
        <w:pStyle w:val="57"/>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（三）绩效评价工作过程</w:t>
      </w:r>
      <w:bookmarkEnd w:id="6"/>
    </w:p>
    <w:p w14:paraId="61AE202E">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9" w:name="_Toc68364664"/>
      <w:r>
        <w:rPr>
          <w:rFonts w:hint="eastAsia" w:ascii="宋体" w:hAnsi="宋体" w:eastAsia="宋体" w:cs="宋体"/>
          <w:color w:val="auto"/>
          <w:sz w:val="24"/>
          <w:szCs w:val="24"/>
        </w:rPr>
        <w:t>1.前期准备</w:t>
      </w:r>
    </w:p>
    <w:p w14:paraId="64369BB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我单位于</w:t>
      </w: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F227DD5">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方焜</w:t>
      </w:r>
      <w:r>
        <w:rPr>
          <w:rFonts w:hint="eastAsia" w:ascii="宋体" w:hAnsi="宋体" w:eastAsia="宋体" w:cs="宋体"/>
          <w:color w:val="auto"/>
          <w:sz w:val="24"/>
          <w:szCs w:val="24"/>
        </w:rPr>
        <w:t>（评价小组组长）：主要负责</w:t>
      </w:r>
      <w:r>
        <w:rPr>
          <w:rFonts w:hint="eastAsia" w:ascii="宋体" w:hAnsi="宋体" w:eastAsia="宋体" w:cs="宋体"/>
          <w:color w:val="auto"/>
          <w:sz w:val="24"/>
          <w:szCs w:val="24"/>
          <w:highlight w:val="none"/>
        </w:rPr>
        <w:t>组织工作</w:t>
      </w:r>
      <w:r>
        <w:rPr>
          <w:rFonts w:hint="eastAsia" w:ascii="宋体" w:hAnsi="宋体" w:eastAsia="宋体" w:cs="宋体"/>
          <w:color w:val="auto"/>
          <w:sz w:val="24"/>
          <w:szCs w:val="24"/>
        </w:rPr>
        <w:t>;</w:t>
      </w:r>
    </w:p>
    <w:p w14:paraId="1A1938D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乃比江</w:t>
      </w:r>
      <w:r>
        <w:rPr>
          <w:rFonts w:hint="eastAsia" w:ascii="宋体" w:hAnsi="宋体" w:eastAsia="宋体" w:cs="宋体"/>
          <w:color w:val="auto"/>
          <w:sz w:val="24"/>
          <w:szCs w:val="24"/>
          <w:lang w:val="en-US" w:eastAsia="zh-CN"/>
        </w:rPr>
        <w:t>·艾拜</w:t>
      </w:r>
      <w:r>
        <w:rPr>
          <w:rFonts w:hint="eastAsia" w:ascii="宋体" w:hAnsi="宋体" w:eastAsia="宋体" w:cs="宋体"/>
          <w:color w:val="auto"/>
          <w:sz w:val="24"/>
          <w:szCs w:val="24"/>
        </w:rPr>
        <w:t>（评价小组组员）：主要负责</w:t>
      </w:r>
      <w:r>
        <w:rPr>
          <w:rFonts w:hint="eastAsia" w:ascii="宋体" w:hAnsi="宋体" w:eastAsia="宋体" w:cs="宋体"/>
          <w:color w:val="auto"/>
          <w:sz w:val="24"/>
          <w:szCs w:val="24"/>
          <w:highlight w:val="none"/>
        </w:rPr>
        <w:t>监督管理、验收以及</w:t>
      </w:r>
      <w:r>
        <w:rPr>
          <w:rFonts w:hint="eastAsia" w:ascii="宋体" w:hAnsi="宋体" w:eastAsia="宋体" w:cs="宋体"/>
          <w:color w:val="auto"/>
          <w:sz w:val="24"/>
          <w:szCs w:val="24"/>
        </w:rPr>
        <w:t>;</w:t>
      </w:r>
    </w:p>
    <w:p w14:paraId="3C5EA1A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何小霞</w:t>
      </w:r>
      <w:r>
        <w:rPr>
          <w:rFonts w:hint="eastAsia" w:ascii="宋体" w:hAnsi="宋体" w:eastAsia="宋体" w:cs="宋体"/>
          <w:color w:val="auto"/>
          <w:sz w:val="24"/>
          <w:szCs w:val="24"/>
        </w:rPr>
        <w:t>（评价小组组员）：主要负责</w:t>
      </w:r>
      <w:r>
        <w:rPr>
          <w:rFonts w:hint="eastAsia" w:ascii="宋体" w:hAnsi="宋体" w:eastAsia="宋体" w:cs="宋体"/>
          <w:color w:val="auto"/>
          <w:sz w:val="24"/>
          <w:szCs w:val="24"/>
          <w:highlight w:val="none"/>
        </w:rPr>
        <w:t>资金核拨</w:t>
      </w:r>
      <w:r>
        <w:rPr>
          <w:rFonts w:hint="eastAsia" w:ascii="宋体" w:hAnsi="宋体" w:eastAsia="宋体" w:cs="宋体"/>
          <w:color w:val="auto"/>
          <w:sz w:val="24"/>
          <w:szCs w:val="24"/>
        </w:rPr>
        <w:t>。</w:t>
      </w:r>
    </w:p>
    <w:p w14:paraId="42B29B47">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2.组织实施</w:t>
      </w:r>
    </w:p>
    <w:p w14:paraId="666800D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16</w:t>
      </w:r>
      <w:r>
        <w:rPr>
          <w:rFonts w:hint="eastAsia" w:ascii="宋体" w:hAnsi="宋体" w:eastAsia="宋体" w:cs="宋体"/>
          <w:color w:val="auto"/>
          <w:sz w:val="24"/>
          <w:szCs w:val="24"/>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2A537A4">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3.分析评价</w:t>
      </w:r>
    </w:p>
    <w:p w14:paraId="13EEA4A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202</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17</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28</w:t>
      </w:r>
      <w:r>
        <w:rPr>
          <w:rFonts w:hint="eastAsia" w:ascii="宋体" w:hAnsi="宋体" w:eastAsia="宋体" w:cs="宋体"/>
          <w:color w:val="auto"/>
          <w:sz w:val="24"/>
          <w:szCs w:val="24"/>
        </w:rPr>
        <w:t>日，评价小组按照绩效评价的原则和规范，对取得的资料进行审查核实，对采集的数据进行分析，按照绩效评价指标评分表逐项进行打分、分析、汇总各方评价结果。</w:t>
      </w:r>
    </w:p>
    <w:p w14:paraId="1DCE1108">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4.撰写与提交评价报告</w:t>
      </w:r>
    </w:p>
    <w:p w14:paraId="679D652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color w:val="auto"/>
          <w:sz w:val="24"/>
          <w:szCs w:val="24"/>
          <w:highlight w:val="none"/>
        </w:rPr>
        <w:t>撰写绩效评价报告，按照新疆</w:t>
      </w:r>
      <w:r>
        <w:rPr>
          <w:rFonts w:hint="eastAsia" w:ascii="宋体" w:hAnsi="宋体" w:eastAsia="宋体" w:cs="宋体"/>
          <w:color w:val="auto"/>
          <w:sz w:val="24"/>
          <w:szCs w:val="24"/>
          <w:highlight w:val="none"/>
          <w:lang w:eastAsia="zh-CN"/>
        </w:rPr>
        <w:t>维吾尔自治区财政绩效管理信息系统</w:t>
      </w:r>
      <w:r>
        <w:rPr>
          <w:rFonts w:hint="eastAsia" w:ascii="宋体" w:hAnsi="宋体" w:eastAsia="宋体" w:cs="宋体"/>
          <w:color w:val="auto"/>
          <w:sz w:val="24"/>
          <w:szCs w:val="24"/>
          <w:highlight w:val="none"/>
        </w:rPr>
        <w:t>绩效评价模块中统一格式和文本框架撰写绩效评价报告并提交审核。</w:t>
      </w:r>
    </w:p>
    <w:p w14:paraId="78E790D3">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5.问题整改</w:t>
      </w:r>
    </w:p>
    <w:p w14:paraId="03902CC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5F7C625">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6.档案整理</w:t>
      </w:r>
    </w:p>
    <w:p w14:paraId="32578C6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建立和落实档案管理制度，将项目相关资料存档，包括但不限于：评价项目基本情况和相关文件、评价实施方案、项目支付资料等相关档案。</w:t>
      </w:r>
    </w:p>
    <w:p w14:paraId="39D53F74">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18DAC72C">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color w:val="auto"/>
          <w:sz w:val="24"/>
          <w:szCs w:val="24"/>
        </w:rPr>
      </w:pPr>
      <w:r>
        <w:rPr>
          <w:rFonts w:hint="eastAsia" w:ascii="黑体" w:hAnsi="黑体" w:eastAsia="黑体" w:cs="黑体"/>
          <w:b/>
          <w:bCs/>
          <w:color w:val="auto"/>
          <w:sz w:val="24"/>
          <w:szCs w:val="24"/>
        </w:rPr>
        <w:t>三、综合评价情况及评价结论</w:t>
      </w:r>
      <w:bookmarkEnd w:id="9"/>
    </w:p>
    <w:p w14:paraId="5F69C7A4">
      <w:pPr>
        <w:pStyle w:val="57"/>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0" w:name="_Toc68364665"/>
      <w:r>
        <w:rPr>
          <w:rFonts w:hint="eastAsia" w:ascii="宋体" w:hAnsi="宋体" w:eastAsia="宋体" w:cs="宋体"/>
          <w:color w:val="auto"/>
          <w:sz w:val="24"/>
          <w:szCs w:val="24"/>
        </w:rPr>
        <w:t>（一）综合评价情况</w:t>
      </w:r>
      <w:bookmarkEnd w:id="10"/>
    </w:p>
    <w:p w14:paraId="70EABF0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bookmarkStart w:id="11" w:name="_Toc68364666"/>
      <w:r>
        <w:rPr>
          <w:rFonts w:hint="eastAsia" w:ascii="宋体" w:hAnsi="宋体" w:eastAsia="宋体" w:cs="宋体"/>
          <w:color w:val="auto"/>
          <w:sz w:val="24"/>
          <w:szCs w:val="24"/>
        </w:rPr>
        <w:t>通过实施乌昌工作站干部生活补助项目产生</w:t>
      </w:r>
      <w:r>
        <w:rPr>
          <w:rFonts w:hint="eastAsia" w:ascii="宋体" w:hAnsi="宋体" w:eastAsia="宋体" w:cs="宋体"/>
          <w:color w:val="auto"/>
          <w:sz w:val="24"/>
          <w:szCs w:val="24"/>
          <w:lang w:val="en-US" w:eastAsia="zh-CN"/>
        </w:rPr>
        <w:t>提高国家干部工作积极性</w:t>
      </w:r>
      <w:r>
        <w:rPr>
          <w:rFonts w:hint="eastAsia" w:ascii="宋体" w:hAnsi="宋体" w:eastAsia="宋体" w:cs="宋体"/>
          <w:color w:val="auto"/>
          <w:sz w:val="24"/>
          <w:szCs w:val="24"/>
        </w:rPr>
        <w:t>效益。项目实施主要通过项目决策、项目过程、项目产出以及项目效益等方面进行评价，其中：</w:t>
      </w:r>
    </w:p>
    <w:p w14:paraId="70AD4035">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项目决策：该项目主要通过和地劳转</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2020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1号、洛劳转办</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2020</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4号文件立项，项目实施符合</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 xml:space="preserve">要求，项目立项依据充分，立项程序规范。 </w:t>
      </w:r>
    </w:p>
    <w:p w14:paraId="550681D6">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项目过程：</w:t>
      </w:r>
      <w:r>
        <w:rPr>
          <w:rFonts w:hint="eastAsia" w:ascii="宋体" w:hAnsi="宋体" w:eastAsia="宋体" w:cs="宋体"/>
          <w:color w:val="auto"/>
          <w:kern w:val="0"/>
          <w:sz w:val="24"/>
          <w:szCs w:val="24"/>
          <w:lang w:bidi="en-US"/>
        </w:rPr>
        <w:t>乌昌工作站干部生活补助</w:t>
      </w:r>
      <w:r>
        <w:rPr>
          <w:rFonts w:hint="eastAsia" w:ascii="宋体" w:hAnsi="宋体" w:eastAsia="宋体" w:cs="宋体"/>
          <w:color w:val="auto"/>
          <w:sz w:val="24"/>
          <w:szCs w:val="24"/>
        </w:rPr>
        <w:t xml:space="preserve">项目预算安排 </w:t>
      </w:r>
      <w:r>
        <w:rPr>
          <w:rFonts w:hint="eastAsia" w:ascii="宋体" w:hAnsi="宋体" w:eastAsia="宋体" w:cs="宋体"/>
          <w:color w:val="auto"/>
          <w:sz w:val="24"/>
          <w:szCs w:val="24"/>
          <w:lang w:val="en-US" w:eastAsia="zh-CN"/>
        </w:rPr>
        <w:t>13.29</w:t>
      </w:r>
      <w:r>
        <w:rPr>
          <w:rFonts w:hint="eastAsia" w:ascii="宋体" w:hAnsi="宋体" w:eastAsia="宋体" w:cs="宋体"/>
          <w:color w:val="auto"/>
          <w:sz w:val="24"/>
          <w:szCs w:val="24"/>
        </w:rPr>
        <w:t>万元，实际支出</w:t>
      </w:r>
      <w:r>
        <w:rPr>
          <w:rFonts w:hint="eastAsia" w:ascii="宋体" w:hAnsi="宋体" w:eastAsia="宋体" w:cs="宋体"/>
          <w:color w:val="auto"/>
          <w:sz w:val="24"/>
          <w:szCs w:val="24"/>
          <w:lang w:val="en-US" w:eastAsia="zh-CN"/>
        </w:rPr>
        <w:t>11.91</w:t>
      </w:r>
      <w:r>
        <w:rPr>
          <w:rFonts w:hint="eastAsia" w:ascii="宋体" w:hAnsi="宋体" w:eastAsia="宋体" w:cs="宋体"/>
          <w:color w:val="auto"/>
          <w:sz w:val="24"/>
          <w:szCs w:val="24"/>
        </w:rPr>
        <w:t>万元，预算执行率</w:t>
      </w:r>
      <w:r>
        <w:rPr>
          <w:rFonts w:hint="eastAsia" w:ascii="宋体" w:hAnsi="宋体" w:eastAsia="宋体" w:cs="宋体"/>
          <w:color w:val="auto"/>
          <w:sz w:val="24"/>
          <w:szCs w:val="24"/>
          <w:lang w:val="en-US" w:eastAsia="zh-CN"/>
        </w:rPr>
        <w:t>89.62</w:t>
      </w:r>
      <w:r>
        <w:rPr>
          <w:rFonts w:hint="eastAsia" w:ascii="宋体" w:hAnsi="宋体" w:eastAsia="宋体" w:cs="宋体"/>
          <w:color w:val="auto"/>
          <w:sz w:val="24"/>
          <w:szCs w:val="24"/>
        </w:rPr>
        <w:t>%。项目资金使用合规，项目财务管理制度健全，财务监控到位，所有资金支付均按照国库集中支付制度严格执行，现有项目管理制度执行情况良好。</w:t>
      </w:r>
    </w:p>
    <w:p w14:paraId="67C998D1">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项目产出：项目实施</w:t>
      </w:r>
      <w:r>
        <w:rPr>
          <w:rFonts w:hint="eastAsia" w:ascii="宋体" w:hAnsi="宋体" w:eastAsia="宋体" w:cs="宋体"/>
          <w:color w:val="auto"/>
          <w:sz w:val="24"/>
          <w:szCs w:val="24"/>
          <w:lang w:eastAsia="zh-CN"/>
        </w:rPr>
        <w:t>保障</w:t>
      </w:r>
      <w:r>
        <w:rPr>
          <w:rFonts w:hint="eastAsia" w:ascii="宋体" w:hAnsi="宋体" w:eastAsia="宋体" w:cs="宋体"/>
          <w:color w:val="auto"/>
          <w:sz w:val="24"/>
          <w:szCs w:val="24"/>
          <w:lang w:val="en-US" w:eastAsia="zh-CN"/>
        </w:rPr>
        <w:t>11名乌昌工作站干部生活补助正常发放，</w:t>
      </w:r>
      <w:r>
        <w:rPr>
          <w:rFonts w:hint="eastAsia" w:ascii="宋体" w:hAnsi="宋体" w:eastAsia="宋体" w:cs="宋体"/>
          <w:color w:val="auto"/>
          <w:sz w:val="24"/>
          <w:szCs w:val="24"/>
          <w:lang w:eastAsia="zh-CN"/>
        </w:rPr>
        <w:t>补助发放覆盖全部乌昌工作站干部，资金使用合格</w:t>
      </w:r>
      <w:r>
        <w:rPr>
          <w:rFonts w:hint="eastAsia" w:ascii="宋体" w:hAnsi="宋体" w:eastAsia="宋体" w:cs="宋体"/>
          <w:color w:val="auto"/>
          <w:sz w:val="24"/>
          <w:szCs w:val="24"/>
          <w:lang w:val="en-US" w:eastAsia="zh-CN"/>
        </w:rPr>
        <w:t>。</w:t>
      </w:r>
    </w:p>
    <w:p w14:paraId="226DCFDF">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项目效益：通过实施此项目产生</w:t>
      </w:r>
      <w:r>
        <w:rPr>
          <w:rFonts w:hint="eastAsia" w:ascii="宋体" w:hAnsi="宋体" w:eastAsia="宋体" w:cs="宋体"/>
          <w:color w:val="auto"/>
          <w:sz w:val="24"/>
          <w:szCs w:val="24"/>
          <w:lang w:val="en-US" w:eastAsia="zh-CN"/>
        </w:rPr>
        <w:t>提高国家干部工作积极性</w:t>
      </w:r>
      <w:r>
        <w:rPr>
          <w:rFonts w:hint="eastAsia" w:ascii="宋体" w:hAnsi="宋体" w:eastAsia="宋体" w:cs="宋体"/>
          <w:color w:val="auto"/>
          <w:sz w:val="24"/>
          <w:szCs w:val="24"/>
        </w:rPr>
        <w:t>效益</w:t>
      </w:r>
      <w:r>
        <w:rPr>
          <w:rFonts w:hint="eastAsia" w:ascii="宋体" w:hAnsi="宋体" w:eastAsia="宋体" w:cs="宋体"/>
          <w:color w:val="auto"/>
          <w:sz w:val="24"/>
          <w:szCs w:val="24"/>
          <w:lang w:val="en-US" w:eastAsia="zh-CN"/>
        </w:rPr>
        <w:t>。</w:t>
      </w:r>
    </w:p>
    <w:p w14:paraId="37B14D22">
      <w:pPr>
        <w:pStyle w:val="57"/>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（二）综合评价结论</w:t>
      </w:r>
    </w:p>
    <w:p w14:paraId="3AACD2E3">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共中央国务院关于全面实施预算绩效管理的意见》《项目支出绩效评价管理办法》（财预〔2020〕10号）文件，绩效评价总分设置为100分，划分为四档：90（含）-100分为“优”、80（含）-90分为“良”、70（含）-80分为“中”、70分以下为“差”。经对</w:t>
      </w:r>
      <w:r>
        <w:rPr>
          <w:rFonts w:hint="eastAsia" w:ascii="宋体" w:hAnsi="宋体" w:eastAsia="宋体" w:cs="宋体"/>
          <w:color w:val="auto"/>
          <w:kern w:val="0"/>
          <w:sz w:val="24"/>
          <w:szCs w:val="24"/>
          <w:lang w:bidi="en-US"/>
        </w:rPr>
        <w:t>乌昌工作站干部生活补助</w:t>
      </w:r>
      <w:r>
        <w:rPr>
          <w:rFonts w:hint="eastAsia" w:ascii="宋体" w:hAnsi="宋体" w:eastAsia="宋体" w:cs="宋体"/>
          <w:color w:val="auto"/>
          <w:sz w:val="24"/>
          <w:szCs w:val="24"/>
        </w:rPr>
        <w:t>项目进行客观评价，最终评分结果：评价总分</w:t>
      </w:r>
      <w:r>
        <w:rPr>
          <w:rFonts w:hint="eastAsia" w:ascii="宋体" w:hAnsi="宋体" w:eastAsia="宋体" w:cs="宋体"/>
          <w:color w:val="auto"/>
          <w:sz w:val="24"/>
          <w:szCs w:val="24"/>
          <w:lang w:val="en-US" w:eastAsia="zh-CN"/>
        </w:rPr>
        <w:t>99.69</w:t>
      </w:r>
      <w:r>
        <w:rPr>
          <w:rFonts w:hint="eastAsia" w:ascii="宋体" w:hAnsi="宋体" w:eastAsia="宋体" w:cs="宋体"/>
          <w:color w:val="auto"/>
          <w:sz w:val="24"/>
          <w:szCs w:val="24"/>
        </w:rPr>
        <w:t>分，绩效等级为“</w:t>
      </w:r>
      <w:r>
        <w:rPr>
          <w:rFonts w:hint="eastAsia" w:ascii="宋体" w:hAnsi="宋体" w:eastAsia="宋体" w:cs="宋体"/>
          <w:color w:val="auto"/>
          <w:sz w:val="24"/>
          <w:szCs w:val="24"/>
          <w:lang w:eastAsia="zh-CN"/>
        </w:rPr>
        <w:t>优</w:t>
      </w:r>
      <w:r>
        <w:rPr>
          <w:rFonts w:hint="eastAsia" w:ascii="宋体" w:hAnsi="宋体" w:eastAsia="宋体" w:cs="宋体"/>
          <w:color w:val="auto"/>
          <w:sz w:val="24"/>
          <w:szCs w:val="24"/>
        </w:rPr>
        <w:t>”。</w:t>
      </w:r>
      <w:bookmarkEnd w:id="11"/>
    </w:p>
    <w:p w14:paraId="17D8EDA8">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2" w:name="_Toc68364667"/>
    </w:p>
    <w:p w14:paraId="7DDDEF75">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四、绩效评价指标分析</w:t>
      </w:r>
      <w:bookmarkEnd w:id="12"/>
    </w:p>
    <w:p w14:paraId="7F78A0E5">
      <w:pPr>
        <w:pStyle w:val="5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3" w:name="_Toc68364668"/>
      <w:r>
        <w:rPr>
          <w:rFonts w:hint="eastAsia" w:ascii="宋体" w:hAnsi="宋体" w:eastAsia="宋体" w:cs="宋体"/>
          <w:color w:val="auto"/>
          <w:sz w:val="24"/>
          <w:szCs w:val="24"/>
        </w:rPr>
        <w:t>（一）项目决策情况</w:t>
      </w:r>
    </w:p>
    <w:p w14:paraId="1112F113">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项目决策类指标包括项目立项、绩效目标和资金投入三方面的内容，由6个三级指标构成，权重分</w:t>
      </w:r>
      <w:r>
        <w:rPr>
          <w:rFonts w:hint="eastAsia" w:ascii="宋体" w:hAnsi="宋体" w:eastAsia="宋体" w:cs="宋体"/>
          <w:color w:val="auto"/>
          <w:sz w:val="24"/>
          <w:szCs w:val="24"/>
          <w:highlight w:val="none"/>
        </w:rPr>
        <w:t>为</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rPr>
        <w:t>，实际得分</w:t>
      </w:r>
      <w:r>
        <w:rPr>
          <w:rFonts w:hint="eastAsia" w:ascii="宋体" w:hAnsi="宋体" w:eastAsia="宋体" w:cs="宋体"/>
          <w:color w:val="auto"/>
          <w:sz w:val="24"/>
          <w:szCs w:val="24"/>
          <w:lang w:val="en-US" w:eastAsia="zh-CN"/>
        </w:rPr>
        <w:t>20</w:t>
      </w:r>
      <w:r>
        <w:rPr>
          <w:rFonts w:hint="eastAsia" w:ascii="宋体" w:hAnsi="宋体" w:eastAsia="宋体" w:cs="宋体"/>
          <w:color w:val="auto"/>
          <w:sz w:val="24"/>
          <w:szCs w:val="24"/>
        </w:rPr>
        <w:t>分，得分率为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18136C0E">
      <w:pPr>
        <w:keepNext w:val="0"/>
        <w:keepLines w:val="0"/>
        <w:pageBreakBefore w:val="0"/>
        <w:widowControl w:val="0"/>
        <w:numPr>
          <w:ilvl w:val="0"/>
          <w:numId w:val="4"/>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立项依据充分性：</w:t>
      </w:r>
    </w:p>
    <w:p w14:paraId="3B917746">
      <w:pPr>
        <w:keepNext w:val="0"/>
        <w:keepLines w:val="0"/>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rPr>
        <w:t>本项目立项符合</w:t>
      </w:r>
      <w:r>
        <w:rPr>
          <w:rFonts w:hint="eastAsia" w:ascii="宋体" w:hAnsi="宋体" w:eastAsia="宋体" w:cs="宋体"/>
          <w:color w:val="auto"/>
          <w:sz w:val="24"/>
          <w:szCs w:val="24"/>
          <w:lang w:val="en-US" w:eastAsia="zh-CN"/>
        </w:rPr>
        <w:t>和地劳转﹝2020﹞1号、洛劳转办﹝2020﹞4号文件中</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激励干部工作积极性</w:t>
      </w:r>
      <w:r>
        <w:rPr>
          <w:rFonts w:hint="eastAsia" w:ascii="宋体" w:hAnsi="宋体" w:eastAsia="宋体" w:cs="宋体"/>
          <w:color w:val="auto"/>
          <w:sz w:val="24"/>
          <w:szCs w:val="24"/>
        </w:rPr>
        <w:t>”；符合行业发展规划和政策要求；本项目立项符合《</w:t>
      </w:r>
      <w:r>
        <w:rPr>
          <w:rFonts w:hint="eastAsia" w:ascii="宋体" w:hAnsi="宋体" w:eastAsia="宋体" w:cs="宋体"/>
          <w:color w:val="auto"/>
          <w:sz w:val="24"/>
          <w:szCs w:val="24"/>
          <w:lang w:eastAsia="zh-CN"/>
        </w:rPr>
        <w:t>中共洛浦县委政法委员会</w:t>
      </w:r>
      <w:r>
        <w:rPr>
          <w:rFonts w:hint="eastAsia" w:ascii="宋体" w:hAnsi="宋体" w:eastAsia="宋体" w:cs="宋体"/>
          <w:color w:val="auto"/>
          <w:sz w:val="24"/>
          <w:szCs w:val="24"/>
        </w:rPr>
        <w:t>单位配置内设机构和人员编制规定》中职责范围中的“</w:t>
      </w:r>
      <w:r>
        <w:rPr>
          <w:rFonts w:hint="eastAsia" w:ascii="宋体" w:hAnsi="宋体" w:eastAsia="宋体" w:cs="宋体"/>
          <w:color w:val="auto"/>
          <w:sz w:val="24"/>
          <w:szCs w:val="24"/>
          <w:lang w:eastAsia="zh-CN"/>
        </w:rPr>
        <w:t>维护社会稳定工作</w:t>
      </w:r>
      <w:r>
        <w:rPr>
          <w:rFonts w:hint="eastAsia" w:ascii="宋体" w:hAnsi="宋体" w:eastAsia="宋体" w:cs="宋体"/>
          <w:color w:val="auto"/>
          <w:sz w:val="24"/>
          <w:szCs w:val="24"/>
        </w:rPr>
        <w:t>”，属于我单位履职所需；根据《财政资金直接支付申请书》，本项目资金性质为“公共财政预算”功能分类为“</w:t>
      </w:r>
      <w:r>
        <w:rPr>
          <w:rFonts w:hint="eastAsia" w:ascii="宋体" w:hAnsi="宋体" w:eastAsia="宋体" w:cs="宋体"/>
          <w:color w:val="auto"/>
          <w:sz w:val="24"/>
          <w:szCs w:val="24"/>
          <w:lang w:eastAsia="zh-CN"/>
        </w:rPr>
        <w:t>其他党委办公厅（室）及相关机构事务支出</w:t>
      </w:r>
      <w:r>
        <w:rPr>
          <w:rFonts w:hint="eastAsia" w:ascii="宋体" w:hAnsi="宋体" w:eastAsia="宋体" w:cs="宋体"/>
          <w:color w:val="auto"/>
          <w:sz w:val="24"/>
          <w:szCs w:val="24"/>
        </w:rPr>
        <w:t>”经济分类为“</w:t>
      </w:r>
      <w:r>
        <w:rPr>
          <w:rFonts w:hint="eastAsia" w:ascii="宋体" w:hAnsi="宋体" w:eastAsia="宋体" w:cs="宋体"/>
          <w:color w:val="auto"/>
          <w:sz w:val="24"/>
          <w:szCs w:val="24"/>
          <w:lang w:eastAsia="zh-CN"/>
        </w:rPr>
        <w:t>生活补助</w:t>
      </w:r>
      <w:r>
        <w:rPr>
          <w:rFonts w:hint="eastAsia" w:ascii="宋体" w:hAnsi="宋体" w:eastAsia="宋体" w:cs="宋体"/>
          <w:color w:val="auto"/>
          <w:sz w:val="24"/>
          <w:szCs w:val="24"/>
        </w:rPr>
        <w:t>”属</w:t>
      </w:r>
      <w:r>
        <w:rPr>
          <w:rFonts w:hint="eastAsia" w:ascii="宋体" w:hAnsi="宋体" w:eastAsia="宋体" w:cs="宋体"/>
          <w:color w:val="auto"/>
          <w:sz w:val="24"/>
          <w:szCs w:val="24"/>
          <w:highlight w:val="none"/>
        </w:rPr>
        <w:t>于公共财政支持范围，符合中央、地方事权支出责任划分原则；经检查我单位财政应用平台指标，本项目不存在重复。</w:t>
      </w:r>
    </w:p>
    <w:p w14:paraId="21FF81AA">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6DF585AA">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（2）立项程序规范性：</w:t>
      </w:r>
    </w:p>
    <w:p w14:paraId="1AF10A17">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项目立项过程中产生的文件均符合相关要求。本项目为</w:t>
      </w:r>
      <w:r>
        <w:rPr>
          <w:rFonts w:hint="eastAsia" w:ascii="宋体" w:hAnsi="宋体" w:eastAsia="宋体" w:cs="宋体"/>
          <w:color w:val="auto"/>
          <w:sz w:val="24"/>
          <w:szCs w:val="24"/>
          <w:highlight w:val="none"/>
          <w:lang w:eastAsia="zh-CN"/>
        </w:rPr>
        <w:t>特定目标</w:t>
      </w:r>
      <w:r>
        <w:rPr>
          <w:rFonts w:hint="eastAsia" w:ascii="宋体" w:hAnsi="宋体" w:eastAsia="宋体" w:cs="宋体"/>
          <w:color w:val="auto"/>
          <w:sz w:val="24"/>
          <w:szCs w:val="24"/>
          <w:highlight w:val="none"/>
        </w:rPr>
        <w:t>类项目，属于经常性项目，项目预算金额为</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万元，不涉及事前绩效评估和风险评估，已委托</w:t>
      </w:r>
      <w:r>
        <w:rPr>
          <w:rFonts w:hint="eastAsia" w:ascii="宋体" w:hAnsi="宋体" w:eastAsia="宋体" w:cs="宋体"/>
          <w:color w:val="auto"/>
          <w:sz w:val="24"/>
          <w:szCs w:val="24"/>
          <w:highlight w:val="none"/>
          <w:lang w:eastAsia="zh-CN"/>
        </w:rPr>
        <w:t>本</w:t>
      </w:r>
      <w:r>
        <w:rPr>
          <w:rFonts w:hint="eastAsia" w:ascii="宋体" w:hAnsi="宋体" w:eastAsia="宋体" w:cs="宋体"/>
          <w:color w:val="auto"/>
          <w:sz w:val="24"/>
          <w:szCs w:val="24"/>
          <w:highlight w:val="none"/>
        </w:rPr>
        <w:t>单位完成本项目可行性研究报告的编制，并经过专家论证。</w:t>
      </w:r>
    </w:p>
    <w:p w14:paraId="0C57CEFB">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综上所述，本指标满分为3分，根</w:t>
      </w:r>
      <w:r>
        <w:rPr>
          <w:rFonts w:hint="eastAsia" w:ascii="宋体" w:hAnsi="宋体" w:eastAsia="宋体" w:cs="宋体"/>
          <w:color w:val="auto"/>
          <w:sz w:val="24"/>
          <w:szCs w:val="24"/>
        </w:rPr>
        <w:t>据评分标准得</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分，本项目立项程序合规。</w:t>
      </w:r>
    </w:p>
    <w:p w14:paraId="52B67DA8">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rPr>
        <w:t>（3）绩效目标合理性</w:t>
      </w:r>
      <w:r>
        <w:rPr>
          <w:rFonts w:hint="eastAsia" w:ascii="宋体" w:hAnsi="宋体" w:eastAsia="宋体" w:cs="宋体"/>
          <w:color w:val="auto"/>
          <w:sz w:val="24"/>
          <w:szCs w:val="24"/>
        </w:rPr>
        <w:t>：</w:t>
      </w:r>
    </w:p>
    <w:p w14:paraId="288BC9D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①该项目已设置年度绩效目标，具体内容为“为提高干部工作效率，项目总投资为4.83万元，项目完成时间为2024年12月；通过本项目实施，有效提高干部工作效率，争取使受益干部满意度达到98%以上。”。</w:t>
      </w:r>
    </w:p>
    <w:p w14:paraId="596D3A1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②该项目实际工作内容为：</w:t>
      </w:r>
      <w:r>
        <w:rPr>
          <w:rFonts w:hint="eastAsia" w:ascii="宋体" w:hAnsi="宋体" w:eastAsia="宋体" w:cs="宋体"/>
          <w:color w:val="auto"/>
          <w:sz w:val="24"/>
          <w:szCs w:val="24"/>
        </w:rPr>
        <w:t>保障1</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名</w:t>
      </w:r>
      <w:r>
        <w:rPr>
          <w:rFonts w:hint="eastAsia" w:ascii="宋体" w:hAnsi="宋体" w:eastAsia="宋体" w:cs="宋体"/>
          <w:color w:val="auto"/>
          <w:sz w:val="24"/>
          <w:szCs w:val="24"/>
          <w:lang w:eastAsia="zh-CN"/>
        </w:rPr>
        <w:t>（1-5月11人，6-11月4人）</w:t>
      </w:r>
      <w:r>
        <w:rPr>
          <w:rFonts w:hint="eastAsia" w:ascii="宋体" w:hAnsi="宋体" w:eastAsia="宋体" w:cs="宋体"/>
          <w:color w:val="auto"/>
          <w:sz w:val="24"/>
          <w:szCs w:val="24"/>
        </w:rPr>
        <w:t>乌昌工作站干部生活补助，每人每月1500元，项目总投资为11.91万元，项目完成时间为2024年12月；通过本项目实施，有效提高干部工作效率，受益干部满意度达98.33%</w:t>
      </w:r>
      <w:r>
        <w:rPr>
          <w:rFonts w:hint="eastAsia" w:ascii="宋体" w:hAnsi="宋体" w:eastAsia="宋体" w:cs="宋体"/>
          <w:color w:val="auto"/>
          <w:sz w:val="24"/>
          <w:szCs w:val="24"/>
          <w:highlight w:val="none"/>
        </w:rPr>
        <w:t>。绩效目标与实际工作内容一致，两者具有相关性。</w:t>
      </w:r>
    </w:p>
    <w:p w14:paraId="66E01E2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③该项目按照绩效目标完成数量指标、质量指标、时效指标、成本指标，达到</w:t>
      </w:r>
      <w:r>
        <w:rPr>
          <w:rFonts w:hint="eastAsia" w:ascii="宋体" w:hAnsi="宋体" w:eastAsia="宋体" w:cs="宋体"/>
          <w:color w:val="auto"/>
          <w:sz w:val="24"/>
          <w:szCs w:val="24"/>
          <w:highlight w:val="none"/>
          <w:lang w:val="en-US" w:eastAsia="zh-CN"/>
        </w:rPr>
        <w:t>提高干部工作积极性</w:t>
      </w:r>
      <w:r>
        <w:rPr>
          <w:rFonts w:hint="eastAsia" w:ascii="宋体" w:hAnsi="宋体" w:eastAsia="宋体" w:cs="宋体"/>
          <w:color w:val="auto"/>
          <w:sz w:val="24"/>
          <w:szCs w:val="24"/>
          <w:highlight w:val="none"/>
        </w:rPr>
        <w:t>效益，预期产出效益和效果是符合正常的业绩水平。</w:t>
      </w:r>
    </w:p>
    <w:p w14:paraId="4BFA68F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④该项目批复的预算金额为</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万元，《项目支出绩效目标表》中预算金额为</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万元，预算确定的项目资金与预算确定的项目投资额相匹配。</w:t>
      </w:r>
    </w:p>
    <w:p w14:paraId="4E7961F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⑤本单位</w:t>
      </w:r>
      <w:r>
        <w:rPr>
          <w:rFonts w:hint="eastAsia" w:ascii="宋体" w:hAnsi="宋体" w:eastAsia="宋体" w:cs="宋体"/>
          <w:color w:val="auto"/>
          <w:sz w:val="24"/>
          <w:szCs w:val="24"/>
          <w:highlight w:val="none"/>
        </w:rPr>
        <w:t>制定了实施方案，明确了总体思路及目标、并对任务进行了详细分解，对目标进行了细化，根据评分标准，该指标不扣分，得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583C2E09">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lang w:val="en-US" w:eastAsia="zh-CN"/>
        </w:rPr>
        <w:t>4</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绩效指标明确性</w:t>
      </w:r>
      <w:r>
        <w:rPr>
          <w:rFonts w:hint="eastAsia" w:ascii="宋体" w:hAnsi="宋体" w:eastAsia="宋体" w:cs="宋体"/>
          <w:b/>
          <w:bCs/>
          <w:color w:val="auto"/>
          <w:sz w:val="24"/>
          <w:szCs w:val="24"/>
          <w:lang w:eastAsia="zh-CN"/>
        </w:rPr>
        <w:t>：</w:t>
      </w:r>
    </w:p>
    <w:p w14:paraId="77BF31A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经检查我单位年初设置的《项目支出绩效目标表》，得出如下结论：本项目已将年度绩效目标进行细化为绩效指标体系，共设置一级指标4个，二级指标6个，三级指标8个，定量指标7个，定性指标1个，指标量化率为87.5%，量化率达70.0%以上，将项目绩效目标细化分解为具体的绩效指标。</w:t>
      </w:r>
    </w:p>
    <w:p w14:paraId="3D83015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该《项目绩效目标申报表》中，数量指标指标值为乌昌补贴保障人数，三级指标的年度指标值与年度绩效目标中任务数一致，已设置时效指标“</w:t>
      </w:r>
      <w:r>
        <w:rPr>
          <w:rFonts w:hint="eastAsia" w:ascii="宋体" w:hAnsi="宋体" w:eastAsia="宋体" w:cs="宋体"/>
          <w:color w:val="auto"/>
          <w:sz w:val="24"/>
          <w:szCs w:val="24"/>
          <w:highlight w:val="none"/>
          <w:lang w:val="en-US" w:eastAsia="zh-CN"/>
        </w:rPr>
        <w:t>资金支付及时率、项目完成时间</w:t>
      </w:r>
      <w:r>
        <w:rPr>
          <w:rFonts w:hint="eastAsia" w:ascii="宋体" w:hAnsi="宋体" w:eastAsia="宋体" w:cs="宋体"/>
          <w:color w:val="auto"/>
          <w:sz w:val="24"/>
          <w:szCs w:val="24"/>
          <w:highlight w:val="none"/>
        </w:rPr>
        <w:t>”。已设置的绩效目标具备明确性、可衡量性、可实现性、相关性、时限性。根据评分标准，该指标不扣分，得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659A1C87">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预算编制科学性：</w:t>
      </w:r>
    </w:p>
    <w:p w14:paraId="3EAAD66D">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本项目乌昌工作站干部生活补助，即预算编制较科学且经过论证；</w:t>
      </w:r>
    </w:p>
    <w:p w14:paraId="369BDFD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预算申请内容为根据财经委员会（洛财纪字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1号），为提高干部工作效率，保障1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名乌昌工作站干部生活补助，每人每月1500元，项目总投资为11.91万元，项目完成时间为2024年12月；通过本项目实施，有效提高干部工作效率，争取使受益干部满意度达到98%以上。</w:t>
      </w:r>
    </w:p>
    <w:p w14:paraId="1E19321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项目实际内容为根据财经委员会（洛财纪字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1号），。项目因人员动态优化，实际主要完成对1-5月11人，6-11月4人的乌昌干部生活补助。项目资金已使用11.91万元。通过项目的实施，有效提高国家干部工作积极性，受益干部满意度达98.33%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预算申请与《</w:t>
      </w:r>
      <w:r>
        <w:rPr>
          <w:rFonts w:hint="eastAsia" w:ascii="宋体" w:hAnsi="宋体" w:eastAsia="宋体" w:cs="宋体"/>
          <w:color w:val="auto"/>
          <w:kern w:val="0"/>
          <w:sz w:val="24"/>
          <w:szCs w:val="24"/>
          <w:lang w:bidi="en-US"/>
        </w:rPr>
        <w:t>乌昌工作站干部生活补助</w:t>
      </w:r>
      <w:r>
        <w:rPr>
          <w:rFonts w:hint="eastAsia" w:ascii="宋体" w:hAnsi="宋体" w:eastAsia="宋体" w:cs="宋体"/>
          <w:color w:val="auto"/>
          <w:sz w:val="24"/>
          <w:szCs w:val="24"/>
          <w:highlight w:val="none"/>
        </w:rPr>
        <w:t>项目实施方案》中涉及的项目内容匹配；</w:t>
      </w:r>
    </w:p>
    <w:p w14:paraId="6BF747F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本项目预算申请资金</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万元，我单位在预算申请中严格按照项目实施内容及测算标准进行核算，其中：</w:t>
      </w:r>
      <w:r>
        <w:rPr>
          <w:rFonts w:hint="eastAsia" w:ascii="宋体" w:hAnsi="宋体" w:eastAsia="宋体" w:cs="宋体"/>
          <w:color w:val="auto"/>
          <w:sz w:val="24"/>
          <w:szCs w:val="24"/>
          <w:highlight w:val="none"/>
          <w:lang w:eastAsia="zh-CN"/>
        </w:rPr>
        <w:t>生活补助预算</w:t>
      </w:r>
      <w:r>
        <w:rPr>
          <w:rFonts w:hint="eastAsia" w:ascii="宋体" w:hAnsi="宋体" w:eastAsia="宋体" w:cs="宋体"/>
          <w:color w:val="auto"/>
          <w:sz w:val="24"/>
          <w:szCs w:val="24"/>
          <w:highlight w:val="none"/>
        </w:rPr>
        <w:t>费用</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万元。预算确定资金量与实际工作任务</w:t>
      </w:r>
      <w:r>
        <w:rPr>
          <w:rFonts w:hint="eastAsia" w:ascii="宋体" w:hAnsi="宋体" w:eastAsia="宋体" w:cs="宋体"/>
          <w:color w:val="auto"/>
          <w:sz w:val="24"/>
          <w:szCs w:val="24"/>
          <w:highlight w:val="none"/>
          <w:lang w:eastAsia="zh-CN"/>
        </w:rPr>
        <w:t>相匹配</w:t>
      </w:r>
      <w:r>
        <w:rPr>
          <w:rFonts w:hint="eastAsia" w:ascii="宋体" w:hAnsi="宋体" w:eastAsia="宋体" w:cs="宋体"/>
          <w:color w:val="auto"/>
          <w:sz w:val="24"/>
          <w:szCs w:val="24"/>
          <w:highlight w:val="none"/>
        </w:rPr>
        <w:t>。本项目预算额度测算依据充分，严格按照标准编制，预算确定资金量与实际工作任务相匹配；根据评分标准，该指标</w:t>
      </w:r>
      <w:r>
        <w:rPr>
          <w:rFonts w:hint="eastAsia" w:ascii="宋体" w:hAnsi="宋体" w:eastAsia="宋体" w:cs="宋体"/>
          <w:color w:val="auto"/>
          <w:sz w:val="24"/>
          <w:szCs w:val="24"/>
          <w:highlight w:val="none"/>
          <w:lang w:eastAsia="zh-CN"/>
        </w:rPr>
        <w:t>不</w:t>
      </w:r>
      <w:r>
        <w:rPr>
          <w:rFonts w:hint="eastAsia" w:ascii="宋体" w:hAnsi="宋体" w:eastAsia="宋体" w:cs="宋体"/>
          <w:color w:val="auto"/>
          <w:sz w:val="24"/>
          <w:szCs w:val="24"/>
          <w:highlight w:val="none"/>
        </w:rPr>
        <w:t>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6D1DABA5">
      <w:pPr>
        <w:pageBreakBefore w:val="0"/>
        <w:widowControl w:val="0"/>
        <w:numPr>
          <w:ilvl w:val="0"/>
          <w:numId w:val="5"/>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资金分配合理性：</w:t>
      </w:r>
    </w:p>
    <w:p w14:paraId="7626FE4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本项目实际分配资金以《关于申请乌昌工作站干部生活补助费用</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万元项目资金的请示》和《乌昌工作站干部生活补助项目实施方案》为依据进行资金分配，预算资金分配依据充分。根据财经委员会（洛财纪字</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1号），本项目实际到位资金</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万元，资金分配额度合理，与我单位实际需求相适应。资金分配与实际</w:t>
      </w:r>
      <w:r>
        <w:rPr>
          <w:rFonts w:hint="eastAsia" w:ascii="宋体" w:hAnsi="宋体" w:eastAsia="宋体" w:cs="宋体"/>
          <w:color w:val="auto"/>
          <w:sz w:val="24"/>
          <w:szCs w:val="24"/>
          <w:highlight w:val="none"/>
          <w:lang w:eastAsia="zh-CN"/>
        </w:rPr>
        <w:t>有差距</w:t>
      </w:r>
      <w:r>
        <w:rPr>
          <w:rFonts w:hint="eastAsia" w:ascii="宋体" w:hAnsi="宋体" w:eastAsia="宋体" w:cs="宋体"/>
          <w:color w:val="auto"/>
          <w:sz w:val="24"/>
          <w:szCs w:val="24"/>
          <w:highlight w:val="none"/>
        </w:rPr>
        <w:t>，根据评分标准，该指标</w:t>
      </w:r>
      <w:r>
        <w:rPr>
          <w:rFonts w:hint="eastAsia" w:ascii="宋体" w:hAnsi="宋体" w:eastAsia="宋体" w:cs="宋体"/>
          <w:color w:val="auto"/>
          <w:sz w:val="24"/>
          <w:szCs w:val="24"/>
          <w:highlight w:val="none"/>
          <w:lang w:eastAsia="zh-CN"/>
        </w:rPr>
        <w:t>不</w:t>
      </w:r>
      <w:r>
        <w:rPr>
          <w:rFonts w:hint="eastAsia" w:ascii="宋体" w:hAnsi="宋体" w:eastAsia="宋体" w:cs="宋体"/>
          <w:color w:val="auto"/>
          <w:sz w:val="24"/>
          <w:szCs w:val="24"/>
          <w:highlight w:val="none"/>
        </w:rPr>
        <w:t>扣</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rPr>
        <w:t>，得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p w14:paraId="2D1887C3">
      <w:pPr>
        <w:pStyle w:val="5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45B24EA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 5个三级指标构成，权重分为</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14.69</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97.93</w:t>
      </w:r>
      <w:r>
        <w:rPr>
          <w:rFonts w:hint="eastAsia" w:ascii="宋体" w:hAnsi="宋体" w:eastAsia="宋体" w:cs="宋体"/>
          <w:color w:val="auto"/>
          <w:sz w:val="24"/>
          <w:szCs w:val="24"/>
          <w:highlight w:val="none"/>
        </w:rPr>
        <w:t>%。</w:t>
      </w:r>
    </w:p>
    <w:p w14:paraId="4B5249BF">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资金到位率：</w:t>
      </w:r>
    </w:p>
    <w:p w14:paraId="26573ECE">
      <w:pPr>
        <w:pageBreakBefore w:val="0"/>
        <w:widowControl w:val="0"/>
        <w:kinsoku/>
        <w:wordWrap/>
        <w:topLinePunct w:val="0"/>
        <w:autoSpaceDE/>
        <w:autoSpaceDN/>
        <w:bidi w:val="0"/>
        <w:adjustRightInd/>
        <w:snapToGrid/>
        <w:spacing w:line="360" w:lineRule="auto"/>
        <w:ind w:left="0" w:leftChars="0" w:firstLine="64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本项目预算资金为</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万元，其中：财政安排资金</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万元，其他资金</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万元，实际到位资金</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万元，资金到位率</w:t>
      </w:r>
      <w:r>
        <w:rPr>
          <w:rFonts w:hint="eastAsia" w:ascii="宋体" w:hAnsi="宋体" w:eastAsia="宋体" w:cs="宋体"/>
          <w:color w:val="auto"/>
          <w:sz w:val="24"/>
          <w:szCs w:val="24"/>
          <w:highlight w:val="none"/>
          <w:lang w:val="en-US" w:eastAsia="zh-CN"/>
        </w:rPr>
        <w:t>100%；通过分析可知，该项目</w:t>
      </w:r>
      <w:r>
        <w:rPr>
          <w:rFonts w:hint="eastAsia" w:ascii="宋体" w:hAnsi="宋体" w:eastAsia="宋体" w:cs="宋体"/>
          <w:color w:val="auto"/>
          <w:sz w:val="24"/>
          <w:szCs w:val="24"/>
          <w:highlight w:val="none"/>
        </w:rPr>
        <w:t>财政资金足额拨付到位，能够及时足额</w:t>
      </w:r>
      <w:r>
        <w:rPr>
          <w:rFonts w:hint="eastAsia" w:ascii="宋体" w:hAnsi="宋体" w:eastAsia="宋体" w:cs="宋体"/>
          <w:color w:val="auto"/>
          <w:sz w:val="24"/>
          <w:szCs w:val="24"/>
          <w:highlight w:val="none"/>
          <w:lang w:val="en-US" w:eastAsia="zh-CN"/>
        </w:rPr>
        <w:t>支付</w:t>
      </w:r>
      <w:r>
        <w:rPr>
          <w:rFonts w:hint="eastAsia" w:ascii="宋体" w:hAnsi="宋体" w:eastAsia="宋体" w:cs="宋体"/>
          <w:color w:val="auto"/>
          <w:sz w:val="24"/>
          <w:szCs w:val="24"/>
          <w:highlight w:val="none"/>
        </w:rPr>
        <w:t>给</w:t>
      </w:r>
      <w:r>
        <w:rPr>
          <w:rFonts w:hint="eastAsia" w:ascii="宋体" w:hAnsi="宋体" w:eastAsia="宋体" w:cs="宋体"/>
          <w:color w:val="auto"/>
          <w:sz w:val="24"/>
          <w:szCs w:val="24"/>
          <w:highlight w:val="none"/>
          <w:lang w:val="en-US" w:eastAsia="zh-CN"/>
        </w:rPr>
        <w:t>实施</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根据评分标准，该指标不扣分，得3分。   </w:t>
      </w:r>
    </w:p>
    <w:p w14:paraId="170803F9">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）预算执行率：</w:t>
      </w:r>
    </w:p>
    <w:p w14:paraId="6784AD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本项目实际支出资金</w:t>
      </w:r>
      <w:r>
        <w:rPr>
          <w:rFonts w:hint="eastAsia" w:ascii="宋体" w:hAnsi="宋体" w:eastAsia="宋体" w:cs="宋体"/>
          <w:color w:val="auto"/>
          <w:sz w:val="24"/>
          <w:szCs w:val="24"/>
          <w:highlight w:val="none"/>
          <w:lang w:val="en-US" w:eastAsia="zh-CN"/>
        </w:rPr>
        <w:t>11.91</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val="en-US" w:eastAsia="zh-CN"/>
        </w:rPr>
        <w:t>11.91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13.29</w:t>
      </w:r>
      <w:r>
        <w:rPr>
          <w:rFonts w:hint="eastAsia" w:ascii="宋体" w:hAnsi="宋体" w:eastAsia="宋体" w:cs="宋体"/>
          <w:color w:val="auto"/>
          <w:sz w:val="24"/>
          <w:szCs w:val="24"/>
          <w:highlight w:val="none"/>
        </w:rPr>
        <w:t>）×100.0%=</w:t>
      </w:r>
      <w:r>
        <w:rPr>
          <w:rFonts w:hint="eastAsia" w:ascii="宋体" w:hAnsi="宋体" w:eastAsia="宋体" w:cs="宋体"/>
          <w:color w:val="auto"/>
          <w:sz w:val="24"/>
          <w:szCs w:val="24"/>
          <w:highlight w:val="none"/>
          <w:lang w:val="en-US" w:eastAsia="zh-CN"/>
        </w:rPr>
        <w:t>89.62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通过分析可知，该项目</w:t>
      </w:r>
      <w:r>
        <w:rPr>
          <w:rFonts w:hint="eastAsia" w:ascii="宋体" w:hAnsi="宋体" w:eastAsia="宋体" w:cs="宋体"/>
          <w:color w:val="auto"/>
          <w:sz w:val="24"/>
          <w:szCs w:val="24"/>
          <w:highlight w:val="none"/>
        </w:rPr>
        <w:t>预算编制较为详细，项目资金支出总体能够按照预算执行，根据评分标准，该指标扣</w:t>
      </w:r>
      <w:r>
        <w:rPr>
          <w:rFonts w:hint="eastAsia" w:ascii="宋体" w:hAnsi="宋体" w:eastAsia="宋体" w:cs="宋体"/>
          <w:color w:val="auto"/>
          <w:sz w:val="24"/>
          <w:szCs w:val="24"/>
          <w:highlight w:val="none"/>
          <w:lang w:val="en-US" w:eastAsia="zh-CN"/>
        </w:rPr>
        <w:t>0.31</w:t>
      </w:r>
      <w:r>
        <w:rPr>
          <w:rFonts w:hint="eastAsia" w:ascii="宋体" w:hAnsi="宋体" w:eastAsia="宋体" w:cs="宋体"/>
          <w:color w:val="auto"/>
          <w:sz w:val="24"/>
          <w:szCs w:val="24"/>
          <w:highlight w:val="none"/>
        </w:rPr>
        <w:t>分，得</w:t>
      </w:r>
      <w:r>
        <w:rPr>
          <w:rFonts w:hint="eastAsia" w:ascii="宋体" w:hAnsi="宋体" w:eastAsia="宋体" w:cs="宋体"/>
          <w:color w:val="auto"/>
          <w:sz w:val="24"/>
          <w:szCs w:val="24"/>
          <w:highlight w:val="none"/>
          <w:lang w:val="en-US" w:eastAsia="zh-CN"/>
        </w:rPr>
        <w:t>2.69</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原因：</w:t>
      </w:r>
      <w:r>
        <w:rPr>
          <w:rFonts w:hint="eastAsia" w:ascii="宋体" w:hAnsi="宋体" w:eastAsia="宋体" w:cs="宋体"/>
          <w:color w:val="auto"/>
          <w:sz w:val="24"/>
          <w:szCs w:val="24"/>
          <w:highlight w:val="none"/>
          <w:lang w:eastAsia="zh-CN"/>
        </w:rPr>
        <w:t>预算资金</w:t>
      </w:r>
      <w:r>
        <w:rPr>
          <w:rFonts w:hint="eastAsia" w:ascii="宋体" w:hAnsi="宋体" w:eastAsia="宋体" w:cs="宋体"/>
          <w:color w:val="auto"/>
          <w:sz w:val="24"/>
          <w:szCs w:val="24"/>
          <w:highlight w:val="none"/>
          <w:lang w:val="en-US" w:eastAsia="zh-CN"/>
        </w:rPr>
        <w:t>1.38万元未支付；改进措施：在今后做预算中保持严谨的工作态度</w:t>
      </w:r>
      <w:r>
        <w:rPr>
          <w:rFonts w:hint="eastAsia" w:ascii="宋体" w:hAnsi="宋体" w:eastAsia="宋体" w:cs="宋体"/>
          <w:color w:val="auto"/>
          <w:sz w:val="24"/>
          <w:szCs w:val="24"/>
          <w:highlight w:val="none"/>
        </w:rPr>
        <w:t>。</w:t>
      </w:r>
    </w:p>
    <w:p w14:paraId="0015FD2B">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资金使用合规性：</w:t>
      </w:r>
    </w:p>
    <w:p w14:paraId="7D8872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资金管理办法》《</w:t>
      </w:r>
      <w:r>
        <w:rPr>
          <w:rFonts w:hint="eastAsia" w:ascii="宋体" w:hAnsi="宋体" w:eastAsia="宋体" w:cs="宋体"/>
          <w:color w:val="auto"/>
          <w:sz w:val="24"/>
          <w:szCs w:val="24"/>
          <w:highlight w:val="none"/>
          <w:lang w:eastAsia="zh-CN"/>
        </w:rPr>
        <w:t>乌昌工作站干部生活补助</w:t>
      </w:r>
      <w:r>
        <w:rPr>
          <w:rFonts w:hint="eastAsia" w:ascii="宋体" w:hAnsi="宋体" w:eastAsia="宋体" w:cs="宋体"/>
          <w:color w:val="auto"/>
          <w:sz w:val="24"/>
          <w:szCs w:val="24"/>
          <w:highlight w:val="none"/>
        </w:rPr>
        <w:t>专项资金管理办法》，资金的拨付有完整的审批程序和手续，资金实际使用方向与预算批复用途一致，不存在截留、挤占、挪用、虚列支出的情况。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1F8536D3">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管理制度健全性：</w:t>
      </w:r>
    </w:p>
    <w:p w14:paraId="04F28C6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我单位已制定《</w:t>
      </w:r>
      <w:r>
        <w:rPr>
          <w:rFonts w:hint="eastAsia" w:ascii="宋体" w:hAnsi="宋体" w:eastAsia="宋体" w:cs="宋体"/>
          <w:color w:val="auto"/>
          <w:sz w:val="24"/>
          <w:szCs w:val="24"/>
          <w:highlight w:val="none"/>
          <w:lang w:eastAsia="zh-CN"/>
        </w:rPr>
        <w:t>乌昌工作站干部生活补助</w:t>
      </w:r>
      <w:r>
        <w:rPr>
          <w:rFonts w:hint="eastAsia" w:ascii="宋体" w:hAnsi="宋体" w:eastAsia="宋体" w:cs="宋体"/>
          <w:color w:val="auto"/>
          <w:sz w:val="24"/>
          <w:szCs w:val="24"/>
          <w:highlight w:val="none"/>
        </w:rPr>
        <w:t>资金管理办法》《</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收支业务管理制度》《</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政府采购业务管理制度》《</w:t>
      </w:r>
      <w:r>
        <w:rPr>
          <w:rFonts w:hint="eastAsia" w:ascii="宋体" w:hAnsi="宋体" w:eastAsia="宋体" w:cs="宋体"/>
          <w:color w:val="auto"/>
          <w:sz w:val="24"/>
          <w:szCs w:val="24"/>
          <w:highlight w:val="none"/>
          <w:lang w:eastAsia="zh-CN"/>
        </w:rPr>
        <w:t>中共洛浦县委政法委员会</w:t>
      </w:r>
      <w:r>
        <w:rPr>
          <w:rFonts w:hint="eastAsia" w:ascii="宋体" w:hAnsi="宋体" w:eastAsia="宋体" w:cs="宋体"/>
          <w:color w:val="auto"/>
          <w:sz w:val="24"/>
          <w:szCs w:val="24"/>
          <w:highlight w:val="none"/>
        </w:rPr>
        <w:t>合同管理制度》，</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rPr>
        <w:t>制度均符合行政事业单位内控管理要求，财务和业务管理制度合法、合规、完整，本项目执行符合上述制度规定。根据评分标准，该指标不扣分，得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7432A03D">
      <w:pPr>
        <w:pageBreakBefore w:val="0"/>
        <w:widowControl w:val="0"/>
        <w:numPr>
          <w:ilvl w:val="0"/>
          <w:numId w:val="0"/>
        </w:numPr>
        <w:kinsoku/>
        <w:wordWrap/>
        <w:topLinePunct w:val="0"/>
        <w:autoSpaceDE/>
        <w:autoSpaceDN/>
        <w:bidi w:val="0"/>
        <w:adjustRightInd/>
        <w:snapToGrid/>
        <w:spacing w:line="360" w:lineRule="auto"/>
        <w:ind w:left="560" w:left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制度执行有效性</w:t>
      </w:r>
      <w:r>
        <w:rPr>
          <w:rFonts w:hint="eastAsia" w:ascii="宋体" w:hAnsi="宋体" w:eastAsia="宋体" w:cs="宋体"/>
          <w:color w:val="auto"/>
          <w:sz w:val="24"/>
          <w:szCs w:val="24"/>
          <w:highlight w:val="none"/>
        </w:rPr>
        <w:t>：</w:t>
      </w:r>
    </w:p>
    <w:p w14:paraId="1A29B8E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①该项目的实施符合《中共洛浦县委政法委员会办法》《中共洛浦县委政法委员会管理制度》《中共洛浦县委政法委员会采购业务管理制度》《中共洛浦县委政法委员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0594DDC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②经现场查证项目合同书、验收评审表、财务支付凭证等资料齐全并及时归档。</w:t>
      </w:r>
    </w:p>
    <w:p w14:paraId="010D04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③该项目实施过程中不存在调整事项。</w:t>
      </w:r>
    </w:p>
    <w:p w14:paraId="0FD8A9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④该项目实施所需要的项目人员和场地设备均已落实到位，具体涉及内容包括：项目资金支出严格按照自治区、地区以及本单位资金管理办法执行，项目启动实施后，为了加快本项目的实施，成立了乌昌工作站干部生活补助项目工作领导小组，由方焜任组长，负责项目的组织工作；组员包括：乃比江</w:t>
      </w:r>
      <w:r>
        <w:rPr>
          <w:rFonts w:hint="eastAsia" w:ascii="宋体" w:hAnsi="宋体" w:eastAsia="宋体" w:cs="宋体"/>
          <w:color w:val="auto"/>
          <w:sz w:val="24"/>
          <w:szCs w:val="24"/>
          <w:highlight w:val="none"/>
          <w:lang w:val="en-US" w:eastAsia="zh-CN"/>
        </w:rPr>
        <w:t>·艾拜</w:t>
      </w:r>
      <w:r>
        <w:rPr>
          <w:rFonts w:hint="eastAsia" w:ascii="宋体" w:hAnsi="宋体" w:eastAsia="宋体" w:cs="宋体"/>
          <w:color w:val="auto"/>
          <w:sz w:val="24"/>
          <w:szCs w:val="24"/>
          <w:highlight w:val="none"/>
          <w:lang w:eastAsia="zh-CN"/>
        </w:rPr>
        <w:t>和何小霞，主要负责项目监督管理、验收以及资金核拨等工作。根据评分标准，该指标不扣分，得5分。</w:t>
      </w:r>
    </w:p>
    <w:p w14:paraId="3013B6C8">
      <w:pPr>
        <w:pStyle w:val="5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34AEADF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个三级指标构成，权重分为45分，实际得分</w:t>
      </w:r>
      <w:r>
        <w:rPr>
          <w:rFonts w:hint="eastAsia" w:ascii="宋体" w:hAnsi="宋体" w:eastAsia="宋体" w:cs="宋体"/>
          <w:color w:val="auto"/>
          <w:sz w:val="24"/>
          <w:szCs w:val="24"/>
          <w:highlight w:val="none"/>
          <w:lang w:val="en-US" w:eastAsia="zh-CN"/>
        </w:rPr>
        <w:t>45</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5234BB57">
      <w:pPr>
        <w:pageBreakBefore w:val="0"/>
        <w:widowControl w:val="0"/>
        <w:numPr>
          <w:ilvl w:val="0"/>
          <w:numId w:val="6"/>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对于“产出数量”</w:t>
      </w:r>
    </w:p>
    <w:p w14:paraId="6EC7EC3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乌昌补贴保障人数指标，预期指标值为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人，实际完成值为</w:t>
      </w:r>
      <w:r>
        <w:rPr>
          <w:rFonts w:hint="eastAsia" w:ascii="宋体" w:hAnsi="宋体" w:eastAsia="宋体" w:cs="宋体"/>
          <w:color w:val="auto"/>
          <w:sz w:val="24"/>
          <w:szCs w:val="24"/>
          <w:highlight w:val="none"/>
          <w:lang w:val="en-US" w:eastAsia="zh-CN"/>
        </w:rPr>
        <w:t>11人</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，与预期目标一致，根据评分标准，该指标不扣分，得</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p w14:paraId="5A285D4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合计得10分。</w:t>
      </w:r>
    </w:p>
    <w:p w14:paraId="7A2E7390">
      <w:pPr>
        <w:pageBreakBefore w:val="0"/>
        <w:widowControl w:val="0"/>
        <w:numPr>
          <w:ilvl w:val="0"/>
          <w:numId w:val="6"/>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对于“产出质量”：</w:t>
      </w:r>
    </w:p>
    <w:p w14:paraId="3654BE8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补贴发放覆盖率指标，预期指标值为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，实际完成值为100%，指标完成率为100%，与预期目标一致，根据评分标准，该指标不扣分，得5分。</w:t>
      </w:r>
    </w:p>
    <w:p w14:paraId="4B88AE72">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color w:val="auto"/>
          <w:sz w:val="24"/>
          <w:szCs w:val="24"/>
          <w:highlight w:val="none"/>
        </w:rPr>
        <w:t>资金使用合格率指标，预期指标值为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，实际完成值为100%，指标完成</w:t>
      </w:r>
      <w:r>
        <w:rPr>
          <w:rFonts w:hint="eastAsia" w:ascii="宋体" w:hAnsi="宋体" w:eastAsia="宋体" w:cs="宋体"/>
          <w:b w:val="0"/>
          <w:bCs/>
          <w:color w:val="auto"/>
          <w:sz w:val="24"/>
          <w:szCs w:val="24"/>
          <w:highlight w:val="none"/>
        </w:rPr>
        <w:t>率为100%，与预期目标一致，根据评</w:t>
      </w:r>
      <w:r>
        <w:rPr>
          <w:rFonts w:hint="eastAsia" w:ascii="宋体" w:hAnsi="宋体" w:eastAsia="宋体" w:cs="宋体"/>
          <w:b w:val="0"/>
          <w:color w:val="auto"/>
          <w:sz w:val="24"/>
          <w:szCs w:val="24"/>
          <w:highlight w:val="none"/>
        </w:rPr>
        <w:t>分标准，该指标不扣分，</w:t>
      </w:r>
      <w:r>
        <w:rPr>
          <w:rFonts w:hint="eastAsia" w:ascii="宋体" w:hAnsi="宋体" w:eastAsia="宋体" w:cs="宋体"/>
          <w:b w:val="0"/>
          <w:bCs/>
          <w:color w:val="auto"/>
          <w:sz w:val="24"/>
          <w:szCs w:val="24"/>
          <w:highlight w:val="none"/>
        </w:rPr>
        <w:t>得5分。</w:t>
      </w:r>
    </w:p>
    <w:p w14:paraId="5ABA226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合计得10分。</w:t>
      </w:r>
    </w:p>
    <w:p w14:paraId="0B622903">
      <w:pPr>
        <w:pStyle w:val="10"/>
        <w:pageBreakBefore w:val="0"/>
        <w:widowControl w:val="0"/>
        <w:numPr>
          <w:ilvl w:val="0"/>
          <w:numId w:val="6"/>
        </w:numPr>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对于“产出时效”：</w:t>
      </w:r>
    </w:p>
    <w:p w14:paraId="3175E0CB">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资金支付及时率指标，预期指标值为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bCs/>
          <w:color w:val="auto"/>
          <w:sz w:val="24"/>
          <w:szCs w:val="24"/>
          <w:highlight w:val="none"/>
        </w:rPr>
        <w:t>100%，指标完成率为100%，与</w:t>
      </w:r>
      <w:r>
        <w:rPr>
          <w:rFonts w:hint="eastAsia" w:ascii="宋体" w:hAnsi="宋体" w:eastAsia="宋体" w:cs="宋体"/>
          <w:b w:val="0"/>
          <w:color w:val="auto"/>
          <w:sz w:val="24"/>
          <w:szCs w:val="24"/>
          <w:highlight w:val="none"/>
        </w:rPr>
        <w:t>预期目标一致，根据评分标准，该指标不扣分，</w:t>
      </w:r>
      <w:r>
        <w:rPr>
          <w:rFonts w:hint="eastAsia" w:ascii="宋体" w:hAnsi="宋体" w:eastAsia="宋体" w:cs="宋体"/>
          <w:b w:val="0"/>
          <w:bCs/>
          <w:color w:val="auto"/>
          <w:sz w:val="24"/>
          <w:szCs w:val="24"/>
          <w:highlight w:val="none"/>
        </w:rPr>
        <w:t>得</w:t>
      </w: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rPr>
        <w:t>分</w:t>
      </w:r>
      <w:r>
        <w:rPr>
          <w:rFonts w:hint="eastAsia" w:ascii="宋体" w:hAnsi="宋体" w:eastAsia="宋体" w:cs="宋体"/>
          <w:b w:val="0"/>
          <w:color w:val="auto"/>
          <w:sz w:val="24"/>
          <w:szCs w:val="24"/>
          <w:highlight w:val="none"/>
        </w:rPr>
        <w:t>。</w:t>
      </w:r>
    </w:p>
    <w:p w14:paraId="10346A34">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项目完成时间指标，预期指标值为</w:t>
      </w:r>
      <w:r>
        <w:rPr>
          <w:rFonts w:hint="eastAsia" w:ascii="宋体" w:hAnsi="宋体" w:eastAsia="宋体" w:cs="宋体"/>
          <w:b w:val="0"/>
          <w:color w:val="auto"/>
          <w:sz w:val="24"/>
          <w:szCs w:val="24"/>
          <w:highlight w:val="none"/>
          <w:lang w:val="en-US" w:eastAsia="zh-CN"/>
        </w:rPr>
        <w:t>2024年12月</w:t>
      </w:r>
      <w:r>
        <w:rPr>
          <w:rFonts w:hint="eastAsia" w:ascii="宋体" w:hAnsi="宋体" w:eastAsia="宋体" w:cs="宋体"/>
          <w:b w:val="0"/>
          <w:color w:val="auto"/>
          <w:sz w:val="24"/>
          <w:szCs w:val="24"/>
          <w:highlight w:val="none"/>
        </w:rPr>
        <w:t>，实际完成值为</w:t>
      </w:r>
      <w:r>
        <w:rPr>
          <w:rFonts w:hint="eastAsia" w:ascii="宋体" w:hAnsi="宋体" w:eastAsia="宋体" w:cs="宋体"/>
          <w:b w:val="0"/>
          <w:color w:val="auto"/>
          <w:sz w:val="24"/>
          <w:szCs w:val="24"/>
          <w:highlight w:val="none"/>
          <w:lang w:val="en-US" w:eastAsia="zh-CN"/>
        </w:rPr>
        <w:t>2024年12月</w:t>
      </w:r>
      <w:r>
        <w:rPr>
          <w:rFonts w:hint="eastAsia" w:ascii="宋体" w:hAnsi="宋体" w:eastAsia="宋体" w:cs="宋体"/>
          <w:b w:val="0"/>
          <w:color w:val="auto"/>
          <w:sz w:val="24"/>
          <w:szCs w:val="24"/>
          <w:highlight w:val="none"/>
        </w:rPr>
        <w:t>，指标完成率为</w:t>
      </w:r>
      <w:r>
        <w:rPr>
          <w:rFonts w:hint="eastAsia" w:ascii="宋体" w:hAnsi="宋体" w:eastAsia="宋体" w:cs="宋体"/>
          <w:b w:val="0"/>
          <w:color w:val="auto"/>
          <w:sz w:val="24"/>
          <w:szCs w:val="24"/>
          <w:highlight w:val="none"/>
          <w:lang w:val="en-US" w:eastAsia="zh-CN"/>
        </w:rPr>
        <w:t>100%</w:t>
      </w:r>
      <w:r>
        <w:rPr>
          <w:rFonts w:hint="eastAsia" w:ascii="宋体" w:hAnsi="宋体" w:eastAsia="宋体" w:cs="宋体"/>
          <w:b w:val="0"/>
          <w:color w:val="auto"/>
          <w:sz w:val="24"/>
          <w:szCs w:val="24"/>
          <w:highlight w:val="none"/>
        </w:rPr>
        <w:t>，与预期目标一致，根据评分标准，该指标不扣分，</w:t>
      </w:r>
      <w:r>
        <w:rPr>
          <w:rFonts w:hint="eastAsia" w:ascii="宋体" w:hAnsi="宋体" w:eastAsia="宋体" w:cs="宋体"/>
          <w:b w:val="0"/>
          <w:bCs/>
          <w:color w:val="auto"/>
          <w:sz w:val="24"/>
          <w:szCs w:val="24"/>
          <w:highlight w:val="none"/>
        </w:rPr>
        <w:t>得</w:t>
      </w: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rPr>
        <w:t>分</w:t>
      </w:r>
      <w:r>
        <w:rPr>
          <w:rFonts w:hint="eastAsia" w:ascii="宋体" w:hAnsi="宋体" w:eastAsia="宋体" w:cs="宋体"/>
          <w:b w:val="0"/>
          <w:color w:val="auto"/>
          <w:sz w:val="24"/>
          <w:szCs w:val="24"/>
          <w:highlight w:val="none"/>
        </w:rPr>
        <w:t>。</w:t>
      </w:r>
    </w:p>
    <w:p w14:paraId="52BAA28D">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合计得10分。</w:t>
      </w:r>
    </w:p>
    <w:p w14:paraId="249DAE74">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（4）对于“产出成本”：</w:t>
      </w:r>
    </w:p>
    <w:p w14:paraId="09FF9BF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人均乌昌补助金额指标，预期指标值为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0.15万元</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0.15万元/人</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本年支付</w:t>
      </w:r>
      <w:r>
        <w:rPr>
          <w:rFonts w:hint="eastAsia" w:ascii="宋体" w:hAnsi="宋体" w:eastAsia="宋体" w:cs="宋体"/>
          <w:color w:val="auto"/>
          <w:sz w:val="24"/>
          <w:szCs w:val="24"/>
          <w:highlight w:val="none"/>
          <w:lang w:eastAsia="zh-CN"/>
        </w:rPr>
        <w:t>乌昌工作站干部生活补助</w:t>
      </w:r>
      <w:r>
        <w:rPr>
          <w:rFonts w:hint="eastAsia" w:ascii="宋体" w:hAnsi="宋体" w:eastAsia="宋体" w:cs="宋体"/>
          <w:color w:val="auto"/>
          <w:sz w:val="24"/>
          <w:szCs w:val="24"/>
          <w:highlight w:val="none"/>
        </w:rPr>
        <w:t>金额</w:t>
      </w:r>
      <w:r>
        <w:rPr>
          <w:rFonts w:hint="eastAsia" w:ascii="宋体" w:hAnsi="宋体" w:eastAsia="宋体" w:cs="宋体"/>
          <w:color w:val="auto"/>
          <w:sz w:val="24"/>
          <w:szCs w:val="24"/>
          <w:highlight w:val="none"/>
          <w:lang w:val="en-US" w:eastAsia="zh-CN"/>
        </w:rPr>
        <w:t>11.91</w:t>
      </w:r>
      <w:r>
        <w:rPr>
          <w:rFonts w:hint="eastAsia" w:ascii="宋体" w:hAnsi="宋体" w:eastAsia="宋体" w:cs="宋体"/>
          <w:color w:val="auto"/>
          <w:sz w:val="24"/>
          <w:szCs w:val="24"/>
          <w:highlight w:val="none"/>
        </w:rPr>
        <w:t>万元，项目经费都能控制绩效目标范围内，根据评分标准，该指标不扣分，得1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09D74B9C">
      <w:pPr>
        <w:pStyle w:val="57"/>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05CCEA5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项目效益类指标包括项目效益1个方面的内容，由</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个三级指标构成，权重分为20分，实际得分20分，得分率为100%。</w:t>
      </w:r>
    </w:p>
    <w:p w14:paraId="5F79CF8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（1）对于“社会效益指标”：</w:t>
      </w:r>
    </w:p>
    <w:p w14:paraId="61F429B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提高国家干部工作积极性指标，该指标预期指标值为</w:t>
      </w:r>
      <w:r>
        <w:rPr>
          <w:rFonts w:hint="eastAsia" w:ascii="宋体" w:hAnsi="宋体" w:eastAsia="宋体" w:cs="宋体"/>
          <w:color w:val="auto"/>
          <w:sz w:val="24"/>
          <w:szCs w:val="24"/>
          <w:lang w:val="en-US" w:eastAsia="zh-CN"/>
        </w:rPr>
        <w:t>有效提高</w:t>
      </w:r>
      <w:r>
        <w:rPr>
          <w:rFonts w:hint="eastAsia" w:ascii="宋体" w:hAnsi="宋体" w:eastAsia="宋体" w:cs="宋体"/>
          <w:color w:val="auto"/>
          <w:sz w:val="24"/>
          <w:szCs w:val="24"/>
        </w:rPr>
        <w:t>，实际完成值为</w:t>
      </w:r>
      <w:r>
        <w:rPr>
          <w:rFonts w:hint="eastAsia" w:ascii="宋体" w:hAnsi="宋体" w:eastAsia="宋体" w:cs="宋体"/>
          <w:color w:val="auto"/>
          <w:sz w:val="24"/>
          <w:szCs w:val="24"/>
          <w:lang w:val="en-US" w:eastAsia="zh-CN"/>
        </w:rPr>
        <w:t>提高</w:t>
      </w:r>
      <w:r>
        <w:rPr>
          <w:rFonts w:hint="eastAsia" w:ascii="宋体" w:hAnsi="宋体" w:eastAsia="宋体" w:cs="宋体"/>
          <w:color w:val="auto"/>
          <w:sz w:val="24"/>
          <w:szCs w:val="24"/>
        </w:rPr>
        <w:t>，指标完成率为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，与预期指标一致，根据评分标准，该指标不扣分，得</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分。</w:t>
      </w:r>
    </w:p>
    <w:p w14:paraId="7A44849C">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w:t>
      </w:r>
      <w:r>
        <w:rPr>
          <w:rFonts w:hint="eastAsia" w:ascii="宋体" w:hAnsi="宋体" w:eastAsia="宋体" w:cs="宋体"/>
          <w:bCs/>
          <w:color w:val="auto"/>
          <w:sz w:val="24"/>
          <w:szCs w:val="24"/>
          <w:lang w:val="en-US" w:eastAsia="zh-CN"/>
        </w:rPr>
        <w:t>2</w:t>
      </w:r>
      <w:r>
        <w:rPr>
          <w:rFonts w:hint="eastAsia" w:ascii="宋体" w:hAnsi="宋体" w:eastAsia="宋体" w:cs="宋体"/>
          <w:bCs/>
          <w:color w:val="auto"/>
          <w:sz w:val="24"/>
          <w:szCs w:val="24"/>
        </w:rPr>
        <w:t>）满意度指标分析</w:t>
      </w:r>
    </w:p>
    <w:p w14:paraId="7D4194CF">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对于“满意度指标：</w:t>
      </w:r>
      <w:r>
        <w:rPr>
          <w:rFonts w:hint="eastAsia" w:ascii="宋体" w:hAnsi="宋体" w:eastAsia="宋体" w:cs="宋体"/>
          <w:color w:val="auto"/>
          <w:sz w:val="24"/>
          <w:szCs w:val="24"/>
          <w:lang w:val="en-US" w:eastAsia="zh-CN"/>
        </w:rPr>
        <w:t>受益干部满意度</w:t>
      </w:r>
      <w:r>
        <w:rPr>
          <w:rFonts w:hint="eastAsia" w:ascii="宋体" w:hAnsi="宋体" w:eastAsia="宋体" w:cs="宋体"/>
          <w:color w:val="auto"/>
          <w:sz w:val="24"/>
          <w:szCs w:val="24"/>
        </w:rPr>
        <w:t>，该指标预期指标值为</w:t>
      </w:r>
      <w:r>
        <w:rPr>
          <w:rFonts w:hint="eastAsia" w:ascii="宋体" w:hAnsi="宋体" w:eastAsia="宋体" w:cs="宋体"/>
          <w:color w:val="auto"/>
          <w:sz w:val="24"/>
          <w:szCs w:val="24"/>
          <w:lang w:val="en-US" w:eastAsia="zh-CN"/>
        </w:rPr>
        <w:t>≥98%</w:t>
      </w:r>
      <w:r>
        <w:rPr>
          <w:rFonts w:hint="eastAsia" w:ascii="宋体" w:hAnsi="宋体" w:eastAsia="宋体" w:cs="宋体"/>
          <w:color w:val="auto"/>
          <w:sz w:val="24"/>
          <w:szCs w:val="24"/>
        </w:rPr>
        <w:t>，实际完成值为</w:t>
      </w:r>
      <w:r>
        <w:rPr>
          <w:rFonts w:hint="eastAsia" w:ascii="宋体" w:hAnsi="宋体" w:eastAsia="宋体" w:cs="宋体"/>
          <w:color w:val="auto"/>
          <w:sz w:val="24"/>
          <w:szCs w:val="24"/>
          <w:lang w:val="en-US" w:eastAsia="zh-CN"/>
        </w:rPr>
        <w:t>98.33%</w:t>
      </w:r>
      <w:r>
        <w:rPr>
          <w:rFonts w:hint="eastAsia" w:ascii="宋体" w:hAnsi="宋体" w:eastAsia="宋体" w:cs="宋体"/>
          <w:color w:val="auto"/>
          <w:sz w:val="24"/>
          <w:szCs w:val="24"/>
        </w:rPr>
        <w:t>，指标完成率为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，与预期目标一致，根据评分标准，该指标不扣分,得10分。</w:t>
      </w:r>
      <w:bookmarkEnd w:id="13"/>
    </w:p>
    <w:p w14:paraId="0A2F0A02">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p>
    <w:p w14:paraId="533A2E88">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五、预算执行进度与绩效指标偏差情况</w:t>
      </w:r>
    </w:p>
    <w:p w14:paraId="2966949B">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本项目年初预算资金总额为</w:t>
      </w:r>
      <w:r>
        <w:rPr>
          <w:rFonts w:hint="eastAsia" w:ascii="宋体" w:hAnsi="宋体" w:eastAsia="宋体" w:cs="宋体"/>
          <w:color w:val="auto"/>
          <w:sz w:val="24"/>
          <w:szCs w:val="24"/>
          <w:lang w:val="en-US" w:eastAsia="zh-CN"/>
        </w:rPr>
        <w:t>13.29</w:t>
      </w:r>
      <w:r>
        <w:rPr>
          <w:rFonts w:hint="eastAsia" w:ascii="宋体" w:hAnsi="宋体" w:eastAsia="宋体" w:cs="宋体"/>
          <w:color w:val="auto"/>
          <w:sz w:val="24"/>
          <w:szCs w:val="24"/>
        </w:rPr>
        <w:t>万元，全年预算数为</w:t>
      </w:r>
      <w:r>
        <w:rPr>
          <w:rFonts w:hint="eastAsia" w:ascii="宋体" w:hAnsi="宋体" w:eastAsia="宋体" w:cs="宋体"/>
          <w:color w:val="auto"/>
          <w:sz w:val="24"/>
          <w:szCs w:val="24"/>
          <w:lang w:val="en-US" w:eastAsia="zh-CN"/>
        </w:rPr>
        <w:t>13.29</w:t>
      </w:r>
      <w:r>
        <w:rPr>
          <w:rFonts w:hint="eastAsia" w:ascii="宋体" w:hAnsi="宋体" w:eastAsia="宋体" w:cs="宋体"/>
          <w:color w:val="auto"/>
          <w:sz w:val="24"/>
          <w:szCs w:val="24"/>
        </w:rPr>
        <w:t>万元，全年执行数为</w:t>
      </w:r>
      <w:r>
        <w:rPr>
          <w:rFonts w:hint="eastAsia" w:ascii="宋体" w:hAnsi="宋体" w:eastAsia="宋体" w:cs="宋体"/>
          <w:color w:val="auto"/>
          <w:sz w:val="24"/>
          <w:szCs w:val="24"/>
          <w:lang w:val="en-US" w:eastAsia="zh-CN"/>
        </w:rPr>
        <w:t>11.91</w:t>
      </w:r>
      <w:r>
        <w:rPr>
          <w:rFonts w:hint="eastAsia" w:ascii="宋体" w:hAnsi="宋体" w:eastAsia="宋体" w:cs="宋体"/>
          <w:color w:val="auto"/>
          <w:sz w:val="24"/>
          <w:szCs w:val="24"/>
        </w:rPr>
        <w:t>万元，预算执行率为</w:t>
      </w:r>
      <w:r>
        <w:rPr>
          <w:rFonts w:hint="eastAsia" w:ascii="宋体" w:hAnsi="宋体" w:eastAsia="宋体" w:cs="宋体"/>
          <w:color w:val="auto"/>
          <w:sz w:val="24"/>
          <w:szCs w:val="24"/>
          <w:lang w:val="en-US" w:eastAsia="zh-CN"/>
        </w:rPr>
        <w:t>89.62</w:t>
      </w:r>
      <w:r>
        <w:rPr>
          <w:rFonts w:hint="eastAsia" w:ascii="宋体" w:hAnsi="宋体" w:eastAsia="宋体" w:cs="宋体"/>
          <w:color w:val="auto"/>
          <w:sz w:val="24"/>
          <w:szCs w:val="24"/>
        </w:rPr>
        <w:t>%。</w:t>
      </w:r>
    </w:p>
    <w:p w14:paraId="2582EBFB">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本项目共设置三级指标数量</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个，满分指标数量</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个，扣分指标数量</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个，经分析计算所有三级指标完成率得出，本项目总体完成率为</w:t>
      </w:r>
      <w:r>
        <w:rPr>
          <w:rFonts w:hint="eastAsia" w:ascii="宋体" w:hAnsi="宋体" w:eastAsia="宋体" w:cs="宋体"/>
          <w:color w:val="auto"/>
          <w:sz w:val="24"/>
          <w:szCs w:val="24"/>
          <w:lang w:val="en-US" w:eastAsia="zh-CN"/>
        </w:rPr>
        <w:t>100</w:t>
      </w:r>
      <w:r>
        <w:rPr>
          <w:rFonts w:hint="eastAsia" w:ascii="宋体" w:hAnsi="宋体" w:eastAsia="宋体" w:cs="宋体"/>
          <w:color w:val="auto"/>
          <w:sz w:val="24"/>
          <w:szCs w:val="24"/>
        </w:rPr>
        <w:t>%。</w:t>
      </w:r>
    </w:p>
    <w:p w14:paraId="03F86562">
      <w:pPr>
        <w:pStyle w:val="45"/>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综上所述本项目预算执行率与总体完成率之间的偏差为</w:t>
      </w:r>
      <w:r>
        <w:rPr>
          <w:rFonts w:hint="eastAsia" w:ascii="宋体" w:hAnsi="宋体" w:eastAsia="宋体" w:cs="宋体"/>
          <w:color w:val="auto"/>
          <w:sz w:val="24"/>
          <w:szCs w:val="24"/>
          <w:lang w:val="en-US" w:eastAsia="zh-CN"/>
        </w:rPr>
        <w:t>10.38</w:t>
      </w:r>
      <w:r>
        <w:rPr>
          <w:rFonts w:hint="eastAsia" w:ascii="宋体" w:hAnsi="宋体" w:eastAsia="宋体" w:cs="宋体"/>
          <w:color w:val="auto"/>
          <w:sz w:val="24"/>
          <w:szCs w:val="24"/>
        </w:rPr>
        <w:t>%。</w:t>
      </w:r>
    </w:p>
    <w:p w14:paraId="2DAA3BDA">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rPr>
      </w:pPr>
      <w:bookmarkStart w:id="14" w:name="_Toc68364673"/>
    </w:p>
    <w:p w14:paraId="67850D5B">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六、主要经验及做法、存在的问题及原因分析</w:t>
      </w:r>
    </w:p>
    <w:p w14:paraId="5CD97A2D">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（一）主要经验及做法</w:t>
      </w:r>
      <w:bookmarkEnd w:id="14"/>
    </w:p>
    <w:p w14:paraId="2A7C7011">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一是本项目能够严格按照《项目实施方案》执行，项目执行情况较好。</w:t>
      </w:r>
    </w:p>
    <w:p w14:paraId="3BFE8854">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二是加强组织领导，本项目绩效评价工作，有主要领导亲自挂帅，分管领导具体负责，从项目到资金，均能够很好的执行。</w:t>
      </w:r>
    </w:p>
    <w:p w14:paraId="3AE53A01">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三是加强沟通协调，我单位及时向领导汇报项目建设进度，加强与施工单位的沟通，确保项目按期完工。</w:t>
      </w:r>
    </w:p>
    <w:p w14:paraId="1CFDB061">
      <w:pPr>
        <w:pStyle w:val="57"/>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val="0"/>
          <w:color w:val="auto"/>
          <w:sz w:val="24"/>
          <w:szCs w:val="24"/>
        </w:rPr>
      </w:pPr>
      <w:bookmarkStart w:id="15" w:name="_Toc68364674"/>
      <w:r>
        <w:rPr>
          <w:rFonts w:hint="eastAsia" w:ascii="宋体" w:hAnsi="宋体" w:eastAsia="宋体" w:cs="宋体"/>
          <w:color w:val="auto"/>
          <w:sz w:val="24"/>
          <w:szCs w:val="24"/>
        </w:rPr>
        <w:t>（二）存在问题及原因分析</w:t>
      </w:r>
      <w:bookmarkEnd w:id="15"/>
    </w:p>
    <w:p w14:paraId="3F0AE2C3">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一是对各项指标和指标值要进一步优化、完善，主要在细化、量化上改进</w:t>
      </w:r>
      <w:r>
        <w:rPr>
          <w:rFonts w:hint="eastAsia" w:ascii="宋体" w:hAnsi="宋体" w:eastAsia="宋体" w:cs="宋体"/>
          <w:color w:val="auto"/>
          <w:sz w:val="24"/>
          <w:szCs w:val="24"/>
          <w:lang w:eastAsia="zh-CN"/>
        </w:rPr>
        <w:t>；</w:t>
      </w:r>
    </w:p>
    <w:p w14:paraId="6F7B229E">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二是</w:t>
      </w:r>
      <w:r>
        <w:rPr>
          <w:rFonts w:hint="eastAsia" w:ascii="宋体" w:hAnsi="宋体" w:eastAsia="宋体" w:cs="宋体"/>
          <w:color w:val="auto"/>
          <w:sz w:val="24"/>
          <w:szCs w:val="24"/>
          <w:lang w:val="en-US" w:eastAsia="zh-CN"/>
        </w:rPr>
        <w:t>部门</w:t>
      </w:r>
      <w:r>
        <w:rPr>
          <w:rFonts w:hint="eastAsia" w:ascii="宋体" w:hAnsi="宋体" w:eastAsia="宋体" w:cs="宋体"/>
          <w:color w:val="auto"/>
          <w:sz w:val="24"/>
          <w:szCs w:val="24"/>
        </w:rPr>
        <w:t>评价工作还存在自我审定的局限性，会影响评价质量，容易造成问题的疏漏，在客观性和公正性上说服力不强</w:t>
      </w:r>
      <w:r>
        <w:rPr>
          <w:rFonts w:hint="eastAsia" w:ascii="宋体" w:hAnsi="宋体" w:eastAsia="宋体" w:cs="宋体"/>
          <w:color w:val="auto"/>
          <w:sz w:val="24"/>
          <w:szCs w:val="24"/>
          <w:lang w:eastAsia="zh-CN"/>
        </w:rPr>
        <w:t>；</w:t>
      </w:r>
    </w:p>
    <w:p w14:paraId="5F1A374F">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三是缺少带着问题去评价的意识</w:t>
      </w:r>
      <w:r>
        <w:rPr>
          <w:rFonts w:hint="eastAsia" w:ascii="宋体" w:hAnsi="宋体" w:eastAsia="宋体" w:cs="宋体"/>
          <w:color w:val="auto"/>
          <w:sz w:val="24"/>
          <w:szCs w:val="24"/>
          <w:lang w:eastAsia="zh-CN"/>
        </w:rPr>
        <w:t>；</w:t>
      </w:r>
    </w:p>
    <w:p w14:paraId="7A08ABEA">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四是现场评价的工作量少，后续效益评价具体措施和方法较少。</w:t>
      </w:r>
    </w:p>
    <w:p w14:paraId="1382825A">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bookmarkStart w:id="16" w:name="_Toc68364675"/>
    </w:p>
    <w:p w14:paraId="117F5370">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val="0"/>
          <w:bCs w:val="0"/>
          <w:color w:val="auto"/>
          <w:sz w:val="24"/>
          <w:szCs w:val="24"/>
        </w:rPr>
      </w:pPr>
      <w:r>
        <w:rPr>
          <w:rFonts w:hint="eastAsia" w:ascii="黑体" w:hAnsi="黑体" w:eastAsia="黑体" w:cs="黑体"/>
          <w:color w:val="auto"/>
          <w:sz w:val="24"/>
          <w:szCs w:val="24"/>
        </w:rPr>
        <w:t>七、有关建议</w:t>
      </w:r>
      <w:bookmarkEnd w:id="16"/>
    </w:p>
    <w:p w14:paraId="478933D3">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1.项目建设的程序进一步规范。项目前</w:t>
      </w:r>
      <w:r>
        <w:rPr>
          <w:rFonts w:hint="eastAsia" w:ascii="宋体" w:hAnsi="宋体" w:eastAsia="宋体" w:cs="宋体"/>
          <w:color w:val="auto"/>
          <w:sz w:val="24"/>
          <w:szCs w:val="24"/>
        </w:rPr>
        <w:t>期做好可行性研究报告，更加细化实施方案，严格执行资金管理办法和财政资金管理制度，严格按照项目实施方案、招投标管理办法等稳步推进工作，各部门单位根据自己项目的特点进行总结。</w:t>
      </w:r>
    </w:p>
    <w:p w14:paraId="0EF9BABB">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2.项目评价资料有待进一步完善。项目启动时同步做好档案的归纳与整理，及时整理、收集、汇总，健全档案资料。项目后续管理有待进一步加强和跟踪。</w:t>
      </w:r>
    </w:p>
    <w:p w14:paraId="0E57F990">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3.通过绩效管理，发现实施中存在漏洞，以后加强管理，及时掌握与之相关的各类信息，减少成本，使资金效益最大化。</w:t>
      </w:r>
    </w:p>
    <w:p w14:paraId="5A49F2BE">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4．评价工作应从项目实施方案源头抓起，评价工作和意识应贯穿项目整个过程。</w:t>
      </w:r>
      <w:bookmarkStart w:id="17" w:name="_Toc68364676"/>
    </w:p>
    <w:p w14:paraId="629C1778">
      <w:pPr>
        <w:pStyle w:val="2"/>
        <w:ind w:left="0" w:leftChars="0" w:firstLine="0" w:firstLineChars="0"/>
        <w:rPr>
          <w:rFonts w:hint="eastAsia" w:ascii="黑体" w:hAnsi="黑体" w:eastAsia="黑体" w:cs="黑体"/>
          <w:color w:val="auto"/>
          <w:sz w:val="24"/>
          <w:szCs w:val="24"/>
        </w:rPr>
      </w:pPr>
    </w:p>
    <w:p w14:paraId="4B13FFD4">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八、其他需要说明的问题</w:t>
      </w:r>
      <w:bookmarkEnd w:id="17"/>
    </w:p>
    <w:p w14:paraId="29D580BF">
      <w:pPr>
        <w:pStyle w:val="45"/>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我单位对上述项目支出绩效评价报告内反映内容的真实性、完整性负责，</w:t>
      </w:r>
      <w:r>
        <w:rPr>
          <w:rFonts w:hint="eastAsia" w:ascii="宋体" w:hAnsi="宋体" w:eastAsia="宋体" w:cs="宋体"/>
          <w:color w:val="auto"/>
          <w:sz w:val="24"/>
          <w:szCs w:val="24"/>
          <w:lang w:val="en-US" w:eastAsia="zh-CN"/>
        </w:rPr>
        <w:t>愿</w:t>
      </w:r>
      <w:r>
        <w:rPr>
          <w:rFonts w:hint="eastAsia" w:ascii="宋体" w:hAnsi="宋体" w:eastAsia="宋体" w:cs="宋体"/>
          <w:color w:val="auto"/>
          <w:sz w:val="24"/>
          <w:szCs w:val="24"/>
        </w:rPr>
        <w:t>接受上级部门及社会公众监督。</w:t>
      </w:r>
    </w:p>
    <w:p w14:paraId="7AE153A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p>
    <w:p w14:paraId="769A5AA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附件1：</w:t>
      </w:r>
      <w:r>
        <w:rPr>
          <w:rFonts w:hint="eastAsia" w:ascii="宋体" w:hAnsi="宋体" w:eastAsia="宋体" w:cs="宋体"/>
          <w:color w:val="auto"/>
          <w:sz w:val="24"/>
          <w:szCs w:val="24"/>
          <w:highlight w:val="none"/>
          <w:lang w:eastAsia="zh-CN"/>
        </w:rPr>
        <w:t>乌昌工作站干部生活补助</w:t>
      </w:r>
      <w:r>
        <w:rPr>
          <w:rFonts w:hint="eastAsia" w:ascii="宋体" w:hAnsi="宋体" w:eastAsia="宋体" w:cs="宋体"/>
          <w:color w:val="auto"/>
          <w:kern w:val="0"/>
          <w:sz w:val="24"/>
          <w:szCs w:val="24"/>
          <w:lang w:val="en-US" w:eastAsia="zh-CN" w:bidi="ar-SA"/>
        </w:rPr>
        <w:t>项目绩效评价指标体系</w:t>
      </w:r>
    </w:p>
    <w:p w14:paraId="7163264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附件2：</w:t>
      </w:r>
      <w:r>
        <w:rPr>
          <w:rFonts w:hint="eastAsia" w:ascii="宋体" w:hAnsi="宋体" w:eastAsia="宋体" w:cs="宋体"/>
          <w:color w:val="auto"/>
          <w:sz w:val="24"/>
          <w:szCs w:val="24"/>
          <w:highlight w:val="none"/>
          <w:lang w:eastAsia="zh-CN"/>
        </w:rPr>
        <w:t>乌昌工作站干部生活补助</w:t>
      </w:r>
      <w:r>
        <w:rPr>
          <w:rFonts w:hint="eastAsia" w:ascii="宋体" w:hAnsi="宋体" w:eastAsia="宋体" w:cs="宋体"/>
          <w:color w:val="auto"/>
          <w:kern w:val="0"/>
          <w:sz w:val="24"/>
          <w:szCs w:val="24"/>
          <w:lang w:val="en-US" w:eastAsia="zh-CN" w:bidi="ar-SA"/>
        </w:rPr>
        <w:t>项目综合得分表</w:t>
      </w:r>
    </w:p>
    <w:p w14:paraId="3731484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附件3：满意度调查问分析情况</w:t>
      </w:r>
    </w:p>
    <w:p w14:paraId="50449253">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color w:val="auto"/>
          <w:sz w:val="32"/>
          <w:szCs w:val="32"/>
        </w:rPr>
      </w:pPr>
    </w:p>
    <w:p w14:paraId="15543BAF">
      <w:pPr>
        <w:pStyle w:val="10"/>
        <w:ind w:left="0" w:leftChars="0" w:firstLine="0" w:firstLineChars="0"/>
        <w:jc w:val="both"/>
        <w:rPr>
          <w:rFonts w:hint="eastAsia" w:ascii="仿宋_GB2312" w:hAnsi="仿宋_GB2312" w:eastAsia="仿宋_GB2312" w:cs="仿宋_GB2312"/>
          <w:color w:val="auto"/>
          <w:sz w:val="32"/>
          <w:szCs w:val="32"/>
        </w:rPr>
      </w:pPr>
    </w:p>
    <w:p w14:paraId="0CF83FD9">
      <w:pPr>
        <w:pStyle w:val="10"/>
        <w:ind w:left="0" w:leftChars="0" w:firstLine="0" w:firstLineChars="0"/>
        <w:jc w:val="both"/>
        <w:rPr>
          <w:rFonts w:hint="eastAsia" w:ascii="仿宋_GB2312" w:hAnsi="仿宋_GB2312" w:eastAsia="仿宋_GB2312" w:cs="仿宋_GB2312"/>
          <w:color w:val="auto"/>
          <w:sz w:val="32"/>
          <w:szCs w:val="32"/>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tbl>
      <w:tblPr>
        <w:tblStyle w:val="23"/>
        <w:tblW w:w="5192" w:type="pct"/>
        <w:tblInd w:w="-42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1"/>
        <w:gridCol w:w="605"/>
        <w:gridCol w:w="719"/>
        <w:gridCol w:w="599"/>
        <w:gridCol w:w="700"/>
        <w:gridCol w:w="583"/>
        <w:gridCol w:w="2549"/>
        <w:gridCol w:w="933"/>
        <w:gridCol w:w="4731"/>
        <w:gridCol w:w="783"/>
        <w:gridCol w:w="838"/>
      </w:tblGrid>
      <w:tr w14:paraId="4EFF5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80" w:type="pct"/>
            <w:gridSpan w:val="3"/>
            <w:tcBorders>
              <w:top w:val="nil"/>
              <w:left w:val="nil"/>
              <w:bottom w:val="nil"/>
              <w:right w:val="nil"/>
            </w:tcBorders>
            <w:noWrap/>
            <w:vAlign w:val="center"/>
          </w:tcPr>
          <w:p w14:paraId="4A1B3524">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仿宋_GB2312" w:hAnsi="仿宋_GB2312" w:eastAsia="仿宋_GB2312" w:cs="仿宋_GB2312"/>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rPr>
              <w:t>附件1：</w:t>
            </w:r>
          </w:p>
        </w:tc>
        <w:tc>
          <w:tcPr>
            <w:tcW w:w="216" w:type="pct"/>
            <w:tcBorders>
              <w:top w:val="nil"/>
              <w:left w:val="nil"/>
              <w:bottom w:val="nil"/>
              <w:right w:val="nil"/>
            </w:tcBorders>
            <w:noWrap/>
            <w:vAlign w:val="center"/>
          </w:tcPr>
          <w:p w14:paraId="735451D3">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仿宋_GB2312" w:hAnsi="仿宋_GB2312" w:eastAsia="仿宋_GB2312" w:cs="仿宋_GB2312"/>
                <w:i w:val="0"/>
                <w:iCs w:val="0"/>
                <w:color w:val="auto"/>
                <w:sz w:val="24"/>
                <w:szCs w:val="24"/>
                <w:highlight w:val="none"/>
                <w:u w:val="none"/>
              </w:rPr>
            </w:pPr>
          </w:p>
        </w:tc>
        <w:tc>
          <w:tcPr>
            <w:tcW w:w="252" w:type="pct"/>
            <w:tcBorders>
              <w:top w:val="nil"/>
              <w:left w:val="nil"/>
              <w:bottom w:val="nil"/>
              <w:right w:val="nil"/>
            </w:tcBorders>
            <w:noWrap/>
            <w:vAlign w:val="center"/>
          </w:tcPr>
          <w:p w14:paraId="1978D869">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仿宋_GB2312" w:hAnsi="仿宋_GB2312" w:eastAsia="仿宋_GB2312" w:cs="仿宋_GB2312"/>
                <w:i w:val="0"/>
                <w:iCs w:val="0"/>
                <w:color w:val="auto"/>
                <w:sz w:val="24"/>
                <w:szCs w:val="24"/>
                <w:highlight w:val="none"/>
                <w:u w:val="none"/>
              </w:rPr>
            </w:pPr>
          </w:p>
        </w:tc>
        <w:tc>
          <w:tcPr>
            <w:tcW w:w="210" w:type="pct"/>
            <w:tcBorders>
              <w:top w:val="nil"/>
              <w:left w:val="nil"/>
              <w:bottom w:val="nil"/>
              <w:right w:val="nil"/>
            </w:tcBorders>
            <w:noWrap/>
            <w:vAlign w:val="center"/>
          </w:tcPr>
          <w:p w14:paraId="10222A80">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仿宋_GB2312" w:hAnsi="仿宋_GB2312" w:eastAsia="仿宋_GB2312" w:cs="仿宋_GB2312"/>
                <w:i w:val="0"/>
                <w:iCs w:val="0"/>
                <w:color w:val="auto"/>
                <w:sz w:val="24"/>
                <w:szCs w:val="24"/>
                <w:highlight w:val="none"/>
                <w:u w:val="none"/>
              </w:rPr>
            </w:pPr>
          </w:p>
        </w:tc>
        <w:tc>
          <w:tcPr>
            <w:tcW w:w="918" w:type="pct"/>
            <w:tcBorders>
              <w:top w:val="nil"/>
              <w:left w:val="nil"/>
              <w:bottom w:val="nil"/>
              <w:right w:val="nil"/>
            </w:tcBorders>
            <w:noWrap/>
            <w:vAlign w:val="center"/>
          </w:tcPr>
          <w:p w14:paraId="6AFE01A1">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仿宋_GB2312" w:hAnsi="仿宋_GB2312" w:eastAsia="仿宋_GB2312" w:cs="仿宋_GB2312"/>
                <w:i w:val="0"/>
                <w:iCs w:val="0"/>
                <w:color w:val="auto"/>
                <w:sz w:val="24"/>
                <w:szCs w:val="24"/>
                <w:highlight w:val="none"/>
                <w:u w:val="none"/>
              </w:rPr>
            </w:pPr>
          </w:p>
        </w:tc>
        <w:tc>
          <w:tcPr>
            <w:tcW w:w="336" w:type="pct"/>
            <w:tcBorders>
              <w:top w:val="nil"/>
              <w:left w:val="nil"/>
              <w:bottom w:val="nil"/>
              <w:right w:val="nil"/>
            </w:tcBorders>
            <w:noWrap/>
            <w:vAlign w:val="center"/>
          </w:tcPr>
          <w:p w14:paraId="6A01C8E4">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仿宋_GB2312" w:hAnsi="仿宋_GB2312" w:eastAsia="仿宋_GB2312" w:cs="仿宋_GB2312"/>
                <w:i w:val="0"/>
                <w:iCs w:val="0"/>
                <w:color w:val="auto"/>
                <w:sz w:val="24"/>
                <w:szCs w:val="24"/>
                <w:highlight w:val="none"/>
                <w:u w:val="none"/>
              </w:rPr>
            </w:pPr>
          </w:p>
        </w:tc>
        <w:tc>
          <w:tcPr>
            <w:tcW w:w="1704" w:type="pct"/>
            <w:tcBorders>
              <w:top w:val="nil"/>
              <w:left w:val="nil"/>
              <w:bottom w:val="nil"/>
              <w:right w:val="nil"/>
            </w:tcBorders>
            <w:noWrap/>
            <w:vAlign w:val="center"/>
          </w:tcPr>
          <w:p w14:paraId="2EA6F968">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仿宋_GB2312" w:hAnsi="仿宋_GB2312" w:eastAsia="仿宋_GB2312" w:cs="仿宋_GB2312"/>
                <w:i w:val="0"/>
                <w:iCs w:val="0"/>
                <w:color w:val="auto"/>
                <w:sz w:val="24"/>
                <w:szCs w:val="24"/>
                <w:highlight w:val="none"/>
                <w:u w:val="none"/>
              </w:rPr>
            </w:pPr>
          </w:p>
        </w:tc>
        <w:tc>
          <w:tcPr>
            <w:tcW w:w="282" w:type="pct"/>
            <w:tcBorders>
              <w:top w:val="nil"/>
              <w:left w:val="nil"/>
              <w:bottom w:val="nil"/>
              <w:right w:val="nil"/>
            </w:tcBorders>
            <w:noWrap/>
            <w:vAlign w:val="center"/>
          </w:tcPr>
          <w:p w14:paraId="5F4535DB">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仿宋_GB2312" w:hAnsi="仿宋_GB2312" w:eastAsia="仿宋_GB2312" w:cs="仿宋_GB2312"/>
                <w:i w:val="0"/>
                <w:iCs w:val="0"/>
                <w:color w:val="auto"/>
                <w:sz w:val="24"/>
                <w:szCs w:val="24"/>
                <w:highlight w:val="none"/>
                <w:u w:val="none"/>
              </w:rPr>
            </w:pPr>
          </w:p>
        </w:tc>
        <w:tc>
          <w:tcPr>
            <w:tcW w:w="299" w:type="pct"/>
            <w:tcBorders>
              <w:top w:val="nil"/>
              <w:left w:val="nil"/>
              <w:bottom w:val="nil"/>
              <w:right w:val="nil"/>
            </w:tcBorders>
            <w:noWrap/>
            <w:vAlign w:val="center"/>
          </w:tcPr>
          <w:p w14:paraId="134FA5B0">
            <w:pPr>
              <w:keepNext w:val="0"/>
              <w:keepLines w:val="0"/>
              <w:pageBreakBefore w:val="0"/>
              <w:widowControl/>
              <w:kinsoku/>
              <w:wordWrap/>
              <w:overflowPunct/>
              <w:topLinePunct w:val="0"/>
              <w:autoSpaceDE/>
              <w:autoSpaceDN/>
              <w:bidi w:val="0"/>
              <w:adjustRightInd/>
              <w:snapToGrid/>
              <w:spacing w:line="240" w:lineRule="exact"/>
              <w:ind w:firstLine="0" w:firstLineChars="0"/>
              <w:rPr>
                <w:rFonts w:hint="eastAsia" w:ascii="仿宋_GB2312" w:hAnsi="仿宋_GB2312" w:eastAsia="仿宋_GB2312" w:cs="仿宋_GB2312"/>
                <w:i w:val="0"/>
                <w:iCs w:val="0"/>
                <w:color w:val="auto"/>
                <w:sz w:val="24"/>
                <w:szCs w:val="24"/>
                <w:highlight w:val="none"/>
                <w:u w:val="none"/>
              </w:rPr>
            </w:pPr>
          </w:p>
        </w:tc>
      </w:tr>
      <w:tr w14:paraId="66525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5000" w:type="pct"/>
            <w:gridSpan w:val="11"/>
            <w:tcBorders>
              <w:top w:val="nil"/>
              <w:left w:val="nil"/>
              <w:bottom w:val="nil"/>
              <w:right w:val="nil"/>
            </w:tcBorders>
            <w:noWrap w:val="0"/>
            <w:vAlign w:val="center"/>
          </w:tcPr>
          <w:p w14:paraId="0C1067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color w:val="auto"/>
                <w:sz w:val="21"/>
                <w:szCs w:val="21"/>
                <w:highlight w:val="none"/>
                <w:lang w:eastAsia="zh-CN"/>
              </w:rPr>
              <w:t>乌昌工作站干部生活补助</w:t>
            </w:r>
            <w:r>
              <w:rPr>
                <w:rFonts w:hint="eastAsia" w:ascii="宋体" w:hAnsi="宋体" w:eastAsia="宋体" w:cs="宋体"/>
                <w:b/>
                <w:bCs/>
                <w:i w:val="0"/>
                <w:iCs w:val="0"/>
                <w:color w:val="auto"/>
                <w:kern w:val="0"/>
                <w:sz w:val="21"/>
                <w:szCs w:val="21"/>
                <w:highlight w:val="none"/>
                <w:u w:val="none"/>
                <w:lang w:val="en-US" w:eastAsia="zh-CN"/>
              </w:rPr>
              <w:t>项目</w:t>
            </w:r>
            <w:r>
              <w:rPr>
                <w:rStyle w:val="54"/>
                <w:rFonts w:hint="eastAsia" w:ascii="宋体" w:hAnsi="宋体" w:eastAsia="宋体" w:cs="宋体"/>
                <w:b/>
                <w:bCs/>
                <w:color w:val="auto"/>
                <w:sz w:val="21"/>
                <w:szCs w:val="21"/>
                <w:highlight w:val="none"/>
                <w:lang w:val="en-US" w:eastAsia="zh-CN"/>
              </w:rPr>
              <w:t>绩效评价指标体系综合评分表</w:t>
            </w:r>
          </w:p>
        </w:tc>
      </w:tr>
      <w:tr w14:paraId="29C6E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03" w:type="pct"/>
            <w:tcBorders>
              <w:top w:val="single" w:color="auto" w:sz="4" w:space="0"/>
              <w:left w:val="single" w:color="auto" w:sz="4" w:space="0"/>
              <w:bottom w:val="single" w:color="auto" w:sz="4" w:space="0"/>
              <w:right w:val="single" w:color="auto" w:sz="4" w:space="0"/>
            </w:tcBorders>
            <w:noWrap w:val="0"/>
            <w:vAlign w:val="center"/>
          </w:tcPr>
          <w:p w14:paraId="269A5E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一级指标</w:t>
            </w:r>
          </w:p>
        </w:tc>
        <w:tc>
          <w:tcPr>
            <w:tcW w:w="218" w:type="pct"/>
            <w:tcBorders>
              <w:top w:val="single" w:color="auto" w:sz="4" w:space="0"/>
              <w:left w:val="single" w:color="auto" w:sz="4" w:space="0"/>
              <w:bottom w:val="single" w:color="auto" w:sz="4" w:space="0"/>
              <w:right w:val="single" w:color="auto" w:sz="4" w:space="0"/>
            </w:tcBorders>
            <w:noWrap w:val="0"/>
            <w:vAlign w:val="center"/>
          </w:tcPr>
          <w:p w14:paraId="3E8502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分值</w:t>
            </w:r>
          </w:p>
        </w:tc>
        <w:tc>
          <w:tcPr>
            <w:tcW w:w="257" w:type="pct"/>
            <w:tcBorders>
              <w:top w:val="single" w:color="auto" w:sz="4" w:space="0"/>
              <w:left w:val="single" w:color="auto" w:sz="4" w:space="0"/>
              <w:bottom w:val="single" w:color="auto" w:sz="4" w:space="0"/>
              <w:right w:val="single" w:color="auto" w:sz="4" w:space="0"/>
            </w:tcBorders>
            <w:noWrap w:val="0"/>
            <w:vAlign w:val="center"/>
          </w:tcPr>
          <w:p w14:paraId="3BCEB8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二级指标</w:t>
            </w:r>
          </w:p>
        </w:tc>
        <w:tc>
          <w:tcPr>
            <w:tcW w:w="216" w:type="pct"/>
            <w:tcBorders>
              <w:top w:val="single" w:color="auto" w:sz="4" w:space="0"/>
              <w:left w:val="single" w:color="auto" w:sz="4" w:space="0"/>
              <w:bottom w:val="single" w:color="auto" w:sz="4" w:space="0"/>
              <w:right w:val="single" w:color="auto" w:sz="4" w:space="0"/>
            </w:tcBorders>
            <w:noWrap w:val="0"/>
            <w:vAlign w:val="center"/>
          </w:tcPr>
          <w:p w14:paraId="59C0D0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分值</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2CB417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三级指标</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7E418B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分值</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0A4E058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指标解释</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618A79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标杆值</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5733A4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评分标准</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3345C4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完成值</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4054FE5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得分</w:t>
            </w:r>
          </w:p>
        </w:tc>
      </w:tr>
      <w:tr w14:paraId="3FBCC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303" w:type="pct"/>
            <w:vMerge w:val="restart"/>
            <w:tcBorders>
              <w:top w:val="single" w:color="auto" w:sz="4" w:space="0"/>
              <w:left w:val="single" w:color="auto" w:sz="4" w:space="0"/>
              <w:bottom w:val="single" w:color="auto" w:sz="4" w:space="0"/>
              <w:right w:val="single" w:color="auto" w:sz="4" w:space="0"/>
            </w:tcBorders>
            <w:noWrap w:val="0"/>
            <w:vAlign w:val="center"/>
          </w:tcPr>
          <w:p w14:paraId="1B8D4F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项目决策</w:t>
            </w:r>
          </w:p>
        </w:tc>
        <w:tc>
          <w:tcPr>
            <w:tcW w:w="218" w:type="pct"/>
            <w:vMerge w:val="restart"/>
            <w:tcBorders>
              <w:top w:val="single" w:color="auto" w:sz="4" w:space="0"/>
              <w:left w:val="single" w:color="auto" w:sz="4" w:space="0"/>
              <w:bottom w:val="single" w:color="auto" w:sz="4" w:space="0"/>
              <w:right w:val="single" w:color="auto" w:sz="4" w:space="0"/>
            </w:tcBorders>
            <w:noWrap w:val="0"/>
            <w:vAlign w:val="center"/>
          </w:tcPr>
          <w:p w14:paraId="491D1B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20</w:t>
            </w: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14:paraId="145971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项目立项</w:t>
            </w:r>
          </w:p>
        </w:tc>
        <w:tc>
          <w:tcPr>
            <w:tcW w:w="216" w:type="pct"/>
            <w:vMerge w:val="restart"/>
            <w:tcBorders>
              <w:top w:val="single" w:color="auto" w:sz="4" w:space="0"/>
              <w:left w:val="single" w:color="auto" w:sz="4" w:space="0"/>
              <w:bottom w:val="single" w:color="auto" w:sz="4" w:space="0"/>
              <w:right w:val="single" w:color="auto" w:sz="4" w:space="0"/>
            </w:tcBorders>
            <w:noWrap w:val="0"/>
            <w:vAlign w:val="center"/>
          </w:tcPr>
          <w:p w14:paraId="6379AB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3D6AB4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立项依据充分性</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6EC9FE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2D9EB3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项目立项是否符合法律法规、相关政策、发展规划以及部门职责，用以反映和考核项目立项依据情况。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735130F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充分</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62D6E6D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①项目立项是否符合国家法律法规、国民经济发展规划和相关政策；</w:t>
            </w:r>
          </w:p>
          <w:p w14:paraId="7D2C5E5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②项目立项是否符合行业发展规划和政策要求；</w:t>
            </w:r>
          </w:p>
          <w:p w14:paraId="566852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③项目立项是否与部门职责范围相符，</w:t>
            </w:r>
            <w:bookmarkStart w:id="18" w:name="_GoBack"/>
            <w:bookmarkEnd w:id="18"/>
            <w:r>
              <w:rPr>
                <w:rFonts w:hint="eastAsia" w:ascii="宋体" w:hAnsi="宋体" w:eastAsia="宋体" w:cs="宋体"/>
                <w:i w:val="0"/>
                <w:iCs w:val="0"/>
                <w:color w:val="auto"/>
                <w:kern w:val="0"/>
                <w:sz w:val="21"/>
                <w:szCs w:val="21"/>
                <w:highlight w:val="none"/>
                <w:u w:val="none"/>
                <w:lang w:val="en-US" w:eastAsia="zh-CN"/>
              </w:rPr>
              <w:t>属于部门履职所需；</w:t>
            </w:r>
          </w:p>
          <w:p w14:paraId="0C5114F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④项目是否属于公共财政支持范围，是否符合中央、地方事权支出责任划分原则；</w:t>
            </w:r>
          </w:p>
          <w:p w14:paraId="2FE3604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⑤项目是否与相关部门同类项目或部门内部相关项目重复。</w:t>
            </w:r>
          </w:p>
          <w:p w14:paraId="34C7D71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以上每条要素占权重分的20%，每有一条不符合，扣除对应权重分，扣完为止。</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31AF61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充分</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251E899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2</w:t>
            </w:r>
          </w:p>
        </w:tc>
      </w:tr>
      <w:tr w14:paraId="244E6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706B92B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392251B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14:paraId="57D05DD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14:paraId="1F8AA9B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2" w:type="pct"/>
            <w:tcBorders>
              <w:top w:val="single" w:color="auto" w:sz="4" w:space="0"/>
              <w:left w:val="single" w:color="auto" w:sz="4" w:space="0"/>
              <w:bottom w:val="single" w:color="auto" w:sz="4" w:space="0"/>
              <w:right w:val="single" w:color="auto" w:sz="4" w:space="0"/>
            </w:tcBorders>
            <w:noWrap w:val="0"/>
            <w:vAlign w:val="center"/>
          </w:tcPr>
          <w:p w14:paraId="6FC2D4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立项程序规范性</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6088FDF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2C9C0FA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项目申请、设立过程是否符合相关要求，用以反映和考核项目立项的规范情况。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3775D9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规范</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54DC65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①项目是否按照规定的程序申请设立；</w:t>
            </w:r>
          </w:p>
          <w:p w14:paraId="17FBACB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②审批文件、材料是否符合相关要求；</w:t>
            </w:r>
          </w:p>
          <w:p w14:paraId="6E8D59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③事前是否已经过必要的可行性研究、专家论证、风险评估、绩效评估、集体决策。</w:t>
            </w:r>
          </w:p>
          <w:p w14:paraId="6CA831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①②③齐全得权重分的100%，缺①扣权重分的40%，缺②扣权重分的30%，缺③扣权重分的30%。</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26D5D9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规范</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48D1056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3</w:t>
            </w:r>
          </w:p>
        </w:tc>
      </w:tr>
      <w:tr w14:paraId="725C7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5"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6D37283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7508FB2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14:paraId="1BC42C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绩效目标</w:t>
            </w:r>
          </w:p>
        </w:tc>
        <w:tc>
          <w:tcPr>
            <w:tcW w:w="216" w:type="pct"/>
            <w:vMerge w:val="restart"/>
            <w:tcBorders>
              <w:top w:val="single" w:color="auto" w:sz="4" w:space="0"/>
              <w:left w:val="single" w:color="auto" w:sz="4" w:space="0"/>
              <w:bottom w:val="single" w:color="auto" w:sz="4" w:space="0"/>
              <w:right w:val="single" w:color="auto" w:sz="4" w:space="0"/>
            </w:tcBorders>
            <w:noWrap w:val="0"/>
            <w:vAlign w:val="center"/>
          </w:tcPr>
          <w:p w14:paraId="215ADC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10</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05AF0E1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绩效目标合理性</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0C1DDD3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5B20C19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项目所设定的绩效目标是否依据充分，是否符合客观实际，用以反映和考核项目绩效目标与项目实施的相符情况。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756BEF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合理</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40D4BC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①项目是否有绩效目标；</w:t>
            </w:r>
          </w:p>
          <w:p w14:paraId="6B2EA2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②项目绩效目标与实际工作内容是否具有相关性；</w:t>
            </w:r>
          </w:p>
          <w:p w14:paraId="3C6DE0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③项目预期产出效益和效果是否符合正常的业绩水平；</w:t>
            </w:r>
          </w:p>
          <w:p w14:paraId="47AE7A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④是否与预算确定的项目投资额或资金量相匹配。</w:t>
            </w:r>
          </w:p>
          <w:p w14:paraId="4DB0BC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以上每条要素各占权重的25%，每有一条不符合，扣除对应的权重分，扣完为止。</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25210C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合理</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642E002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5</w:t>
            </w:r>
          </w:p>
        </w:tc>
      </w:tr>
      <w:tr w14:paraId="0051C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25A7B35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0CDC12C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14:paraId="6F1754C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14:paraId="76A0FA6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2" w:type="pct"/>
            <w:tcBorders>
              <w:top w:val="single" w:color="auto" w:sz="4" w:space="0"/>
              <w:left w:val="single" w:color="auto" w:sz="4" w:space="0"/>
              <w:bottom w:val="single" w:color="auto" w:sz="4" w:space="0"/>
              <w:right w:val="single" w:color="auto" w:sz="4" w:space="0"/>
            </w:tcBorders>
            <w:noWrap w:val="0"/>
            <w:vAlign w:val="center"/>
          </w:tcPr>
          <w:p w14:paraId="734C36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绩效指标明确性</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31E889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553EF93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依据绩效目标设定的绩效指标是否清晰、细化、可衡量等，用以反映和考核项目绩效目标的明细化情况。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2BC741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明确</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404F85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①是否将项目绩效目标细化分解为具体的绩效指标；</w:t>
            </w:r>
          </w:p>
          <w:p w14:paraId="16F960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②是否通过清晰、可衡量的指标值予以体现；</w:t>
            </w:r>
          </w:p>
          <w:p w14:paraId="1E77E1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③是否与项目目标任务数或计划数相对应。</w:t>
            </w:r>
          </w:p>
          <w:p w14:paraId="721E7A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①②③齐全得权重分的100%，缺①扣权重分的20%，缺②扣权重分的50%，缺③扣权重分的30%。</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04558F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明确</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1E236B8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5</w:t>
            </w:r>
          </w:p>
        </w:tc>
      </w:tr>
      <w:tr w14:paraId="7453B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7"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6113272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5C10860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14:paraId="7D842C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资金投入</w:t>
            </w:r>
          </w:p>
        </w:tc>
        <w:tc>
          <w:tcPr>
            <w:tcW w:w="216" w:type="pct"/>
            <w:vMerge w:val="restart"/>
            <w:tcBorders>
              <w:top w:val="single" w:color="auto" w:sz="4" w:space="0"/>
              <w:left w:val="single" w:color="auto" w:sz="4" w:space="0"/>
              <w:bottom w:val="single" w:color="auto" w:sz="4" w:space="0"/>
              <w:right w:val="single" w:color="auto" w:sz="4" w:space="0"/>
            </w:tcBorders>
            <w:noWrap w:val="0"/>
            <w:vAlign w:val="center"/>
          </w:tcPr>
          <w:p w14:paraId="47B2B1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5653F34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预算编制科学性</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09045E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16434B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项目预算编制是否经过科学论证、有明确标准，资金额度与年度目标是否相适应，用以反映和考核项目预算编制的科学性、合理性情况。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46D2D2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科学</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7655A5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①预算编制是否经过科学论证；</w:t>
            </w:r>
          </w:p>
          <w:p w14:paraId="342E86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②预算内容与项目内容是否匹配；</w:t>
            </w:r>
          </w:p>
          <w:p w14:paraId="319880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③预算额度测算依据是否充分，是否按照标准编制；</w:t>
            </w:r>
          </w:p>
          <w:p w14:paraId="64ECF3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④预算确定的项目投资额或资金量是否与工作任务相匹配。</w:t>
            </w:r>
          </w:p>
          <w:p w14:paraId="14E8D1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以上每条要素各占权重的25%，每有一条不符合，扣除对应的权重分，扣完为止。</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2CD478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科学</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06DA35B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3</w:t>
            </w:r>
          </w:p>
        </w:tc>
      </w:tr>
      <w:tr w14:paraId="657C4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57A71BD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4374CB3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14:paraId="75E790C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14:paraId="005DA75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2" w:type="pct"/>
            <w:tcBorders>
              <w:top w:val="single" w:color="auto" w:sz="4" w:space="0"/>
              <w:left w:val="single" w:color="auto" w:sz="4" w:space="0"/>
              <w:bottom w:val="single" w:color="auto" w:sz="4" w:space="0"/>
              <w:right w:val="single" w:color="auto" w:sz="4" w:space="0"/>
            </w:tcBorders>
            <w:noWrap w:val="0"/>
            <w:vAlign w:val="center"/>
          </w:tcPr>
          <w:p w14:paraId="6E4279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资金分配合理性</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77CC067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7584C0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项目预算资金分配是否有测算依据，与补助单位或地方实际是否相适应，用以反映和考核项目预算资金分配的科学性、合理性情况。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73F258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合理</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764652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①预算资金分配依据是否充分；</w:t>
            </w:r>
          </w:p>
          <w:p w14:paraId="390225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②资金分配额度是否合理，与项目单位或地方实际是否相适应。</w:t>
            </w:r>
          </w:p>
          <w:p w14:paraId="41889F6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以上每条要素各占权重的50%，每有一条不符合，扣除对应的权重分，扣完为止。</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40BB7D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合理</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35A4148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2</w:t>
            </w:r>
          </w:p>
        </w:tc>
      </w:tr>
      <w:tr w14:paraId="0EB7E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03" w:type="pct"/>
            <w:vMerge w:val="restart"/>
            <w:tcBorders>
              <w:top w:val="single" w:color="auto" w:sz="4" w:space="0"/>
              <w:left w:val="single" w:color="auto" w:sz="4" w:space="0"/>
              <w:bottom w:val="single" w:color="auto" w:sz="4" w:space="0"/>
              <w:right w:val="single" w:color="auto" w:sz="4" w:space="0"/>
            </w:tcBorders>
            <w:noWrap w:val="0"/>
            <w:vAlign w:val="center"/>
          </w:tcPr>
          <w:p w14:paraId="7A8FD1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项目过程</w:t>
            </w:r>
          </w:p>
        </w:tc>
        <w:tc>
          <w:tcPr>
            <w:tcW w:w="218" w:type="pct"/>
            <w:vMerge w:val="restart"/>
            <w:tcBorders>
              <w:top w:val="single" w:color="auto" w:sz="4" w:space="0"/>
              <w:left w:val="single" w:color="auto" w:sz="4" w:space="0"/>
              <w:bottom w:val="single" w:color="auto" w:sz="4" w:space="0"/>
              <w:right w:val="single" w:color="auto" w:sz="4" w:space="0"/>
            </w:tcBorders>
            <w:noWrap w:val="0"/>
            <w:vAlign w:val="center"/>
          </w:tcPr>
          <w:p w14:paraId="452915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15</w:t>
            </w: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14:paraId="0C3A8F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资金管理</w:t>
            </w:r>
          </w:p>
        </w:tc>
        <w:tc>
          <w:tcPr>
            <w:tcW w:w="216" w:type="pct"/>
            <w:vMerge w:val="restart"/>
            <w:tcBorders>
              <w:top w:val="single" w:color="auto" w:sz="4" w:space="0"/>
              <w:left w:val="single" w:color="auto" w:sz="4" w:space="0"/>
              <w:bottom w:val="single" w:color="auto" w:sz="4" w:space="0"/>
              <w:right w:val="single" w:color="auto" w:sz="4" w:space="0"/>
            </w:tcBorders>
            <w:noWrap w:val="0"/>
            <w:vAlign w:val="center"/>
          </w:tcPr>
          <w:p w14:paraId="5422DB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9</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1C154F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资金到位率</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763EF3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58F6BA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实际到位资金与预算资金的比率，用以反映和考核资金落实情况对项目实施的总体保障程度。</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5EC684A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198B8C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资金到位率=（实际到位资金/预算资金）×100%。</w:t>
            </w:r>
          </w:p>
          <w:p w14:paraId="7137AA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资金到位率=100%，得权重分满分，每降低1%，扣除5%权重分，扣完为止。</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738865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16E2138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3</w:t>
            </w:r>
          </w:p>
        </w:tc>
      </w:tr>
      <w:tr w14:paraId="645F7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2"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7663715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137A8DE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14:paraId="0E99E21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14:paraId="6FB341A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2" w:type="pct"/>
            <w:tcBorders>
              <w:top w:val="single" w:color="auto" w:sz="4" w:space="0"/>
              <w:left w:val="single" w:color="auto" w:sz="4" w:space="0"/>
              <w:bottom w:val="single" w:color="auto" w:sz="4" w:space="0"/>
              <w:right w:val="single" w:color="auto" w:sz="4" w:space="0"/>
            </w:tcBorders>
            <w:noWrap w:val="0"/>
            <w:vAlign w:val="center"/>
          </w:tcPr>
          <w:p w14:paraId="434E9A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预算执行率</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595108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1EDD127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项目预算资金是否按照计划执行，用以反映或考核项目预算执行情况。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51C13D7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2AD7E9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预算执行率=（实际支出资金/实际到位资金）×100%。</w:t>
            </w:r>
          </w:p>
          <w:p w14:paraId="31DD33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预算执行率=100%，得权重分满分；若预算执行率＜100%，得分=预算执行率*分值；若执行率≤60%，则不得分。</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0A80C7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 xml:space="preserve">89.62% </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065C7E0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2.69</w:t>
            </w:r>
          </w:p>
        </w:tc>
      </w:tr>
      <w:tr w14:paraId="4F917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38B54FEA">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674D000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14:paraId="19CEB09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14:paraId="1470830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2" w:type="pct"/>
            <w:tcBorders>
              <w:top w:val="single" w:color="auto" w:sz="4" w:space="0"/>
              <w:left w:val="single" w:color="auto" w:sz="4" w:space="0"/>
              <w:bottom w:val="single" w:color="auto" w:sz="4" w:space="0"/>
              <w:right w:val="single" w:color="auto" w:sz="4" w:space="0"/>
            </w:tcBorders>
            <w:noWrap w:val="0"/>
            <w:vAlign w:val="center"/>
          </w:tcPr>
          <w:p w14:paraId="76811B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资金使用合规性</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70B112B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00B946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项目资金使用是否符合相关的财务管理制度规定，用以反映和考核项目资金的规范运行情况。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33FA38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合规</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4CA147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①否符合国家财经法规和财务管理制度以及有关专项资金管理办法的规定；</w:t>
            </w:r>
          </w:p>
          <w:p w14:paraId="7ED6A4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②资金的拨付是否有完整的审批程序和手续；</w:t>
            </w:r>
          </w:p>
          <w:p w14:paraId="3C8887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③是否符合项目预算批复或合同规定的用途；</w:t>
            </w:r>
          </w:p>
          <w:p w14:paraId="7468956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④是否存在截留、挤占、挪用、虚列支出等情况。</w:t>
            </w:r>
          </w:p>
          <w:p w14:paraId="7289E7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以上每条指标各占权重分的25%，要素①②不符合，扣除对应权重分；要素③④不符合属于重大违纪，该指标不得分。</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2423D8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合规</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5C8527E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3</w:t>
            </w:r>
          </w:p>
        </w:tc>
      </w:tr>
      <w:tr w14:paraId="3CDBF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63681DD9">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63ABD5C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14:paraId="2BA0CF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组织实施</w:t>
            </w:r>
          </w:p>
        </w:tc>
        <w:tc>
          <w:tcPr>
            <w:tcW w:w="216" w:type="pct"/>
            <w:vMerge w:val="restart"/>
            <w:tcBorders>
              <w:top w:val="single" w:color="auto" w:sz="4" w:space="0"/>
              <w:left w:val="single" w:color="auto" w:sz="4" w:space="0"/>
              <w:bottom w:val="single" w:color="auto" w:sz="4" w:space="0"/>
              <w:right w:val="single" w:color="auto" w:sz="4" w:space="0"/>
            </w:tcBorders>
            <w:noWrap w:val="0"/>
            <w:vAlign w:val="center"/>
          </w:tcPr>
          <w:p w14:paraId="0657254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6</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697A1C4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管理制度健全性</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1330C9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1D27DA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项目实施单位的财务和业务管理制度是否健全，用以反映和考核财务和业务管理制度对项目顺利实施的保障情况。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45CA24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健全</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733EF8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①是否已制定或具有相应的财务和业务管理制度；</w:t>
            </w:r>
          </w:p>
          <w:p w14:paraId="1E84D3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②财务和业务管理制度是否合法、合规、完整。</w:t>
            </w:r>
          </w:p>
          <w:p w14:paraId="41DEFC2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以上每条要素各占权重的50%，每有一条不符合，扣除对应的权重分，扣完为止。</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13A2B7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健全</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3BED5EB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3</w:t>
            </w:r>
          </w:p>
        </w:tc>
      </w:tr>
      <w:tr w14:paraId="16A46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609256C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70C2DEC3">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14:paraId="5B55D272">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14:paraId="0433294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2" w:type="pct"/>
            <w:tcBorders>
              <w:top w:val="single" w:color="auto" w:sz="4" w:space="0"/>
              <w:left w:val="single" w:color="auto" w:sz="4" w:space="0"/>
              <w:bottom w:val="single" w:color="auto" w:sz="4" w:space="0"/>
              <w:right w:val="single" w:color="auto" w:sz="4" w:space="0"/>
            </w:tcBorders>
            <w:noWrap w:val="0"/>
            <w:vAlign w:val="center"/>
          </w:tcPr>
          <w:p w14:paraId="51A86C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制度执行有效性</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501994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3C56F4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项目实施是否符合相关管理规定，用以反映和考核相关管理制度的有效执行情况。</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08C60F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有效</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123F6B1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①否遵守相关法律法规和相关管理规定；</w:t>
            </w:r>
          </w:p>
          <w:p w14:paraId="02281AF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②项目调整及支出调整手续是否完备；</w:t>
            </w:r>
          </w:p>
          <w:p w14:paraId="5F81F82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③项目资料是否齐全并及时归档。</w:t>
            </w:r>
          </w:p>
          <w:p w14:paraId="6CEAF96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①②③齐全得权重分的100%，缺①扣权重分的30%，缺②扣权重分的40%，缺③扣权重分的30%。</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69AAE5D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有效</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5204C81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3</w:t>
            </w:r>
          </w:p>
        </w:tc>
      </w:tr>
      <w:tr w14:paraId="52CAF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6" w:hRule="atLeast"/>
        </w:trPr>
        <w:tc>
          <w:tcPr>
            <w:tcW w:w="303" w:type="pct"/>
            <w:vMerge w:val="restart"/>
            <w:tcBorders>
              <w:top w:val="single" w:color="auto" w:sz="4" w:space="0"/>
              <w:left w:val="single" w:color="auto" w:sz="4" w:space="0"/>
              <w:bottom w:val="single" w:color="auto" w:sz="4" w:space="0"/>
              <w:right w:val="single" w:color="auto" w:sz="4" w:space="0"/>
            </w:tcBorders>
            <w:noWrap w:val="0"/>
            <w:vAlign w:val="center"/>
          </w:tcPr>
          <w:p w14:paraId="37AB5C0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项目产出</w:t>
            </w:r>
          </w:p>
        </w:tc>
        <w:tc>
          <w:tcPr>
            <w:tcW w:w="218" w:type="pct"/>
            <w:vMerge w:val="restart"/>
            <w:tcBorders>
              <w:top w:val="single" w:color="auto" w:sz="4" w:space="0"/>
              <w:left w:val="single" w:color="auto" w:sz="4" w:space="0"/>
              <w:bottom w:val="single" w:color="auto" w:sz="4" w:space="0"/>
              <w:right w:val="single" w:color="auto" w:sz="4" w:space="0"/>
            </w:tcBorders>
            <w:noWrap w:val="0"/>
            <w:vAlign w:val="center"/>
          </w:tcPr>
          <w:p w14:paraId="4B30C1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45</w:t>
            </w:r>
          </w:p>
        </w:tc>
        <w:tc>
          <w:tcPr>
            <w:tcW w:w="257" w:type="pct"/>
            <w:tcBorders>
              <w:top w:val="single" w:color="auto" w:sz="4" w:space="0"/>
              <w:left w:val="single" w:color="auto" w:sz="4" w:space="0"/>
              <w:bottom w:val="single" w:color="auto" w:sz="4" w:space="0"/>
              <w:right w:val="single" w:color="auto" w:sz="4" w:space="0"/>
            </w:tcBorders>
            <w:noWrap w:val="0"/>
            <w:vAlign w:val="center"/>
          </w:tcPr>
          <w:p w14:paraId="364E79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产出数量</w:t>
            </w:r>
          </w:p>
        </w:tc>
        <w:tc>
          <w:tcPr>
            <w:tcW w:w="216" w:type="pct"/>
            <w:tcBorders>
              <w:top w:val="single" w:color="auto" w:sz="4" w:space="0"/>
              <w:left w:val="single" w:color="auto" w:sz="4" w:space="0"/>
              <w:bottom w:val="single" w:color="auto" w:sz="4" w:space="0"/>
              <w:right w:val="single" w:color="auto" w:sz="4" w:space="0"/>
            </w:tcBorders>
            <w:noWrap w:val="0"/>
            <w:vAlign w:val="center"/>
          </w:tcPr>
          <w:p w14:paraId="147D3E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2620241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实际完成率</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359D7B9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10</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0F2CD5C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乌昌补贴保障人数</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60CE762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≥11人</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733C6F7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u w:val="none"/>
                <w:lang w:val="en-US" w:eastAsia="zh-CN"/>
              </w:rPr>
              <w:t>实际完成率=（实际完成/预期完成）×100%。</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①实际完成率≥100%，且偏离程度＜20%，得满分；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②实际完成率≥100%，偏离程度≥20%，得0分；</w:t>
            </w:r>
            <w:r>
              <w:rPr>
                <w:rFonts w:hint="eastAsia" w:ascii="宋体" w:hAnsi="宋体" w:eastAsia="宋体" w:cs="宋体"/>
                <w:i w:val="0"/>
                <w:iCs w:val="0"/>
                <w:color w:val="auto"/>
                <w:kern w:val="0"/>
                <w:sz w:val="21"/>
                <w:szCs w:val="21"/>
                <w:u w:val="none"/>
                <w:lang w:val="en-US" w:eastAsia="zh-CN"/>
              </w:rPr>
              <w:br w:type="textWrapping"/>
            </w:r>
            <w:r>
              <w:rPr>
                <w:rFonts w:hint="eastAsia" w:ascii="宋体" w:hAnsi="宋体" w:eastAsia="宋体" w:cs="宋体"/>
                <w:i w:val="0"/>
                <w:iCs w:val="0"/>
                <w:color w:val="auto"/>
                <w:kern w:val="0"/>
                <w:sz w:val="21"/>
                <w:szCs w:val="21"/>
                <w:u w:val="none"/>
                <w:lang w:val="en-US" w:eastAsia="zh-CN"/>
              </w:rPr>
              <w:t>③实际完成率×100%＜100%，得分=实际完成率×指标分值。</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03B43F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=11人</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1D5EB9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w:t>
            </w:r>
          </w:p>
        </w:tc>
      </w:tr>
      <w:tr w14:paraId="378EE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76053C7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26D8403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restart"/>
            <w:tcBorders>
              <w:top w:val="single" w:color="auto" w:sz="4" w:space="0"/>
              <w:left w:val="single" w:color="auto" w:sz="4" w:space="0"/>
              <w:right w:val="single" w:color="auto" w:sz="4" w:space="0"/>
            </w:tcBorders>
            <w:noWrap w:val="0"/>
            <w:vAlign w:val="center"/>
          </w:tcPr>
          <w:p w14:paraId="0B6B29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产出质量</w:t>
            </w:r>
          </w:p>
        </w:tc>
        <w:tc>
          <w:tcPr>
            <w:tcW w:w="216" w:type="pct"/>
            <w:vMerge w:val="restart"/>
            <w:tcBorders>
              <w:top w:val="single" w:color="auto" w:sz="4" w:space="0"/>
              <w:left w:val="single" w:color="auto" w:sz="4" w:space="0"/>
              <w:right w:val="single" w:color="auto" w:sz="4" w:space="0"/>
            </w:tcBorders>
            <w:noWrap w:val="0"/>
            <w:vAlign w:val="center"/>
          </w:tcPr>
          <w:p w14:paraId="2BF63B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252" w:type="pct"/>
            <w:vMerge w:val="restart"/>
            <w:tcBorders>
              <w:top w:val="single" w:color="auto" w:sz="4" w:space="0"/>
              <w:left w:val="single" w:color="auto" w:sz="4" w:space="0"/>
              <w:right w:val="single" w:color="auto" w:sz="4" w:space="0"/>
            </w:tcBorders>
            <w:noWrap w:val="0"/>
            <w:vAlign w:val="center"/>
          </w:tcPr>
          <w:p w14:paraId="4E288C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质量达标率</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48563061">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5</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62BD93B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补贴发放覆盖率</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4B6367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1704" w:type="pct"/>
            <w:vMerge w:val="restart"/>
            <w:tcBorders>
              <w:top w:val="single" w:color="auto" w:sz="4" w:space="0"/>
              <w:left w:val="single" w:color="auto" w:sz="4" w:space="0"/>
              <w:right w:val="single" w:color="auto" w:sz="4" w:space="0"/>
            </w:tcBorders>
            <w:noWrap w:val="0"/>
            <w:vAlign w:val="center"/>
          </w:tcPr>
          <w:p w14:paraId="0BFE4FA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u w:val="none"/>
                <w:lang w:val="en-US" w:eastAsia="zh-CN"/>
              </w:rPr>
              <w:t>若指标达到标杆值，则得100%权重分；否则，得分=（实际完成/预期完成）×100%×指标分值。</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346ED6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06D61B2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w:t>
            </w:r>
          </w:p>
        </w:tc>
      </w:tr>
      <w:tr w14:paraId="46FF2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68341D3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31E8C00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continue"/>
            <w:tcBorders>
              <w:left w:val="single" w:color="auto" w:sz="4" w:space="0"/>
              <w:bottom w:val="single" w:color="auto" w:sz="4" w:space="0"/>
              <w:right w:val="single" w:color="auto" w:sz="4" w:space="0"/>
            </w:tcBorders>
            <w:noWrap w:val="0"/>
            <w:vAlign w:val="center"/>
          </w:tcPr>
          <w:p w14:paraId="43C0963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p>
        </w:tc>
        <w:tc>
          <w:tcPr>
            <w:tcW w:w="216" w:type="pct"/>
            <w:vMerge w:val="continue"/>
            <w:tcBorders>
              <w:left w:val="single" w:color="auto" w:sz="4" w:space="0"/>
              <w:bottom w:val="single" w:color="auto" w:sz="4" w:space="0"/>
              <w:right w:val="single" w:color="auto" w:sz="4" w:space="0"/>
            </w:tcBorders>
            <w:noWrap w:val="0"/>
            <w:vAlign w:val="center"/>
          </w:tcPr>
          <w:p w14:paraId="4057A1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p>
        </w:tc>
        <w:tc>
          <w:tcPr>
            <w:tcW w:w="252" w:type="pct"/>
            <w:vMerge w:val="continue"/>
            <w:tcBorders>
              <w:left w:val="single" w:color="auto" w:sz="4" w:space="0"/>
              <w:bottom w:val="single" w:color="auto" w:sz="4" w:space="0"/>
              <w:right w:val="single" w:color="auto" w:sz="4" w:space="0"/>
            </w:tcBorders>
            <w:noWrap w:val="0"/>
            <w:vAlign w:val="center"/>
          </w:tcPr>
          <w:p w14:paraId="7CD368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p>
        </w:tc>
        <w:tc>
          <w:tcPr>
            <w:tcW w:w="210" w:type="pct"/>
            <w:tcBorders>
              <w:top w:val="single" w:color="auto" w:sz="4" w:space="0"/>
              <w:left w:val="single" w:color="auto" w:sz="4" w:space="0"/>
              <w:bottom w:val="single" w:color="auto" w:sz="4" w:space="0"/>
              <w:right w:val="single" w:color="auto" w:sz="4" w:space="0"/>
            </w:tcBorders>
            <w:noWrap w:val="0"/>
            <w:vAlign w:val="center"/>
          </w:tcPr>
          <w:p w14:paraId="23FD4BB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5</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267AABB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资金使用合格率</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6C5ED6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1704" w:type="pct"/>
            <w:vMerge w:val="continue"/>
            <w:tcBorders>
              <w:left w:val="single" w:color="auto" w:sz="4" w:space="0"/>
              <w:right w:val="single" w:color="auto" w:sz="4" w:space="0"/>
            </w:tcBorders>
            <w:noWrap w:val="0"/>
            <w:vAlign w:val="center"/>
          </w:tcPr>
          <w:p w14:paraId="0991A4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p>
        </w:tc>
        <w:tc>
          <w:tcPr>
            <w:tcW w:w="282" w:type="pct"/>
            <w:tcBorders>
              <w:top w:val="single" w:color="auto" w:sz="4" w:space="0"/>
              <w:left w:val="single" w:color="auto" w:sz="4" w:space="0"/>
              <w:bottom w:val="single" w:color="auto" w:sz="4" w:space="0"/>
              <w:right w:val="single" w:color="auto" w:sz="4" w:space="0"/>
            </w:tcBorders>
            <w:noWrap w:val="0"/>
            <w:vAlign w:val="center"/>
          </w:tcPr>
          <w:p w14:paraId="3F8F2D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633271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w:t>
            </w:r>
          </w:p>
        </w:tc>
      </w:tr>
      <w:tr w14:paraId="7D979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08F791C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606CA77E">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restart"/>
            <w:tcBorders>
              <w:top w:val="single" w:color="auto" w:sz="4" w:space="0"/>
              <w:left w:val="single" w:color="auto" w:sz="4" w:space="0"/>
              <w:right w:val="single" w:color="auto" w:sz="4" w:space="0"/>
            </w:tcBorders>
            <w:noWrap w:val="0"/>
            <w:vAlign w:val="center"/>
          </w:tcPr>
          <w:p w14:paraId="305B7C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产出时效</w:t>
            </w:r>
          </w:p>
        </w:tc>
        <w:tc>
          <w:tcPr>
            <w:tcW w:w="216" w:type="pct"/>
            <w:vMerge w:val="restart"/>
            <w:tcBorders>
              <w:top w:val="single" w:color="auto" w:sz="4" w:space="0"/>
              <w:left w:val="single" w:color="auto" w:sz="4" w:space="0"/>
              <w:right w:val="single" w:color="auto" w:sz="4" w:space="0"/>
            </w:tcBorders>
            <w:noWrap w:val="0"/>
            <w:vAlign w:val="center"/>
          </w:tcPr>
          <w:p w14:paraId="03C794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252" w:type="pct"/>
            <w:vMerge w:val="restart"/>
            <w:tcBorders>
              <w:top w:val="single" w:color="auto" w:sz="4" w:space="0"/>
              <w:left w:val="single" w:color="auto" w:sz="4" w:space="0"/>
              <w:right w:val="single" w:color="auto" w:sz="4" w:space="0"/>
            </w:tcBorders>
            <w:noWrap w:val="0"/>
            <w:vAlign w:val="center"/>
          </w:tcPr>
          <w:p w14:paraId="223B71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完成及时率</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00ED3B7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5</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0D1991F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资金支付及时率</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58A653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1704" w:type="pct"/>
            <w:vMerge w:val="restart"/>
            <w:tcBorders>
              <w:top w:val="single" w:color="auto" w:sz="4" w:space="0"/>
              <w:left w:val="single" w:color="auto" w:sz="4" w:space="0"/>
              <w:right w:val="single" w:color="auto" w:sz="4" w:space="0"/>
            </w:tcBorders>
            <w:noWrap w:val="0"/>
            <w:vAlign w:val="center"/>
          </w:tcPr>
          <w:p w14:paraId="5C7E73C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u w:val="none"/>
                <w:lang w:val="en-US" w:eastAsia="zh-CN"/>
              </w:rPr>
              <w:t>若指标完成值达到标杆值，则得100%权重分；否则，得分=（实际完成/预期完成）×100%×指标分值。</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74BB0C5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=100%</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620B31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w:t>
            </w:r>
          </w:p>
        </w:tc>
      </w:tr>
      <w:tr w14:paraId="251D8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4AA77B8F">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5D05024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continue"/>
            <w:tcBorders>
              <w:left w:val="single" w:color="auto" w:sz="4" w:space="0"/>
              <w:bottom w:val="single" w:color="auto" w:sz="4" w:space="0"/>
              <w:right w:val="single" w:color="auto" w:sz="4" w:space="0"/>
            </w:tcBorders>
            <w:noWrap w:val="0"/>
            <w:vAlign w:val="center"/>
          </w:tcPr>
          <w:p w14:paraId="2452392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p>
        </w:tc>
        <w:tc>
          <w:tcPr>
            <w:tcW w:w="216" w:type="pct"/>
            <w:vMerge w:val="continue"/>
            <w:tcBorders>
              <w:left w:val="single" w:color="auto" w:sz="4" w:space="0"/>
              <w:bottom w:val="single" w:color="auto" w:sz="4" w:space="0"/>
              <w:right w:val="single" w:color="auto" w:sz="4" w:space="0"/>
            </w:tcBorders>
            <w:noWrap w:val="0"/>
            <w:vAlign w:val="center"/>
          </w:tcPr>
          <w:p w14:paraId="23BC93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p>
        </w:tc>
        <w:tc>
          <w:tcPr>
            <w:tcW w:w="252" w:type="pct"/>
            <w:vMerge w:val="continue"/>
            <w:tcBorders>
              <w:left w:val="single" w:color="auto" w:sz="4" w:space="0"/>
              <w:bottom w:val="single" w:color="auto" w:sz="4" w:space="0"/>
              <w:right w:val="single" w:color="auto" w:sz="4" w:space="0"/>
            </w:tcBorders>
            <w:noWrap w:val="0"/>
            <w:vAlign w:val="center"/>
          </w:tcPr>
          <w:p w14:paraId="03EA13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p>
        </w:tc>
        <w:tc>
          <w:tcPr>
            <w:tcW w:w="210" w:type="pct"/>
            <w:tcBorders>
              <w:top w:val="single" w:color="auto" w:sz="4" w:space="0"/>
              <w:left w:val="single" w:color="auto" w:sz="4" w:space="0"/>
              <w:bottom w:val="single" w:color="auto" w:sz="4" w:space="0"/>
              <w:right w:val="single" w:color="auto" w:sz="4" w:space="0"/>
            </w:tcBorders>
            <w:noWrap w:val="0"/>
            <w:vAlign w:val="center"/>
          </w:tcPr>
          <w:p w14:paraId="578933E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5</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4FF9BB1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项目完成时间</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0949E0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2024年12月</w:t>
            </w:r>
          </w:p>
        </w:tc>
        <w:tc>
          <w:tcPr>
            <w:tcW w:w="1704" w:type="pct"/>
            <w:vMerge w:val="continue"/>
            <w:tcBorders>
              <w:left w:val="single" w:color="auto" w:sz="4" w:space="0"/>
              <w:right w:val="single" w:color="auto" w:sz="4" w:space="0"/>
            </w:tcBorders>
            <w:noWrap w:val="0"/>
            <w:vAlign w:val="center"/>
          </w:tcPr>
          <w:p w14:paraId="2EF91303">
            <w:pPr>
              <w:keepNext w:val="0"/>
              <w:keepLines w:val="0"/>
              <w:pageBreakBefore w:val="0"/>
              <w:widowControl/>
              <w:suppressLineNumbers w:val="0"/>
              <w:kinsoku/>
              <w:wordWrap/>
              <w:overflowPunct/>
              <w:topLinePunct w:val="0"/>
              <w:autoSpaceDE/>
              <w:autoSpaceDN/>
              <w:bidi w:val="0"/>
              <w:adjustRightInd/>
              <w:snapToGrid/>
              <w:spacing w:line="240" w:lineRule="exact"/>
              <w:ind w:firstLine="420" w:firstLineChars="200"/>
              <w:jc w:val="left"/>
              <w:textAlignment w:val="center"/>
              <w:rPr>
                <w:rFonts w:hint="eastAsia" w:ascii="宋体" w:hAnsi="宋体" w:eastAsia="宋体" w:cs="宋体"/>
                <w:i w:val="0"/>
                <w:iCs w:val="0"/>
                <w:color w:val="auto"/>
                <w:kern w:val="0"/>
                <w:sz w:val="21"/>
                <w:szCs w:val="21"/>
                <w:highlight w:val="none"/>
                <w:u w:val="none"/>
                <w:lang w:val="en-US" w:eastAsia="zh-CN"/>
              </w:rPr>
            </w:pPr>
          </w:p>
        </w:tc>
        <w:tc>
          <w:tcPr>
            <w:tcW w:w="282" w:type="pct"/>
            <w:tcBorders>
              <w:top w:val="single" w:color="auto" w:sz="4" w:space="0"/>
              <w:left w:val="single" w:color="auto" w:sz="4" w:space="0"/>
              <w:bottom w:val="single" w:color="auto" w:sz="4" w:space="0"/>
              <w:right w:val="single" w:color="auto" w:sz="4" w:space="0"/>
            </w:tcBorders>
            <w:noWrap w:val="0"/>
            <w:vAlign w:val="center"/>
          </w:tcPr>
          <w:p w14:paraId="630C8B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=2024年12月</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348474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w:t>
            </w:r>
          </w:p>
        </w:tc>
      </w:tr>
      <w:tr w14:paraId="2740B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60A1C2A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3B3A7445">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tcBorders>
              <w:top w:val="single" w:color="auto" w:sz="4" w:space="0"/>
              <w:left w:val="single" w:color="auto" w:sz="4" w:space="0"/>
              <w:bottom w:val="single" w:color="auto" w:sz="4" w:space="0"/>
              <w:right w:val="single" w:color="auto" w:sz="4" w:space="0"/>
            </w:tcBorders>
            <w:noWrap w:val="0"/>
            <w:vAlign w:val="center"/>
          </w:tcPr>
          <w:p w14:paraId="45994E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产出成本</w:t>
            </w:r>
          </w:p>
        </w:tc>
        <w:tc>
          <w:tcPr>
            <w:tcW w:w="216" w:type="pct"/>
            <w:tcBorders>
              <w:top w:val="single" w:color="auto" w:sz="4" w:space="0"/>
              <w:left w:val="single" w:color="auto" w:sz="4" w:space="0"/>
              <w:bottom w:val="single" w:color="auto" w:sz="4" w:space="0"/>
              <w:right w:val="single" w:color="auto" w:sz="4" w:space="0"/>
            </w:tcBorders>
            <w:noWrap w:val="0"/>
            <w:vAlign w:val="center"/>
          </w:tcPr>
          <w:p w14:paraId="050932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15</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592069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成本节约率</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31F2777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15</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58B078F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人均乌昌补助金额</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13A0FC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≤0.15万元/人</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37A564C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实际完成率=（实际支付资金数/计划应支付资金数）×100%。</w:t>
            </w:r>
            <w:r>
              <w:rPr>
                <w:rFonts w:hint="eastAsia" w:ascii="宋体" w:hAnsi="宋体" w:eastAsia="宋体" w:cs="宋体"/>
                <w:i w:val="0"/>
                <w:color w:val="auto"/>
                <w:kern w:val="0"/>
                <w:sz w:val="21"/>
                <w:szCs w:val="21"/>
                <w:highlight w:val="none"/>
                <w:u w:val="none"/>
                <w:lang w:val="en-US" w:eastAsia="zh-CN"/>
              </w:rPr>
              <w:br w:type="textWrapping"/>
            </w:r>
            <w:r>
              <w:rPr>
                <w:rFonts w:hint="eastAsia" w:ascii="宋体" w:hAnsi="宋体" w:eastAsia="宋体" w:cs="宋体"/>
                <w:i w:val="0"/>
                <w:color w:val="auto"/>
                <w:kern w:val="0"/>
                <w:sz w:val="21"/>
                <w:szCs w:val="21"/>
                <w:highlight w:val="none"/>
                <w:u w:val="none"/>
                <w:lang w:val="en-US" w:eastAsia="zh-CN"/>
              </w:rPr>
              <w:t>①实际完成率＞年度指标值，得0得分；</w:t>
            </w:r>
            <w:r>
              <w:rPr>
                <w:rFonts w:hint="eastAsia" w:ascii="宋体" w:hAnsi="宋体" w:eastAsia="宋体" w:cs="宋体"/>
                <w:i w:val="0"/>
                <w:color w:val="auto"/>
                <w:kern w:val="0"/>
                <w:sz w:val="21"/>
                <w:szCs w:val="21"/>
                <w:highlight w:val="none"/>
                <w:u w:val="none"/>
                <w:lang w:val="en-US" w:eastAsia="zh-CN"/>
              </w:rPr>
              <w:br w:type="textWrapping"/>
            </w:r>
            <w:r>
              <w:rPr>
                <w:rFonts w:hint="eastAsia" w:ascii="宋体" w:hAnsi="宋体" w:eastAsia="宋体" w:cs="宋体"/>
                <w:i w:val="0"/>
                <w:color w:val="auto"/>
                <w:kern w:val="0"/>
                <w:sz w:val="21"/>
                <w:szCs w:val="21"/>
                <w:highlight w:val="none"/>
                <w:u w:val="none"/>
                <w:lang w:val="en-US" w:eastAsia="zh-CN"/>
              </w:rPr>
              <w:t>②实际完成率≤年度指标值，且偏离程度＜20%，得满分；</w:t>
            </w:r>
            <w:r>
              <w:rPr>
                <w:rFonts w:hint="eastAsia" w:ascii="宋体" w:hAnsi="宋体" w:eastAsia="宋体" w:cs="宋体"/>
                <w:i w:val="0"/>
                <w:color w:val="auto"/>
                <w:kern w:val="0"/>
                <w:sz w:val="21"/>
                <w:szCs w:val="21"/>
                <w:highlight w:val="none"/>
                <w:u w:val="none"/>
                <w:lang w:val="en-US" w:eastAsia="zh-CN"/>
              </w:rPr>
              <w:br w:type="textWrapping"/>
            </w:r>
            <w:r>
              <w:rPr>
                <w:rFonts w:hint="eastAsia" w:ascii="宋体" w:hAnsi="宋体" w:eastAsia="宋体" w:cs="宋体"/>
                <w:i w:val="0"/>
                <w:color w:val="auto"/>
                <w:kern w:val="0"/>
                <w:sz w:val="21"/>
                <w:szCs w:val="21"/>
                <w:highlight w:val="none"/>
                <w:u w:val="none"/>
                <w:lang w:val="en-US" w:eastAsia="zh-CN"/>
              </w:rPr>
              <w:t>③实际完成率＜年度指标值，且偏离程度≥20%，得分=实际完成率×分值。</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481B81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=0.15万元/人</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07B217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15</w:t>
            </w:r>
          </w:p>
        </w:tc>
      </w:tr>
      <w:tr w14:paraId="737C5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3" w:hRule="atLeast"/>
        </w:trPr>
        <w:tc>
          <w:tcPr>
            <w:tcW w:w="303" w:type="pct"/>
            <w:vMerge w:val="restart"/>
            <w:tcBorders>
              <w:top w:val="single" w:color="auto" w:sz="4" w:space="0"/>
              <w:left w:val="single" w:color="auto" w:sz="4" w:space="0"/>
              <w:bottom w:val="single" w:color="auto" w:sz="4" w:space="0"/>
              <w:right w:val="single" w:color="auto" w:sz="4" w:space="0"/>
            </w:tcBorders>
            <w:noWrap w:val="0"/>
            <w:vAlign w:val="center"/>
          </w:tcPr>
          <w:p w14:paraId="77152F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项目效益</w:t>
            </w:r>
          </w:p>
        </w:tc>
        <w:tc>
          <w:tcPr>
            <w:tcW w:w="218" w:type="pct"/>
            <w:vMerge w:val="restart"/>
            <w:tcBorders>
              <w:top w:val="single" w:color="auto" w:sz="4" w:space="0"/>
              <w:left w:val="single" w:color="auto" w:sz="4" w:space="0"/>
              <w:bottom w:val="single" w:color="auto" w:sz="4" w:space="0"/>
              <w:right w:val="single" w:color="auto" w:sz="4" w:space="0"/>
            </w:tcBorders>
            <w:noWrap w:val="0"/>
            <w:vAlign w:val="center"/>
          </w:tcPr>
          <w:p w14:paraId="5B6A9C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20</w:t>
            </w:r>
          </w:p>
        </w:tc>
        <w:tc>
          <w:tcPr>
            <w:tcW w:w="257" w:type="pct"/>
            <w:vMerge w:val="restart"/>
            <w:tcBorders>
              <w:top w:val="single" w:color="auto" w:sz="4" w:space="0"/>
              <w:left w:val="single" w:color="auto" w:sz="4" w:space="0"/>
              <w:bottom w:val="single" w:color="auto" w:sz="4" w:space="0"/>
              <w:right w:val="single" w:color="auto" w:sz="4" w:space="0"/>
            </w:tcBorders>
            <w:noWrap w:val="0"/>
            <w:vAlign w:val="center"/>
          </w:tcPr>
          <w:p w14:paraId="07D7E7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项目效益</w:t>
            </w:r>
          </w:p>
        </w:tc>
        <w:tc>
          <w:tcPr>
            <w:tcW w:w="216" w:type="pct"/>
            <w:vMerge w:val="restart"/>
            <w:tcBorders>
              <w:top w:val="single" w:color="auto" w:sz="4" w:space="0"/>
              <w:left w:val="single" w:color="auto" w:sz="4" w:space="0"/>
              <w:bottom w:val="single" w:color="auto" w:sz="4" w:space="0"/>
              <w:right w:val="single" w:color="auto" w:sz="4" w:space="0"/>
            </w:tcBorders>
            <w:noWrap w:val="0"/>
            <w:vAlign w:val="center"/>
          </w:tcPr>
          <w:p w14:paraId="0CA514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20</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467B9C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社会效益</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1E9F6C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10</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0382FBF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提高国家干部工作积极性</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3E6FF6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有效提高</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163A1074">
            <w:pPr>
              <w:keepNext w:val="0"/>
              <w:keepLines w:val="0"/>
              <w:pageBreakBefore w:val="0"/>
              <w:widowControl/>
              <w:suppressLineNumbers w:val="0"/>
              <w:kinsoku/>
              <w:wordWrap/>
              <w:overflowPunct/>
              <w:topLinePunct w:val="0"/>
              <w:autoSpaceDE/>
              <w:autoSpaceDN/>
              <w:bidi w:val="0"/>
              <w:adjustRightInd/>
              <w:snapToGrid/>
              <w:spacing w:line="240" w:lineRule="exact"/>
              <w:ind w:firstLine="420" w:firstLineChars="20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按评判等级赋分。分为基本达成目标、部分实现目标、实现目标程度较低三个档次，并分别按照该指标对应分值区间100%-80%（含）、80%-60%（含）、60%-0%合理确定分值。</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75E198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有效提高</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6DF763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w:t>
            </w:r>
          </w:p>
        </w:tc>
      </w:tr>
      <w:tr w14:paraId="1FAEE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03" w:type="pct"/>
            <w:vMerge w:val="continue"/>
            <w:tcBorders>
              <w:top w:val="single" w:color="auto" w:sz="4" w:space="0"/>
              <w:left w:val="single" w:color="auto" w:sz="4" w:space="0"/>
              <w:bottom w:val="single" w:color="auto" w:sz="4" w:space="0"/>
              <w:right w:val="single" w:color="auto" w:sz="4" w:space="0"/>
            </w:tcBorders>
            <w:noWrap w:val="0"/>
            <w:vAlign w:val="center"/>
          </w:tcPr>
          <w:p w14:paraId="6736A15C">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8" w:type="pct"/>
            <w:vMerge w:val="continue"/>
            <w:tcBorders>
              <w:top w:val="single" w:color="auto" w:sz="4" w:space="0"/>
              <w:left w:val="single" w:color="auto" w:sz="4" w:space="0"/>
              <w:bottom w:val="single" w:color="auto" w:sz="4" w:space="0"/>
              <w:right w:val="single" w:color="auto" w:sz="4" w:space="0"/>
            </w:tcBorders>
            <w:noWrap w:val="0"/>
            <w:vAlign w:val="center"/>
          </w:tcPr>
          <w:p w14:paraId="1589DE28">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7" w:type="pct"/>
            <w:vMerge w:val="continue"/>
            <w:tcBorders>
              <w:top w:val="single" w:color="auto" w:sz="4" w:space="0"/>
              <w:left w:val="single" w:color="auto" w:sz="4" w:space="0"/>
              <w:bottom w:val="single" w:color="auto" w:sz="4" w:space="0"/>
              <w:right w:val="single" w:color="auto" w:sz="4" w:space="0"/>
            </w:tcBorders>
            <w:noWrap w:val="0"/>
            <w:vAlign w:val="center"/>
          </w:tcPr>
          <w:p w14:paraId="796E4CB6">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6" w:type="pct"/>
            <w:vMerge w:val="continue"/>
            <w:tcBorders>
              <w:top w:val="single" w:color="auto" w:sz="4" w:space="0"/>
              <w:left w:val="single" w:color="auto" w:sz="4" w:space="0"/>
              <w:bottom w:val="single" w:color="auto" w:sz="4" w:space="0"/>
              <w:right w:val="single" w:color="auto" w:sz="4" w:space="0"/>
            </w:tcBorders>
            <w:noWrap w:val="0"/>
            <w:vAlign w:val="center"/>
          </w:tcPr>
          <w:p w14:paraId="4682FE6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52" w:type="pct"/>
            <w:tcBorders>
              <w:top w:val="single" w:color="auto" w:sz="4" w:space="0"/>
              <w:left w:val="single" w:color="auto" w:sz="4" w:space="0"/>
              <w:bottom w:val="single" w:color="auto" w:sz="4" w:space="0"/>
              <w:right w:val="single" w:color="auto" w:sz="4" w:space="0"/>
            </w:tcBorders>
            <w:noWrap w:val="0"/>
            <w:vAlign w:val="center"/>
          </w:tcPr>
          <w:p w14:paraId="4F3D96E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服务对象满意度</w:t>
            </w:r>
          </w:p>
        </w:tc>
        <w:tc>
          <w:tcPr>
            <w:tcW w:w="210" w:type="pct"/>
            <w:tcBorders>
              <w:top w:val="single" w:color="auto" w:sz="4" w:space="0"/>
              <w:left w:val="single" w:color="auto" w:sz="4" w:space="0"/>
              <w:bottom w:val="single" w:color="auto" w:sz="4" w:space="0"/>
              <w:right w:val="single" w:color="auto" w:sz="4" w:space="0"/>
            </w:tcBorders>
            <w:noWrap w:val="0"/>
            <w:vAlign w:val="center"/>
          </w:tcPr>
          <w:p w14:paraId="25E6AD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1897DA1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受益干部满意度</w:t>
            </w:r>
          </w:p>
        </w:tc>
        <w:tc>
          <w:tcPr>
            <w:tcW w:w="336" w:type="pct"/>
            <w:tcBorders>
              <w:top w:val="single" w:color="auto" w:sz="4" w:space="0"/>
              <w:left w:val="single" w:color="auto" w:sz="4" w:space="0"/>
              <w:bottom w:val="single" w:color="auto" w:sz="4" w:space="0"/>
              <w:right w:val="single" w:color="auto" w:sz="4" w:space="0"/>
            </w:tcBorders>
            <w:noWrap w:val="0"/>
            <w:vAlign w:val="center"/>
          </w:tcPr>
          <w:p w14:paraId="4BCD41B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≥98%</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7975B8EA">
            <w:pPr>
              <w:keepNext w:val="0"/>
              <w:keepLines w:val="0"/>
              <w:pageBreakBefore w:val="0"/>
              <w:widowControl/>
              <w:suppressLineNumbers w:val="0"/>
              <w:kinsoku/>
              <w:wordWrap/>
              <w:overflowPunct/>
              <w:topLinePunct w:val="0"/>
              <w:autoSpaceDE/>
              <w:autoSpaceDN/>
              <w:bidi w:val="0"/>
              <w:adjustRightInd/>
              <w:snapToGrid/>
              <w:spacing w:line="240" w:lineRule="exact"/>
              <w:ind w:firstLine="420" w:firstLineChars="20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color w:val="auto"/>
                <w:kern w:val="0"/>
                <w:sz w:val="21"/>
                <w:szCs w:val="21"/>
                <w:highlight w:val="none"/>
                <w:u w:val="none"/>
                <w:lang w:val="en-US" w:eastAsia="zh-CN"/>
              </w:rPr>
              <w:t>根据问卷调查，满意度达到标杆值，得权重分的100%；否则低于95%，得分=实际满意度*指标分值。</w:t>
            </w:r>
          </w:p>
        </w:tc>
        <w:tc>
          <w:tcPr>
            <w:tcW w:w="282" w:type="pct"/>
            <w:tcBorders>
              <w:top w:val="single" w:color="auto" w:sz="4" w:space="0"/>
              <w:left w:val="single" w:color="auto" w:sz="4" w:space="0"/>
              <w:bottom w:val="single" w:color="auto" w:sz="4" w:space="0"/>
              <w:right w:val="single" w:color="auto" w:sz="4" w:space="0"/>
            </w:tcBorders>
            <w:noWrap w:val="0"/>
            <w:vAlign w:val="center"/>
          </w:tcPr>
          <w:p w14:paraId="767141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=98.33%</w:t>
            </w:r>
          </w:p>
        </w:tc>
        <w:tc>
          <w:tcPr>
            <w:tcW w:w="299" w:type="pct"/>
            <w:tcBorders>
              <w:top w:val="single" w:color="auto" w:sz="4" w:space="0"/>
              <w:left w:val="single" w:color="auto" w:sz="4" w:space="0"/>
              <w:bottom w:val="single" w:color="auto" w:sz="4" w:space="0"/>
              <w:right w:val="single" w:color="auto" w:sz="4" w:space="0"/>
            </w:tcBorders>
            <w:noWrap w:val="0"/>
            <w:vAlign w:val="center"/>
          </w:tcPr>
          <w:p w14:paraId="0459CC0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w:t>
            </w:r>
          </w:p>
        </w:tc>
      </w:tr>
      <w:tr w14:paraId="1DD55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303" w:type="pct"/>
            <w:tcBorders>
              <w:top w:val="single" w:color="auto" w:sz="4" w:space="0"/>
              <w:left w:val="single" w:color="auto" w:sz="4" w:space="0"/>
              <w:bottom w:val="single" w:color="auto" w:sz="4" w:space="0"/>
              <w:right w:val="single" w:color="auto" w:sz="4" w:space="0"/>
            </w:tcBorders>
            <w:noWrap w:val="0"/>
            <w:vAlign w:val="center"/>
          </w:tcPr>
          <w:p w14:paraId="1F9F5F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总分</w:t>
            </w:r>
          </w:p>
        </w:tc>
        <w:tc>
          <w:tcPr>
            <w:tcW w:w="218" w:type="pct"/>
            <w:tcBorders>
              <w:top w:val="single" w:color="auto" w:sz="4" w:space="0"/>
              <w:left w:val="single" w:color="auto" w:sz="4" w:space="0"/>
              <w:bottom w:val="single" w:color="auto" w:sz="4" w:space="0"/>
              <w:right w:val="single" w:color="auto" w:sz="4" w:space="0"/>
            </w:tcBorders>
            <w:noWrap w:val="0"/>
            <w:vAlign w:val="center"/>
          </w:tcPr>
          <w:p w14:paraId="185130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257" w:type="pct"/>
            <w:tcBorders>
              <w:top w:val="single" w:color="auto" w:sz="4" w:space="0"/>
              <w:left w:val="single" w:color="auto" w:sz="4" w:space="0"/>
              <w:bottom w:val="single" w:color="auto" w:sz="4" w:space="0"/>
              <w:right w:val="single" w:color="auto" w:sz="4" w:space="0"/>
            </w:tcBorders>
            <w:noWrap w:val="0"/>
            <w:vAlign w:val="center"/>
          </w:tcPr>
          <w:p w14:paraId="70BA1F6D">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6" w:type="pct"/>
            <w:tcBorders>
              <w:top w:val="single" w:color="auto" w:sz="4" w:space="0"/>
              <w:left w:val="single" w:color="auto" w:sz="4" w:space="0"/>
              <w:bottom w:val="single" w:color="auto" w:sz="4" w:space="0"/>
              <w:right w:val="single" w:color="auto" w:sz="4" w:space="0"/>
            </w:tcBorders>
            <w:noWrap w:val="0"/>
            <w:vAlign w:val="center"/>
          </w:tcPr>
          <w:p w14:paraId="6D764B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252" w:type="pct"/>
            <w:tcBorders>
              <w:top w:val="single" w:color="auto" w:sz="4" w:space="0"/>
              <w:left w:val="single" w:color="auto" w:sz="4" w:space="0"/>
              <w:bottom w:val="single" w:color="auto" w:sz="4" w:space="0"/>
              <w:right w:val="single" w:color="auto" w:sz="4" w:space="0"/>
            </w:tcBorders>
            <w:noWrap w:val="0"/>
            <w:vAlign w:val="center"/>
          </w:tcPr>
          <w:p w14:paraId="384A1434">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10" w:type="pct"/>
            <w:tcBorders>
              <w:top w:val="single" w:color="auto" w:sz="4" w:space="0"/>
              <w:left w:val="single" w:color="auto" w:sz="4" w:space="0"/>
              <w:bottom w:val="single" w:color="auto" w:sz="4" w:space="0"/>
              <w:right w:val="single" w:color="auto" w:sz="4" w:space="0"/>
            </w:tcBorders>
            <w:noWrap w:val="0"/>
            <w:vAlign w:val="center"/>
          </w:tcPr>
          <w:p w14:paraId="4B36CB1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100</w:t>
            </w:r>
          </w:p>
        </w:tc>
        <w:tc>
          <w:tcPr>
            <w:tcW w:w="918" w:type="pct"/>
            <w:tcBorders>
              <w:top w:val="single" w:color="auto" w:sz="4" w:space="0"/>
              <w:left w:val="single" w:color="auto" w:sz="4" w:space="0"/>
              <w:bottom w:val="single" w:color="auto" w:sz="4" w:space="0"/>
              <w:right w:val="single" w:color="auto" w:sz="4" w:space="0"/>
            </w:tcBorders>
            <w:noWrap w:val="0"/>
            <w:vAlign w:val="center"/>
          </w:tcPr>
          <w:p w14:paraId="52DDA170">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336" w:type="pct"/>
            <w:tcBorders>
              <w:top w:val="single" w:color="auto" w:sz="4" w:space="0"/>
              <w:left w:val="single" w:color="auto" w:sz="4" w:space="0"/>
              <w:bottom w:val="single" w:color="auto" w:sz="4" w:space="0"/>
              <w:right w:val="single" w:color="auto" w:sz="4" w:space="0"/>
            </w:tcBorders>
            <w:noWrap w:val="0"/>
            <w:vAlign w:val="center"/>
          </w:tcPr>
          <w:p w14:paraId="6DF772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w:t>
            </w:r>
          </w:p>
        </w:tc>
        <w:tc>
          <w:tcPr>
            <w:tcW w:w="1704" w:type="pct"/>
            <w:tcBorders>
              <w:top w:val="single" w:color="auto" w:sz="4" w:space="0"/>
              <w:left w:val="single" w:color="auto" w:sz="4" w:space="0"/>
              <w:bottom w:val="single" w:color="auto" w:sz="4" w:space="0"/>
              <w:right w:val="single" w:color="auto" w:sz="4" w:space="0"/>
            </w:tcBorders>
            <w:noWrap w:val="0"/>
            <w:vAlign w:val="center"/>
          </w:tcPr>
          <w:p w14:paraId="5A9EF9CE">
            <w:pPr>
              <w:keepNext w:val="0"/>
              <w:keepLines w:val="0"/>
              <w:pageBreakBefore w:val="0"/>
              <w:widowControl/>
              <w:kinsoku/>
              <w:wordWrap/>
              <w:overflowPunct/>
              <w:topLinePunct w:val="0"/>
              <w:autoSpaceDE/>
              <w:autoSpaceDN/>
              <w:bidi w:val="0"/>
              <w:adjustRightInd/>
              <w:snapToGrid/>
              <w:spacing w:line="240" w:lineRule="exact"/>
              <w:ind w:firstLine="0" w:firstLineChars="0"/>
              <w:jc w:val="left"/>
              <w:rPr>
                <w:rFonts w:hint="eastAsia" w:ascii="宋体" w:hAnsi="宋体" w:eastAsia="宋体" w:cs="宋体"/>
                <w:i w:val="0"/>
                <w:iCs w:val="0"/>
                <w:color w:val="auto"/>
                <w:sz w:val="21"/>
                <w:szCs w:val="21"/>
                <w:highlight w:val="none"/>
                <w:u w:val="none"/>
              </w:rPr>
            </w:pPr>
          </w:p>
        </w:tc>
        <w:tc>
          <w:tcPr>
            <w:tcW w:w="282" w:type="pct"/>
            <w:tcBorders>
              <w:top w:val="single" w:color="auto" w:sz="4" w:space="0"/>
              <w:left w:val="single" w:color="auto" w:sz="4" w:space="0"/>
              <w:bottom w:val="single" w:color="auto" w:sz="4" w:space="0"/>
              <w:right w:val="single" w:color="auto" w:sz="4" w:space="0"/>
            </w:tcBorders>
            <w:noWrap w:val="0"/>
            <w:vAlign w:val="center"/>
          </w:tcPr>
          <w:p w14:paraId="02F76F37">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eastAsia" w:ascii="宋体" w:hAnsi="宋体" w:eastAsia="宋体" w:cs="宋体"/>
                <w:i w:val="0"/>
                <w:iCs w:val="0"/>
                <w:color w:val="auto"/>
                <w:sz w:val="21"/>
                <w:szCs w:val="21"/>
                <w:highlight w:val="none"/>
                <w:u w:val="none"/>
              </w:rPr>
            </w:pPr>
          </w:p>
        </w:tc>
        <w:tc>
          <w:tcPr>
            <w:tcW w:w="299" w:type="pct"/>
            <w:tcBorders>
              <w:top w:val="single" w:color="auto" w:sz="4" w:space="0"/>
              <w:left w:val="single" w:color="auto" w:sz="4" w:space="0"/>
              <w:bottom w:val="single" w:color="auto" w:sz="4" w:space="0"/>
              <w:right w:val="single" w:color="auto" w:sz="4" w:space="0"/>
            </w:tcBorders>
            <w:noWrap w:val="0"/>
            <w:vAlign w:val="center"/>
          </w:tcPr>
          <w:p w14:paraId="463E986B">
            <w:pPr>
              <w:keepNext w:val="0"/>
              <w:keepLines w:val="0"/>
              <w:pageBreakBefore w:val="0"/>
              <w:widowControl/>
              <w:kinsoku/>
              <w:wordWrap/>
              <w:overflowPunct/>
              <w:topLinePunct w:val="0"/>
              <w:autoSpaceDE/>
              <w:autoSpaceDN/>
              <w:bidi w:val="0"/>
              <w:adjustRightInd/>
              <w:snapToGrid/>
              <w:spacing w:line="240" w:lineRule="exact"/>
              <w:ind w:firstLine="0" w:firstLineChars="0"/>
              <w:jc w:val="center"/>
              <w:rPr>
                <w:rFonts w:hint="default" w:ascii="宋体" w:hAnsi="宋体" w:eastAsia="宋体" w:cs="宋体"/>
                <w:i w:val="0"/>
                <w:iCs w:val="0"/>
                <w:color w:val="auto"/>
                <w:sz w:val="21"/>
                <w:szCs w:val="21"/>
                <w:highlight w:val="none"/>
                <w:u w:val="none"/>
                <w:lang w:val="en-US" w:eastAsia="zh-CN"/>
              </w:rPr>
            </w:pPr>
            <w:r>
              <w:rPr>
                <w:rFonts w:hint="eastAsia" w:ascii="宋体" w:hAnsi="宋体" w:eastAsia="宋体" w:cs="宋体"/>
                <w:i w:val="0"/>
                <w:iCs w:val="0"/>
                <w:color w:val="auto"/>
                <w:sz w:val="21"/>
                <w:szCs w:val="21"/>
                <w:highlight w:val="none"/>
                <w:u w:val="none"/>
                <w:lang w:val="en-US" w:eastAsia="zh-CN"/>
              </w:rPr>
              <w:t>99.69</w:t>
            </w:r>
          </w:p>
        </w:tc>
      </w:tr>
    </w:tbl>
    <w:p w14:paraId="214D0E94">
      <w:pPr>
        <w:pStyle w:val="10"/>
        <w:ind w:left="0" w:leftChars="0" w:firstLine="0" w:firstLineChars="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附件2：</w:t>
      </w:r>
    </w:p>
    <w:tbl>
      <w:tblPr>
        <w:tblStyle w:val="23"/>
        <w:tblW w:w="1302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3449"/>
        <w:gridCol w:w="1331"/>
      </w:tblGrid>
      <w:tr w14:paraId="0C159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16E3AFF5">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32"/>
                <w:szCs w:val="32"/>
                <w:u w:val="none"/>
              </w:rPr>
            </w:pPr>
            <w:r>
              <w:rPr>
                <w:rFonts w:hint="eastAsia" w:ascii="宋体" w:hAnsi="宋体" w:eastAsia="宋体" w:cs="宋体"/>
                <w:b/>
                <w:bCs/>
                <w:i w:val="0"/>
                <w:iCs w:val="0"/>
                <w:color w:val="auto"/>
                <w:kern w:val="0"/>
                <w:sz w:val="36"/>
                <w:szCs w:val="36"/>
                <w:u w:val="none"/>
                <w:lang w:val="en-US" w:eastAsia="zh-CN"/>
              </w:rPr>
              <w:t>乌昌工作站干部生活补助项目综合得分表</w:t>
            </w:r>
          </w:p>
        </w:tc>
      </w:tr>
      <w:tr w14:paraId="44897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7800AA9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指标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6EC872B5">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项目决策</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246BE6D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项目过程</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46D03A0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项目产出</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74E85F2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项目效益</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59A36509">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合计</w:t>
            </w:r>
          </w:p>
        </w:tc>
      </w:tr>
      <w:tr w14:paraId="02199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60F8BA2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1507B6C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20.00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7055A25C">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15.00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591620E4">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 xml:space="preserve">45.00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05394DD1">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 xml:space="preserve">20.00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7C7B6CB0">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100.00</w:t>
            </w:r>
          </w:p>
        </w:tc>
      </w:tr>
      <w:tr w14:paraId="7A79E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794371A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得分</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4A38E69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20.00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6A53F1D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14.69</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291858D2">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 xml:space="preserve">45.00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1303D52A">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 xml:space="preserve">20.00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1C47EBCB">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99.69</w:t>
            </w:r>
          </w:p>
        </w:tc>
      </w:tr>
      <w:tr w14:paraId="1C9FE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0739A89E">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auto"/>
                <w:kern w:val="0"/>
                <w:sz w:val="24"/>
                <w:szCs w:val="24"/>
                <w:u w:val="none"/>
                <w:lang w:val="en-US" w:eastAsia="zh-CN"/>
              </w:rPr>
            </w:pPr>
            <w:r>
              <w:rPr>
                <w:rFonts w:hint="eastAsia" w:ascii="宋体" w:hAnsi="宋体" w:eastAsia="宋体" w:cs="宋体"/>
                <w:b/>
                <w:bCs/>
                <w:i w:val="0"/>
                <w:iCs w:val="0"/>
                <w:color w:val="auto"/>
                <w:kern w:val="0"/>
                <w:sz w:val="24"/>
                <w:szCs w:val="24"/>
                <w:u w:val="none"/>
                <w:lang w:val="en-US" w:eastAsia="zh-CN"/>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65CF2C6">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100%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08E09F8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97.93%</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5375C993">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100%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58325B37">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100%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6372FED">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val="0"/>
                <w:bCs w:val="0"/>
                <w:i w:val="0"/>
                <w:iCs w:val="0"/>
                <w:color w:val="auto"/>
                <w:kern w:val="0"/>
                <w:sz w:val="24"/>
                <w:szCs w:val="24"/>
                <w:u w:val="none"/>
                <w:lang w:val="en-US" w:eastAsia="zh-CN"/>
              </w:rPr>
            </w:pPr>
            <w:r>
              <w:rPr>
                <w:rFonts w:hint="eastAsia" w:ascii="宋体" w:hAnsi="宋体" w:eastAsia="宋体" w:cs="宋体"/>
                <w:b w:val="0"/>
                <w:bCs w:val="0"/>
                <w:i w:val="0"/>
                <w:iCs w:val="0"/>
                <w:color w:val="auto"/>
                <w:kern w:val="0"/>
                <w:sz w:val="24"/>
                <w:szCs w:val="24"/>
                <w:u w:val="none"/>
                <w:lang w:val="en-US" w:eastAsia="zh-CN"/>
              </w:rPr>
              <w:t>99.69%</w:t>
            </w:r>
          </w:p>
        </w:tc>
      </w:tr>
    </w:tbl>
    <w:p w14:paraId="5762CB7C">
      <w:pPr>
        <w:pStyle w:val="10"/>
        <w:ind w:left="0" w:leftChars="0" w:firstLine="0" w:firstLineChars="0"/>
        <w:jc w:val="both"/>
        <w:rPr>
          <w:rFonts w:hint="eastAsia" w:ascii="仿宋_GB2312" w:hAnsi="仿宋_GB2312" w:eastAsia="仿宋_GB2312" w:cs="仿宋_GB2312"/>
          <w:color w:val="auto"/>
          <w:sz w:val="32"/>
          <w:szCs w:val="32"/>
          <w:lang w:val="en-US" w:eastAsia="zh-CN"/>
        </w:rPr>
      </w:pPr>
    </w:p>
    <w:p w14:paraId="757D8838">
      <w:pPr>
        <w:pStyle w:val="10"/>
        <w:ind w:left="0" w:leftChars="0" w:firstLine="0" w:firstLineChars="0"/>
        <w:jc w:val="both"/>
        <w:rPr>
          <w:rFonts w:hint="eastAsia" w:ascii="仿宋_GB2312" w:hAnsi="仿宋_GB2312" w:eastAsia="仿宋_GB2312" w:cs="仿宋_GB2312"/>
          <w:color w:val="auto"/>
          <w:sz w:val="32"/>
          <w:szCs w:val="32"/>
          <w:lang w:eastAsia="zh-CN"/>
        </w:rPr>
        <w:sectPr>
          <w:pgSz w:w="16838" w:h="11906" w:orient="landscape"/>
          <w:pgMar w:top="1531" w:right="1985" w:bottom="1531" w:left="1701" w:header="851" w:footer="992" w:gutter="0"/>
          <w:pgNumType w:start="1"/>
          <w:cols w:space="720" w:num="1"/>
          <w:docGrid w:type="linesAndChars" w:linePitch="386" w:charSpace="0"/>
        </w:sectPr>
      </w:pPr>
    </w:p>
    <w:p w14:paraId="7D46643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附件3：</w:t>
      </w:r>
    </w:p>
    <w:p w14:paraId="7EB62449">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乌昌工作站干部生活补助项目满意度调查问卷分析报告</w:t>
      </w:r>
    </w:p>
    <w:p w14:paraId="74CB9E7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36FA192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为客观评价该项目的社会效果，了解</w:t>
      </w:r>
      <w:r>
        <w:rPr>
          <w:rFonts w:hint="eastAsia" w:ascii="宋体" w:hAnsi="宋体" w:eastAsia="宋体" w:cs="宋体"/>
          <w:color w:val="auto"/>
          <w:sz w:val="24"/>
          <w:szCs w:val="24"/>
          <w:highlight w:val="none"/>
          <w:lang w:val="en-US" w:eastAsia="zh-CN"/>
        </w:rPr>
        <w:t>项目受益群体</w:t>
      </w:r>
      <w:r>
        <w:rPr>
          <w:rFonts w:hint="eastAsia" w:ascii="宋体" w:hAnsi="宋体" w:eastAsia="宋体" w:cs="宋体"/>
          <w:color w:val="auto"/>
          <w:sz w:val="24"/>
          <w:szCs w:val="24"/>
          <w:highlight w:val="none"/>
        </w:rPr>
        <w:t>对项目</w:t>
      </w:r>
      <w:r>
        <w:rPr>
          <w:rFonts w:hint="eastAsia" w:ascii="宋体" w:hAnsi="宋体" w:eastAsia="宋体" w:cs="宋体"/>
          <w:color w:val="auto"/>
          <w:sz w:val="24"/>
          <w:szCs w:val="24"/>
          <w:highlight w:val="none"/>
          <w:lang w:val="en-US" w:eastAsia="zh-CN"/>
        </w:rPr>
        <w:t>实施后</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val="en-US" w:eastAsia="zh-CN"/>
        </w:rPr>
        <w:t>真实</w:t>
      </w:r>
      <w:r>
        <w:rPr>
          <w:rFonts w:hint="eastAsia" w:ascii="宋体" w:hAnsi="宋体" w:eastAsia="宋体" w:cs="宋体"/>
          <w:color w:val="auto"/>
          <w:sz w:val="24"/>
          <w:szCs w:val="24"/>
          <w:highlight w:val="none"/>
        </w:rPr>
        <w:t>评价情况，对本项目</w:t>
      </w:r>
      <w:r>
        <w:rPr>
          <w:rFonts w:hint="eastAsia" w:ascii="宋体" w:hAnsi="宋体" w:eastAsia="宋体" w:cs="宋体"/>
          <w:color w:val="auto"/>
          <w:sz w:val="24"/>
          <w:szCs w:val="24"/>
          <w:highlight w:val="none"/>
          <w:lang w:eastAsia="zh-CN"/>
        </w:rPr>
        <w:t>开展</w:t>
      </w:r>
      <w:r>
        <w:rPr>
          <w:rFonts w:hint="eastAsia" w:ascii="宋体" w:hAnsi="宋体" w:eastAsia="宋体" w:cs="宋体"/>
          <w:color w:val="auto"/>
          <w:sz w:val="24"/>
          <w:szCs w:val="24"/>
          <w:highlight w:val="none"/>
        </w:rPr>
        <w:t>满意度问卷调查。问卷调查工作情况如下。问卷调查工作情况如下：</w:t>
      </w:r>
    </w:p>
    <w:p w14:paraId="5888A8B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一、该问卷调查从2025年2月20日开始至2025年2月28日结束，调查问卷共设置3道题目。</w:t>
      </w:r>
    </w:p>
    <w:p w14:paraId="0EC7088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1.调查对象:本次调查的受益对象为乌昌工作站干部。</w:t>
      </w:r>
    </w:p>
    <w:p w14:paraId="31307AD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2.调查内容</w:t>
      </w:r>
    </w:p>
    <w:p w14:paraId="7C04F7D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①您对乌昌工作站干部生活补助项目的生活补助是否满意?</w:t>
      </w:r>
    </w:p>
    <w:p w14:paraId="58287D0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②您对乌昌工作站干部生活补助项目的资金发放速度是否满意？</w:t>
      </w:r>
    </w:p>
    <w:p w14:paraId="673D264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③总的来说，您对目前乌昌工作站干部生活补助项目实施后的整体满意程度如何？</w:t>
      </w:r>
    </w:p>
    <w:p w14:paraId="7DAECD0A">
      <w:pPr>
        <w:pStyle w:val="10"/>
        <w:keepNext w:val="0"/>
        <w:keepLines w:val="0"/>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3.调查方法</w:t>
      </w:r>
    </w:p>
    <w:p w14:paraId="6AE7548D">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问卷调查采取</w:t>
      </w:r>
      <w:r>
        <w:rPr>
          <w:rFonts w:hint="eastAsia" w:ascii="宋体" w:hAnsi="宋体" w:eastAsia="宋体" w:cs="宋体"/>
          <w:color w:val="auto"/>
          <w:sz w:val="24"/>
          <w:szCs w:val="24"/>
          <w:highlight w:val="none"/>
          <w:lang w:val="en-US" w:eastAsia="zh-CN"/>
        </w:rPr>
        <w:t>分层</w:t>
      </w:r>
      <w:r>
        <w:rPr>
          <w:rFonts w:hint="eastAsia" w:ascii="宋体" w:hAnsi="宋体" w:eastAsia="宋体" w:cs="宋体"/>
          <w:color w:val="auto"/>
          <w:sz w:val="24"/>
          <w:szCs w:val="24"/>
          <w:highlight w:val="none"/>
        </w:rPr>
        <w:t>抽样和</w:t>
      </w:r>
      <w:r>
        <w:rPr>
          <w:rFonts w:hint="eastAsia" w:ascii="宋体" w:hAnsi="宋体" w:eastAsia="宋体" w:cs="宋体"/>
          <w:color w:val="auto"/>
          <w:sz w:val="24"/>
          <w:szCs w:val="24"/>
          <w:highlight w:val="none"/>
          <w:lang w:val="en-US" w:eastAsia="zh-CN"/>
        </w:rPr>
        <w:t>随机抽样相结合</w:t>
      </w:r>
      <w:r>
        <w:rPr>
          <w:rFonts w:hint="eastAsia" w:ascii="宋体" w:hAnsi="宋体" w:eastAsia="宋体" w:cs="宋体"/>
          <w:color w:val="auto"/>
          <w:sz w:val="24"/>
          <w:szCs w:val="24"/>
          <w:highlight w:val="none"/>
        </w:rPr>
        <w:t>的方式进行。在全面</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开展之前会先进行论证，依据论证结果对问卷和抽样方案再进行一次修改和调整</w:t>
      </w:r>
      <w:r>
        <w:rPr>
          <w:rFonts w:hint="eastAsia" w:ascii="宋体" w:hAnsi="宋体" w:eastAsia="宋体" w:cs="宋体"/>
          <w:color w:val="auto"/>
          <w:sz w:val="24"/>
          <w:szCs w:val="24"/>
          <w:highlight w:val="none"/>
          <w:lang w:val="en-US" w:eastAsia="zh-CN"/>
        </w:rPr>
        <w:t>之后再付诸实施</w:t>
      </w:r>
      <w:r>
        <w:rPr>
          <w:rFonts w:hint="eastAsia" w:ascii="宋体" w:hAnsi="宋体" w:eastAsia="宋体" w:cs="宋体"/>
          <w:color w:val="auto"/>
          <w:sz w:val="24"/>
          <w:szCs w:val="24"/>
          <w:highlight w:val="none"/>
        </w:rPr>
        <w:t>。</w:t>
      </w:r>
    </w:p>
    <w:p w14:paraId="4C719859">
      <w:pPr>
        <w:pStyle w:val="10"/>
        <w:keepNext w:val="0"/>
        <w:keepLines w:val="0"/>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4.抽样方式</w:t>
      </w:r>
    </w:p>
    <w:p w14:paraId="72933704">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为确保问卷</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的全面性和代表性，本次</w:t>
      </w:r>
      <w:r>
        <w:rPr>
          <w:rFonts w:hint="eastAsia" w:ascii="宋体" w:hAnsi="宋体" w:eastAsia="宋体" w:cs="宋体"/>
          <w:color w:val="auto"/>
          <w:sz w:val="24"/>
          <w:szCs w:val="24"/>
          <w:highlight w:val="none"/>
          <w:lang w:eastAsia="zh-CN"/>
        </w:rPr>
        <w:t>调查</w:t>
      </w:r>
      <w:r>
        <w:rPr>
          <w:rFonts w:hint="eastAsia" w:ascii="宋体" w:hAnsi="宋体" w:eastAsia="宋体" w:cs="宋体"/>
          <w:color w:val="auto"/>
          <w:sz w:val="24"/>
          <w:szCs w:val="24"/>
          <w:highlight w:val="none"/>
        </w:rPr>
        <w:t>问卷调查采取</w:t>
      </w:r>
      <w:r>
        <w:rPr>
          <w:rFonts w:hint="eastAsia" w:ascii="宋体" w:hAnsi="宋体" w:eastAsia="宋体" w:cs="宋体"/>
          <w:color w:val="auto"/>
          <w:sz w:val="24"/>
          <w:szCs w:val="24"/>
          <w:highlight w:val="none"/>
          <w:lang w:val="en-US" w:eastAsia="zh-CN"/>
        </w:rPr>
        <w:t>随机</w:t>
      </w:r>
      <w:r>
        <w:rPr>
          <w:rFonts w:hint="eastAsia" w:ascii="宋体" w:hAnsi="宋体" w:eastAsia="宋体" w:cs="宋体"/>
          <w:color w:val="auto"/>
          <w:sz w:val="24"/>
          <w:szCs w:val="24"/>
          <w:highlight w:val="none"/>
        </w:rPr>
        <w:t>抽样和</w:t>
      </w:r>
      <w:r>
        <w:rPr>
          <w:rFonts w:hint="eastAsia" w:ascii="宋体" w:hAnsi="宋体" w:eastAsia="宋体" w:cs="宋体"/>
          <w:color w:val="auto"/>
          <w:sz w:val="24"/>
          <w:szCs w:val="24"/>
          <w:highlight w:val="none"/>
          <w:lang w:val="en-US" w:eastAsia="zh-CN"/>
        </w:rPr>
        <w:t>分层抽样相结合</w:t>
      </w:r>
      <w:r>
        <w:rPr>
          <w:rFonts w:hint="eastAsia" w:ascii="宋体" w:hAnsi="宋体" w:eastAsia="宋体" w:cs="宋体"/>
          <w:color w:val="auto"/>
          <w:sz w:val="24"/>
          <w:szCs w:val="24"/>
          <w:highlight w:val="none"/>
        </w:rPr>
        <w:t>方式进行。</w:t>
      </w:r>
    </w:p>
    <w:p w14:paraId="3FA6FA06">
      <w:pPr>
        <w:pStyle w:val="10"/>
        <w:keepNext w:val="0"/>
        <w:keepLines w:val="0"/>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5.问卷的发放和回收</w:t>
      </w:r>
    </w:p>
    <w:p w14:paraId="4A0FB25E">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为了给调查对象营造良好的作答环境，保证调查的科学性和严谨性，由我单位工作人员在线下发放问卷，邀请相应的调查对象填写问卷。到目前为止共回收问卷13份，其中有效问卷13份，有效问卷回收率为100%。</w:t>
      </w:r>
    </w:p>
    <w:p w14:paraId="72994A51">
      <w:pPr>
        <w:pStyle w:val="10"/>
        <w:keepNext w:val="0"/>
        <w:keepLines w:val="0"/>
        <w:pageBreakBefore w:val="0"/>
        <w:widowControl w:val="0"/>
        <w:kinsoku/>
        <w:wordWrap/>
        <w:overflowPunct/>
        <w:topLinePunct w:val="0"/>
        <w:autoSpaceDE/>
        <w:autoSpaceDN/>
        <w:bidi w:val="0"/>
        <w:adjustRightInd/>
        <w:snapToGrid/>
        <w:spacing w:before="0" w:after="0" w:line="360" w:lineRule="auto"/>
        <w:ind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6.问卷调查分析结果</w:t>
      </w:r>
    </w:p>
    <w:p w14:paraId="7A0C5562">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本次调查过程中，评价小组实际发放问卷13份，回收问卷13份，问卷回收率为100.00%，有效问卷13份，有效回收率100.00%，本次调查的整体情况如下：</w:t>
      </w:r>
    </w:p>
    <w:p w14:paraId="7BBCDC16">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第一个问题：该项统计有效问卷数量13份，选择非常满意的人数为12人。选择比较满意的人数为1人，选择一般的人数0人，选择不满意的人数0人，选择非常不满意的人数0人。</w:t>
      </w:r>
    </w:p>
    <w:p w14:paraId="23EEB969">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第二个问题：该项统计有效问卷数量13份，选择非常满意的人数为13人。选择比较满意的人数为0人，选择一般的人数0人，选择不满意的人数0人，选择非常不满意的人数0人。</w:t>
      </w:r>
    </w:p>
    <w:p w14:paraId="0C29400D">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第三个问题：该项统计有效问卷数量13份，选择非常满意的人数为12人。选择比较满意的人数为1人，选择一般的人数0人，选择不满意的人数0人，选择非常不满意的人数0人。</w:t>
      </w:r>
    </w:p>
    <w:p w14:paraId="288F5AE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二、调查结果统计</w:t>
      </w:r>
    </w:p>
    <w:p w14:paraId="4EFF31CC">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乌昌工作站干部生活补助项目针对受益人员发放30份调查问卷，最终统计受益人群满意度为98.33%。</w:t>
      </w:r>
    </w:p>
    <w:p w14:paraId="0179A7AC">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both"/>
        <w:textAlignment w:val="auto"/>
        <w:rPr>
          <w:rFonts w:hint="eastAsia" w:ascii="宋体" w:hAnsi="宋体" w:eastAsia="宋体" w:cs="宋体"/>
          <w:color w:val="auto"/>
          <w:sz w:val="24"/>
          <w:szCs w:val="24"/>
          <w:highlight w:val="none"/>
          <w:lang w:val="en-US" w:eastAsia="zh-CN"/>
        </w:rPr>
      </w:pPr>
    </w:p>
    <w:p w14:paraId="3A98C65F">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中共洛浦县委政法委员会</w:t>
      </w:r>
    </w:p>
    <w:p w14:paraId="2A8D6650">
      <w:pPr>
        <w:keepNext w:val="0"/>
        <w:keepLines w:val="0"/>
        <w:pageBreakBefore w:val="0"/>
        <w:widowControl w:val="0"/>
        <w:kinsoku/>
        <w:wordWrap/>
        <w:overflowPunct/>
        <w:topLinePunct w:val="0"/>
        <w:autoSpaceDE/>
        <w:autoSpaceDN/>
        <w:bidi w:val="0"/>
        <w:adjustRightInd/>
        <w:snapToGrid/>
        <w:spacing w:line="360" w:lineRule="auto"/>
        <w:ind w:leftChars="0" w:firstLine="480" w:firstLineChars="20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2025年2月24日</w:t>
      </w:r>
    </w:p>
    <w:p w14:paraId="6D152C6A">
      <w:pPr>
        <w:pStyle w:val="10"/>
        <w:rPr>
          <w:rFonts w:hint="eastAsia" w:ascii="仿宋_GB2312" w:hAnsi="仿宋_GB2312" w:eastAsia="仿宋_GB2312" w:cs="仿宋_GB2312"/>
          <w:color w:val="auto"/>
          <w:sz w:val="32"/>
          <w:szCs w:val="32"/>
          <w:lang w:eastAsia="zh-CN"/>
        </w:rPr>
      </w:pP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K">
    <w:panose1 w:val="02000000000000000000"/>
    <w:charset w:val="86"/>
    <w:family w:val="script"/>
    <w:pitch w:val="default"/>
    <w:sig w:usb0="A00002BF" w:usb1="38CF7CFA"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90354">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07A06">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6"/>
      <w:numFmt w:val="decimal"/>
      <w:suff w:val="nothing"/>
      <w:lvlText w:val="（%1）"/>
      <w:lvlJc w:val="left"/>
    </w:lvl>
  </w:abstractNum>
  <w:abstractNum w:abstractNumId="1">
    <w:nsid w:val="BF205925"/>
    <w:multiLevelType w:val="singleLevel"/>
    <w:tmpl w:val="BF205925"/>
    <w:lvl w:ilvl="0" w:tentative="0">
      <w:start w:val="1"/>
      <w:numFmt w:val="decimal"/>
      <w:suff w:val="nothing"/>
      <w:lvlText w:val="（%1）"/>
      <w:lvlJc w:val="left"/>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1"/>
      <w:numFmt w:val="decimal"/>
      <w:suff w:val="nothing"/>
      <w:lvlText w:val="（%1）"/>
      <w:lvlJc w:val="left"/>
    </w:lvl>
  </w:abstractNum>
  <w:abstractNum w:abstractNumId="5">
    <w:nsid w:val="59ADCABA"/>
    <w:multiLevelType w:val="singleLevel"/>
    <w:tmpl w:val="59ADCABA"/>
    <w:lvl w:ilvl="0" w:tentative="0">
      <w:start w:val="1"/>
      <w:numFmt w:val="decimal"/>
      <w:suff w:val="nothing"/>
      <w:lvlText w:val="%1）"/>
      <w:lvlJc w:val="left"/>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zIzNjhjZjkxMjg2OGJjOTQ0NThhNzBhOGI4YTVmYWYifQ=="/>
  </w:docVars>
  <w:rsids>
    <w:rsidRoot w:val="00000000"/>
    <w:rsid w:val="428B3682"/>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link w:val="3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3"/>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4"/>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5"/>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5">
    <w:name w:val="Default Paragraph Font"/>
    <w:unhideWhenUsed/>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31"/>
    <w:unhideWhenUsed/>
    <w:qFormat/>
    <w:uiPriority w:val="0"/>
    <w:pPr>
      <w:ind w:firstLine="420"/>
    </w:pPr>
  </w:style>
  <w:style w:type="paragraph" w:styleId="3">
    <w:name w:val="Body Text Indent"/>
    <w:basedOn w:val="1"/>
    <w:link w:val="30"/>
    <w:unhideWhenUsed/>
    <w:qFormat/>
    <w:uiPriority w:val="99"/>
    <w:pPr>
      <w:spacing w:after="120"/>
      <w:ind w:left="420" w:leftChars="200"/>
    </w:pPr>
    <w:rPr>
      <w:rFonts w:cs="Times New Roman"/>
      <w:kern w:val="0"/>
      <w:szCs w:val="20"/>
    </w:rPr>
  </w:style>
  <w:style w:type="paragraph" w:styleId="8">
    <w:name w:val="toc 7"/>
    <w:basedOn w:val="1"/>
    <w:next w:val="1"/>
    <w:unhideWhenUsed/>
    <w:qFormat/>
    <w:uiPriority w:val="39"/>
    <w:pPr>
      <w:ind w:left="1680"/>
      <w:jc w:val="left"/>
    </w:pPr>
    <w:rPr>
      <w:rFonts w:ascii="Calibri" w:hAnsi="Calibri" w:cs="Calibri"/>
      <w:sz w:val="18"/>
      <w:szCs w:val="18"/>
    </w:rPr>
  </w:style>
  <w:style w:type="paragraph" w:styleId="9">
    <w:name w:val="Document Map"/>
    <w:basedOn w:val="1"/>
    <w:link w:val="36"/>
    <w:unhideWhenUsed/>
    <w:qFormat/>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qFormat/>
    <w:uiPriority w:val="39"/>
    <w:pPr>
      <w:ind w:left="1120"/>
      <w:jc w:val="left"/>
    </w:pPr>
    <w:rPr>
      <w:rFonts w:ascii="Calibri" w:hAnsi="Calibri" w:cs="Calibri"/>
      <w:sz w:val="18"/>
      <w:szCs w:val="18"/>
    </w:rPr>
  </w:style>
  <w:style w:type="paragraph" w:styleId="12">
    <w:name w:val="toc 3"/>
    <w:basedOn w:val="1"/>
    <w:next w:val="1"/>
    <w:unhideWhenUsed/>
    <w:qFormat/>
    <w:uiPriority w:val="39"/>
    <w:pPr>
      <w:ind w:left="560"/>
      <w:jc w:val="left"/>
    </w:pPr>
    <w:rPr>
      <w:rFonts w:ascii="Calibri" w:hAnsi="Calibri" w:cs="Calibri"/>
      <w:i/>
      <w:iCs/>
      <w:sz w:val="20"/>
      <w:szCs w:val="20"/>
    </w:rPr>
  </w:style>
  <w:style w:type="paragraph" w:styleId="13">
    <w:name w:val="toc 8"/>
    <w:basedOn w:val="1"/>
    <w:next w:val="1"/>
    <w:unhideWhenUsed/>
    <w:qFormat/>
    <w:uiPriority w:val="39"/>
    <w:pPr>
      <w:ind w:left="1960"/>
      <w:jc w:val="left"/>
    </w:pPr>
    <w:rPr>
      <w:rFonts w:ascii="Calibri" w:hAnsi="Calibri" w:cs="Calibri"/>
      <w:sz w:val="18"/>
      <w:szCs w:val="18"/>
    </w:rPr>
  </w:style>
  <w:style w:type="paragraph" w:styleId="14">
    <w:name w:val="Balloon Text"/>
    <w:basedOn w:val="1"/>
    <w:link w:val="38"/>
    <w:unhideWhenUsed/>
    <w:qFormat/>
    <w:uiPriority w:val="99"/>
    <w:rPr>
      <w:rFonts w:cs="Times New Roman"/>
      <w:kern w:val="0"/>
      <w:sz w:val="18"/>
      <w:szCs w:val="18"/>
    </w:rPr>
  </w:style>
  <w:style w:type="paragraph" w:styleId="15">
    <w:name w:val="footer"/>
    <w:basedOn w:val="1"/>
    <w:link w:val="39"/>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0"/>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qFormat/>
    <w:uiPriority w:val="39"/>
    <w:pPr>
      <w:spacing w:before="120" w:after="120"/>
      <w:jc w:val="left"/>
    </w:pPr>
    <w:rPr>
      <w:rFonts w:ascii="Calibri" w:hAnsi="Calibri" w:cs="Calibri"/>
      <w:b/>
      <w:bCs/>
      <w:caps/>
      <w:sz w:val="20"/>
      <w:szCs w:val="20"/>
    </w:rPr>
  </w:style>
  <w:style w:type="paragraph" w:styleId="18">
    <w:name w:val="toc 4"/>
    <w:basedOn w:val="1"/>
    <w:next w:val="1"/>
    <w:unhideWhenUsed/>
    <w:qFormat/>
    <w:uiPriority w:val="39"/>
    <w:pPr>
      <w:ind w:left="840"/>
      <w:jc w:val="left"/>
    </w:pPr>
    <w:rPr>
      <w:rFonts w:ascii="Calibri" w:hAnsi="Calibri" w:cs="Calibri"/>
      <w:sz w:val="18"/>
      <w:szCs w:val="18"/>
    </w:rPr>
  </w:style>
  <w:style w:type="paragraph" w:styleId="19">
    <w:name w:val="toc 6"/>
    <w:basedOn w:val="1"/>
    <w:next w:val="1"/>
    <w:unhideWhenUsed/>
    <w:qFormat/>
    <w:uiPriority w:val="39"/>
    <w:pPr>
      <w:ind w:left="1400"/>
      <w:jc w:val="left"/>
    </w:pPr>
    <w:rPr>
      <w:rFonts w:ascii="Calibri" w:hAnsi="Calibri" w:cs="Calibri"/>
      <w:sz w:val="18"/>
      <w:szCs w:val="18"/>
    </w:rPr>
  </w:style>
  <w:style w:type="paragraph" w:styleId="20">
    <w:name w:val="toc 2"/>
    <w:basedOn w:val="1"/>
    <w:next w:val="1"/>
    <w:unhideWhenUsed/>
    <w:qFormat/>
    <w:uiPriority w:val="39"/>
    <w:pPr>
      <w:ind w:left="280"/>
      <w:jc w:val="left"/>
    </w:pPr>
    <w:rPr>
      <w:rFonts w:ascii="Calibri" w:hAnsi="Calibri" w:cs="Calibri"/>
      <w:smallCaps/>
      <w:sz w:val="20"/>
      <w:szCs w:val="20"/>
    </w:rPr>
  </w:style>
  <w:style w:type="paragraph" w:styleId="21">
    <w:name w:val="toc 9"/>
    <w:basedOn w:val="1"/>
    <w:next w:val="1"/>
    <w:unhideWhenUsed/>
    <w:qFormat/>
    <w:uiPriority w:val="39"/>
    <w:pPr>
      <w:ind w:left="2240"/>
      <w:jc w:val="left"/>
    </w:pPr>
    <w:rPr>
      <w:rFonts w:ascii="Calibri" w:hAnsi="Calibri" w:cs="Calibri"/>
      <w:sz w:val="18"/>
      <w:szCs w:val="18"/>
    </w:rPr>
  </w:style>
  <w:style w:type="paragraph" w:styleId="22">
    <w:name w:val="Title"/>
    <w:basedOn w:val="1"/>
    <w:next w:val="1"/>
    <w:link w:val="41"/>
    <w:qFormat/>
    <w:uiPriority w:val="10"/>
    <w:pPr>
      <w:spacing w:before="240" w:after="60"/>
      <w:jc w:val="center"/>
      <w:outlineLvl w:val="0"/>
    </w:pPr>
    <w:rPr>
      <w:rFonts w:ascii="Cambria" w:hAnsi="Cambria" w:eastAsia="宋体" w:cs="Times New Roman"/>
      <w:b/>
      <w:bCs/>
      <w:sz w:val="32"/>
      <w:szCs w:val="32"/>
    </w:rPr>
  </w:style>
  <w:style w:type="table" w:styleId="24">
    <w:name w:val="Table Grid"/>
    <w:basedOn w:val="2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unhideWhenUsed/>
    <w:qFormat/>
    <w:uiPriority w:val="99"/>
    <w:rPr>
      <w:color w:val="0000FF"/>
      <w:u w:val="single"/>
    </w:rPr>
  </w:style>
  <w:style w:type="paragraph" w:customStyle="1" w:styleId="27">
    <w:name w:val="Comment Text"/>
    <w:basedOn w:val="1"/>
    <w:link w:val="37"/>
    <w:unhideWhenUsed/>
    <w:qFormat/>
    <w:uiPriority w:val="99"/>
    <w:rPr>
      <w:rFonts w:cs="Times New Roman"/>
      <w:kern w:val="0"/>
      <w:sz w:val="20"/>
      <w:szCs w:val="20"/>
    </w:rPr>
  </w:style>
  <w:style w:type="paragraph" w:customStyle="1" w:styleId="28">
    <w:name w:val="Comment Subject"/>
    <w:basedOn w:val="27"/>
    <w:next w:val="27"/>
    <w:link w:val="42"/>
    <w:unhideWhenUsed/>
    <w:qFormat/>
    <w:uiPriority w:val="99"/>
    <w:rPr>
      <w:b/>
      <w:bCs/>
    </w:rPr>
  </w:style>
  <w:style w:type="character" w:customStyle="1" w:styleId="29">
    <w:name w:val="Comment Reference"/>
    <w:unhideWhenUsed/>
    <w:qFormat/>
    <w:uiPriority w:val="99"/>
    <w:rPr>
      <w:sz w:val="16"/>
      <w:szCs w:val="16"/>
    </w:rPr>
  </w:style>
  <w:style w:type="character" w:customStyle="1" w:styleId="30">
    <w:name w:val="正文文本缩进 Char"/>
    <w:link w:val="3"/>
    <w:semiHidden/>
    <w:qFormat/>
    <w:uiPriority w:val="99"/>
    <w:rPr>
      <w:rFonts w:ascii="Calibri" w:hAnsi="Calibri" w:eastAsia="仿宋_GB2312" w:cs="黑体"/>
      <w:sz w:val="28"/>
    </w:rPr>
  </w:style>
  <w:style w:type="character" w:customStyle="1" w:styleId="31">
    <w:name w:val="正文首行缩进 2 Char"/>
    <w:link w:val="2"/>
    <w:qFormat/>
    <w:uiPriority w:val="0"/>
    <w:rPr>
      <w:rFonts w:ascii="Calibri" w:hAnsi="Calibri" w:eastAsia="仿宋_GB2312" w:cs="黑体"/>
      <w:sz w:val="28"/>
    </w:rPr>
  </w:style>
  <w:style w:type="character" w:customStyle="1" w:styleId="32">
    <w:name w:val="标题 1 Char"/>
    <w:link w:val="4"/>
    <w:qFormat/>
    <w:uiPriority w:val="9"/>
    <w:rPr>
      <w:rFonts w:ascii="Times New Roman" w:hAnsi="Times New Roman" w:eastAsia="仿宋_GB2312" w:cs="Times New Roman"/>
      <w:b/>
      <w:bCs/>
      <w:kern w:val="44"/>
      <w:sz w:val="32"/>
      <w:szCs w:val="44"/>
    </w:rPr>
  </w:style>
  <w:style w:type="character" w:customStyle="1" w:styleId="33">
    <w:name w:val="标题 2 Char"/>
    <w:link w:val="5"/>
    <w:qFormat/>
    <w:uiPriority w:val="0"/>
    <w:rPr>
      <w:rFonts w:ascii="Cambria" w:hAnsi="Cambria" w:eastAsia="仿宋_GB2312" w:cs="Times New Roman"/>
      <w:b/>
      <w:bCs/>
      <w:kern w:val="0"/>
      <w:sz w:val="30"/>
      <w:szCs w:val="32"/>
    </w:rPr>
  </w:style>
  <w:style w:type="character" w:customStyle="1" w:styleId="34">
    <w:name w:val="标题 3 Char"/>
    <w:link w:val="6"/>
    <w:qFormat/>
    <w:uiPriority w:val="9"/>
    <w:rPr>
      <w:rFonts w:ascii="Calibri" w:hAnsi="Calibri" w:eastAsia="仿宋_GB2312" w:cs="黑体"/>
      <w:bCs/>
      <w:sz w:val="28"/>
      <w:szCs w:val="32"/>
    </w:rPr>
  </w:style>
  <w:style w:type="character" w:customStyle="1" w:styleId="35">
    <w:name w:val="标题 4 Char"/>
    <w:link w:val="7"/>
    <w:semiHidden/>
    <w:qFormat/>
    <w:uiPriority w:val="9"/>
    <w:rPr>
      <w:rFonts w:ascii="Cambria" w:hAnsi="Cambria" w:eastAsia="宋体" w:cs="Times New Roman"/>
      <w:b/>
      <w:bCs/>
      <w:sz w:val="28"/>
      <w:szCs w:val="28"/>
    </w:rPr>
  </w:style>
  <w:style w:type="character" w:customStyle="1" w:styleId="36">
    <w:name w:val="文档结构图 Char"/>
    <w:link w:val="9"/>
    <w:semiHidden/>
    <w:qFormat/>
    <w:uiPriority w:val="99"/>
    <w:rPr>
      <w:rFonts w:ascii="宋体" w:hAnsi="Calibri" w:eastAsia="宋体" w:cs="黑体"/>
      <w:sz w:val="18"/>
      <w:szCs w:val="18"/>
    </w:rPr>
  </w:style>
  <w:style w:type="character" w:customStyle="1" w:styleId="37">
    <w:name w:val="批注文字 Char"/>
    <w:link w:val="27"/>
    <w:semiHidden/>
    <w:qFormat/>
    <w:uiPriority w:val="99"/>
    <w:rPr>
      <w:rFonts w:ascii="Calibri" w:hAnsi="Calibri" w:eastAsia="仿宋_GB2312" w:cs="黑体"/>
      <w:sz w:val="20"/>
      <w:szCs w:val="20"/>
    </w:rPr>
  </w:style>
  <w:style w:type="character" w:customStyle="1" w:styleId="38">
    <w:name w:val="批注框文本 Char"/>
    <w:link w:val="14"/>
    <w:semiHidden/>
    <w:qFormat/>
    <w:uiPriority w:val="99"/>
    <w:rPr>
      <w:rFonts w:ascii="Calibri" w:hAnsi="Calibri" w:eastAsia="仿宋_GB2312" w:cs="黑体"/>
      <w:sz w:val="18"/>
      <w:szCs w:val="18"/>
    </w:rPr>
  </w:style>
  <w:style w:type="character" w:customStyle="1" w:styleId="39">
    <w:name w:val="页脚 Char"/>
    <w:link w:val="15"/>
    <w:qFormat/>
    <w:uiPriority w:val="99"/>
    <w:rPr>
      <w:rFonts w:ascii="Calibri" w:hAnsi="Calibri" w:eastAsia="仿宋_GB2312" w:cs="黑体"/>
      <w:sz w:val="18"/>
      <w:szCs w:val="18"/>
    </w:rPr>
  </w:style>
  <w:style w:type="character" w:customStyle="1" w:styleId="40">
    <w:name w:val="页眉 Char"/>
    <w:link w:val="16"/>
    <w:qFormat/>
    <w:uiPriority w:val="99"/>
    <w:rPr>
      <w:rFonts w:ascii="Calibri" w:hAnsi="Calibri" w:eastAsia="仿宋_GB2312" w:cs="黑体"/>
      <w:sz w:val="18"/>
      <w:szCs w:val="18"/>
    </w:rPr>
  </w:style>
  <w:style w:type="character" w:customStyle="1" w:styleId="41">
    <w:name w:val="标题 Char"/>
    <w:link w:val="22"/>
    <w:qFormat/>
    <w:uiPriority w:val="10"/>
    <w:rPr>
      <w:rFonts w:ascii="Cambria" w:hAnsi="Cambria"/>
      <w:b/>
      <w:bCs/>
      <w:kern w:val="2"/>
      <w:sz w:val="32"/>
      <w:szCs w:val="32"/>
    </w:rPr>
  </w:style>
  <w:style w:type="character" w:customStyle="1" w:styleId="42">
    <w:name w:val="批注主题 Char"/>
    <w:link w:val="28"/>
    <w:semiHidden/>
    <w:qFormat/>
    <w:uiPriority w:val="99"/>
    <w:rPr>
      <w:rFonts w:ascii="Calibri" w:hAnsi="Calibri" w:eastAsia="仿宋_GB2312" w:cs="黑体"/>
      <w:b/>
      <w:bCs/>
      <w:sz w:val="20"/>
      <w:szCs w:val="20"/>
    </w:rPr>
  </w:style>
  <w:style w:type="character" w:customStyle="1" w:styleId="43">
    <w:name w:val="闻政-正文三级标题 Char"/>
    <w:link w:val="44"/>
    <w:qFormat/>
    <w:uiPriority w:val="3"/>
    <w:rPr>
      <w:rFonts w:ascii="Times New Roman" w:hAnsi="Times New Roman" w:eastAsia="仿宋_GB2312"/>
      <w:b/>
      <w:snapToGrid w:val="0"/>
      <w:sz w:val="28"/>
      <w:szCs w:val="28"/>
    </w:rPr>
  </w:style>
  <w:style w:type="paragraph" w:customStyle="1" w:styleId="44">
    <w:name w:val="闻政-正文三级标题"/>
    <w:basedOn w:val="1"/>
    <w:next w:val="45"/>
    <w:link w:val="43"/>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paragraph" w:customStyle="1" w:styleId="45">
    <w:name w:val="闻政-正文段落文字"/>
    <w:basedOn w:val="1"/>
    <w:link w:val="46"/>
    <w:qFormat/>
    <w:uiPriority w:val="3"/>
    <w:pPr>
      <w:spacing w:line="500" w:lineRule="exact"/>
      <w:ind w:firstLine="200"/>
    </w:pPr>
    <w:rPr>
      <w:rFonts w:ascii="Times New Roman" w:hAnsi="Times New Roman" w:cs="Times New Roman"/>
      <w:kern w:val="0"/>
      <w:szCs w:val="28"/>
    </w:rPr>
  </w:style>
  <w:style w:type="character" w:customStyle="1" w:styleId="46">
    <w:name w:val="闻政-正文段落文字 Char"/>
    <w:link w:val="45"/>
    <w:qFormat/>
    <w:uiPriority w:val="3"/>
    <w:rPr>
      <w:rFonts w:ascii="Times New Roman" w:hAnsi="Times New Roman" w:eastAsia="仿宋_GB2312"/>
      <w:sz w:val="28"/>
      <w:szCs w:val="28"/>
    </w:rPr>
  </w:style>
  <w:style w:type="character" w:customStyle="1" w:styleId="47">
    <w:name w:val="font21"/>
    <w:qFormat/>
    <w:uiPriority w:val="0"/>
    <w:rPr>
      <w:rFonts w:hint="default" w:ascii="Times New Roman" w:hAnsi="Times New Roman" w:cs="Times New Roman"/>
      <w:color w:val="000000"/>
      <w:sz w:val="24"/>
      <w:szCs w:val="24"/>
      <w:u w:val="none"/>
    </w:rPr>
  </w:style>
  <w:style w:type="character" w:customStyle="1" w:styleId="48">
    <w:name w:val="无间隔 Char"/>
    <w:link w:val="49"/>
    <w:qFormat/>
    <w:uiPriority w:val="1"/>
    <w:rPr>
      <w:rFonts w:eastAsia="仿宋_GB2312" w:cs="黑体"/>
      <w:kern w:val="2"/>
      <w:sz w:val="28"/>
      <w:szCs w:val="22"/>
      <w:lang w:val="en-US" w:eastAsia="zh-CN" w:bidi="ar-SA"/>
    </w:rPr>
  </w:style>
  <w:style w:type="paragraph" w:styleId="49">
    <w:name w:val="No Spacing"/>
    <w:link w:val="48"/>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50">
    <w:name w:val="font11"/>
    <w:qFormat/>
    <w:uiPriority w:val="0"/>
    <w:rPr>
      <w:rFonts w:hint="eastAsia" w:ascii="方正仿宋_GBK" w:hAnsi="方正仿宋_GBK" w:eastAsia="方正仿宋_GBK" w:cs="方正仿宋_GBK"/>
      <w:color w:val="000000"/>
      <w:sz w:val="24"/>
      <w:szCs w:val="24"/>
      <w:u w:val="none"/>
    </w:rPr>
  </w:style>
  <w:style w:type="character" w:customStyle="1" w:styleId="51">
    <w:name w:val="font31"/>
    <w:basedOn w:val="25"/>
    <w:qFormat/>
    <w:uiPriority w:val="0"/>
    <w:rPr>
      <w:rFonts w:ascii="宋体" w:hAnsi="宋体" w:eastAsia="宋体" w:cs="宋体"/>
      <w:color w:val="000000"/>
      <w:sz w:val="22"/>
      <w:szCs w:val="22"/>
      <w:u w:val="none"/>
    </w:rPr>
  </w:style>
  <w:style w:type="character" w:customStyle="1" w:styleId="52">
    <w:name w:val="闻政-正文一级标题 Char"/>
    <w:link w:val="53"/>
    <w:qFormat/>
    <w:uiPriority w:val="3"/>
    <w:rPr>
      <w:rFonts w:ascii="黑体" w:hAnsi="黑体" w:eastAsia="黑体"/>
      <w:bCs/>
      <w:sz w:val="32"/>
      <w:szCs w:val="32"/>
    </w:rPr>
  </w:style>
  <w:style w:type="paragraph" w:customStyle="1" w:styleId="53">
    <w:name w:val="闻政-正文一级标题"/>
    <w:basedOn w:val="6"/>
    <w:next w:val="45"/>
    <w:link w:val="52"/>
    <w:qFormat/>
    <w:uiPriority w:val="3"/>
    <w:pPr>
      <w:spacing w:before="120" w:after="60" w:line="500" w:lineRule="exact"/>
      <w:ind w:firstLine="0" w:firstLineChars="0"/>
      <w:outlineLvl w:val="0"/>
    </w:pPr>
    <w:rPr>
      <w:rFonts w:ascii="黑体" w:hAnsi="黑体" w:eastAsia="黑体"/>
      <w:sz w:val="32"/>
    </w:rPr>
  </w:style>
  <w:style w:type="character" w:customStyle="1" w:styleId="54">
    <w:name w:val="font71"/>
    <w:basedOn w:val="25"/>
    <w:qFormat/>
    <w:uiPriority w:val="0"/>
    <w:rPr>
      <w:rFonts w:hint="eastAsia" w:ascii="微软雅黑" w:hAnsi="微软雅黑" w:eastAsia="微软雅黑" w:cs="微软雅黑"/>
      <w:b/>
      <w:bCs/>
      <w:color w:val="000000"/>
      <w:sz w:val="32"/>
      <w:szCs w:val="32"/>
      <w:u w:val="none"/>
    </w:rPr>
  </w:style>
  <w:style w:type="character" w:customStyle="1" w:styleId="55">
    <w:name w:val="55"/>
    <w:qFormat/>
    <w:uiPriority w:val="0"/>
    <w:rPr>
      <w:b/>
      <w:bCs/>
      <w:smallCaps/>
      <w:color w:val="C0504D"/>
      <w:spacing w:val="5"/>
      <w:u w:val="single"/>
    </w:rPr>
  </w:style>
  <w:style w:type="character" w:customStyle="1" w:styleId="56">
    <w:name w:val="闻政-正文二级标题 Char"/>
    <w:link w:val="57"/>
    <w:qFormat/>
    <w:uiPriority w:val="3"/>
    <w:rPr>
      <w:rFonts w:ascii="Times New Roman" w:hAnsi="Times New Roman" w:eastAsia="仿宋_GB2312"/>
      <w:b/>
      <w:bCs/>
      <w:sz w:val="28"/>
      <w:szCs w:val="32"/>
    </w:rPr>
  </w:style>
  <w:style w:type="paragraph" w:customStyle="1" w:styleId="57">
    <w:name w:val="闻政-正文二级标题"/>
    <w:basedOn w:val="5"/>
    <w:next w:val="45"/>
    <w:link w:val="56"/>
    <w:qFormat/>
    <w:uiPriority w:val="3"/>
    <w:pPr>
      <w:spacing w:before="120" w:after="60" w:line="500" w:lineRule="exact"/>
      <w:ind w:left="200" w:leftChars="200" w:firstLine="0" w:firstLineChars="0"/>
    </w:pPr>
    <w:rPr>
      <w:rFonts w:ascii="Times New Roman" w:hAnsi="Times New Roman"/>
      <w:sz w:val="28"/>
    </w:rPr>
  </w:style>
  <w:style w:type="character" w:customStyle="1" w:styleId="58">
    <w:name w:val="font41"/>
    <w:basedOn w:val="25"/>
    <w:qFormat/>
    <w:uiPriority w:val="0"/>
    <w:rPr>
      <w:rFonts w:hint="eastAsia" w:ascii="微软雅黑" w:hAnsi="微软雅黑" w:eastAsia="微软雅黑" w:cs="微软雅黑"/>
      <w:color w:val="000000"/>
      <w:sz w:val="22"/>
      <w:szCs w:val="22"/>
      <w:u w:val="none"/>
    </w:rPr>
  </w:style>
  <w:style w:type="paragraph" w:customStyle="1" w:styleId="59">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paragraph" w:styleId="60">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3FDBCD7DEAA641A7AE1E9ED87F813CFF_13</vt:lpwstr>
  </property>
  <property fmtid="{D5CDD505-2E9C-101B-9397-08002B2CF9AE}" pid="4" name="KSOTemplateDocerSaveRecord">
    <vt:lpwstr>eyJoZGlkIjoiZDE5MGZhMTJhZDM2OTQwYzkzYWVjM2FhZDUxN2Q0M2IiLCJ1c2VySWQiOiI2NTE5NDIwMjYifQ==</vt:lpwstr>
  </property>
</Properties>
</file>

<file path=customXml/itemProps1.xml><?xml version="1.0" encoding="utf-8"?>
<ds:datastoreItem xmlns:ds="http://schemas.openxmlformats.org/officeDocument/2006/customXml" ds:itemID="{dd77fa4e-a31b-4090-a842-1c85e015a7b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26</Pages>
  <Words>13297</Words>
  <Characters>14178</Characters>
  <Lines>44</Lines>
  <Paragraphs>12</Paragraphs>
  <TotalTime>7</TotalTime>
  <ScaleCrop>false</ScaleCrop>
  <LinksUpToDate>false</LinksUpToDate>
  <CharactersWithSpaces>14247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2025-12-25T11:16:59Z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3FDBCD7DEAA641A7AE1E9ED87F813CFF_13</vt:lpwstr>
  </property>
  <property fmtid="{D5CDD505-2E9C-101B-9397-08002B2CF9AE}" pid="4" name="KSOTemplateDocerSaveRecord">
    <vt:lpwstr>eyJoZGlkIjoiYjM4NWYyMWE2NWU1OGNiMmIxMmZkYzA5MWEwNzJlZmIiLCJ1c2VySWQiOiI0MzE2NzY3NzkifQ==</vt:lpwstr>
  </property>
</Properties>
</file>