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002F0E"/>
    <w:p w14:paraId="2CCCFCE7">
      <w:pPr>
        <w:pageBreakBefore w:val="0"/>
        <w:widowControl w:val="0"/>
        <w:kinsoku/>
        <w:wordWrap/>
        <w:topLinePunct w:val="0"/>
        <w:autoSpaceDE/>
        <w:autoSpaceDN/>
        <w:bidi w:val="0"/>
        <w:spacing w:line="560" w:lineRule="exact"/>
        <w:ind w:left="0" w:leftChars="0" w:firstLine="0" w:firstLineChars="0"/>
        <w:textAlignment w:val="auto"/>
        <w:rPr>
          <w:rFonts w:hint="default" w:eastAsia="方正仿宋_GBK" w:cs="方正仿宋_GBK"/>
          <w:b/>
          <w:kern w:val="0"/>
          <w:sz w:val="32"/>
          <w:szCs w:val="32"/>
          <w:lang w:val="en-US" w:eastAsia="zh-CN" w:bidi="en-US"/>
        </w:rPr>
      </w:pPr>
    </w:p>
    <w:p w14:paraId="105A07F0">
      <w:pPr>
        <w:keepNext w:val="0"/>
        <w:keepLines w:val="0"/>
        <w:pageBreakBefore w:val="0"/>
        <w:widowControl w:val="0"/>
        <w:tabs>
          <w:tab w:val="left" w:pos="1680"/>
        </w:tabs>
        <w:kinsoku/>
        <w:wordWrap/>
        <w:overflowPunct/>
        <w:topLinePunct w:val="0"/>
        <w:autoSpaceDE/>
        <w:autoSpaceDN/>
        <w:bidi w:val="0"/>
        <w:adjustRightInd/>
        <w:snapToGrid/>
        <w:spacing w:line="360" w:lineRule="auto"/>
        <w:ind w:left="0" w:leftChars="0" w:firstLine="803"/>
        <w:jc w:val="center"/>
        <w:textAlignment w:val="auto"/>
        <w:outlineLvl w:val="0"/>
        <w:rPr>
          <w:rFonts w:hint="eastAsia" w:ascii="黑体" w:hAnsi="黑体" w:eastAsia="黑体" w:cs="黑体"/>
          <w:b/>
          <w:sz w:val="36"/>
          <w:szCs w:val="36"/>
          <w:lang w:val="en-US" w:eastAsia="zh-CN"/>
        </w:rPr>
      </w:pPr>
      <w:r>
        <w:rPr>
          <w:rFonts w:hint="eastAsia" w:ascii="黑体" w:hAnsi="黑体" w:eastAsia="黑体" w:cs="黑体"/>
          <w:b/>
          <w:sz w:val="36"/>
          <w:szCs w:val="36"/>
          <w:lang w:val="en-US" w:eastAsia="zh-CN"/>
        </w:rPr>
        <w:t>和田地区洛浦县纪律检查委员会监察信息员经费</w:t>
      </w:r>
    </w:p>
    <w:p w14:paraId="175B3232">
      <w:pPr>
        <w:keepNext w:val="0"/>
        <w:keepLines w:val="0"/>
        <w:pageBreakBefore w:val="0"/>
        <w:widowControl w:val="0"/>
        <w:tabs>
          <w:tab w:val="left" w:pos="1680"/>
        </w:tabs>
        <w:kinsoku/>
        <w:wordWrap/>
        <w:overflowPunct/>
        <w:topLinePunct w:val="0"/>
        <w:autoSpaceDE/>
        <w:autoSpaceDN/>
        <w:bidi w:val="0"/>
        <w:adjustRightInd/>
        <w:snapToGrid/>
        <w:spacing w:line="360" w:lineRule="auto"/>
        <w:ind w:left="0" w:leftChars="0" w:firstLine="803"/>
        <w:jc w:val="center"/>
        <w:textAlignment w:val="auto"/>
        <w:outlineLvl w:val="0"/>
      </w:pPr>
      <w:r>
        <w:rPr>
          <w:rFonts w:hint="eastAsia" w:ascii="黑体" w:hAnsi="黑体" w:eastAsia="黑体" w:cs="黑体"/>
          <w:b/>
          <w:sz w:val="36"/>
          <w:szCs w:val="36"/>
        </w:rPr>
        <w:t>项目支出绩效评价报告</w:t>
      </w:r>
    </w:p>
    <w:p w14:paraId="30424AB2">
      <w:pPr>
        <w:pStyle w:val="6"/>
        <w:pageBreakBefore w:val="0"/>
        <w:kinsoku/>
        <w:wordWrap/>
        <w:topLinePunct w:val="0"/>
        <w:autoSpaceDE/>
        <w:autoSpaceDN/>
        <w:bidi w:val="0"/>
        <w:spacing w:before="0" w:after="0"/>
        <w:jc w:val="center"/>
        <w:rPr>
          <w:rFonts w:hint="eastAsia" w:eastAsia="仿宋_GB2312"/>
          <w:lang w:eastAsia="zh-CN"/>
        </w:rPr>
      </w:pPr>
      <w:r>
        <w:rPr>
          <w:rFonts w:hint="eastAsia"/>
          <w:lang w:eastAsia="zh-CN"/>
        </w:rPr>
        <w:t>（</w:t>
      </w:r>
      <w:r>
        <w:rPr>
          <w:rFonts w:hint="eastAsia"/>
          <w:lang w:val="en-US" w:eastAsia="zh-CN"/>
        </w:rPr>
        <w:t>2024年度</w:t>
      </w:r>
      <w:r>
        <w:rPr>
          <w:rFonts w:hint="eastAsia"/>
          <w:lang w:eastAsia="zh-CN"/>
        </w:rPr>
        <w:t>）</w:t>
      </w:r>
    </w:p>
    <w:p w14:paraId="43E5E3EE">
      <w:pPr>
        <w:pageBreakBefore w:val="0"/>
        <w:widowControl w:val="0"/>
        <w:kinsoku/>
        <w:wordWrap/>
        <w:topLinePunct w:val="0"/>
        <w:autoSpaceDE/>
        <w:autoSpaceDN/>
        <w:bidi w:val="0"/>
        <w:spacing w:line="560" w:lineRule="exact"/>
        <w:ind w:left="0" w:leftChars="0" w:firstLine="0" w:firstLineChars="0"/>
        <w:jc w:val="center"/>
        <w:textAlignment w:val="auto"/>
        <w:rPr>
          <w:rFonts w:hint="eastAsia" w:eastAsia="方正仿宋_GBK" w:cs="方正仿宋_GBK"/>
          <w:b/>
          <w:kern w:val="0"/>
          <w:sz w:val="32"/>
          <w:szCs w:val="32"/>
          <w:lang w:bidi="en-US"/>
        </w:rPr>
      </w:pPr>
    </w:p>
    <w:p w14:paraId="61E60CF3">
      <w:pPr>
        <w:pageBreakBefore w:val="0"/>
        <w:widowControl w:val="0"/>
        <w:kinsoku/>
        <w:wordWrap/>
        <w:topLinePunct w:val="0"/>
        <w:autoSpaceDE/>
        <w:autoSpaceDN/>
        <w:bidi w:val="0"/>
        <w:spacing w:line="560" w:lineRule="exact"/>
        <w:ind w:left="0" w:leftChars="0" w:firstLine="0" w:firstLineChars="0"/>
        <w:jc w:val="center"/>
        <w:textAlignment w:val="auto"/>
        <w:rPr>
          <w:rFonts w:hint="eastAsia" w:eastAsia="方正仿宋_GBK" w:cs="方正仿宋_GBK"/>
          <w:b/>
          <w:kern w:val="0"/>
          <w:sz w:val="32"/>
          <w:szCs w:val="32"/>
          <w:lang w:bidi="en-US"/>
        </w:rPr>
      </w:pPr>
    </w:p>
    <w:p w14:paraId="0F73986D">
      <w:pPr>
        <w:pStyle w:val="6"/>
        <w:pageBreakBefore w:val="0"/>
        <w:kinsoku/>
        <w:wordWrap/>
        <w:topLinePunct w:val="0"/>
        <w:autoSpaceDE/>
        <w:autoSpaceDN/>
        <w:bidi w:val="0"/>
        <w:spacing w:before="0" w:after="0"/>
        <w:rPr>
          <w:rFonts w:hint="eastAsia" w:eastAsia="方正仿宋_GBK" w:cs="方正仿宋_GBK"/>
          <w:b/>
          <w:kern w:val="0"/>
          <w:sz w:val="32"/>
          <w:szCs w:val="32"/>
          <w:lang w:bidi="en-US"/>
        </w:rPr>
      </w:pPr>
    </w:p>
    <w:p w14:paraId="595F0347">
      <w:pPr>
        <w:pageBreakBefore w:val="0"/>
        <w:kinsoku/>
        <w:wordWrap/>
        <w:topLinePunct w:val="0"/>
        <w:autoSpaceDE/>
        <w:autoSpaceDN/>
        <w:bidi w:val="0"/>
        <w:rPr>
          <w:rFonts w:hint="eastAsia" w:eastAsia="方正仿宋_GBK" w:cs="方正仿宋_GBK"/>
          <w:b/>
          <w:kern w:val="0"/>
          <w:sz w:val="32"/>
          <w:szCs w:val="32"/>
          <w:lang w:bidi="en-US"/>
        </w:rPr>
      </w:pPr>
    </w:p>
    <w:p w14:paraId="3018D526">
      <w:pPr>
        <w:pStyle w:val="6"/>
        <w:pageBreakBefore w:val="0"/>
        <w:kinsoku/>
        <w:wordWrap/>
        <w:topLinePunct w:val="0"/>
        <w:autoSpaceDE/>
        <w:autoSpaceDN/>
        <w:bidi w:val="0"/>
        <w:spacing w:before="0" w:after="0"/>
        <w:rPr>
          <w:rFonts w:hint="eastAsia"/>
        </w:rPr>
      </w:pPr>
    </w:p>
    <w:p w14:paraId="21130ABB">
      <w:pPr>
        <w:pStyle w:val="6"/>
        <w:pageBreakBefore w:val="0"/>
        <w:widowControl w:val="0"/>
        <w:kinsoku/>
        <w:wordWrap/>
        <w:topLinePunct w:val="0"/>
        <w:autoSpaceDE/>
        <w:autoSpaceDN/>
        <w:bidi w:val="0"/>
        <w:spacing w:before="0" w:after="0" w:line="560" w:lineRule="exact"/>
        <w:ind w:left="0" w:leftChars="0" w:firstLine="643"/>
        <w:textAlignment w:val="auto"/>
        <w:rPr>
          <w:rFonts w:hint="eastAsia" w:eastAsia="方正仿宋_GBK" w:cs="方正仿宋_GBK"/>
          <w:b/>
          <w:sz w:val="32"/>
          <w:lang w:bidi="en-US"/>
        </w:rPr>
      </w:pPr>
    </w:p>
    <w:p w14:paraId="72869DD6">
      <w:pPr>
        <w:pageBreakBefore w:val="0"/>
        <w:widowControl w:val="0"/>
        <w:kinsoku/>
        <w:wordWrap/>
        <w:topLinePunct w:val="0"/>
        <w:autoSpaceDE/>
        <w:autoSpaceDN/>
        <w:bidi w:val="0"/>
        <w:spacing w:line="560" w:lineRule="exact"/>
        <w:ind w:left="0" w:leftChars="0" w:firstLine="560"/>
        <w:textAlignment w:val="auto"/>
        <w:rPr>
          <w:rFonts w:hint="eastAsia"/>
        </w:rPr>
      </w:pPr>
    </w:p>
    <w:p w14:paraId="40E67082">
      <w:pPr>
        <w:pageBreakBefore w:val="0"/>
        <w:widowControl w:val="0"/>
        <w:kinsoku/>
        <w:wordWrap/>
        <w:topLinePunct w:val="0"/>
        <w:autoSpaceDE/>
        <w:autoSpaceDN/>
        <w:bidi w:val="0"/>
        <w:spacing w:line="560" w:lineRule="exact"/>
        <w:ind w:left="0" w:leftChars="0" w:firstLine="0" w:firstLineChars="0"/>
        <w:textAlignment w:val="auto"/>
        <w:rPr>
          <w:rFonts w:hint="eastAsia" w:eastAsia="方正仿宋_GBK" w:cs="方正仿宋_GBK"/>
          <w:kern w:val="0"/>
          <w:sz w:val="32"/>
          <w:szCs w:val="32"/>
          <w:lang w:bidi="en-US"/>
        </w:rPr>
      </w:pPr>
    </w:p>
    <w:p w14:paraId="1A5F2FC1">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color w:val="auto"/>
          <w:kern w:val="0"/>
          <w:sz w:val="28"/>
          <w:szCs w:val="28"/>
          <w:lang w:bidi="en-US"/>
        </w:rPr>
      </w:pPr>
      <w:r>
        <w:rPr>
          <w:rFonts w:hint="eastAsia" w:ascii="宋体" w:hAnsi="宋体" w:eastAsia="宋体" w:cs="宋体"/>
          <w:kern w:val="0"/>
          <w:sz w:val="28"/>
          <w:szCs w:val="28"/>
          <w:lang w:bidi="en-US"/>
        </w:rPr>
        <w:t>项目名称：</w:t>
      </w:r>
      <w:r>
        <w:rPr>
          <w:rFonts w:hint="eastAsia" w:ascii="宋体" w:hAnsi="宋体" w:eastAsia="宋体" w:cs="宋体"/>
          <w:kern w:val="0"/>
          <w:sz w:val="28"/>
          <w:szCs w:val="28"/>
          <w:lang w:eastAsia="zh-CN" w:bidi="en-US"/>
        </w:rPr>
        <w:t>监</w:t>
      </w:r>
      <w:r>
        <w:rPr>
          <w:rFonts w:hint="eastAsia" w:ascii="宋体" w:hAnsi="宋体" w:eastAsia="宋体" w:cs="宋体"/>
          <w:color w:val="auto"/>
          <w:kern w:val="0"/>
          <w:sz w:val="28"/>
          <w:szCs w:val="28"/>
          <w:lang w:eastAsia="zh-CN" w:bidi="en-US"/>
        </w:rPr>
        <w:t>察信息员经费</w:t>
      </w:r>
      <w:r>
        <w:rPr>
          <w:rFonts w:hint="eastAsia" w:ascii="宋体" w:hAnsi="宋体" w:eastAsia="宋体" w:cs="宋体"/>
          <w:color w:val="auto"/>
          <w:kern w:val="0"/>
          <w:sz w:val="28"/>
          <w:szCs w:val="28"/>
          <w:lang w:bidi="en-US"/>
        </w:rPr>
        <w:t>项目</w:t>
      </w:r>
    </w:p>
    <w:p w14:paraId="160AC62B">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color w:val="auto"/>
          <w:kern w:val="0"/>
          <w:sz w:val="28"/>
          <w:szCs w:val="28"/>
          <w:lang w:eastAsia="zh-CN" w:bidi="en-US"/>
        </w:rPr>
      </w:pPr>
      <w:r>
        <w:rPr>
          <w:rFonts w:hint="eastAsia" w:ascii="宋体" w:hAnsi="宋体" w:eastAsia="宋体" w:cs="宋体"/>
          <w:color w:val="auto"/>
          <w:kern w:val="0"/>
          <w:sz w:val="28"/>
          <w:szCs w:val="28"/>
          <w:lang w:bidi="en-US"/>
        </w:rPr>
        <w:t>项目单位：</w:t>
      </w:r>
      <w:r>
        <w:rPr>
          <w:rFonts w:hint="eastAsia" w:ascii="宋体" w:hAnsi="宋体" w:eastAsia="宋体" w:cs="宋体"/>
          <w:color w:val="auto"/>
          <w:kern w:val="0"/>
          <w:sz w:val="28"/>
          <w:szCs w:val="28"/>
          <w:lang w:eastAsia="zh-CN" w:bidi="en-US"/>
        </w:rPr>
        <w:t>中共洛浦县纪律检查委员会</w:t>
      </w:r>
    </w:p>
    <w:p w14:paraId="38DD35B9">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color w:val="auto"/>
          <w:kern w:val="0"/>
          <w:sz w:val="28"/>
          <w:szCs w:val="28"/>
          <w:lang w:bidi="en-US"/>
        </w:rPr>
      </w:pPr>
      <w:r>
        <w:rPr>
          <w:rFonts w:hint="eastAsia" w:ascii="宋体" w:hAnsi="宋体" w:eastAsia="宋体" w:cs="宋体"/>
          <w:color w:val="auto"/>
          <w:kern w:val="0"/>
          <w:sz w:val="28"/>
          <w:szCs w:val="28"/>
          <w:lang w:bidi="en-US"/>
        </w:rPr>
        <w:t>主管部门：</w:t>
      </w:r>
      <w:r>
        <w:rPr>
          <w:rFonts w:hint="eastAsia" w:ascii="宋体" w:hAnsi="宋体" w:eastAsia="宋体" w:cs="宋体"/>
          <w:color w:val="auto"/>
          <w:kern w:val="0"/>
          <w:sz w:val="28"/>
          <w:szCs w:val="28"/>
          <w:lang w:eastAsia="zh-CN" w:bidi="en-US"/>
        </w:rPr>
        <w:t>中共洛浦县纪律检查委员会</w:t>
      </w:r>
    </w:p>
    <w:p w14:paraId="0DD623B0">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color w:val="auto"/>
          <w:kern w:val="0"/>
          <w:sz w:val="28"/>
          <w:szCs w:val="28"/>
          <w:lang w:eastAsia="zh-CN" w:bidi="en-US"/>
        </w:rPr>
      </w:pPr>
      <w:r>
        <w:rPr>
          <w:rFonts w:hint="eastAsia" w:ascii="宋体" w:hAnsi="宋体" w:eastAsia="宋体" w:cs="宋体"/>
          <w:color w:val="auto"/>
          <w:kern w:val="0"/>
          <w:sz w:val="28"/>
          <w:szCs w:val="28"/>
          <w:lang w:bidi="en-US"/>
        </w:rPr>
        <w:t>项目负责人：</w:t>
      </w:r>
      <w:r>
        <w:rPr>
          <w:rFonts w:hint="eastAsia" w:ascii="宋体" w:hAnsi="宋体" w:eastAsia="宋体" w:cs="宋体"/>
          <w:color w:val="auto"/>
          <w:kern w:val="0"/>
          <w:sz w:val="28"/>
          <w:szCs w:val="28"/>
          <w:lang w:eastAsia="zh-CN" w:bidi="en-US"/>
        </w:rPr>
        <w:t>铁长平</w:t>
      </w:r>
    </w:p>
    <w:p w14:paraId="01B0C9C1">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color w:val="auto"/>
          <w:kern w:val="0"/>
          <w:sz w:val="28"/>
          <w:szCs w:val="28"/>
          <w:lang w:bidi="en-US"/>
        </w:rPr>
      </w:pPr>
      <w:r>
        <w:rPr>
          <w:rFonts w:hint="eastAsia" w:ascii="宋体" w:hAnsi="宋体" w:eastAsia="宋体" w:cs="宋体"/>
          <w:color w:val="auto"/>
          <w:kern w:val="0"/>
          <w:sz w:val="28"/>
          <w:szCs w:val="28"/>
          <w:lang w:bidi="en-US"/>
        </w:rPr>
        <w:t>填报时间：</w:t>
      </w:r>
      <w:r>
        <w:rPr>
          <w:rFonts w:hint="eastAsia" w:ascii="宋体" w:hAnsi="宋体" w:eastAsia="宋体" w:cs="宋体"/>
          <w:color w:val="auto"/>
          <w:kern w:val="0"/>
          <w:sz w:val="28"/>
          <w:szCs w:val="28"/>
          <w:lang w:val="en-US" w:eastAsia="zh-CN" w:bidi="en-US"/>
        </w:rPr>
        <w:t>2025</w:t>
      </w:r>
      <w:r>
        <w:rPr>
          <w:rFonts w:hint="eastAsia" w:ascii="宋体" w:hAnsi="宋体" w:eastAsia="宋体" w:cs="宋体"/>
          <w:color w:val="auto"/>
          <w:kern w:val="0"/>
          <w:sz w:val="28"/>
          <w:szCs w:val="28"/>
          <w:lang w:bidi="en-US"/>
        </w:rPr>
        <w:t xml:space="preserve">年 </w:t>
      </w:r>
      <w:r>
        <w:rPr>
          <w:rFonts w:hint="eastAsia" w:ascii="宋体" w:hAnsi="宋体" w:eastAsia="宋体" w:cs="宋体"/>
          <w:color w:val="auto"/>
          <w:kern w:val="0"/>
          <w:sz w:val="28"/>
          <w:szCs w:val="28"/>
          <w:lang w:val="en-US" w:eastAsia="zh-CN" w:bidi="en-US"/>
        </w:rPr>
        <w:t>3</w:t>
      </w:r>
      <w:r>
        <w:rPr>
          <w:rFonts w:hint="eastAsia" w:ascii="宋体" w:hAnsi="宋体" w:eastAsia="宋体" w:cs="宋体"/>
          <w:color w:val="auto"/>
          <w:kern w:val="0"/>
          <w:sz w:val="28"/>
          <w:szCs w:val="28"/>
          <w:lang w:bidi="en-US"/>
        </w:rPr>
        <w:t xml:space="preserve">月 </w:t>
      </w:r>
      <w:r>
        <w:rPr>
          <w:rFonts w:hint="eastAsia" w:ascii="宋体" w:hAnsi="宋体" w:eastAsia="宋体" w:cs="宋体"/>
          <w:color w:val="auto"/>
          <w:kern w:val="0"/>
          <w:sz w:val="28"/>
          <w:szCs w:val="28"/>
          <w:lang w:val="en-US" w:eastAsia="zh-CN" w:bidi="en-US"/>
        </w:rPr>
        <w:t>31</w:t>
      </w:r>
      <w:r>
        <w:rPr>
          <w:rFonts w:hint="eastAsia" w:ascii="宋体" w:hAnsi="宋体" w:eastAsia="宋体" w:cs="宋体"/>
          <w:color w:val="auto"/>
          <w:kern w:val="0"/>
          <w:sz w:val="28"/>
          <w:szCs w:val="28"/>
          <w:lang w:bidi="en-US"/>
        </w:rPr>
        <w:t xml:space="preserve"> 日</w:t>
      </w:r>
    </w:p>
    <w:p w14:paraId="25E435DA">
      <w:pPr>
        <w:pageBreakBefore w:val="0"/>
        <w:widowControl w:val="0"/>
        <w:kinsoku/>
        <w:wordWrap/>
        <w:topLinePunct w:val="0"/>
        <w:autoSpaceDE/>
        <w:autoSpaceDN/>
        <w:bidi w:val="0"/>
        <w:spacing w:line="560" w:lineRule="exact"/>
        <w:ind w:left="0" w:leftChars="0" w:firstLine="0" w:firstLineChars="0"/>
        <w:textAlignment w:val="auto"/>
        <w:rPr>
          <w:rFonts w:hint="eastAsia" w:eastAsia="方正仿宋_GBK" w:cs="方正仿宋_GBK"/>
          <w:b/>
          <w:kern w:val="0"/>
          <w:sz w:val="28"/>
          <w:szCs w:val="28"/>
          <w:lang w:bidi="en-US"/>
        </w:rPr>
      </w:pPr>
    </w:p>
    <w:p w14:paraId="42D1A754">
      <w:pPr>
        <w:pageBreakBefore w:val="0"/>
        <w:widowControl w:val="0"/>
        <w:kinsoku/>
        <w:wordWrap/>
        <w:topLinePunct w:val="0"/>
        <w:autoSpaceDE/>
        <w:autoSpaceDN/>
        <w:bidi w:val="0"/>
        <w:spacing w:line="560" w:lineRule="exact"/>
        <w:ind w:left="0" w:leftChars="0" w:firstLine="0" w:firstLineChars="0"/>
        <w:textAlignment w:val="auto"/>
        <w:rPr>
          <w:rFonts w:hint="eastAsia" w:ascii="宋体" w:hAnsi="宋体" w:eastAsia="宋体" w:cs="宋体"/>
          <w:color w:val="FF0000"/>
          <w:kern w:val="0"/>
          <w:sz w:val="24"/>
          <w:szCs w:val="24"/>
          <w:lang w:eastAsia="zh-CN" w:bidi="en-US"/>
        </w:rPr>
        <w:sectPr>
          <w:headerReference r:id="rId7" w:type="first"/>
          <w:footerReference r:id="rId10" w:type="first"/>
          <w:headerReference r:id="rId5" w:type="default"/>
          <w:footerReference r:id="rId8" w:type="default"/>
          <w:headerReference r:id="rId6" w:type="even"/>
          <w:footerReference r:id="rId9" w:type="even"/>
          <w:pgSz w:w="11906" w:h="16838"/>
          <w:pgMar w:top="1984" w:right="1531" w:bottom="1701" w:left="1531" w:header="851" w:footer="992" w:gutter="0"/>
          <w:cols w:space="720" w:num="1"/>
          <w:docGrid w:type="lines" w:linePitch="386" w:charSpace="0"/>
        </w:sectPr>
      </w:pPr>
      <w:bookmarkStart w:id="0" w:name="_Toc68364657"/>
    </w:p>
    <w:p w14:paraId="7AA51868">
      <w:pPr>
        <w:pStyle w:val="4"/>
        <w:pageBreakBefore w:val="0"/>
        <w:widowControl w:val="0"/>
        <w:numPr>
          <w:ilvl w:val="0"/>
          <w:numId w:val="0"/>
        </w:numPr>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sz w:val="24"/>
          <w:szCs w:val="24"/>
        </w:rPr>
      </w:pPr>
      <w:r>
        <w:rPr>
          <w:rFonts w:hint="eastAsia" w:ascii="黑体" w:hAnsi="黑体" w:eastAsia="黑体" w:cs="黑体"/>
          <w:sz w:val="24"/>
          <w:szCs w:val="24"/>
          <w:lang w:val="en-US" w:eastAsia="zh-CN"/>
        </w:rPr>
        <w:t>一、</w:t>
      </w:r>
      <w:r>
        <w:rPr>
          <w:rFonts w:hint="eastAsia" w:ascii="黑体" w:hAnsi="黑体" w:eastAsia="黑体" w:cs="黑体"/>
          <w:sz w:val="24"/>
          <w:szCs w:val="24"/>
        </w:rPr>
        <w:t>基本情况</w:t>
      </w:r>
      <w:bookmarkEnd w:id="0"/>
    </w:p>
    <w:p w14:paraId="1628E1A3">
      <w:pPr>
        <w:pStyle w:val="58"/>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bookmarkStart w:id="1" w:name="_Toc68364658"/>
      <w:r>
        <w:rPr>
          <w:rFonts w:hint="eastAsia" w:ascii="宋体" w:hAnsi="宋体" w:eastAsia="宋体" w:cs="宋体"/>
          <w:sz w:val="24"/>
          <w:szCs w:val="24"/>
          <w:lang w:eastAsia="zh-CN"/>
        </w:rPr>
        <w:t>（一）</w:t>
      </w:r>
      <w:r>
        <w:rPr>
          <w:rFonts w:hint="eastAsia" w:ascii="宋体" w:hAnsi="宋体" w:eastAsia="宋体" w:cs="宋体"/>
          <w:sz w:val="24"/>
          <w:szCs w:val="24"/>
        </w:rPr>
        <w:t>项目概况</w:t>
      </w:r>
      <w:bookmarkEnd w:id="1"/>
    </w:p>
    <w:p w14:paraId="7A1BD2B4">
      <w:pPr>
        <w:pStyle w:val="48"/>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1. 项目背景</w:t>
      </w:r>
    </w:p>
    <w:p w14:paraId="62A89AF8">
      <w:pPr>
        <w:pStyle w:val="59"/>
        <w:pageBreakBefore w:val="0"/>
        <w:widowControl w:val="0"/>
        <w:kinsoku/>
        <w:wordWrap/>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为推动监察职能向基层延伸，加强基层基础工作，实现监察全覆盖，坚持“严”的基调，大力惩治腐败问题，努力营造风清气正的政治环境，总结纪检监察体制改革取得成效及存在的“盲区”，以探索新机制、完善管理体系，强示范、抓队伍、严考核等方面入手，力促基层监察职能发挥，打通监察基层小微权利的“最后一公里”。</w:t>
      </w:r>
    </w:p>
    <w:p w14:paraId="687A65D9">
      <w:pPr>
        <w:pStyle w:val="59"/>
        <w:pageBreakBefore w:val="0"/>
        <w:widowControl w:val="0"/>
        <w:kinsoku/>
        <w:wordWrap/>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color w:val="auto"/>
          <w:kern w:val="0"/>
          <w:sz w:val="24"/>
          <w:szCs w:val="24"/>
          <w:lang w:val="en-US" w:eastAsia="zh-CN" w:bidi="ar-SA"/>
        </w:rPr>
        <w:t>村干部手中的小微权力运用得好不好，直接关系民心所向，直接关乎党和政府的形象。按照上级关于《县（市、区）监察委员会派出乡镇（街道）监察办公室聘任监察信息员管理制度》相关要求，有效提升监察信息员经费保障水平实施该项目。</w:t>
      </w:r>
      <w:r>
        <w:rPr>
          <w:rFonts w:hint="eastAsia" w:ascii="宋体" w:hAnsi="宋体" w:eastAsia="宋体" w:cs="宋体"/>
          <w:color w:val="auto"/>
          <w:sz w:val="24"/>
          <w:szCs w:val="24"/>
          <w:lang w:val="en-US" w:eastAsia="zh-CN"/>
        </w:rPr>
        <w:t xml:space="preserve"> </w:t>
      </w:r>
      <w:r>
        <w:rPr>
          <w:rFonts w:hint="eastAsia" w:ascii="宋体" w:hAnsi="宋体" w:eastAsia="宋体" w:cs="宋体"/>
          <w:sz w:val="24"/>
          <w:szCs w:val="24"/>
          <w:lang w:val="en-US" w:eastAsia="zh-CN"/>
        </w:rPr>
        <w:t xml:space="preserve"> </w:t>
      </w:r>
    </w:p>
    <w:p w14:paraId="374977EA">
      <w:pPr>
        <w:pStyle w:val="48"/>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sz w:val="24"/>
          <w:szCs w:val="24"/>
        </w:rPr>
      </w:pPr>
      <w:r>
        <w:rPr>
          <w:rFonts w:hint="eastAsia" w:ascii="宋体" w:hAnsi="宋体" w:eastAsia="宋体" w:cs="宋体"/>
          <w:sz w:val="24"/>
          <w:szCs w:val="24"/>
          <w:lang w:val="en-US" w:eastAsia="zh-CN"/>
        </w:rPr>
        <w:t>2.</w:t>
      </w:r>
      <w:r>
        <w:rPr>
          <w:rFonts w:hint="eastAsia" w:ascii="宋体" w:hAnsi="宋体" w:eastAsia="宋体" w:cs="宋体"/>
          <w:b/>
          <w:bCs/>
          <w:sz w:val="24"/>
          <w:szCs w:val="24"/>
        </w:rPr>
        <w:t>主要内容及实施情况</w:t>
      </w:r>
    </w:p>
    <w:p w14:paraId="3FD0EC67">
      <w:pPr>
        <w:pStyle w:val="48"/>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1）主要内容</w:t>
      </w:r>
    </w:p>
    <w:p w14:paraId="6FB4C715">
      <w:pPr>
        <w:pStyle w:val="59"/>
        <w:pageBreakBefore w:val="0"/>
        <w:widowControl w:val="0"/>
        <w:kinsoku/>
        <w:wordWrap/>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该项目主要针对洛浦县各乡镇（街道）监察办公室聘任的村级监察信息员按月发放补贴，按要求监察信息员每人每年工作经费不低于1200元。每个村（社区）聘任监察信息员3人，1人为组长，每年发放2400元，2人为成员，每年发放1200元。2024年发放人数726人。</w:t>
      </w:r>
    </w:p>
    <w:p w14:paraId="04F16519">
      <w:pPr>
        <w:pStyle w:val="48"/>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2.实施情况</w:t>
      </w:r>
    </w:p>
    <w:p w14:paraId="4D17B3BB">
      <w:pPr>
        <w:pStyle w:val="48"/>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sz w:val="24"/>
          <w:szCs w:val="24"/>
          <w:lang w:val="en-US"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1）项目实施主体</w:t>
      </w:r>
    </w:p>
    <w:p w14:paraId="4C16562C">
      <w:pPr>
        <w:pStyle w:val="48"/>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val="0"/>
          <w:color w:val="FF0000"/>
          <w:sz w:val="24"/>
          <w:szCs w:val="24"/>
          <w:lang w:val="en-US" w:eastAsia="zh-CN"/>
        </w:rPr>
      </w:pPr>
      <w:r>
        <w:rPr>
          <w:rFonts w:hint="eastAsia" w:ascii="宋体" w:hAnsi="宋体" w:eastAsia="宋体" w:cs="宋体"/>
          <w:b w:val="0"/>
          <w:bCs w:val="0"/>
          <w:sz w:val="24"/>
          <w:szCs w:val="24"/>
          <w:lang w:val="en-US" w:eastAsia="zh-CN"/>
        </w:rPr>
        <w:t>本项目主管部门为中共洛浦县纪律检查委员会，实施单位为中共洛浦县纪律检查委员会</w:t>
      </w:r>
      <w:r>
        <w:rPr>
          <w:rFonts w:hint="eastAsia" w:ascii="宋体" w:hAnsi="宋体" w:eastAsia="宋体" w:cs="宋体"/>
          <w:b w:val="0"/>
          <w:bCs w:val="0"/>
          <w:color w:val="auto"/>
          <w:sz w:val="24"/>
          <w:szCs w:val="24"/>
          <w:lang w:val="en-US" w:eastAsia="zh-CN"/>
        </w:rPr>
        <w:t>。</w:t>
      </w:r>
    </w:p>
    <w:p w14:paraId="2DD6D75D">
      <w:pPr>
        <w:pStyle w:val="48"/>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val="0"/>
          <w:color w:val="auto"/>
          <w:sz w:val="24"/>
          <w:szCs w:val="24"/>
          <w:lang w:val="en-US" w:eastAsia="zh-CN"/>
        </w:rPr>
      </w:pPr>
      <w:r>
        <w:rPr>
          <w:rFonts w:hint="eastAsia" w:ascii="宋体" w:hAnsi="宋体" w:eastAsia="宋体" w:cs="宋体"/>
          <w:b/>
          <w:bCs/>
          <w:sz w:val="24"/>
          <w:szCs w:val="24"/>
          <w:lang w:val="en-US" w:eastAsia="zh-CN"/>
        </w:rPr>
        <w:t>（2）项目实施时间</w:t>
      </w:r>
      <w:r>
        <w:rPr>
          <w:rFonts w:hint="eastAsia" w:ascii="宋体" w:hAnsi="宋体" w:eastAsia="宋体" w:cs="宋体"/>
          <w:b/>
          <w:bCs/>
          <w:color w:val="auto"/>
          <w:sz w:val="24"/>
          <w:szCs w:val="24"/>
          <w:lang w:val="en-US" w:eastAsia="zh-CN"/>
        </w:rPr>
        <w:t>：</w:t>
      </w:r>
      <w:r>
        <w:rPr>
          <w:rFonts w:hint="eastAsia" w:ascii="宋体" w:hAnsi="宋体" w:eastAsia="宋体" w:cs="宋体"/>
          <w:b w:val="0"/>
          <w:bCs w:val="0"/>
          <w:color w:val="auto"/>
          <w:sz w:val="24"/>
          <w:szCs w:val="24"/>
          <w:lang w:val="en-US" w:eastAsia="zh-CN"/>
        </w:rPr>
        <w:t>2023年7月-2024年10月</w:t>
      </w:r>
    </w:p>
    <w:p w14:paraId="6B869495">
      <w:pPr>
        <w:pStyle w:val="48"/>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FF0000"/>
          <w:sz w:val="24"/>
          <w:szCs w:val="24"/>
          <w:lang w:val="en-US" w:eastAsia="zh-CN"/>
        </w:rPr>
      </w:pPr>
      <w:r>
        <w:rPr>
          <w:rFonts w:hint="eastAsia" w:ascii="宋体" w:hAnsi="宋体" w:eastAsia="宋体" w:cs="宋体"/>
          <w:b/>
          <w:bCs/>
          <w:sz w:val="24"/>
          <w:szCs w:val="24"/>
          <w:lang w:val="en-US" w:eastAsia="zh-CN"/>
        </w:rPr>
        <w:t>（3）项目实施情况</w:t>
      </w:r>
    </w:p>
    <w:p w14:paraId="06B7866C">
      <w:pPr>
        <w:pStyle w:val="48"/>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本项目为连续性项目，于2024年12月25日前已完成2023年7月至2024年11月补助经费发放。</w:t>
      </w:r>
    </w:p>
    <w:p w14:paraId="186138C4">
      <w:pPr>
        <w:pStyle w:val="48"/>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洛浦县10个乡镇（街道）监察办公室按照《县（市、区）监察委员会派出乡镇（街道）监察办公室聘任监察信息员管理制度（试行）》，按照每村（社区）监察信息员不少于3名的要求，聘任监察信息员。一般由村（社区）党组织差额提名推荐监察信息员人选，主要从“两代表一委员”、农村无职党员、村务监督员、有威望的群众代表等中产生。特殊情况下，镇监察办公室可以直接指定。各乡镇（街道）监察办公室根据洛监发〔2019〕2号关于印发《洛浦县村（社区）监察信息员考核管理办法》的通知，对监察信息员进行考评后，按月申请发放补助经费。</w:t>
      </w:r>
    </w:p>
    <w:p w14:paraId="4DB77210">
      <w:pPr>
        <w:pStyle w:val="48"/>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4. 资金投入和使用情况</w:t>
      </w:r>
    </w:p>
    <w:p w14:paraId="386DEC4A">
      <w:pPr>
        <w:pStyle w:val="48"/>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（1）项目资金安排</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投入情况</w:t>
      </w:r>
    </w:p>
    <w:p w14:paraId="04FFEFFD">
      <w:pPr>
        <w:pStyle w:val="48"/>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本项目预算安排总额为</w:t>
      </w:r>
      <w:r>
        <w:rPr>
          <w:rFonts w:hint="eastAsia" w:ascii="宋体" w:hAnsi="宋体" w:eastAsia="宋体" w:cs="宋体"/>
          <w:color w:val="auto"/>
          <w:sz w:val="24"/>
          <w:szCs w:val="24"/>
          <w:lang w:val="en-US" w:eastAsia="zh-CN"/>
        </w:rPr>
        <w:t>134.73</w:t>
      </w:r>
      <w:r>
        <w:rPr>
          <w:rFonts w:hint="eastAsia" w:ascii="宋体" w:hAnsi="宋体" w:eastAsia="宋体" w:cs="宋体"/>
          <w:color w:val="auto"/>
          <w:sz w:val="24"/>
          <w:szCs w:val="24"/>
        </w:rPr>
        <w:t>万元，资金来源为</w:t>
      </w:r>
      <w:r>
        <w:rPr>
          <w:rFonts w:hint="eastAsia" w:ascii="宋体" w:hAnsi="宋体" w:eastAsia="宋体" w:cs="宋体"/>
          <w:color w:val="auto"/>
          <w:sz w:val="24"/>
          <w:szCs w:val="24"/>
          <w:lang w:eastAsia="zh-CN"/>
        </w:rPr>
        <w:t>县财政资金</w:t>
      </w:r>
      <w:r>
        <w:rPr>
          <w:rFonts w:hint="eastAsia" w:ascii="宋体" w:hAnsi="宋体" w:eastAsia="宋体" w:cs="宋体"/>
          <w:color w:val="auto"/>
          <w:sz w:val="24"/>
          <w:szCs w:val="24"/>
        </w:rPr>
        <w:t>，202</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年实际收到预算资金</w:t>
      </w:r>
      <w:r>
        <w:rPr>
          <w:rFonts w:hint="eastAsia" w:ascii="宋体" w:hAnsi="宋体" w:eastAsia="宋体" w:cs="宋体"/>
          <w:color w:val="auto"/>
          <w:sz w:val="24"/>
          <w:szCs w:val="24"/>
          <w:lang w:val="en-US" w:eastAsia="zh-CN"/>
        </w:rPr>
        <w:t>134.73</w:t>
      </w:r>
      <w:r>
        <w:rPr>
          <w:rFonts w:hint="eastAsia" w:ascii="宋体" w:hAnsi="宋体" w:eastAsia="宋体" w:cs="宋体"/>
          <w:color w:val="auto"/>
          <w:sz w:val="24"/>
          <w:szCs w:val="24"/>
        </w:rPr>
        <w:t>万元，预算资金到位率为</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w:t>
      </w:r>
    </w:p>
    <w:p w14:paraId="27DC1EF4">
      <w:pPr>
        <w:pStyle w:val="48"/>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（2）项目资金实际使用情况分析</w:t>
      </w:r>
    </w:p>
    <w:p w14:paraId="129ACC97">
      <w:pPr>
        <w:pStyle w:val="48"/>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本项目实际支付资金</w:t>
      </w:r>
      <w:r>
        <w:rPr>
          <w:rFonts w:hint="eastAsia" w:ascii="宋体" w:hAnsi="宋体" w:eastAsia="宋体" w:cs="宋体"/>
          <w:color w:val="auto"/>
          <w:sz w:val="24"/>
          <w:szCs w:val="24"/>
          <w:lang w:val="en-US" w:eastAsia="zh-CN"/>
        </w:rPr>
        <w:t>134.73</w:t>
      </w:r>
      <w:r>
        <w:rPr>
          <w:rFonts w:hint="eastAsia" w:ascii="宋体" w:hAnsi="宋体" w:eastAsia="宋体" w:cs="宋体"/>
          <w:color w:val="auto"/>
          <w:sz w:val="24"/>
          <w:szCs w:val="24"/>
        </w:rPr>
        <w:t>万元，预算执行率</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%。本项目资金主要用于支付</w:t>
      </w:r>
      <w:r>
        <w:rPr>
          <w:rFonts w:hint="eastAsia" w:ascii="宋体" w:hAnsi="宋体" w:eastAsia="宋体" w:cs="宋体"/>
          <w:color w:val="auto"/>
          <w:sz w:val="24"/>
          <w:szCs w:val="24"/>
          <w:lang w:eastAsia="zh-CN"/>
        </w:rPr>
        <w:t>村级监察信息员补贴发放</w:t>
      </w:r>
      <w:r>
        <w:rPr>
          <w:rFonts w:hint="eastAsia" w:ascii="宋体" w:hAnsi="宋体" w:eastAsia="宋体" w:cs="宋体"/>
          <w:color w:val="auto"/>
          <w:sz w:val="24"/>
          <w:szCs w:val="24"/>
        </w:rPr>
        <w:t>。</w:t>
      </w:r>
    </w:p>
    <w:p w14:paraId="108882CF">
      <w:pPr>
        <w:pStyle w:val="58"/>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bookmarkStart w:id="2" w:name="_Toc68364659"/>
      <w:r>
        <w:rPr>
          <w:rFonts w:hint="eastAsia" w:ascii="宋体" w:hAnsi="宋体" w:eastAsia="宋体" w:cs="宋体"/>
          <w:sz w:val="24"/>
          <w:szCs w:val="24"/>
        </w:rPr>
        <w:t>（二）项目绩效目标</w:t>
      </w:r>
      <w:bookmarkEnd w:id="2"/>
    </w:p>
    <w:p w14:paraId="30C71CE4">
      <w:pPr>
        <w:pStyle w:val="48"/>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项目绩效目标包括项目总</w:t>
      </w:r>
      <w:r>
        <w:rPr>
          <w:rFonts w:hint="eastAsia" w:ascii="宋体" w:hAnsi="宋体" w:eastAsia="宋体" w:cs="宋体"/>
          <w:sz w:val="24"/>
          <w:szCs w:val="24"/>
          <w:lang w:val="en-US" w:eastAsia="zh-CN"/>
        </w:rPr>
        <w:t>体</w:t>
      </w:r>
      <w:r>
        <w:rPr>
          <w:rFonts w:hint="eastAsia" w:ascii="宋体" w:hAnsi="宋体" w:eastAsia="宋体" w:cs="宋体"/>
          <w:sz w:val="24"/>
          <w:szCs w:val="24"/>
        </w:rPr>
        <w:t>目标和阶段性目标。</w:t>
      </w:r>
    </w:p>
    <w:p w14:paraId="7F4E1006">
      <w:pPr>
        <w:pStyle w:val="48"/>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1.总</w:t>
      </w:r>
      <w:r>
        <w:rPr>
          <w:rFonts w:hint="eastAsia" w:ascii="宋体" w:hAnsi="宋体" w:eastAsia="宋体" w:cs="宋体"/>
          <w:b/>
          <w:bCs/>
          <w:sz w:val="24"/>
          <w:szCs w:val="24"/>
          <w:lang w:val="en-US" w:eastAsia="zh-CN"/>
        </w:rPr>
        <w:t>体</w:t>
      </w:r>
      <w:r>
        <w:rPr>
          <w:rFonts w:hint="eastAsia" w:ascii="宋体" w:hAnsi="宋体" w:eastAsia="宋体" w:cs="宋体"/>
          <w:b/>
          <w:bCs/>
          <w:sz w:val="24"/>
          <w:szCs w:val="24"/>
        </w:rPr>
        <w:t>目标</w:t>
      </w:r>
    </w:p>
    <w:p w14:paraId="0F6CD6A6">
      <w:pPr>
        <w:pStyle w:val="48"/>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补贴发放16个月，发放人数726人，总金额</w:t>
      </w:r>
      <w:r>
        <w:rPr>
          <w:rFonts w:hint="eastAsia" w:ascii="宋体" w:hAnsi="宋体" w:eastAsia="宋体" w:cs="宋体"/>
          <w:color w:val="auto"/>
          <w:sz w:val="24"/>
          <w:szCs w:val="24"/>
          <w:lang w:val="en-US" w:eastAsia="zh-CN"/>
        </w:rPr>
        <w:t>134.73</w:t>
      </w:r>
      <w:r>
        <w:rPr>
          <w:rFonts w:hint="eastAsia" w:ascii="宋体" w:hAnsi="宋体" w:eastAsia="宋体" w:cs="宋体"/>
          <w:color w:val="auto"/>
          <w:sz w:val="24"/>
          <w:szCs w:val="24"/>
          <w:lang w:eastAsia="zh-CN"/>
        </w:rPr>
        <w:t>万元，通过项目实施，有效提升监察信息员经费保障水平。</w:t>
      </w:r>
    </w:p>
    <w:p w14:paraId="6C63CB73">
      <w:pPr>
        <w:pStyle w:val="48"/>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阶段性目标</w:t>
      </w:r>
    </w:p>
    <w:p w14:paraId="0B571C35">
      <w:pPr>
        <w:pStyle w:val="48"/>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bookmarkStart w:id="3" w:name="_Toc68364660"/>
      <w:r>
        <w:rPr>
          <w:rFonts w:hint="eastAsia" w:ascii="宋体" w:hAnsi="宋体" w:eastAsia="宋体" w:cs="宋体"/>
          <w:color w:val="auto"/>
          <w:sz w:val="24"/>
          <w:szCs w:val="24"/>
          <w:lang w:val="en-US" w:eastAsia="zh-CN"/>
        </w:rPr>
        <w:t>我</w:t>
      </w:r>
      <w:r>
        <w:rPr>
          <w:rFonts w:hint="eastAsia" w:ascii="宋体" w:hAnsi="宋体" w:eastAsia="宋体" w:cs="宋体"/>
          <w:color w:val="auto"/>
          <w:sz w:val="24"/>
          <w:szCs w:val="24"/>
        </w:rPr>
        <w:t>单位根据《项目支出绩效评价管理办法》（财预〔2020〕10号）《关于印发〈自治区财政支出绩效评价管理暂行办法〉的通知》（新财预〔2018〕189号）以及自治区财政厅《关于印发〈自治区项目支出绩效目标设置指引〉的通知》（新财预〔2022〕42号）的规定，结合项目相关信息，设置了年度绩效目标如下：</w:t>
      </w:r>
    </w:p>
    <w:p w14:paraId="28CF9E1F">
      <w:pPr>
        <w:pStyle w:val="48"/>
        <w:pageBreakBefore w:val="0"/>
        <w:widowControl w:val="0"/>
        <w:numPr>
          <w:ilvl w:val="0"/>
          <w:numId w:val="3"/>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产出指标</w:t>
      </w:r>
    </w:p>
    <w:p w14:paraId="4EB7489B">
      <w:pPr>
        <w:pStyle w:val="48"/>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数量指标:</w:t>
      </w:r>
    </w:p>
    <w:p w14:paraId="6AB75E9C">
      <w:pPr>
        <w:pStyle w:val="48"/>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指标1：预期指标值为</w:t>
      </w:r>
      <w:r>
        <w:rPr>
          <w:rFonts w:hint="eastAsia" w:ascii="宋体" w:hAnsi="宋体" w:eastAsia="宋体" w:cs="宋体"/>
          <w:color w:val="auto"/>
          <w:sz w:val="24"/>
          <w:szCs w:val="24"/>
          <w:lang w:eastAsia="zh-CN"/>
        </w:rPr>
        <w:t>补贴发放月数</w:t>
      </w:r>
      <w:r>
        <w:rPr>
          <w:rFonts w:hint="eastAsia" w:ascii="宋体" w:hAnsi="宋体" w:eastAsia="宋体" w:cs="宋体"/>
          <w:color w:val="auto"/>
          <w:sz w:val="24"/>
          <w:szCs w:val="24"/>
        </w:rPr>
        <w:t>=16个月；</w:t>
      </w:r>
    </w:p>
    <w:p w14:paraId="5D462BF8">
      <w:pPr>
        <w:pStyle w:val="48"/>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指标2：预期指标值为</w:t>
      </w:r>
      <w:r>
        <w:rPr>
          <w:rFonts w:hint="eastAsia" w:ascii="宋体" w:hAnsi="宋体" w:eastAsia="宋体" w:cs="宋体"/>
          <w:color w:val="auto"/>
          <w:sz w:val="24"/>
          <w:szCs w:val="24"/>
          <w:lang w:eastAsia="zh-CN"/>
        </w:rPr>
        <w:t>补贴发放人数</w:t>
      </w:r>
      <w:r>
        <w:rPr>
          <w:rFonts w:hint="eastAsia" w:ascii="宋体" w:hAnsi="宋体" w:eastAsia="宋体" w:cs="宋体"/>
          <w:color w:val="auto"/>
          <w:sz w:val="24"/>
          <w:szCs w:val="24"/>
          <w:lang w:val="en-US" w:eastAsia="zh-CN"/>
        </w:rPr>
        <w:t>=726人</w:t>
      </w:r>
      <w:r>
        <w:rPr>
          <w:rFonts w:hint="eastAsia" w:ascii="宋体" w:hAnsi="宋体" w:eastAsia="宋体" w:cs="宋体"/>
          <w:color w:val="auto"/>
          <w:sz w:val="24"/>
          <w:szCs w:val="24"/>
        </w:rPr>
        <w:t>；</w:t>
      </w:r>
    </w:p>
    <w:p w14:paraId="26EFB240">
      <w:pPr>
        <w:pStyle w:val="48"/>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2）质量指标：</w:t>
      </w:r>
    </w:p>
    <w:p w14:paraId="7BE705A4">
      <w:pPr>
        <w:pStyle w:val="48"/>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指标1：预期指标值为</w:t>
      </w:r>
      <w:r>
        <w:rPr>
          <w:rFonts w:hint="eastAsia" w:ascii="宋体" w:hAnsi="宋体" w:eastAsia="宋体" w:cs="宋体"/>
          <w:color w:val="auto"/>
          <w:sz w:val="24"/>
          <w:szCs w:val="24"/>
          <w:lang w:eastAsia="zh-CN"/>
        </w:rPr>
        <w:t>资金使用合规率</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w:t>
      </w:r>
    </w:p>
    <w:p w14:paraId="7886AF26">
      <w:pPr>
        <w:pStyle w:val="48"/>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指标2：预期指标值为</w:t>
      </w:r>
      <w:r>
        <w:rPr>
          <w:rFonts w:hint="eastAsia" w:ascii="宋体" w:hAnsi="宋体" w:eastAsia="宋体" w:cs="宋体"/>
          <w:color w:val="auto"/>
          <w:sz w:val="24"/>
          <w:szCs w:val="24"/>
          <w:lang w:eastAsia="zh-CN"/>
        </w:rPr>
        <w:t>补助覆盖率</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w:t>
      </w:r>
    </w:p>
    <w:p w14:paraId="24D24890">
      <w:pPr>
        <w:pStyle w:val="48"/>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指标</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：预期指标值为</w:t>
      </w:r>
      <w:r>
        <w:rPr>
          <w:rFonts w:hint="eastAsia" w:ascii="宋体" w:hAnsi="宋体" w:eastAsia="宋体" w:cs="宋体"/>
          <w:color w:val="auto"/>
          <w:sz w:val="24"/>
          <w:szCs w:val="24"/>
          <w:lang w:eastAsia="zh-CN"/>
        </w:rPr>
        <w:t>补助金发放率</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w:t>
      </w:r>
    </w:p>
    <w:p w14:paraId="2018CC5C">
      <w:pPr>
        <w:pStyle w:val="48"/>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3）时效目标：</w:t>
      </w:r>
    </w:p>
    <w:p w14:paraId="32C2C412">
      <w:pPr>
        <w:pStyle w:val="48"/>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指标1：预期指标值为</w:t>
      </w:r>
      <w:r>
        <w:rPr>
          <w:rFonts w:hint="eastAsia" w:ascii="宋体" w:hAnsi="宋体" w:eastAsia="宋体" w:cs="宋体"/>
          <w:color w:val="auto"/>
          <w:sz w:val="24"/>
          <w:szCs w:val="24"/>
          <w:lang w:eastAsia="zh-CN"/>
        </w:rPr>
        <w:t>资金支付及时率</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w:t>
      </w:r>
    </w:p>
    <w:p w14:paraId="2F101128">
      <w:pPr>
        <w:pStyle w:val="48"/>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指标2：预期指标值为</w:t>
      </w:r>
      <w:r>
        <w:rPr>
          <w:rFonts w:hint="eastAsia" w:ascii="宋体" w:hAnsi="宋体" w:eastAsia="宋体" w:cs="宋体"/>
          <w:color w:val="auto"/>
          <w:sz w:val="24"/>
          <w:szCs w:val="24"/>
          <w:lang w:eastAsia="zh-CN"/>
        </w:rPr>
        <w:t>项目开始时间</w:t>
      </w:r>
      <w:r>
        <w:rPr>
          <w:rFonts w:hint="eastAsia" w:ascii="宋体" w:hAnsi="宋体" w:eastAsia="宋体" w:cs="宋体"/>
          <w:color w:val="auto"/>
          <w:sz w:val="24"/>
          <w:szCs w:val="24"/>
          <w:lang w:val="en-US" w:eastAsia="zh-CN"/>
        </w:rPr>
        <w:t>2023年7月</w:t>
      </w:r>
      <w:r>
        <w:rPr>
          <w:rFonts w:hint="eastAsia" w:ascii="宋体" w:hAnsi="宋体" w:eastAsia="宋体" w:cs="宋体"/>
          <w:color w:val="auto"/>
          <w:sz w:val="24"/>
          <w:szCs w:val="24"/>
        </w:rPr>
        <w:t>；</w:t>
      </w:r>
    </w:p>
    <w:p w14:paraId="7D1BE84C">
      <w:pPr>
        <w:pStyle w:val="48"/>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指标</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：预期指标值为</w:t>
      </w:r>
      <w:r>
        <w:rPr>
          <w:rFonts w:hint="eastAsia" w:ascii="宋体" w:hAnsi="宋体" w:eastAsia="宋体" w:cs="宋体"/>
          <w:color w:val="auto"/>
          <w:sz w:val="24"/>
          <w:szCs w:val="24"/>
          <w:lang w:eastAsia="zh-CN"/>
        </w:rPr>
        <w:t>项目结束时间</w:t>
      </w:r>
      <w:r>
        <w:rPr>
          <w:rFonts w:hint="eastAsia" w:ascii="宋体" w:hAnsi="宋体" w:eastAsia="宋体" w:cs="宋体"/>
          <w:color w:val="auto"/>
          <w:sz w:val="24"/>
          <w:szCs w:val="24"/>
          <w:lang w:val="en-US" w:eastAsia="zh-CN"/>
        </w:rPr>
        <w:t>2024年10月</w:t>
      </w:r>
      <w:r>
        <w:rPr>
          <w:rFonts w:hint="eastAsia" w:ascii="宋体" w:hAnsi="宋体" w:eastAsia="宋体" w:cs="宋体"/>
          <w:color w:val="auto"/>
          <w:sz w:val="24"/>
          <w:szCs w:val="24"/>
        </w:rPr>
        <w:t>；</w:t>
      </w:r>
    </w:p>
    <w:p w14:paraId="48596A75">
      <w:pPr>
        <w:pStyle w:val="48"/>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 xml:space="preserve">（2）成本指标： </w:t>
      </w:r>
    </w:p>
    <w:p w14:paraId="5775D878">
      <w:pPr>
        <w:pStyle w:val="48"/>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1）经济成本指标</w:t>
      </w:r>
    </w:p>
    <w:p w14:paraId="06EB9CB5">
      <w:pPr>
        <w:pStyle w:val="48"/>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指标1：预期指标值为</w:t>
      </w:r>
      <w:r>
        <w:rPr>
          <w:rFonts w:hint="eastAsia" w:ascii="宋体" w:hAnsi="宋体" w:eastAsia="宋体" w:cs="宋体"/>
          <w:color w:val="auto"/>
          <w:sz w:val="24"/>
          <w:szCs w:val="24"/>
          <w:lang w:eastAsia="zh-CN"/>
        </w:rPr>
        <w:t>主任月发放标准</w:t>
      </w:r>
      <w:r>
        <w:rPr>
          <w:rFonts w:hint="eastAsia" w:ascii="宋体" w:hAnsi="宋体" w:eastAsia="宋体" w:cs="宋体"/>
          <w:color w:val="auto"/>
          <w:sz w:val="24"/>
          <w:szCs w:val="24"/>
          <w:lang w:val="en-US" w:eastAsia="zh-CN"/>
        </w:rPr>
        <w:t>=200元/人/月</w:t>
      </w:r>
      <w:r>
        <w:rPr>
          <w:rFonts w:hint="eastAsia" w:ascii="宋体" w:hAnsi="宋体" w:eastAsia="宋体" w:cs="宋体"/>
          <w:color w:val="auto"/>
          <w:sz w:val="24"/>
          <w:szCs w:val="24"/>
        </w:rPr>
        <w:t>；</w:t>
      </w:r>
    </w:p>
    <w:p w14:paraId="02DDF043">
      <w:pPr>
        <w:pStyle w:val="48"/>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指标</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：预期指标值为</w:t>
      </w:r>
      <w:r>
        <w:rPr>
          <w:rFonts w:hint="eastAsia" w:ascii="宋体" w:hAnsi="宋体" w:eastAsia="宋体" w:cs="宋体"/>
          <w:color w:val="auto"/>
          <w:sz w:val="24"/>
          <w:szCs w:val="24"/>
          <w:lang w:eastAsia="zh-CN"/>
        </w:rPr>
        <w:t>成员月发放标准</w:t>
      </w:r>
      <w:r>
        <w:rPr>
          <w:rFonts w:hint="eastAsia" w:ascii="宋体" w:hAnsi="宋体" w:eastAsia="宋体" w:cs="宋体"/>
          <w:color w:val="auto"/>
          <w:sz w:val="24"/>
          <w:szCs w:val="24"/>
          <w:lang w:val="en-US" w:eastAsia="zh-CN"/>
        </w:rPr>
        <w:t>=100元/人/月</w:t>
      </w:r>
      <w:r>
        <w:rPr>
          <w:rFonts w:hint="eastAsia" w:ascii="宋体" w:hAnsi="宋体" w:eastAsia="宋体" w:cs="宋体"/>
          <w:color w:val="auto"/>
          <w:sz w:val="24"/>
          <w:szCs w:val="24"/>
        </w:rPr>
        <w:t>；</w:t>
      </w:r>
    </w:p>
    <w:p w14:paraId="4051E702">
      <w:pPr>
        <w:pStyle w:val="48"/>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（3）效益指标：</w:t>
      </w:r>
    </w:p>
    <w:p w14:paraId="451E4EE2">
      <w:pPr>
        <w:pStyle w:val="48"/>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1）社会效益指标：</w:t>
      </w:r>
    </w:p>
    <w:p w14:paraId="2971FDF3">
      <w:pPr>
        <w:pStyle w:val="48"/>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指标1：预期指标值为</w:t>
      </w:r>
      <w:r>
        <w:rPr>
          <w:rFonts w:hint="eastAsia" w:ascii="宋体" w:hAnsi="宋体" w:eastAsia="宋体" w:cs="宋体"/>
          <w:color w:val="auto"/>
          <w:sz w:val="24"/>
          <w:szCs w:val="24"/>
          <w:lang w:eastAsia="zh-CN"/>
        </w:rPr>
        <w:t>有效提升监察信息员经费保障水平</w:t>
      </w:r>
      <w:r>
        <w:rPr>
          <w:rFonts w:hint="eastAsia" w:ascii="宋体" w:hAnsi="宋体" w:eastAsia="宋体" w:cs="宋体"/>
          <w:color w:val="auto"/>
          <w:sz w:val="24"/>
          <w:szCs w:val="24"/>
        </w:rPr>
        <w:t>；</w:t>
      </w:r>
    </w:p>
    <w:p w14:paraId="6FD90055">
      <w:pPr>
        <w:pStyle w:val="48"/>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（4）服务对象满意度指标：</w:t>
      </w:r>
    </w:p>
    <w:p w14:paraId="55596784">
      <w:pPr>
        <w:pStyle w:val="48"/>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指标1：预期指标值为</w:t>
      </w:r>
      <w:r>
        <w:rPr>
          <w:rFonts w:hint="eastAsia" w:ascii="宋体" w:hAnsi="宋体" w:eastAsia="宋体" w:cs="宋体"/>
          <w:color w:val="auto"/>
          <w:sz w:val="24"/>
          <w:szCs w:val="24"/>
          <w:lang w:eastAsia="zh-CN"/>
        </w:rPr>
        <w:t>收益人员满意度</w:t>
      </w:r>
      <w:r>
        <w:rPr>
          <w:rFonts w:hint="eastAsia" w:ascii="宋体" w:hAnsi="宋体" w:eastAsia="宋体" w:cs="宋体"/>
          <w:color w:val="auto"/>
          <w:sz w:val="24"/>
          <w:szCs w:val="24"/>
          <w:lang w:val="en-US" w:eastAsia="zh-CN"/>
        </w:rPr>
        <w:t xml:space="preserve"> &gt;=95%</w:t>
      </w:r>
      <w:r>
        <w:rPr>
          <w:rFonts w:hint="eastAsia" w:ascii="宋体" w:hAnsi="宋体" w:eastAsia="宋体" w:cs="宋体"/>
          <w:color w:val="auto"/>
          <w:sz w:val="24"/>
          <w:szCs w:val="24"/>
        </w:rPr>
        <w:t>；</w:t>
      </w:r>
    </w:p>
    <w:p w14:paraId="223B7B88">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sz w:val="24"/>
          <w:szCs w:val="24"/>
        </w:rPr>
      </w:pPr>
    </w:p>
    <w:p w14:paraId="1083E156">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sz w:val="24"/>
          <w:szCs w:val="24"/>
        </w:rPr>
      </w:pPr>
      <w:r>
        <w:rPr>
          <w:rFonts w:hint="eastAsia" w:ascii="黑体" w:hAnsi="黑体" w:eastAsia="黑体" w:cs="黑体"/>
          <w:sz w:val="24"/>
          <w:szCs w:val="24"/>
        </w:rPr>
        <w:t>二、绩效评价工作开展情况</w:t>
      </w:r>
      <w:bookmarkEnd w:id="3"/>
    </w:p>
    <w:p w14:paraId="20A54F74">
      <w:pPr>
        <w:pStyle w:val="58"/>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bookmarkStart w:id="4" w:name="_Toc68364661"/>
      <w:r>
        <w:rPr>
          <w:rFonts w:hint="eastAsia" w:ascii="宋体" w:hAnsi="宋体" w:eastAsia="宋体" w:cs="宋体"/>
          <w:sz w:val="24"/>
          <w:szCs w:val="24"/>
        </w:rPr>
        <w:t>（一）绩效评价目的、对象和范围</w:t>
      </w:r>
      <w:bookmarkEnd w:id="4"/>
    </w:p>
    <w:p w14:paraId="06DD9CB7">
      <w:pPr>
        <w:pStyle w:val="48"/>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1. 绩效评价目的</w:t>
      </w:r>
    </w:p>
    <w:p w14:paraId="4B39098D">
      <w:pPr>
        <w:pStyle w:val="48"/>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本次绩效评价遵循财政部《项目支出绩效评价管理办法》（财预〔2020〕10号）《自治区财政支出绩效评价管理暂行办法》（新财预〔2018〕189号）</w:t>
      </w:r>
      <w:r>
        <w:rPr>
          <w:rFonts w:hint="eastAsia" w:ascii="宋体" w:hAnsi="宋体" w:eastAsia="宋体" w:cs="宋体"/>
          <w:sz w:val="24"/>
          <w:szCs w:val="24"/>
          <w:lang w:val="en-US" w:eastAsia="zh-CN"/>
        </w:rPr>
        <w:t>及</w:t>
      </w:r>
      <w:r>
        <w:rPr>
          <w:rFonts w:hint="eastAsia" w:ascii="宋体" w:hAnsi="宋体" w:eastAsia="宋体" w:cs="宋体"/>
          <w:sz w:val="24"/>
          <w:szCs w:val="24"/>
        </w:rPr>
        <w:t>自治区财政厅《关于印发〈自治区项目支出绩效目标设置指引〉的通知》（新财预〔2022〕42号）</w:t>
      </w:r>
      <w:r>
        <w:rPr>
          <w:rFonts w:hint="eastAsia" w:ascii="宋体" w:hAnsi="宋体" w:eastAsia="宋体" w:cs="宋体"/>
          <w:sz w:val="24"/>
          <w:szCs w:val="24"/>
          <w:highlight w:val="none"/>
        </w:rPr>
        <w:t>等相关政策文件与规</w:t>
      </w:r>
      <w:r>
        <w:rPr>
          <w:rFonts w:hint="eastAsia" w:ascii="宋体" w:hAnsi="宋体" w:eastAsia="宋体" w:cs="宋体"/>
          <w:sz w:val="24"/>
          <w:szCs w:val="24"/>
        </w:rPr>
        <w:t>定，对</w:t>
      </w:r>
      <w:r>
        <w:rPr>
          <w:rFonts w:hint="eastAsia" w:ascii="宋体" w:hAnsi="宋体" w:eastAsia="宋体" w:cs="宋体"/>
          <w:sz w:val="24"/>
          <w:szCs w:val="24"/>
          <w:lang w:val="en-US" w:eastAsia="zh-CN"/>
        </w:rPr>
        <w:t>20</w:t>
      </w:r>
      <w:r>
        <w:rPr>
          <w:rFonts w:hint="eastAsia" w:ascii="宋体" w:hAnsi="宋体" w:eastAsia="宋体" w:cs="宋体"/>
          <w:color w:val="auto"/>
          <w:sz w:val="24"/>
          <w:szCs w:val="24"/>
          <w:lang w:val="en-US" w:eastAsia="zh-CN"/>
        </w:rPr>
        <w:t>24年</w:t>
      </w:r>
      <w:r>
        <w:rPr>
          <w:rFonts w:hint="eastAsia" w:ascii="宋体" w:hAnsi="宋体" w:eastAsia="宋体" w:cs="宋体"/>
          <w:color w:val="auto"/>
          <w:sz w:val="24"/>
          <w:szCs w:val="24"/>
          <w:lang w:eastAsia="zh-CN"/>
        </w:rPr>
        <w:t>监察信息员经费</w:t>
      </w:r>
      <w:r>
        <w:rPr>
          <w:rFonts w:hint="eastAsia" w:ascii="宋体" w:hAnsi="宋体" w:eastAsia="宋体" w:cs="宋体"/>
          <w:color w:val="auto"/>
          <w:sz w:val="24"/>
          <w:szCs w:val="24"/>
        </w:rPr>
        <w:t>项目开展本次部门项目支出绩效评价工作。全面了解</w:t>
      </w:r>
      <w:r>
        <w:rPr>
          <w:rFonts w:hint="eastAsia" w:ascii="宋体" w:hAnsi="宋体" w:eastAsia="宋体" w:cs="宋体"/>
          <w:color w:val="auto"/>
          <w:sz w:val="24"/>
          <w:szCs w:val="24"/>
          <w:lang w:val="en-US" w:eastAsia="zh-CN"/>
        </w:rPr>
        <w:t>2024年</w:t>
      </w:r>
      <w:r>
        <w:rPr>
          <w:rFonts w:hint="eastAsia" w:ascii="宋体" w:hAnsi="宋体" w:eastAsia="宋体" w:cs="宋体"/>
          <w:color w:val="auto"/>
          <w:sz w:val="24"/>
          <w:szCs w:val="24"/>
          <w:lang w:eastAsia="zh-CN"/>
        </w:rPr>
        <w:t>监察信息员经费</w:t>
      </w:r>
      <w:r>
        <w:rPr>
          <w:rFonts w:hint="eastAsia" w:ascii="宋体" w:hAnsi="宋体" w:eastAsia="宋体" w:cs="宋体"/>
          <w:color w:val="auto"/>
          <w:sz w:val="24"/>
          <w:szCs w:val="24"/>
        </w:rPr>
        <w:t>项目预算编制合理性、资金使用合规性、项目管理的规范性、项目目标的实现情况、服务对象的</w:t>
      </w:r>
      <w:r>
        <w:rPr>
          <w:rFonts w:hint="eastAsia" w:ascii="宋体" w:hAnsi="宋体" w:eastAsia="宋体" w:cs="宋体"/>
          <w:sz w:val="24"/>
          <w:szCs w:val="24"/>
        </w:rPr>
        <w:t>满意度等项目实施前期、过程及</w:t>
      </w:r>
      <w:r>
        <w:rPr>
          <w:rFonts w:hint="eastAsia" w:ascii="宋体" w:hAnsi="宋体" w:eastAsia="宋体" w:cs="宋体"/>
          <w:sz w:val="24"/>
          <w:szCs w:val="24"/>
          <w:lang w:val="en-US" w:eastAsia="zh-CN"/>
        </w:rPr>
        <w:t>实施</w:t>
      </w:r>
      <w:r>
        <w:rPr>
          <w:rFonts w:hint="eastAsia" w:ascii="宋体" w:hAnsi="宋体" w:eastAsia="宋体" w:cs="宋体"/>
          <w:sz w:val="24"/>
          <w:szCs w:val="24"/>
        </w:rPr>
        <w:t>效果</w:t>
      </w:r>
      <w:r>
        <w:rPr>
          <w:rFonts w:hint="eastAsia" w:ascii="宋体" w:hAnsi="宋体" w:eastAsia="宋体" w:cs="宋体"/>
          <w:sz w:val="24"/>
          <w:szCs w:val="24"/>
          <w:lang w:val="en-US" w:eastAsia="zh-CN"/>
        </w:rPr>
        <w:t>情况。</w:t>
      </w:r>
    </w:p>
    <w:p w14:paraId="4C80E8C3">
      <w:pPr>
        <w:pStyle w:val="48"/>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通过部门项目支出绩效评价，进一步严格落实《中华人民共和国预算法》以及《中共中央国务院关于全面实施预算绩效管理的意见》（中发〔2018〕34号）《自治区党委自治区人民政府关于全面实施预算绩效管理的实施意见》（新党发〔2018〕30号）政策文件的指示精神，有助于建立健全“花钱必问效、无效必问责”的绩效预算管理机制。</w:t>
      </w:r>
    </w:p>
    <w:p w14:paraId="65474289">
      <w:pPr>
        <w:pStyle w:val="48"/>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通过部门项目支出绩效评价，进一步做实绩效目标，将绩效指标细化为数量指标、质量指标、时效指标、成本指标、经济效益指标、社会效益指标、服务对象满意度指标等内容，保证项目绩效指标设置科学、规范、合理、可衡量。</w:t>
      </w:r>
    </w:p>
    <w:p w14:paraId="1C2CCEE7">
      <w:pPr>
        <w:pStyle w:val="48"/>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sz w:val="24"/>
          <w:szCs w:val="24"/>
          <w:lang w:val="en-US" w:eastAsia="zh-CN"/>
        </w:rPr>
        <w:t>同时，通过部门项目支出绩效评价，可促进本单位发现预算项目管理中的问题、总结经验、改进工作，以提高</w:t>
      </w:r>
      <w:r>
        <w:rPr>
          <w:rFonts w:hint="eastAsia" w:ascii="宋体" w:hAnsi="宋体" w:eastAsia="宋体" w:cs="宋体"/>
          <w:sz w:val="24"/>
          <w:szCs w:val="24"/>
        </w:rPr>
        <w:t>财政预算资金使用的效率及效益。</w:t>
      </w:r>
    </w:p>
    <w:p w14:paraId="1FA1444D">
      <w:pPr>
        <w:pStyle w:val="48"/>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 绩效评价对象</w:t>
      </w:r>
    </w:p>
    <w:p w14:paraId="377AB027">
      <w:pPr>
        <w:pStyle w:val="48"/>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此</w:t>
      </w:r>
      <w:r>
        <w:rPr>
          <w:rFonts w:hint="eastAsia" w:ascii="宋体" w:hAnsi="宋体" w:eastAsia="宋体" w:cs="宋体"/>
          <w:color w:val="auto"/>
          <w:sz w:val="24"/>
          <w:szCs w:val="24"/>
          <w:highlight w:val="none"/>
        </w:rPr>
        <w:t>次绩效评价遵循财政部《项目支出绩效评价管理办法》（财预〔2020〕10号）和《自治区财政支出绩效评价管理暂行办法》（新财预〔2018〕189号）等政策文件规定，以</w:t>
      </w:r>
      <w:r>
        <w:rPr>
          <w:rFonts w:hint="eastAsia" w:ascii="宋体" w:hAnsi="宋体" w:eastAsia="宋体" w:cs="宋体"/>
          <w:sz w:val="24"/>
          <w:szCs w:val="24"/>
          <w:lang w:val="en-US" w:eastAsia="zh-CN"/>
        </w:rPr>
        <w:t>2024</w:t>
      </w:r>
      <w:r>
        <w:rPr>
          <w:rFonts w:hint="eastAsia" w:ascii="宋体" w:hAnsi="宋体" w:eastAsia="宋体" w:cs="宋体"/>
          <w:color w:val="auto"/>
          <w:sz w:val="24"/>
          <w:szCs w:val="24"/>
          <w:lang w:val="en-US" w:eastAsia="zh-CN"/>
        </w:rPr>
        <w:t>年</w:t>
      </w:r>
      <w:r>
        <w:rPr>
          <w:rFonts w:hint="eastAsia" w:ascii="宋体" w:hAnsi="宋体" w:eastAsia="宋体" w:cs="宋体"/>
          <w:color w:val="auto"/>
          <w:sz w:val="24"/>
          <w:szCs w:val="24"/>
          <w:lang w:eastAsia="zh-CN"/>
        </w:rPr>
        <w:t>监察信息员经费</w:t>
      </w:r>
      <w:r>
        <w:rPr>
          <w:rFonts w:hint="eastAsia" w:ascii="宋体" w:hAnsi="宋体" w:eastAsia="宋体" w:cs="宋体"/>
          <w:color w:val="auto"/>
          <w:sz w:val="24"/>
          <w:szCs w:val="24"/>
          <w:highlight w:val="none"/>
        </w:rPr>
        <w:t>项目为</w:t>
      </w:r>
      <w:r>
        <w:rPr>
          <w:rFonts w:hint="eastAsia" w:ascii="宋体" w:hAnsi="宋体" w:eastAsia="宋体" w:cs="宋体"/>
          <w:color w:val="auto"/>
          <w:sz w:val="24"/>
          <w:szCs w:val="24"/>
          <w:highlight w:val="none"/>
          <w:lang w:val="en-US" w:eastAsia="zh-CN"/>
        </w:rPr>
        <w:t>评价</w:t>
      </w:r>
      <w:r>
        <w:rPr>
          <w:rFonts w:hint="eastAsia" w:ascii="宋体" w:hAnsi="宋体" w:eastAsia="宋体" w:cs="宋体"/>
          <w:color w:val="auto"/>
          <w:sz w:val="24"/>
          <w:szCs w:val="24"/>
          <w:highlight w:val="none"/>
        </w:rPr>
        <w:t>对象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对该项目决策、</w:t>
      </w:r>
      <w:r>
        <w:rPr>
          <w:rFonts w:hint="eastAsia" w:ascii="宋体" w:hAnsi="宋体" w:eastAsia="宋体" w:cs="宋体"/>
          <w:color w:val="auto"/>
          <w:sz w:val="24"/>
          <w:szCs w:val="24"/>
          <w:highlight w:val="none"/>
          <w:lang w:val="en-US" w:eastAsia="zh-CN"/>
        </w:rPr>
        <w:t>项目资金管理、项目实施</w:t>
      </w:r>
      <w:r>
        <w:rPr>
          <w:rFonts w:hint="eastAsia" w:ascii="宋体" w:hAnsi="宋体" w:eastAsia="宋体" w:cs="宋体"/>
          <w:color w:val="auto"/>
          <w:sz w:val="24"/>
          <w:szCs w:val="24"/>
          <w:highlight w:val="none"/>
        </w:rPr>
        <w:t>过程</w:t>
      </w:r>
      <w:r>
        <w:rPr>
          <w:rFonts w:hint="eastAsia" w:ascii="宋体" w:hAnsi="宋体" w:eastAsia="宋体" w:cs="宋体"/>
          <w:color w:val="auto"/>
          <w:sz w:val="24"/>
          <w:szCs w:val="24"/>
          <w:highlight w:val="none"/>
          <w:lang w:val="en-US" w:eastAsia="zh-CN"/>
        </w:rPr>
        <w:t>管理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以及</w:t>
      </w:r>
      <w:r>
        <w:rPr>
          <w:rFonts w:hint="eastAsia" w:ascii="宋体" w:hAnsi="宋体" w:eastAsia="宋体" w:cs="宋体"/>
          <w:color w:val="auto"/>
          <w:sz w:val="24"/>
          <w:szCs w:val="24"/>
          <w:highlight w:val="none"/>
        </w:rPr>
        <w:t>项目实施所带来的产出和效果</w:t>
      </w:r>
      <w:r>
        <w:rPr>
          <w:rFonts w:hint="eastAsia" w:ascii="宋体" w:hAnsi="宋体" w:eastAsia="宋体" w:cs="宋体"/>
          <w:color w:val="auto"/>
          <w:sz w:val="24"/>
          <w:szCs w:val="24"/>
          <w:highlight w:val="none"/>
          <w:lang w:val="en-US" w:eastAsia="zh-CN"/>
        </w:rPr>
        <w:t>等</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val="en-US" w:eastAsia="zh-CN"/>
        </w:rPr>
        <w:t>进行综合评价。</w:t>
      </w:r>
    </w:p>
    <w:p w14:paraId="5ABC2F62">
      <w:pPr>
        <w:pStyle w:val="48"/>
        <w:pageBreakBefore w:val="0"/>
        <w:widowControl w:val="0"/>
        <w:kinsoku/>
        <w:wordWrap/>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3. 绩效评价范围</w:t>
      </w:r>
    </w:p>
    <w:p w14:paraId="41BE6419">
      <w:pPr>
        <w:pStyle w:val="48"/>
        <w:pageBreakBefore w:val="0"/>
        <w:widowControl w:val="0"/>
        <w:kinsoku/>
        <w:wordWrap/>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color w:val="auto"/>
          <w:sz w:val="24"/>
          <w:szCs w:val="24"/>
        </w:rPr>
        <w:t>本次绩效评价主要围绕</w:t>
      </w:r>
      <w:r>
        <w:rPr>
          <w:rFonts w:hint="eastAsia" w:ascii="宋体" w:hAnsi="宋体" w:eastAsia="宋体" w:cs="宋体"/>
          <w:color w:val="auto"/>
          <w:sz w:val="24"/>
          <w:szCs w:val="24"/>
          <w:lang w:val="en-US" w:eastAsia="zh-CN"/>
        </w:rPr>
        <w:t>2024年</w:t>
      </w:r>
      <w:r>
        <w:rPr>
          <w:rFonts w:hint="eastAsia" w:ascii="宋体" w:hAnsi="宋体" w:eastAsia="宋体" w:cs="宋体"/>
          <w:color w:val="auto"/>
          <w:sz w:val="24"/>
          <w:szCs w:val="24"/>
          <w:lang w:eastAsia="zh-CN"/>
        </w:rPr>
        <w:t>监察信息员经费</w:t>
      </w:r>
      <w:r>
        <w:rPr>
          <w:rFonts w:hint="eastAsia" w:ascii="宋体" w:hAnsi="宋体" w:eastAsia="宋体" w:cs="宋体"/>
          <w:color w:val="auto"/>
          <w:sz w:val="24"/>
          <w:szCs w:val="24"/>
        </w:rPr>
        <w:t>项目决策、项目资金管理、项目实施过程管理，以及项目实施所带来的产出和效果等内容，进行综合评价。范围涵盖项目总体绩效目标、各项绩效指标完成情况以及预算执行情况</w:t>
      </w:r>
      <w:bookmarkStart w:id="5" w:name="_Toc68364662"/>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覆</w:t>
      </w:r>
      <w:r>
        <w:rPr>
          <w:rFonts w:hint="eastAsia" w:ascii="宋体" w:hAnsi="宋体" w:eastAsia="宋体" w:cs="宋体"/>
          <w:sz w:val="24"/>
          <w:szCs w:val="24"/>
        </w:rPr>
        <w:t>盖预算资金支出项目的所有内容进行评价。</w:t>
      </w:r>
    </w:p>
    <w:p w14:paraId="7AB7B757">
      <w:pPr>
        <w:pStyle w:val="58"/>
        <w:pageBreakBefore w:val="0"/>
        <w:widowControl w:val="0"/>
        <w:kinsoku/>
        <w:wordWrap/>
        <w:overflowPunct/>
        <w:topLinePunct w:val="0"/>
        <w:autoSpaceDE/>
        <w:autoSpaceDN/>
        <w:bidi w:val="0"/>
        <w:adjustRightInd/>
        <w:snapToGrid/>
        <w:spacing w:before="0" w:after="0"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（二）绩效评价原则、评价指标体系、评价方法评价标准</w:t>
      </w:r>
      <w:bookmarkEnd w:id="5"/>
    </w:p>
    <w:p w14:paraId="582E76A3">
      <w:pPr>
        <w:pStyle w:val="48"/>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1. 绩效评价原则</w:t>
      </w:r>
    </w:p>
    <w:p w14:paraId="4228FD43">
      <w:pPr>
        <w:pStyle w:val="48"/>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p>
    <w:p w14:paraId="709DF475">
      <w:pPr>
        <w:pStyle w:val="48"/>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sz w:val="24"/>
          <w:szCs w:val="24"/>
        </w:rPr>
      </w:pPr>
      <w:r>
        <w:rPr>
          <w:rFonts w:hint="eastAsia" w:ascii="宋体" w:hAnsi="宋体" w:eastAsia="宋体" w:cs="宋体"/>
          <w:sz w:val="24"/>
          <w:szCs w:val="24"/>
        </w:rPr>
        <w:t>（1）科学公正。绩效评价应当运用科学合理的方法，按照规范的程序，对项目绩效进行客观、公正的反映。</w:t>
      </w:r>
    </w:p>
    <w:p w14:paraId="64A7FE5F">
      <w:pPr>
        <w:pStyle w:val="48"/>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sz w:val="24"/>
          <w:szCs w:val="24"/>
        </w:rPr>
      </w:pPr>
      <w:r>
        <w:rPr>
          <w:rFonts w:hint="eastAsia" w:ascii="宋体" w:hAnsi="宋体" w:eastAsia="宋体" w:cs="宋体"/>
          <w:sz w:val="24"/>
          <w:szCs w:val="24"/>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5AC44F62">
      <w:pPr>
        <w:pStyle w:val="48"/>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sz w:val="24"/>
          <w:szCs w:val="24"/>
        </w:rPr>
      </w:pPr>
      <w:r>
        <w:rPr>
          <w:rFonts w:hint="eastAsia" w:ascii="宋体" w:hAnsi="宋体" w:eastAsia="宋体" w:cs="宋体"/>
          <w:sz w:val="24"/>
          <w:szCs w:val="24"/>
        </w:rPr>
        <w:t>（3）激励约束。绩效评价结果应与预算安排、政策调整、改进管理实质性挂钩，体现奖优罚劣和激励相容导向，有效要安排、低效要压减、无效要问责。</w:t>
      </w:r>
    </w:p>
    <w:p w14:paraId="0448F053">
      <w:pPr>
        <w:pStyle w:val="48"/>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sz w:val="24"/>
          <w:szCs w:val="24"/>
        </w:rPr>
      </w:pPr>
      <w:r>
        <w:rPr>
          <w:rFonts w:hint="eastAsia" w:ascii="宋体" w:hAnsi="宋体" w:eastAsia="宋体" w:cs="宋体"/>
          <w:sz w:val="24"/>
          <w:szCs w:val="24"/>
        </w:rPr>
        <w:t>（4）公开透明。绩效评价结果应依法依规公开，并自觉接受社会监督。</w:t>
      </w:r>
    </w:p>
    <w:p w14:paraId="1AC33DE1">
      <w:pPr>
        <w:pStyle w:val="48"/>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sz w:val="24"/>
          <w:szCs w:val="24"/>
        </w:rPr>
      </w:pPr>
      <w:r>
        <w:rPr>
          <w:rFonts w:hint="eastAsia" w:ascii="宋体" w:hAnsi="宋体" w:eastAsia="宋体" w:cs="宋体"/>
          <w:sz w:val="24"/>
          <w:szCs w:val="24"/>
        </w:rPr>
        <w:t>根据以上原则，绩效评价应遵循如下要求:</w:t>
      </w:r>
    </w:p>
    <w:p w14:paraId="155B4D41">
      <w:pPr>
        <w:pStyle w:val="48"/>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sz w:val="24"/>
          <w:szCs w:val="24"/>
        </w:rPr>
      </w:pPr>
      <w:r>
        <w:rPr>
          <w:rFonts w:hint="eastAsia" w:ascii="宋体" w:hAnsi="宋体" w:eastAsia="宋体" w:cs="宋体"/>
          <w:sz w:val="24"/>
          <w:szCs w:val="24"/>
        </w:rPr>
        <w:t>（1）在数据采集时，采取客观数据，主管部门审查、社会中介组织复查，与问卷调查相结合的形式，以保证各项指标的真实性。</w:t>
      </w:r>
    </w:p>
    <w:p w14:paraId="3185E71A">
      <w:pPr>
        <w:pStyle w:val="48"/>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sz w:val="24"/>
          <w:szCs w:val="24"/>
        </w:rPr>
      </w:pPr>
      <w:r>
        <w:rPr>
          <w:rFonts w:hint="eastAsia" w:ascii="宋体" w:hAnsi="宋体" w:eastAsia="宋体" w:cs="宋体"/>
          <w:sz w:val="24"/>
          <w:szCs w:val="24"/>
        </w:rPr>
        <w:t>（2）保证评价结果的真实性、公正性，提高评价报告的公信力。</w:t>
      </w:r>
    </w:p>
    <w:p w14:paraId="343CB1B4">
      <w:pPr>
        <w:pStyle w:val="48"/>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sz w:val="24"/>
          <w:szCs w:val="24"/>
        </w:rPr>
      </w:pPr>
      <w:r>
        <w:rPr>
          <w:rFonts w:hint="eastAsia" w:ascii="宋体" w:hAnsi="宋体" w:eastAsia="宋体" w:cs="宋体"/>
          <w:sz w:val="24"/>
          <w:szCs w:val="24"/>
        </w:rPr>
        <w:t>（3）绩</w:t>
      </w:r>
      <w:r>
        <w:rPr>
          <w:rFonts w:hint="eastAsia" w:ascii="宋体" w:hAnsi="宋体" w:eastAsia="宋体" w:cs="宋体"/>
          <w:sz w:val="24"/>
          <w:szCs w:val="24"/>
          <w:lang w:val="en-US" w:eastAsia="zh-CN"/>
        </w:rPr>
        <w:t>效</w:t>
      </w:r>
      <w:r>
        <w:rPr>
          <w:rFonts w:hint="eastAsia" w:ascii="宋体" w:hAnsi="宋体" w:eastAsia="宋体" w:cs="宋体"/>
          <w:sz w:val="24"/>
          <w:szCs w:val="24"/>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00D1E848">
      <w:pPr>
        <w:pStyle w:val="48"/>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2. 绩效评价指标体系</w:t>
      </w:r>
    </w:p>
    <w:p w14:paraId="1D802D59">
      <w:pPr>
        <w:pStyle w:val="48"/>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w:t>
      </w:r>
      <w:r>
        <w:rPr>
          <w:rFonts w:hint="eastAsia" w:ascii="宋体" w:hAnsi="宋体" w:eastAsia="宋体" w:cs="宋体"/>
          <w:sz w:val="24"/>
          <w:szCs w:val="24"/>
          <w:lang w:val="en-US" w:eastAsia="zh-CN"/>
        </w:rPr>
        <w:t>4</w:t>
      </w:r>
      <w:r>
        <w:rPr>
          <w:rFonts w:hint="eastAsia" w:ascii="宋体" w:hAnsi="宋体" w:eastAsia="宋体" w:cs="宋体"/>
          <w:sz w:val="24"/>
          <w:szCs w:val="24"/>
        </w:rPr>
        <w:t>个2级指标，效益下设项目效益及满意度</w:t>
      </w:r>
      <w:r>
        <w:rPr>
          <w:rFonts w:hint="eastAsia" w:ascii="宋体" w:hAnsi="宋体" w:eastAsia="宋体" w:cs="宋体"/>
          <w:sz w:val="24"/>
          <w:szCs w:val="24"/>
          <w:lang w:val="en-US" w:eastAsia="zh-CN"/>
        </w:rPr>
        <w:t>2</w:t>
      </w:r>
      <w:r>
        <w:rPr>
          <w:rFonts w:hint="eastAsia" w:ascii="宋体" w:hAnsi="宋体" w:eastAsia="宋体" w:cs="宋体"/>
          <w:sz w:val="24"/>
          <w:szCs w:val="24"/>
        </w:rPr>
        <w:t>个二级指标。项目绩效评价体系</w:t>
      </w:r>
      <w:r>
        <w:rPr>
          <w:rFonts w:hint="eastAsia" w:ascii="宋体" w:hAnsi="宋体" w:eastAsia="宋体" w:cs="宋体"/>
          <w:sz w:val="24"/>
          <w:szCs w:val="24"/>
          <w:lang w:eastAsia="zh-CN"/>
        </w:rPr>
        <w:t>。</w:t>
      </w:r>
      <w:r>
        <w:rPr>
          <w:rFonts w:hint="eastAsia" w:ascii="宋体" w:hAnsi="宋体" w:eastAsia="宋体" w:cs="宋体"/>
          <w:sz w:val="24"/>
          <w:szCs w:val="24"/>
        </w:rPr>
        <w:t>详细指标体系见“附件1：项目支出绩效评价体系”。</w:t>
      </w:r>
    </w:p>
    <w:p w14:paraId="5BFDDE49">
      <w:pPr>
        <w:pStyle w:val="48"/>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3. 绩效评价方法</w:t>
      </w:r>
    </w:p>
    <w:p w14:paraId="6390F694">
      <w:pPr>
        <w:pStyle w:val="48"/>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sz w:val="24"/>
          <w:szCs w:val="24"/>
        </w:rPr>
      </w:pPr>
      <w:r>
        <w:rPr>
          <w:rFonts w:hint="eastAsia" w:ascii="宋体" w:hAnsi="宋体" w:eastAsia="宋体" w:cs="宋体"/>
          <w:b w:val="0"/>
          <w:bCs/>
          <w:sz w:val="24"/>
          <w:szCs w:val="24"/>
        </w:rPr>
        <w:t>绩效评价方法主要包括成本效益分析法、比较法、因素分析法、最低成本法、公众评判法、标杆管理法等。我单位根据本项目资金的性质和特点，选用成本效益分析法评价本项目绩效。</w:t>
      </w:r>
    </w:p>
    <w:p w14:paraId="291A6325">
      <w:pPr>
        <w:pStyle w:val="48"/>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具体</w:t>
      </w:r>
      <w:r>
        <w:rPr>
          <w:rFonts w:hint="eastAsia" w:ascii="宋体" w:hAnsi="宋体" w:eastAsia="宋体" w:cs="宋体"/>
          <w:b w:val="0"/>
          <w:bCs/>
          <w:sz w:val="24"/>
          <w:szCs w:val="24"/>
        </w:rPr>
        <w:t>评价方法的应用如下:</w:t>
      </w:r>
    </w:p>
    <w:p w14:paraId="6654EA0A">
      <w:pPr>
        <w:pStyle w:val="48"/>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sz w:val="24"/>
          <w:szCs w:val="24"/>
        </w:rPr>
      </w:pPr>
      <w:r>
        <w:rPr>
          <w:rFonts w:hint="eastAsia" w:ascii="宋体" w:hAnsi="宋体" w:eastAsia="宋体" w:cs="宋体"/>
          <w:b w:val="0"/>
          <w:bCs/>
          <w:sz w:val="24"/>
          <w:szCs w:val="24"/>
        </w:rPr>
        <w:t>立项依据充分性：比较法、文献法，查找法律法规政策以及规划，对比实际执行内容和政策支持内容是否匹配。</w:t>
      </w:r>
    </w:p>
    <w:p w14:paraId="09D1310D">
      <w:pPr>
        <w:pStyle w:val="48"/>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sz w:val="24"/>
          <w:szCs w:val="24"/>
        </w:rPr>
      </w:pPr>
      <w:r>
        <w:rPr>
          <w:rFonts w:hint="eastAsia" w:ascii="宋体" w:hAnsi="宋体" w:eastAsia="宋体" w:cs="宋体"/>
          <w:b w:val="0"/>
          <w:bCs/>
          <w:sz w:val="24"/>
          <w:szCs w:val="24"/>
        </w:rPr>
        <w:t>立项程序规范性：比较法、文献法，查找相关项目设立的政策和文件要求，对比分析实际执行程序是否按照政策及文件要求执行，分析立项程序的规范性。</w:t>
      </w:r>
    </w:p>
    <w:p w14:paraId="0E956DB9">
      <w:pPr>
        <w:pStyle w:val="48"/>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sz w:val="24"/>
          <w:szCs w:val="24"/>
        </w:rPr>
      </w:pPr>
      <w:r>
        <w:rPr>
          <w:rFonts w:hint="eastAsia" w:ascii="宋体" w:hAnsi="宋体" w:eastAsia="宋体" w:cs="宋体"/>
          <w:b w:val="0"/>
          <w:bCs/>
          <w:sz w:val="24"/>
          <w:szCs w:val="24"/>
        </w:rPr>
        <w:t>绩效目标合理性：比较法，对比分析年初编制项目支出绩效目标表与项目内容的相关性、资金的匹配性等。</w:t>
      </w:r>
    </w:p>
    <w:p w14:paraId="4A0DC685">
      <w:pPr>
        <w:pStyle w:val="48"/>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sz w:val="24"/>
          <w:szCs w:val="24"/>
        </w:rPr>
      </w:pPr>
      <w:r>
        <w:rPr>
          <w:rFonts w:hint="eastAsia" w:ascii="宋体" w:hAnsi="宋体" w:eastAsia="宋体" w:cs="宋体"/>
          <w:b w:val="0"/>
          <w:bCs/>
          <w:sz w:val="24"/>
          <w:szCs w:val="24"/>
        </w:rPr>
        <w:t>绩效指标明确性：比较法，比较分析年初编制项目支出绩效目标表是否符合双七原则，是否可衡量。</w:t>
      </w:r>
    </w:p>
    <w:p w14:paraId="6E6D2665">
      <w:pPr>
        <w:pStyle w:val="48"/>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sz w:val="24"/>
          <w:szCs w:val="24"/>
        </w:rPr>
      </w:pPr>
      <w:r>
        <w:rPr>
          <w:rFonts w:hint="eastAsia" w:ascii="宋体" w:hAnsi="宋体" w:eastAsia="宋体" w:cs="宋体"/>
          <w:b w:val="0"/>
          <w:bCs/>
          <w:sz w:val="24"/>
          <w:szCs w:val="24"/>
        </w:rPr>
        <w:t>预算编制科学性</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成本效益分析法</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分析在产出一定的情况下，成本取值是否有依据，是否经过询价，是否按照市场最低成本编制。</w:t>
      </w:r>
    </w:p>
    <w:p w14:paraId="0256509A">
      <w:pPr>
        <w:pStyle w:val="48"/>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sz w:val="24"/>
          <w:szCs w:val="24"/>
          <w:lang w:eastAsia="zh-CN"/>
        </w:rPr>
      </w:pPr>
      <w:r>
        <w:rPr>
          <w:rFonts w:hint="eastAsia" w:ascii="宋体" w:hAnsi="宋体" w:eastAsia="宋体" w:cs="宋体"/>
          <w:b w:val="0"/>
          <w:bCs/>
          <w:sz w:val="24"/>
          <w:szCs w:val="24"/>
        </w:rPr>
        <w:t>资金分配合理性：因素分析法，综合分析资金的分配依据是否充分，分配金额是否与项目实施单位需求金额一致</w:t>
      </w:r>
      <w:r>
        <w:rPr>
          <w:rFonts w:hint="eastAsia" w:ascii="宋体" w:hAnsi="宋体" w:eastAsia="宋体" w:cs="宋体"/>
          <w:b w:val="0"/>
          <w:bCs/>
          <w:sz w:val="24"/>
          <w:szCs w:val="24"/>
          <w:lang w:eastAsia="zh-CN"/>
        </w:rPr>
        <w:t>。</w:t>
      </w:r>
    </w:p>
    <w:p w14:paraId="5CFB8C0C">
      <w:pPr>
        <w:pStyle w:val="48"/>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sz w:val="24"/>
          <w:szCs w:val="24"/>
        </w:rPr>
      </w:pPr>
      <w:r>
        <w:rPr>
          <w:rFonts w:hint="eastAsia" w:ascii="宋体" w:hAnsi="宋体" w:eastAsia="宋体" w:cs="宋体"/>
          <w:b w:val="0"/>
          <w:bCs/>
          <w:sz w:val="24"/>
          <w:szCs w:val="24"/>
        </w:rPr>
        <w:t>资金到位率：比较法，资金到位率预期指标值应为100%，通过实际计算，分析实际完成值和预期指标值之间的差距和原因。</w:t>
      </w:r>
    </w:p>
    <w:p w14:paraId="1F444246">
      <w:pPr>
        <w:pStyle w:val="48"/>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sz w:val="24"/>
          <w:szCs w:val="24"/>
        </w:rPr>
      </w:pPr>
      <w:r>
        <w:rPr>
          <w:rFonts w:hint="eastAsia" w:ascii="宋体" w:hAnsi="宋体" w:eastAsia="宋体" w:cs="宋体"/>
          <w:b w:val="0"/>
          <w:bCs/>
          <w:sz w:val="24"/>
          <w:szCs w:val="24"/>
        </w:rPr>
        <w:t>预算执行率：比较法，预算执行率预期指标值应为100%，通过实际计算，分析实际完成值和预期指标值之间的差距和原因。</w:t>
      </w:r>
    </w:p>
    <w:p w14:paraId="5857F883">
      <w:pPr>
        <w:pStyle w:val="48"/>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sz w:val="24"/>
          <w:szCs w:val="24"/>
        </w:rPr>
      </w:pPr>
      <w:r>
        <w:rPr>
          <w:rFonts w:hint="eastAsia" w:ascii="宋体" w:hAnsi="宋体" w:eastAsia="宋体" w:cs="宋体"/>
          <w:b w:val="0"/>
          <w:bCs/>
          <w:sz w:val="24"/>
          <w:szCs w:val="24"/>
        </w:rPr>
        <w:t>资金使用合规性：文献法、实地勘察法，一是查找资金管理办法，包括专项资金管理办法和单位自有资金管理办法；二是通过查账了解具体开支情况，是否专用专用，是否按照标准支出。</w:t>
      </w:r>
    </w:p>
    <w:p w14:paraId="029395F7">
      <w:pPr>
        <w:pStyle w:val="48"/>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sz w:val="24"/>
          <w:szCs w:val="24"/>
        </w:rPr>
      </w:pPr>
      <w:r>
        <w:rPr>
          <w:rFonts w:hint="eastAsia" w:ascii="宋体" w:hAnsi="宋体" w:eastAsia="宋体" w:cs="宋体"/>
          <w:b w:val="0"/>
          <w:bCs/>
          <w:sz w:val="24"/>
          <w:szCs w:val="24"/>
        </w:rPr>
        <w:t>管理制度健全性：文献法、比较法，查阅项目实施人员提供的财务和业务管理制度，将已建立的制度与现行的法律法规和政策要求进行对比，分析项目制度的合法性、合规性、完整性。</w:t>
      </w:r>
    </w:p>
    <w:p w14:paraId="0F7517B9">
      <w:pPr>
        <w:pStyle w:val="48"/>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sz w:val="24"/>
          <w:szCs w:val="24"/>
        </w:rPr>
      </w:pPr>
      <w:r>
        <w:rPr>
          <w:rFonts w:hint="eastAsia" w:ascii="宋体" w:hAnsi="宋体" w:eastAsia="宋体" w:cs="宋体"/>
          <w:b w:val="0"/>
          <w:bCs/>
          <w:sz w:val="24"/>
          <w:szCs w:val="24"/>
        </w:rPr>
        <w:t>制度执行有效性：比较法，结合项目实际实施过程性文件，根据已建设的财务管理制度和项目管理制度综合分析制度执行的有效性。</w:t>
      </w:r>
    </w:p>
    <w:p w14:paraId="2758BA24">
      <w:pPr>
        <w:pStyle w:val="48"/>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sz w:val="24"/>
          <w:szCs w:val="24"/>
        </w:rPr>
      </w:pPr>
      <w:r>
        <w:rPr>
          <w:rFonts w:hint="eastAsia" w:ascii="宋体" w:hAnsi="宋体" w:eastAsia="宋体" w:cs="宋体"/>
          <w:b w:val="0"/>
          <w:bCs/>
          <w:sz w:val="24"/>
          <w:szCs w:val="24"/>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FE77E2B">
      <w:pPr>
        <w:pStyle w:val="48"/>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val="0"/>
          <w:bCs/>
          <w:sz w:val="24"/>
          <w:szCs w:val="24"/>
        </w:rPr>
      </w:pPr>
      <w:r>
        <w:rPr>
          <w:rFonts w:hint="eastAsia" w:ascii="宋体" w:hAnsi="宋体" w:eastAsia="宋体" w:cs="宋体"/>
          <w:b w:val="0"/>
          <w:bCs/>
          <w:sz w:val="24"/>
          <w:szCs w:val="24"/>
        </w:rPr>
        <w:t>定性指标：公众评判法，通过问卷及抽样调查等方式评价本项目实施后社会公众对于其实施效果的满意程度。</w:t>
      </w:r>
    </w:p>
    <w:p w14:paraId="0D7F4FD9">
      <w:pPr>
        <w:pStyle w:val="48"/>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2"/>
        <w:rPr>
          <w:rFonts w:hint="eastAsia" w:ascii="宋体" w:hAnsi="宋体" w:eastAsia="宋体" w:cs="宋体"/>
          <w:b/>
          <w:bCs/>
          <w:sz w:val="24"/>
          <w:szCs w:val="24"/>
        </w:rPr>
      </w:pPr>
      <w:r>
        <w:rPr>
          <w:rFonts w:hint="eastAsia" w:ascii="宋体" w:hAnsi="宋体" w:eastAsia="宋体" w:cs="宋体"/>
          <w:b/>
          <w:bCs/>
          <w:sz w:val="24"/>
          <w:szCs w:val="24"/>
        </w:rPr>
        <w:t>4. 绩效评价标准</w:t>
      </w:r>
    </w:p>
    <w:p w14:paraId="4896717F">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rPr>
      </w:pPr>
      <w:bookmarkStart w:id="6" w:name="_Toc68364663"/>
      <w:r>
        <w:rPr>
          <w:rFonts w:hint="eastAsia" w:ascii="宋体" w:hAnsi="宋体" w:eastAsia="宋体" w:cs="宋体"/>
          <w:sz w:val="24"/>
          <w:szCs w:val="24"/>
        </w:rPr>
        <w:t>绩效评价标准通常包括计划标准、行业标准、历史标准等，用于对绩效指标完成情况进行比较、分析、评价。</w:t>
      </w:r>
      <w:r>
        <w:rPr>
          <w:rFonts w:hint="eastAsia" w:ascii="宋体" w:hAnsi="宋体" w:eastAsia="宋体" w:cs="宋体"/>
          <w:color w:val="auto"/>
          <w:sz w:val="24"/>
          <w:szCs w:val="24"/>
        </w:rPr>
        <w:t>本次评价主要采用了</w:t>
      </w:r>
      <w:r>
        <w:rPr>
          <w:rFonts w:hint="eastAsia" w:ascii="宋体" w:hAnsi="宋体" w:eastAsia="宋体" w:cs="宋体"/>
          <w:color w:val="auto"/>
          <w:sz w:val="24"/>
          <w:szCs w:val="24"/>
          <w:lang w:val="en-US" w:eastAsia="zh-CN"/>
        </w:rPr>
        <w:t>计划</w:t>
      </w:r>
      <w:r>
        <w:rPr>
          <w:rFonts w:hint="eastAsia" w:ascii="宋体" w:hAnsi="宋体" w:eastAsia="宋体" w:cs="宋体"/>
          <w:color w:val="auto"/>
          <w:sz w:val="24"/>
          <w:szCs w:val="24"/>
        </w:rPr>
        <w:t>标准。</w:t>
      </w:r>
    </w:p>
    <w:p w14:paraId="4535AA39">
      <w:pPr>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bookmarkStart w:id="7" w:name="_Toc17882"/>
      <w:bookmarkStart w:id="8" w:name="_Toc31464"/>
      <w:r>
        <w:rPr>
          <w:rFonts w:hint="eastAsia" w:ascii="宋体" w:hAnsi="宋体" w:eastAsia="宋体" w:cs="宋体"/>
          <w:b/>
          <w:bCs/>
          <w:sz w:val="24"/>
          <w:szCs w:val="24"/>
        </w:rPr>
        <w:t>计划标准：</w:t>
      </w:r>
      <w:r>
        <w:rPr>
          <w:rFonts w:hint="eastAsia" w:ascii="宋体" w:hAnsi="宋体" w:eastAsia="宋体" w:cs="宋体"/>
          <w:sz w:val="24"/>
          <w:szCs w:val="24"/>
        </w:rPr>
        <w:t>指以预先制定的目标、计划、预算、定额等作为评价标准。</w:t>
      </w:r>
      <w:bookmarkEnd w:id="7"/>
      <w:bookmarkEnd w:id="8"/>
    </w:p>
    <w:p w14:paraId="33D2099D">
      <w:pPr>
        <w:pStyle w:val="58"/>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（三）绩效评价工作过程</w:t>
      </w:r>
      <w:bookmarkEnd w:id="6"/>
    </w:p>
    <w:p w14:paraId="00BF1BA7">
      <w:pPr>
        <w:pStyle w:val="6"/>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bookmarkStart w:id="9" w:name="_Toc68364664"/>
      <w:r>
        <w:rPr>
          <w:rFonts w:hint="eastAsia" w:ascii="宋体" w:hAnsi="宋体" w:eastAsia="宋体" w:cs="宋体"/>
          <w:sz w:val="24"/>
          <w:szCs w:val="24"/>
        </w:rPr>
        <w:t>1.前期准备</w:t>
      </w:r>
    </w:p>
    <w:p w14:paraId="1676BDC6">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我</w:t>
      </w:r>
      <w:r>
        <w:rPr>
          <w:rFonts w:hint="eastAsia" w:ascii="宋体" w:hAnsi="宋体" w:eastAsia="宋体" w:cs="宋体"/>
          <w:color w:val="auto"/>
          <w:sz w:val="24"/>
          <w:szCs w:val="24"/>
        </w:rPr>
        <w:t>单位于</w:t>
      </w:r>
      <w:r>
        <w:rPr>
          <w:rFonts w:hint="eastAsia" w:ascii="宋体" w:hAnsi="宋体" w:eastAsia="宋体" w:cs="宋体"/>
          <w:color w:val="auto"/>
          <w:sz w:val="24"/>
          <w:szCs w:val="24"/>
          <w:lang w:eastAsia="zh-CN"/>
        </w:rPr>
        <w:t>202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20</w:t>
      </w:r>
      <w:r>
        <w:rPr>
          <w:rFonts w:hint="eastAsia" w:ascii="宋体" w:hAnsi="宋体" w:eastAsia="宋体" w:cs="宋体"/>
          <w:color w:val="auto"/>
          <w:sz w:val="24"/>
          <w:szCs w:val="24"/>
        </w:rPr>
        <w:t>日，确定绩</w:t>
      </w:r>
      <w:r>
        <w:rPr>
          <w:rFonts w:hint="eastAsia" w:ascii="宋体" w:hAnsi="宋体" w:eastAsia="宋体" w:cs="宋体"/>
          <w:sz w:val="24"/>
          <w:szCs w:val="24"/>
        </w:rPr>
        <w:t>效评价工作小组，正式开始前期准备工作，通过对评价对象前期调研，确定了评价的目的、方法以及评价的原则，根据项目的内容和特征制定了评价指标体系及评价标准。绩效评价工作小组人员名单及分工如下：</w:t>
      </w:r>
    </w:p>
    <w:p w14:paraId="6A0165CA">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王鹏</w:t>
      </w:r>
      <w:r>
        <w:rPr>
          <w:rFonts w:hint="eastAsia" w:ascii="宋体" w:hAnsi="宋体" w:eastAsia="宋体" w:cs="宋体"/>
          <w:sz w:val="24"/>
          <w:szCs w:val="24"/>
        </w:rPr>
        <w:t>（评价小组组长）：主要负责</w:t>
      </w:r>
      <w:r>
        <w:rPr>
          <w:rFonts w:hint="eastAsia" w:ascii="宋体" w:hAnsi="宋体" w:eastAsia="宋体" w:cs="宋体"/>
          <w:sz w:val="24"/>
          <w:szCs w:val="24"/>
          <w:lang w:val="en-US" w:eastAsia="zh-CN"/>
        </w:rPr>
        <w:t>组织安排绩效评价工作</w:t>
      </w:r>
      <w:r>
        <w:rPr>
          <w:rFonts w:hint="eastAsia" w:ascii="宋体" w:hAnsi="宋体" w:eastAsia="宋体" w:cs="宋体"/>
          <w:sz w:val="24"/>
          <w:szCs w:val="24"/>
        </w:rPr>
        <w:t>;</w:t>
      </w:r>
    </w:p>
    <w:p w14:paraId="19006C2D">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肖秀云</w:t>
      </w:r>
      <w:r>
        <w:rPr>
          <w:rFonts w:hint="eastAsia" w:ascii="宋体" w:hAnsi="宋体" w:eastAsia="宋体" w:cs="宋体"/>
          <w:sz w:val="24"/>
          <w:szCs w:val="24"/>
        </w:rPr>
        <w:t>（评价小组组员）：主要负责</w:t>
      </w:r>
      <w:r>
        <w:rPr>
          <w:rFonts w:hint="eastAsia" w:ascii="宋体" w:hAnsi="宋体" w:eastAsia="宋体" w:cs="宋体"/>
          <w:sz w:val="24"/>
          <w:szCs w:val="24"/>
          <w:lang w:val="en-US" w:eastAsia="zh-CN"/>
        </w:rPr>
        <w:t>资料整理及信息汇总工作</w:t>
      </w:r>
      <w:r>
        <w:rPr>
          <w:rFonts w:hint="eastAsia" w:ascii="宋体" w:hAnsi="宋体" w:eastAsia="宋体" w:cs="宋体"/>
          <w:sz w:val="24"/>
          <w:szCs w:val="24"/>
        </w:rPr>
        <w:t>;</w:t>
      </w:r>
    </w:p>
    <w:p w14:paraId="597B462C">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阿孜古丽·麦麦提明</w:t>
      </w:r>
      <w:r>
        <w:rPr>
          <w:rFonts w:hint="eastAsia" w:ascii="宋体" w:hAnsi="宋体" w:eastAsia="宋体" w:cs="宋体"/>
          <w:sz w:val="24"/>
          <w:szCs w:val="24"/>
        </w:rPr>
        <w:t>（评价小组组员）：主要负责</w:t>
      </w:r>
      <w:r>
        <w:rPr>
          <w:rFonts w:hint="eastAsia" w:ascii="宋体" w:hAnsi="宋体" w:eastAsia="宋体" w:cs="宋体"/>
          <w:sz w:val="24"/>
          <w:szCs w:val="24"/>
          <w:lang w:val="en-US" w:eastAsia="zh-CN"/>
        </w:rPr>
        <w:t>出具项目绩效评价报告</w:t>
      </w:r>
      <w:r>
        <w:rPr>
          <w:rFonts w:hint="eastAsia" w:ascii="宋体" w:hAnsi="宋体" w:eastAsia="宋体" w:cs="宋体"/>
          <w:sz w:val="24"/>
          <w:szCs w:val="24"/>
        </w:rPr>
        <w:t>。</w:t>
      </w:r>
    </w:p>
    <w:p w14:paraId="7FBAA4D2">
      <w:pPr>
        <w:pStyle w:val="6"/>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2.组织实施</w:t>
      </w:r>
    </w:p>
    <w:p w14:paraId="1EA9A5CD">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color w:val="auto"/>
          <w:sz w:val="24"/>
          <w:szCs w:val="24"/>
          <w:lang w:eastAsia="zh-CN"/>
        </w:rPr>
        <w:t>202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20</w:t>
      </w:r>
      <w:r>
        <w:rPr>
          <w:rFonts w:hint="eastAsia" w:ascii="宋体" w:hAnsi="宋体" w:eastAsia="宋体" w:cs="宋体"/>
          <w:color w:val="auto"/>
          <w:sz w:val="24"/>
          <w:szCs w:val="24"/>
        </w:rPr>
        <w:t>日-</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日，评价工作进</w:t>
      </w:r>
      <w:r>
        <w:rPr>
          <w:rFonts w:hint="eastAsia" w:ascii="宋体" w:hAnsi="宋体" w:eastAsia="宋体" w:cs="宋体"/>
          <w:sz w:val="24"/>
          <w:szCs w:val="24"/>
        </w:rPr>
        <w:t>入实施阶段。在数据采集方面，评价小组整理单位前期提交的资料，与项目实施负责人沟通，了解资金的内容、操作流程、管理机制、资金使用方向等情况并采集信息，了解项目设置背景及资金使用等情况。</w:t>
      </w:r>
    </w:p>
    <w:p w14:paraId="38957659">
      <w:pPr>
        <w:pStyle w:val="6"/>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3.分析评价</w:t>
      </w:r>
    </w:p>
    <w:p w14:paraId="20DA0B8A">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color w:val="auto"/>
          <w:sz w:val="24"/>
          <w:szCs w:val="24"/>
          <w:lang w:eastAsia="zh-CN"/>
        </w:rPr>
        <w:t>202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11</w:t>
      </w:r>
      <w:r>
        <w:rPr>
          <w:rFonts w:hint="eastAsia" w:ascii="宋体" w:hAnsi="宋体" w:eastAsia="宋体" w:cs="宋体"/>
          <w:color w:val="auto"/>
          <w:sz w:val="24"/>
          <w:szCs w:val="24"/>
        </w:rPr>
        <w:t>日-</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20</w:t>
      </w:r>
      <w:r>
        <w:rPr>
          <w:rFonts w:hint="eastAsia" w:ascii="宋体" w:hAnsi="宋体" w:eastAsia="宋体" w:cs="宋体"/>
          <w:color w:val="auto"/>
          <w:sz w:val="24"/>
          <w:szCs w:val="24"/>
        </w:rPr>
        <w:t>日，评价小组</w:t>
      </w:r>
      <w:r>
        <w:rPr>
          <w:rFonts w:hint="eastAsia" w:ascii="宋体" w:hAnsi="宋体" w:eastAsia="宋体" w:cs="宋体"/>
          <w:sz w:val="24"/>
          <w:szCs w:val="24"/>
        </w:rPr>
        <w:t>按照绩效评价的原则和规范，对取得的资料进行审查核实，对采集的数据进行分析，按照绩效评价指标评分表逐项进行打分、分析、汇总各方评价结果。</w:t>
      </w:r>
    </w:p>
    <w:p w14:paraId="4A03EA8C">
      <w:pPr>
        <w:pStyle w:val="6"/>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4.撰写与提交评价报告</w:t>
      </w:r>
    </w:p>
    <w:p w14:paraId="31DE5FBE">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20</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评价小组</w:t>
      </w:r>
      <w:r>
        <w:rPr>
          <w:rFonts w:hint="eastAsia" w:ascii="宋体" w:hAnsi="宋体" w:eastAsia="宋体" w:cs="宋体"/>
          <w:sz w:val="24"/>
          <w:szCs w:val="24"/>
          <w:highlight w:val="none"/>
        </w:rPr>
        <w:t>撰写绩效评价报告，按照新疆</w:t>
      </w:r>
      <w:r>
        <w:rPr>
          <w:rFonts w:hint="eastAsia" w:ascii="宋体" w:hAnsi="宋体" w:eastAsia="宋体" w:cs="宋体"/>
          <w:sz w:val="24"/>
          <w:szCs w:val="24"/>
          <w:highlight w:val="none"/>
          <w:lang w:eastAsia="zh-CN"/>
        </w:rPr>
        <w:t>维吾尔自治区财政绩效管理信息系统</w:t>
      </w:r>
      <w:r>
        <w:rPr>
          <w:rFonts w:hint="eastAsia" w:ascii="宋体" w:hAnsi="宋体" w:eastAsia="宋体" w:cs="宋体"/>
          <w:sz w:val="24"/>
          <w:szCs w:val="24"/>
          <w:highlight w:val="none"/>
        </w:rPr>
        <w:t>绩效评价模块中统一格式和文本框架撰写绩效评价报告并提交审核。</w:t>
      </w:r>
    </w:p>
    <w:p w14:paraId="7446B6DA">
      <w:pPr>
        <w:pStyle w:val="6"/>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5.问题整改</w:t>
      </w:r>
    </w:p>
    <w:p w14:paraId="043E7043">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20AD3DF8">
      <w:pPr>
        <w:pStyle w:val="6"/>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6.档案整理</w:t>
      </w:r>
    </w:p>
    <w:p w14:paraId="616FF6E5">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建立和落实档案管理制度，将项目相关资料存档，包括但不限于：评价项目基本情况和相关文件、评价实施方案、项目支付资料等相关档案。</w:t>
      </w:r>
    </w:p>
    <w:p w14:paraId="1FEE53C8">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sz w:val="24"/>
          <w:szCs w:val="24"/>
        </w:rPr>
      </w:pPr>
    </w:p>
    <w:p w14:paraId="4D45D26E">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sz w:val="24"/>
          <w:szCs w:val="24"/>
        </w:rPr>
      </w:pPr>
      <w:r>
        <w:rPr>
          <w:rFonts w:hint="eastAsia" w:ascii="黑体" w:hAnsi="黑体" w:eastAsia="黑体" w:cs="黑体"/>
          <w:sz w:val="24"/>
          <w:szCs w:val="24"/>
        </w:rPr>
        <w:t>三、综合评价情况及评价结论</w:t>
      </w:r>
      <w:bookmarkEnd w:id="9"/>
    </w:p>
    <w:p w14:paraId="7B5D4CA1">
      <w:pPr>
        <w:pStyle w:val="58"/>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bookmarkStart w:id="10" w:name="_Toc68364665"/>
      <w:r>
        <w:rPr>
          <w:rFonts w:hint="eastAsia" w:ascii="宋体" w:hAnsi="宋体" w:eastAsia="宋体" w:cs="宋体"/>
          <w:sz w:val="24"/>
          <w:szCs w:val="24"/>
        </w:rPr>
        <w:t>（一）综合评价情况</w:t>
      </w:r>
      <w:bookmarkEnd w:id="10"/>
    </w:p>
    <w:p w14:paraId="0ABB1F7E">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lang w:val="en-US" w:eastAsia="zh-CN"/>
        </w:rPr>
      </w:pPr>
      <w:bookmarkStart w:id="11" w:name="_Toc68364666"/>
      <w:r>
        <w:rPr>
          <w:rFonts w:hint="eastAsia" w:ascii="宋体" w:hAnsi="宋体" w:eastAsia="宋体" w:cs="宋体"/>
          <w:sz w:val="24"/>
          <w:szCs w:val="24"/>
          <w:lang w:val="en-US" w:eastAsia="zh-CN"/>
        </w:rPr>
        <w:t>通过实施2024年监察信息员项目有效提升监察信息员经费保障水平，力促基层监察职能发挥，打通监察基层小微权利的“最后一公里”。项目实施主要通过项目决策、项目过程、项目产出以及项目效益等方面进行评价，其中：</w:t>
      </w:r>
    </w:p>
    <w:p w14:paraId="3B85833A">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项目决策：该项目主要通过《县（市、区）监察委员会派出乡镇（街道）监察办公室聘任监察信息员管理制度（试行）》文件立项，项目实施符合相关文件要求，项目立项依据充分，立项程序规范。 </w:t>
      </w:r>
    </w:p>
    <w:p w14:paraId="5EC9B739">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sz w:val="24"/>
          <w:szCs w:val="24"/>
          <w:lang w:val="en-US" w:eastAsia="zh-CN"/>
        </w:rPr>
        <w:t>项目过程：2024年监察信息员经费项目预算安排 134.73万元，实际支出134.73万元，预算执行率100%。项目资金使用合规，项目财务管理制度健全，财务监控到位，所</w:t>
      </w:r>
      <w:r>
        <w:rPr>
          <w:rFonts w:hint="eastAsia" w:ascii="宋体" w:hAnsi="宋体" w:eastAsia="宋体" w:cs="宋体"/>
          <w:color w:val="auto"/>
          <w:sz w:val="24"/>
          <w:szCs w:val="24"/>
          <w:lang w:val="en-US" w:eastAsia="zh-CN"/>
        </w:rPr>
        <w:t>有资金支付均按照国库集中支付制度严格执行，现有项目管理制度执行情况良好。</w:t>
      </w:r>
    </w:p>
    <w:p w14:paraId="15965A74">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项目产出：</w:t>
      </w:r>
      <w:r>
        <w:rPr>
          <w:rFonts w:hint="eastAsia" w:ascii="宋体" w:hAnsi="宋体" w:eastAsia="宋体" w:cs="宋体"/>
          <w:color w:val="auto"/>
          <w:sz w:val="24"/>
          <w:szCs w:val="24"/>
          <w:lang w:val="en-US" w:eastAsia="zh-CN"/>
        </w:rPr>
        <w:t>该项目实际完成发放17个月的补贴，共发放人数为726人。资金按照规定的标准通过乡镇财政所发放到审核无误的村级监察信息员个人账户，资金使用合规率、补贴发放率以及资金支付及时率为100%。</w:t>
      </w:r>
    </w:p>
    <w:p w14:paraId="2FBC5BA8">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FF0000"/>
          <w:sz w:val="24"/>
          <w:szCs w:val="24"/>
          <w:lang w:val="en-US" w:eastAsia="zh-CN"/>
        </w:rPr>
      </w:pPr>
      <w:r>
        <w:rPr>
          <w:rFonts w:hint="eastAsia" w:ascii="宋体" w:hAnsi="宋体" w:eastAsia="宋体" w:cs="宋体"/>
          <w:color w:val="auto"/>
          <w:sz w:val="24"/>
          <w:szCs w:val="24"/>
        </w:rPr>
        <w:t>项目效益：通过实施此项目</w:t>
      </w:r>
      <w:r>
        <w:rPr>
          <w:rFonts w:hint="eastAsia" w:ascii="宋体" w:hAnsi="宋体" w:eastAsia="宋体" w:cs="宋体"/>
          <w:color w:val="auto"/>
          <w:sz w:val="24"/>
          <w:szCs w:val="24"/>
          <w:lang w:val="en-US" w:eastAsia="zh-CN"/>
        </w:rPr>
        <w:t>有效提升监察信息员经费保障水平，使监察信息员积极发挥作用，提高工作质效，力促基层监</w:t>
      </w:r>
      <w:r>
        <w:rPr>
          <w:rFonts w:hint="eastAsia" w:ascii="宋体" w:hAnsi="宋体" w:eastAsia="宋体" w:cs="宋体"/>
          <w:sz w:val="24"/>
          <w:szCs w:val="24"/>
          <w:lang w:val="en-US" w:eastAsia="zh-CN"/>
        </w:rPr>
        <w:t>察职能发挥，打通监察基层小微权利的“最后一公里”。</w:t>
      </w:r>
    </w:p>
    <w:p w14:paraId="7B6B8635">
      <w:pPr>
        <w:pStyle w:val="58"/>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（二）综合评价结论</w:t>
      </w:r>
    </w:p>
    <w:p w14:paraId="1E92111E">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333333"/>
          <w:sz w:val="24"/>
          <w:szCs w:val="24"/>
        </w:rPr>
        <w:t>依据《中共中央国务院关于全面实施预算绩效管理的意见》《项目支出绩效评价管理办法》（财预〔2020〕10号）文件，绩效评价总分设置为100分，划分为四档：90（含）-100分为“优”、80（含）-90分为“良”、70（含）-80分为“中”、70分以下为“差”。</w:t>
      </w:r>
      <w:r>
        <w:rPr>
          <w:rFonts w:hint="eastAsia" w:ascii="宋体" w:hAnsi="宋体" w:eastAsia="宋体" w:cs="宋体"/>
          <w:color w:val="auto"/>
          <w:sz w:val="24"/>
          <w:szCs w:val="24"/>
        </w:rPr>
        <w:t>经对</w:t>
      </w:r>
      <w:r>
        <w:rPr>
          <w:rFonts w:hint="eastAsia" w:ascii="宋体" w:hAnsi="宋体" w:eastAsia="宋体" w:cs="宋体"/>
          <w:color w:val="auto"/>
          <w:sz w:val="24"/>
          <w:szCs w:val="24"/>
          <w:lang w:val="en-US" w:eastAsia="zh-CN"/>
        </w:rPr>
        <w:t>2024年监察信息员经费</w:t>
      </w:r>
      <w:r>
        <w:rPr>
          <w:rFonts w:hint="eastAsia" w:ascii="宋体" w:hAnsi="宋体" w:eastAsia="宋体" w:cs="宋体"/>
          <w:color w:val="auto"/>
          <w:sz w:val="24"/>
          <w:szCs w:val="24"/>
        </w:rPr>
        <w:t>进行客观评价，最终评分结果：评价总分</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分，绩效等级为“</w:t>
      </w:r>
      <w:r>
        <w:rPr>
          <w:rFonts w:hint="eastAsia" w:ascii="宋体" w:hAnsi="宋体" w:eastAsia="宋体" w:cs="宋体"/>
          <w:color w:val="auto"/>
          <w:sz w:val="24"/>
          <w:szCs w:val="24"/>
          <w:lang w:eastAsia="zh-CN"/>
        </w:rPr>
        <w:t>优秀</w:t>
      </w:r>
      <w:r>
        <w:rPr>
          <w:rFonts w:hint="eastAsia" w:ascii="宋体" w:hAnsi="宋体" w:eastAsia="宋体" w:cs="宋体"/>
          <w:color w:val="auto"/>
          <w:sz w:val="24"/>
          <w:szCs w:val="24"/>
        </w:rPr>
        <w:t>”。</w:t>
      </w:r>
      <w:bookmarkEnd w:id="11"/>
      <w:bookmarkStart w:id="12" w:name="_Toc68364667"/>
    </w:p>
    <w:p w14:paraId="5FD172B7">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黑体" w:hAnsi="黑体" w:eastAsia="黑体" w:cs="黑体"/>
          <w:b/>
          <w:bCs/>
          <w:color w:val="333333"/>
          <w:sz w:val="24"/>
          <w:szCs w:val="24"/>
        </w:rPr>
      </w:pPr>
    </w:p>
    <w:p w14:paraId="08E7BC2B">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黑体" w:hAnsi="黑体" w:eastAsia="黑体" w:cs="黑体"/>
          <w:b/>
          <w:bCs/>
          <w:color w:val="333333"/>
          <w:sz w:val="24"/>
          <w:szCs w:val="24"/>
        </w:rPr>
      </w:pPr>
      <w:r>
        <w:rPr>
          <w:rFonts w:hint="eastAsia" w:ascii="黑体" w:hAnsi="黑体" w:eastAsia="黑体" w:cs="黑体"/>
          <w:b/>
          <w:bCs/>
          <w:color w:val="333333"/>
          <w:sz w:val="24"/>
          <w:szCs w:val="24"/>
        </w:rPr>
        <w:t>四、绩效评价指标分析</w:t>
      </w:r>
      <w:bookmarkEnd w:id="12"/>
    </w:p>
    <w:p w14:paraId="740D2524">
      <w:pPr>
        <w:pStyle w:val="58"/>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rPr>
      </w:pPr>
      <w:bookmarkStart w:id="13" w:name="_Toc68364668"/>
      <w:r>
        <w:rPr>
          <w:rFonts w:hint="eastAsia" w:ascii="宋体" w:hAnsi="宋体" w:eastAsia="宋体" w:cs="宋体"/>
          <w:sz w:val="24"/>
          <w:szCs w:val="24"/>
        </w:rPr>
        <w:t>（一）项目决策情况</w:t>
      </w:r>
    </w:p>
    <w:p w14:paraId="750C44F0">
      <w:pPr>
        <w:keepNext w:val="0"/>
        <w:keepLines w:val="0"/>
        <w:pageBreakBefore w:val="0"/>
        <w:widowControl w:val="0"/>
        <w:kinsoku/>
        <w:wordWrap/>
        <w:overflowPunct w:val="0"/>
        <w:topLinePunct w:val="0"/>
        <w:autoSpaceDE/>
        <w:autoSpaceDN/>
        <w:bidi w:val="0"/>
        <w:adjustRightInd/>
        <w:snapToGrid/>
        <w:spacing w:line="360" w:lineRule="auto"/>
        <w:ind w:left="0" w:leftChars="0" w:firstLine="480" w:firstLineChars="200"/>
        <w:contextualSpacing/>
        <w:jc w:val="both"/>
        <w:textAlignment w:val="auto"/>
        <w:rPr>
          <w:rFonts w:hint="eastAsia" w:ascii="宋体" w:hAnsi="宋体" w:eastAsia="宋体" w:cs="宋体"/>
          <w:color w:val="auto"/>
          <w:sz w:val="24"/>
          <w:szCs w:val="24"/>
        </w:rPr>
      </w:pPr>
      <w:r>
        <w:rPr>
          <w:rFonts w:hint="eastAsia" w:ascii="宋体" w:hAnsi="宋体" w:eastAsia="宋体" w:cs="宋体"/>
          <w:sz w:val="24"/>
          <w:szCs w:val="24"/>
        </w:rPr>
        <w:t>项目决策类指标</w:t>
      </w:r>
      <w:r>
        <w:rPr>
          <w:rFonts w:hint="eastAsia" w:ascii="宋体" w:hAnsi="宋体" w:eastAsia="宋体" w:cs="宋体"/>
          <w:color w:val="auto"/>
          <w:sz w:val="24"/>
          <w:szCs w:val="24"/>
        </w:rPr>
        <w:t>包括项目立项、绩效目标和资金投入三方面的内容，由6个三级指标构成，权重分</w:t>
      </w:r>
      <w:r>
        <w:rPr>
          <w:rFonts w:hint="eastAsia" w:ascii="宋体" w:hAnsi="宋体" w:eastAsia="宋体" w:cs="宋体"/>
          <w:color w:val="auto"/>
          <w:sz w:val="24"/>
          <w:szCs w:val="24"/>
          <w:highlight w:val="none"/>
        </w:rPr>
        <w:t>为15分</w:t>
      </w:r>
      <w:r>
        <w:rPr>
          <w:rFonts w:hint="eastAsia" w:ascii="宋体" w:hAnsi="宋体" w:eastAsia="宋体" w:cs="宋体"/>
          <w:color w:val="auto"/>
          <w:sz w:val="24"/>
          <w:szCs w:val="24"/>
        </w:rPr>
        <w:t>，实际得分</w:t>
      </w:r>
      <w:r>
        <w:rPr>
          <w:rFonts w:hint="eastAsia" w:ascii="宋体" w:hAnsi="宋体" w:eastAsia="宋体" w:cs="宋体"/>
          <w:color w:val="auto"/>
          <w:sz w:val="24"/>
          <w:szCs w:val="24"/>
          <w:lang w:val="en-US" w:eastAsia="zh-CN"/>
        </w:rPr>
        <w:t>15</w:t>
      </w:r>
      <w:r>
        <w:rPr>
          <w:rFonts w:hint="eastAsia" w:ascii="宋体" w:hAnsi="宋体" w:eastAsia="宋体" w:cs="宋体"/>
          <w:color w:val="auto"/>
          <w:sz w:val="24"/>
          <w:szCs w:val="24"/>
        </w:rPr>
        <w:t>分，得分率为</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w:t>
      </w:r>
    </w:p>
    <w:p w14:paraId="43F999F0">
      <w:pPr>
        <w:keepNext w:val="0"/>
        <w:keepLines w:val="0"/>
        <w:pageBreakBefore w:val="0"/>
        <w:widowControl w:val="0"/>
        <w:numPr>
          <w:ilvl w:val="0"/>
          <w:numId w:val="5"/>
        </w:numPr>
        <w:kinsoku/>
        <w:wordWrap/>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立项依据充分性：</w:t>
      </w:r>
    </w:p>
    <w:p w14:paraId="56BD7033">
      <w:pPr>
        <w:keepNext w:val="0"/>
        <w:keepLines w:val="0"/>
        <w:pageBreakBefore w:val="0"/>
        <w:widowControl w:val="0"/>
        <w:numPr>
          <w:ilvl w:val="0"/>
          <w:numId w:val="0"/>
        </w:numPr>
        <w:kinsoku/>
        <w:wordWrap/>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lightGray"/>
        </w:rPr>
      </w:pPr>
      <w:r>
        <w:rPr>
          <w:rFonts w:hint="eastAsia" w:ascii="宋体" w:hAnsi="宋体" w:eastAsia="宋体" w:cs="宋体"/>
          <w:color w:val="auto"/>
          <w:sz w:val="24"/>
          <w:szCs w:val="24"/>
          <w:highlight w:val="none"/>
        </w:rPr>
        <w:t>本项目立项符合</w:t>
      </w:r>
      <w:r>
        <w:rPr>
          <w:rFonts w:hint="eastAsia" w:ascii="宋体" w:hAnsi="宋体" w:eastAsia="宋体" w:cs="宋体"/>
          <w:color w:val="auto"/>
          <w:sz w:val="24"/>
          <w:szCs w:val="24"/>
          <w:highlight w:val="none"/>
          <w:lang w:val="en-US" w:eastAsia="zh-CN"/>
        </w:rPr>
        <w:t>自治区纪委</w:t>
      </w:r>
      <w:r>
        <w:rPr>
          <w:rFonts w:hint="eastAsia" w:ascii="宋体" w:hAnsi="宋体" w:eastAsia="宋体" w:cs="宋体"/>
          <w:color w:val="auto"/>
          <w:sz w:val="24"/>
          <w:szCs w:val="24"/>
          <w:highlight w:val="none"/>
        </w:rPr>
        <w:t>颁发的《</w:t>
      </w:r>
      <w:r>
        <w:rPr>
          <w:rFonts w:hint="eastAsia" w:ascii="宋体" w:hAnsi="宋体" w:eastAsia="宋体" w:cs="宋体"/>
          <w:color w:val="auto"/>
          <w:sz w:val="24"/>
          <w:szCs w:val="24"/>
          <w:highlight w:val="none"/>
          <w:lang w:val="en-US" w:eastAsia="zh-CN"/>
        </w:rPr>
        <w:t>关于印发县（市、区）监察委员会派出乡镇（街道）监察办公室工作制度的通知）</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新纪办发</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2018</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86</w:t>
      </w:r>
      <w:r>
        <w:rPr>
          <w:rFonts w:hint="eastAsia" w:ascii="宋体" w:hAnsi="宋体" w:eastAsia="宋体" w:cs="宋体"/>
          <w:color w:val="auto"/>
          <w:sz w:val="24"/>
          <w:szCs w:val="24"/>
          <w:highlight w:val="none"/>
        </w:rPr>
        <w:t>号）中：“</w:t>
      </w:r>
      <w:r>
        <w:rPr>
          <w:rFonts w:hint="eastAsia" w:ascii="宋体" w:hAnsi="宋体" w:eastAsia="宋体" w:cs="宋体"/>
          <w:color w:val="auto"/>
          <w:sz w:val="24"/>
          <w:szCs w:val="24"/>
          <w:highlight w:val="none"/>
          <w:lang w:val="en-US" w:eastAsia="zh-CN"/>
        </w:rPr>
        <w:t>（五）经费保障。监察信息员每人每年工作经费不低于1200元，每半年发放一次。经费列入县（市、区）财政预算，由县（市、区）纪委监委管理发放，监察办公室监督使用。</w:t>
      </w:r>
      <w:r>
        <w:rPr>
          <w:rFonts w:hint="eastAsia" w:ascii="宋体" w:hAnsi="宋体" w:eastAsia="宋体" w:cs="宋体"/>
          <w:color w:val="auto"/>
          <w:sz w:val="24"/>
          <w:szCs w:val="24"/>
          <w:highlight w:val="none"/>
        </w:rPr>
        <w:t>”；根据《财政资金直接支付申请书》，本项目资金性质为“公共财政预算”功能分类为“</w:t>
      </w:r>
      <w:r>
        <w:rPr>
          <w:rFonts w:hint="eastAsia" w:ascii="宋体" w:hAnsi="宋体" w:eastAsia="宋体" w:cs="宋体"/>
          <w:color w:val="auto"/>
          <w:sz w:val="24"/>
          <w:szCs w:val="24"/>
          <w:highlight w:val="none"/>
          <w:lang w:val="en-US" w:eastAsia="zh-CN"/>
        </w:rPr>
        <w:t>2011199</w:t>
      </w:r>
      <w:r>
        <w:rPr>
          <w:rFonts w:hint="eastAsia" w:ascii="宋体" w:hAnsi="宋体" w:eastAsia="宋体" w:cs="宋体"/>
          <w:color w:val="auto"/>
          <w:sz w:val="24"/>
          <w:szCs w:val="24"/>
          <w:highlight w:val="none"/>
        </w:rPr>
        <w:t>”经济分类为“</w:t>
      </w:r>
      <w:r>
        <w:rPr>
          <w:rFonts w:hint="eastAsia" w:ascii="宋体" w:hAnsi="宋体" w:eastAsia="宋体" w:cs="宋体"/>
          <w:color w:val="auto"/>
          <w:sz w:val="24"/>
          <w:szCs w:val="24"/>
          <w:highlight w:val="none"/>
          <w:lang w:val="en-US" w:eastAsia="zh-CN"/>
        </w:rPr>
        <w:t>30305</w:t>
      </w:r>
      <w:r>
        <w:rPr>
          <w:rFonts w:hint="eastAsia" w:ascii="宋体" w:hAnsi="宋体" w:eastAsia="宋体" w:cs="宋体"/>
          <w:color w:val="auto"/>
          <w:sz w:val="24"/>
          <w:szCs w:val="24"/>
          <w:highlight w:val="none"/>
        </w:rPr>
        <w:t>”属于公共财政支持范围，符合中央、地方事权支出责任划分原则；经检查我单位财政应用平台指标，本项目不存在重复。</w:t>
      </w:r>
    </w:p>
    <w:p w14:paraId="4130F9F5">
      <w:pPr>
        <w:keepNext w:val="0"/>
        <w:keepLines w:val="0"/>
        <w:pageBreakBefore w:val="0"/>
        <w:widowControl w:val="0"/>
        <w:kinsoku/>
        <w:wordWrap/>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综上所述，本指标满分为</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分，根据评分标准得</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分，本项目立项依据充分。</w:t>
      </w:r>
    </w:p>
    <w:p w14:paraId="62EA2CD9">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（2）立项程序规范性：</w:t>
      </w:r>
    </w:p>
    <w:p w14:paraId="5818120B">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w:t>
      </w:r>
      <w:r>
        <w:rPr>
          <w:rFonts w:hint="eastAsia" w:ascii="宋体" w:hAnsi="宋体" w:eastAsia="宋体" w:cs="宋体"/>
          <w:color w:val="auto"/>
          <w:sz w:val="24"/>
          <w:szCs w:val="24"/>
          <w:highlight w:val="none"/>
          <w:lang w:val="en-US" w:eastAsia="zh-CN"/>
        </w:rPr>
        <w:t>2023年7月至2024年10月监察信息员补助发放</w:t>
      </w:r>
      <w:r>
        <w:rPr>
          <w:rFonts w:hint="eastAsia" w:ascii="宋体" w:hAnsi="宋体" w:eastAsia="宋体" w:cs="宋体"/>
          <w:color w:val="auto"/>
          <w:sz w:val="24"/>
          <w:szCs w:val="24"/>
          <w:highlight w:val="none"/>
        </w:rPr>
        <w:t>，项目立项过程中产生的文件均符合相关要求。本项目为</w:t>
      </w:r>
      <w:r>
        <w:rPr>
          <w:rFonts w:hint="eastAsia" w:ascii="宋体" w:hAnsi="宋体" w:eastAsia="宋体" w:cs="宋体"/>
          <w:color w:val="auto"/>
          <w:sz w:val="24"/>
          <w:szCs w:val="24"/>
          <w:highlight w:val="none"/>
          <w:lang w:val="en-US" w:eastAsia="zh-CN"/>
        </w:rPr>
        <w:t>特定</w:t>
      </w:r>
      <w:r>
        <w:rPr>
          <w:rFonts w:hint="eastAsia" w:ascii="宋体" w:hAnsi="宋体" w:eastAsia="宋体" w:cs="宋体"/>
          <w:color w:val="auto"/>
          <w:sz w:val="24"/>
          <w:szCs w:val="24"/>
          <w:highlight w:val="none"/>
        </w:rPr>
        <w:t>类项目，属于经常性项目，项目预算金额为</w:t>
      </w:r>
      <w:r>
        <w:rPr>
          <w:rFonts w:hint="eastAsia" w:ascii="宋体" w:hAnsi="宋体" w:eastAsia="宋体" w:cs="宋体"/>
          <w:color w:val="auto"/>
          <w:sz w:val="24"/>
          <w:szCs w:val="24"/>
          <w:highlight w:val="none"/>
          <w:lang w:val="en-US" w:eastAsia="zh-CN"/>
        </w:rPr>
        <w:t>134.73</w:t>
      </w:r>
      <w:r>
        <w:rPr>
          <w:rFonts w:hint="eastAsia" w:ascii="宋体" w:hAnsi="宋体" w:eastAsia="宋体" w:cs="宋体"/>
          <w:color w:val="auto"/>
          <w:sz w:val="24"/>
          <w:szCs w:val="24"/>
          <w:highlight w:val="none"/>
        </w:rPr>
        <w:t>万元，不涉及事前绩效评估和风险评估。</w:t>
      </w:r>
    </w:p>
    <w:p w14:paraId="486716AC">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rPr>
        <w:t>综上所述，本指标满分为3分，根据评分标准得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分，本项目立项程序合规。</w:t>
      </w:r>
      <w:r>
        <w:rPr>
          <w:rFonts w:hint="eastAsia" w:ascii="宋体" w:hAnsi="宋体" w:eastAsia="宋体" w:cs="宋体"/>
          <w:b/>
          <w:bCs/>
          <w:sz w:val="24"/>
          <w:szCs w:val="24"/>
        </w:rPr>
        <w:t>（3）绩效目标合理性</w:t>
      </w:r>
      <w:r>
        <w:rPr>
          <w:rFonts w:hint="eastAsia" w:ascii="宋体" w:hAnsi="宋体" w:eastAsia="宋体" w:cs="宋体"/>
          <w:sz w:val="24"/>
          <w:szCs w:val="24"/>
        </w:rPr>
        <w:t>：</w:t>
      </w:r>
    </w:p>
    <w:p w14:paraId="045C4888">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①该项目已设置年度绩效目标，具体内容为补贴发放16个月，发放人数726人，总金额134.73万元，通过项目实施，有效提升监察信息员经费保障水平。</w:t>
      </w:r>
    </w:p>
    <w:p w14:paraId="4289E49A">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②该项目实际工作内容为补贴发放16个月，平均发放人数726人。通过项目实施，有效提升监察信息员经费保障水平，使监察信息员积极发挥作用，提高工作质效。绩效目标与实际工作内容一致，两者具有相关性。</w:t>
      </w:r>
    </w:p>
    <w:p w14:paraId="4D1BE11A">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③该项目按照绩效目标完成数量指标、质量指标、时效指标、成本指标，达到</w:t>
      </w:r>
      <w:r>
        <w:rPr>
          <w:rFonts w:hint="eastAsia" w:ascii="宋体" w:hAnsi="宋体" w:eastAsia="宋体" w:cs="宋体"/>
          <w:color w:val="auto"/>
          <w:sz w:val="24"/>
          <w:szCs w:val="24"/>
          <w:highlight w:val="none"/>
          <w:lang w:eastAsia="zh-CN"/>
        </w:rPr>
        <w:t>明显</w:t>
      </w:r>
      <w:r>
        <w:rPr>
          <w:rFonts w:hint="eastAsia" w:ascii="宋体" w:hAnsi="宋体" w:eastAsia="宋体" w:cs="宋体"/>
          <w:color w:val="auto"/>
          <w:sz w:val="24"/>
          <w:szCs w:val="24"/>
          <w:highlight w:val="none"/>
        </w:rPr>
        <w:t>效益，预期产出效益和效果是符合正常的业绩水平。</w:t>
      </w:r>
    </w:p>
    <w:p w14:paraId="47F89544">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④该项目批复的预算金额为</w:t>
      </w:r>
      <w:r>
        <w:rPr>
          <w:rFonts w:hint="eastAsia" w:ascii="宋体" w:hAnsi="宋体" w:eastAsia="宋体" w:cs="宋体"/>
          <w:color w:val="auto"/>
          <w:sz w:val="24"/>
          <w:szCs w:val="24"/>
          <w:highlight w:val="none"/>
          <w:lang w:val="en-US" w:eastAsia="zh-CN"/>
        </w:rPr>
        <w:t>134.73</w:t>
      </w:r>
      <w:r>
        <w:rPr>
          <w:rFonts w:hint="eastAsia" w:ascii="宋体" w:hAnsi="宋体" w:eastAsia="宋体" w:cs="宋体"/>
          <w:color w:val="auto"/>
          <w:sz w:val="24"/>
          <w:szCs w:val="24"/>
          <w:highlight w:val="none"/>
        </w:rPr>
        <w:t>万元，《项目支出绩效目标表》中预算金额为</w:t>
      </w:r>
      <w:r>
        <w:rPr>
          <w:rFonts w:hint="eastAsia" w:ascii="宋体" w:hAnsi="宋体" w:eastAsia="宋体" w:cs="宋体"/>
          <w:color w:val="auto"/>
          <w:sz w:val="24"/>
          <w:szCs w:val="24"/>
          <w:highlight w:val="none"/>
          <w:lang w:val="en-US" w:eastAsia="zh-CN"/>
        </w:rPr>
        <w:t>134.73</w:t>
      </w:r>
      <w:r>
        <w:rPr>
          <w:rFonts w:hint="eastAsia" w:ascii="宋体" w:hAnsi="宋体" w:eastAsia="宋体" w:cs="宋体"/>
          <w:color w:val="auto"/>
          <w:sz w:val="24"/>
          <w:szCs w:val="24"/>
          <w:highlight w:val="none"/>
        </w:rPr>
        <w:t>万元，预算确定的项目资金与预算确定的项目投资额相匹配。</w:t>
      </w:r>
    </w:p>
    <w:p w14:paraId="0B2996AF">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⑤本单位</w:t>
      </w:r>
      <w:r>
        <w:rPr>
          <w:rFonts w:hint="eastAsia" w:ascii="宋体" w:hAnsi="宋体" w:eastAsia="宋体" w:cs="宋体"/>
          <w:color w:val="auto"/>
          <w:sz w:val="24"/>
          <w:szCs w:val="24"/>
          <w:highlight w:val="none"/>
        </w:rPr>
        <w:t>制定了实施方案，明确了总体思路及目标、并对任务进行了详细分解，对目标进行了细化，根据评分标准，该指标不扣分，得3分。</w:t>
      </w:r>
    </w:p>
    <w:p w14:paraId="0AB7DDEA">
      <w:pPr>
        <w:pageBreakBefore w:val="0"/>
        <w:widowControl w:val="0"/>
        <w:numPr>
          <w:ilvl w:val="0"/>
          <w:numId w:val="0"/>
        </w:numPr>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绩效指标明确性</w:t>
      </w:r>
      <w:r>
        <w:rPr>
          <w:rFonts w:hint="eastAsia" w:ascii="宋体" w:hAnsi="宋体" w:eastAsia="宋体" w:cs="宋体"/>
          <w:b/>
          <w:bCs/>
          <w:color w:val="auto"/>
          <w:sz w:val="24"/>
          <w:szCs w:val="24"/>
          <w:highlight w:val="none"/>
          <w:lang w:eastAsia="zh-CN"/>
        </w:rPr>
        <w:t>：</w:t>
      </w:r>
      <w:r>
        <w:rPr>
          <w:rFonts w:hint="eastAsia" w:ascii="宋体" w:hAnsi="宋体" w:eastAsia="宋体" w:cs="宋体"/>
          <w:color w:val="auto"/>
          <w:sz w:val="24"/>
          <w:szCs w:val="24"/>
          <w:highlight w:val="none"/>
        </w:rPr>
        <w:t>经检查我单位年初设置的《项目支出绩效目标表》，得出如下结论：本项目已将年度绩效目标进行细化为绩效指标</w:t>
      </w:r>
      <w:r>
        <w:rPr>
          <w:rFonts w:hint="eastAsia" w:ascii="宋体" w:hAnsi="宋体" w:eastAsia="宋体" w:cs="宋体"/>
          <w:color w:val="auto"/>
          <w:sz w:val="24"/>
          <w:szCs w:val="24"/>
          <w:highlight w:val="none"/>
          <w:lang w:val="en-US" w:eastAsia="zh-CN"/>
        </w:rPr>
        <w:t>体系</w:t>
      </w:r>
      <w:r>
        <w:rPr>
          <w:rFonts w:hint="eastAsia" w:ascii="宋体" w:hAnsi="宋体" w:eastAsia="宋体" w:cs="宋体"/>
          <w:color w:val="auto"/>
          <w:sz w:val="24"/>
          <w:szCs w:val="24"/>
          <w:highlight w:val="none"/>
        </w:rPr>
        <w:t>，共设置一级指标</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个，二级指标</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个，三级指标</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个，定量指标</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个，定性指标</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个，指标量化率为</w:t>
      </w:r>
      <w:r>
        <w:rPr>
          <w:rFonts w:hint="eastAsia" w:ascii="宋体" w:hAnsi="宋体" w:eastAsia="宋体" w:cs="宋体"/>
          <w:color w:val="auto"/>
          <w:sz w:val="24"/>
          <w:szCs w:val="24"/>
          <w:highlight w:val="none"/>
          <w:lang w:val="en-US" w:eastAsia="zh-CN"/>
        </w:rPr>
        <w:t>75</w:t>
      </w:r>
      <w:r>
        <w:rPr>
          <w:rFonts w:hint="eastAsia" w:ascii="宋体" w:hAnsi="宋体" w:eastAsia="宋体" w:cs="宋体"/>
          <w:color w:val="auto"/>
          <w:sz w:val="24"/>
          <w:szCs w:val="24"/>
          <w:highlight w:val="none"/>
        </w:rPr>
        <w:t>%，量化率达70.0%以上</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将项目绩效目标细化分解为具体的绩效指标</w:t>
      </w:r>
      <w:r>
        <w:rPr>
          <w:rFonts w:hint="eastAsia" w:ascii="宋体" w:hAnsi="宋体" w:eastAsia="宋体" w:cs="宋体"/>
          <w:color w:val="auto"/>
          <w:sz w:val="24"/>
          <w:szCs w:val="24"/>
          <w:highlight w:val="none"/>
          <w:lang w:eastAsia="zh-CN"/>
        </w:rPr>
        <w:t>。</w:t>
      </w:r>
    </w:p>
    <w:p w14:paraId="40E78725">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该《项目绩效目标申报表》中，数量指标指标值为补贴发放月数</w:t>
      </w:r>
      <w:r>
        <w:rPr>
          <w:rFonts w:hint="eastAsia" w:ascii="宋体" w:hAnsi="宋体" w:eastAsia="宋体" w:cs="宋体"/>
          <w:color w:val="auto"/>
          <w:sz w:val="24"/>
          <w:szCs w:val="24"/>
          <w:highlight w:val="none"/>
          <w:lang w:val="en-US" w:eastAsia="zh-CN"/>
        </w:rPr>
        <w:t>=16个月</w:t>
      </w:r>
      <w:r>
        <w:rPr>
          <w:rFonts w:hint="eastAsia" w:ascii="宋体" w:hAnsi="宋体" w:eastAsia="宋体" w:cs="宋体"/>
          <w:color w:val="auto"/>
          <w:sz w:val="24"/>
          <w:szCs w:val="24"/>
          <w:highlight w:val="none"/>
        </w:rPr>
        <w:t>、补贴发放人数</w:t>
      </w:r>
      <w:r>
        <w:rPr>
          <w:rFonts w:hint="eastAsia" w:ascii="宋体" w:hAnsi="宋体" w:eastAsia="宋体" w:cs="宋体"/>
          <w:color w:val="auto"/>
          <w:sz w:val="24"/>
          <w:szCs w:val="24"/>
          <w:highlight w:val="none"/>
          <w:lang w:val="en-US" w:eastAsia="zh-CN"/>
        </w:rPr>
        <w:t>=726人</w:t>
      </w:r>
      <w:r>
        <w:rPr>
          <w:rFonts w:hint="eastAsia" w:ascii="宋体" w:hAnsi="宋体" w:eastAsia="宋体" w:cs="宋体"/>
          <w:color w:val="auto"/>
          <w:sz w:val="24"/>
          <w:szCs w:val="24"/>
          <w:highlight w:val="none"/>
        </w:rPr>
        <w:t>，三级指标的年度指标值与年度绩效目标中任务数一致，已设置时效指标“</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”。已设置的绩效目标具备明确性、可衡量性、可实现性、相关性、时限性。根据评分标准，该指标不扣分，得2分。</w:t>
      </w:r>
    </w:p>
    <w:p w14:paraId="123E20E3">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（5）预算编制科学性：</w:t>
      </w:r>
      <w:r>
        <w:rPr>
          <w:rFonts w:hint="eastAsia" w:ascii="宋体" w:hAnsi="宋体" w:eastAsia="宋体" w:cs="宋体"/>
          <w:color w:val="auto"/>
          <w:sz w:val="24"/>
          <w:szCs w:val="24"/>
          <w:highlight w:val="none"/>
        </w:rPr>
        <w:t>本项目</w:t>
      </w:r>
      <w:r>
        <w:rPr>
          <w:rFonts w:hint="eastAsia" w:ascii="宋体" w:hAnsi="宋体" w:eastAsia="宋体" w:cs="宋体"/>
          <w:color w:val="auto"/>
          <w:sz w:val="24"/>
          <w:szCs w:val="24"/>
          <w:highlight w:val="none"/>
          <w:lang w:val="en-US" w:eastAsia="zh-CN"/>
        </w:rPr>
        <w:t>2024年监察信息员经费补助</w:t>
      </w:r>
      <w:r>
        <w:rPr>
          <w:rFonts w:hint="eastAsia" w:ascii="宋体" w:hAnsi="宋体" w:eastAsia="宋体" w:cs="宋体"/>
          <w:color w:val="auto"/>
          <w:sz w:val="24"/>
          <w:szCs w:val="24"/>
          <w:highlight w:val="none"/>
        </w:rPr>
        <w:t>，即预算编制较科学且经过论证；</w:t>
      </w:r>
    </w:p>
    <w:p w14:paraId="57219B13">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预算申请内容为</w:t>
      </w:r>
      <w:r>
        <w:rPr>
          <w:rFonts w:hint="eastAsia" w:ascii="宋体" w:hAnsi="宋体" w:eastAsia="宋体" w:cs="宋体"/>
          <w:color w:val="auto"/>
          <w:sz w:val="24"/>
          <w:szCs w:val="24"/>
          <w:highlight w:val="none"/>
          <w:lang w:val="en-US" w:eastAsia="zh-CN"/>
        </w:rPr>
        <w:t>726名监察信息员发放16个月补贴</w:t>
      </w:r>
      <w:r>
        <w:rPr>
          <w:rFonts w:hint="eastAsia" w:ascii="宋体" w:hAnsi="宋体" w:eastAsia="宋体" w:cs="宋体"/>
          <w:color w:val="auto"/>
          <w:sz w:val="24"/>
          <w:szCs w:val="24"/>
          <w:highlight w:val="none"/>
        </w:rPr>
        <w:t>，预算申请与《</w:t>
      </w:r>
      <w:r>
        <w:rPr>
          <w:rFonts w:hint="eastAsia" w:ascii="宋体" w:hAnsi="宋体" w:eastAsia="宋体" w:cs="宋体"/>
          <w:color w:val="auto"/>
          <w:sz w:val="24"/>
          <w:szCs w:val="24"/>
          <w:highlight w:val="none"/>
          <w:lang w:val="en-US" w:eastAsia="zh-CN"/>
        </w:rPr>
        <w:t>监察信息员经费</w:t>
      </w:r>
      <w:r>
        <w:rPr>
          <w:rFonts w:hint="eastAsia" w:ascii="宋体" w:hAnsi="宋体" w:eastAsia="宋体" w:cs="宋体"/>
          <w:color w:val="auto"/>
          <w:sz w:val="24"/>
          <w:szCs w:val="24"/>
          <w:highlight w:val="none"/>
        </w:rPr>
        <w:t>项目实施方案》中涉及的项目内容匹配；</w:t>
      </w:r>
    </w:p>
    <w:p w14:paraId="58AAA08D">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本项目预算申请资金</w:t>
      </w:r>
      <w:r>
        <w:rPr>
          <w:rFonts w:hint="eastAsia" w:ascii="宋体" w:hAnsi="宋体" w:eastAsia="宋体" w:cs="宋体"/>
          <w:color w:val="auto"/>
          <w:sz w:val="24"/>
          <w:szCs w:val="24"/>
          <w:highlight w:val="none"/>
          <w:lang w:val="en-US" w:eastAsia="zh-CN"/>
        </w:rPr>
        <w:t>134.73</w:t>
      </w:r>
      <w:r>
        <w:rPr>
          <w:rFonts w:hint="eastAsia" w:ascii="宋体" w:hAnsi="宋体" w:eastAsia="宋体" w:cs="宋体"/>
          <w:color w:val="auto"/>
          <w:sz w:val="24"/>
          <w:szCs w:val="24"/>
          <w:highlight w:val="none"/>
        </w:rPr>
        <w:t>万元，我单位在预算申请中严格按照项目实施内容及测算标准进行核算，</w:t>
      </w:r>
      <w:r>
        <w:rPr>
          <w:rFonts w:hint="eastAsia" w:ascii="宋体" w:hAnsi="宋体" w:eastAsia="宋体" w:cs="宋体"/>
          <w:color w:val="auto"/>
          <w:sz w:val="24"/>
          <w:szCs w:val="24"/>
          <w:highlight w:val="none"/>
          <w:lang w:eastAsia="zh-CN"/>
        </w:rPr>
        <w:t>均用于发放补贴</w:t>
      </w:r>
      <w:r>
        <w:rPr>
          <w:rFonts w:hint="eastAsia" w:ascii="宋体" w:hAnsi="宋体" w:eastAsia="宋体" w:cs="宋体"/>
          <w:color w:val="auto"/>
          <w:sz w:val="24"/>
          <w:szCs w:val="24"/>
          <w:highlight w:val="none"/>
        </w:rPr>
        <w:t>。预算确定资金量与实际工作任务相匹配。本项目预算额度测算依据充分，严格按照标准编制，预算确定资金量与实际工作任务相匹配；根据评分标准，该指标不扣分，得3分。</w:t>
      </w:r>
    </w:p>
    <w:p w14:paraId="2DDF511B">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（6）资金分配合理性：</w:t>
      </w:r>
      <w:r>
        <w:rPr>
          <w:rFonts w:hint="eastAsia" w:ascii="宋体" w:hAnsi="宋体" w:eastAsia="宋体" w:cs="宋体"/>
          <w:color w:val="auto"/>
          <w:sz w:val="24"/>
          <w:szCs w:val="24"/>
          <w:highlight w:val="none"/>
        </w:rPr>
        <w:t>本项目实际分配资金以《关于申请</w:t>
      </w:r>
      <w:r>
        <w:rPr>
          <w:rFonts w:hint="eastAsia" w:ascii="宋体" w:hAnsi="宋体" w:eastAsia="宋体" w:cs="宋体"/>
          <w:color w:val="auto"/>
          <w:sz w:val="24"/>
          <w:szCs w:val="24"/>
          <w:highlight w:val="none"/>
          <w:lang w:eastAsia="zh-CN"/>
        </w:rPr>
        <w:t>监察信息员经费</w:t>
      </w:r>
      <w:r>
        <w:rPr>
          <w:rFonts w:hint="eastAsia" w:ascii="宋体" w:hAnsi="宋体" w:eastAsia="宋体" w:cs="宋体"/>
          <w:color w:val="auto"/>
          <w:sz w:val="24"/>
          <w:szCs w:val="24"/>
          <w:highlight w:val="none"/>
        </w:rPr>
        <w:t>项目资金的请示》和《</w:t>
      </w:r>
      <w:r>
        <w:rPr>
          <w:rFonts w:hint="eastAsia" w:ascii="宋体" w:hAnsi="宋体" w:eastAsia="宋体" w:cs="宋体"/>
          <w:color w:val="auto"/>
          <w:sz w:val="24"/>
          <w:szCs w:val="24"/>
          <w:highlight w:val="none"/>
          <w:lang w:eastAsia="zh-CN"/>
        </w:rPr>
        <w:t>监察信息员经费</w:t>
      </w:r>
      <w:r>
        <w:rPr>
          <w:rFonts w:hint="eastAsia" w:ascii="宋体" w:hAnsi="宋体" w:eastAsia="宋体" w:cs="宋体"/>
          <w:color w:val="auto"/>
          <w:sz w:val="24"/>
          <w:szCs w:val="24"/>
          <w:highlight w:val="none"/>
        </w:rPr>
        <w:t>项目实施方案》为依据进行资金分配，预算资金分配依据充分。根据《</w:t>
      </w:r>
      <w:r>
        <w:rPr>
          <w:rFonts w:hint="eastAsia" w:ascii="宋体" w:hAnsi="宋体" w:eastAsia="宋体" w:cs="宋体"/>
          <w:color w:val="auto"/>
          <w:sz w:val="24"/>
          <w:szCs w:val="24"/>
          <w:highlight w:val="none"/>
          <w:lang w:eastAsia="zh-CN"/>
        </w:rPr>
        <w:t>洛浦县财经领导小组会议纪要</w:t>
      </w:r>
      <w:r>
        <w:rPr>
          <w:rFonts w:hint="eastAsia" w:ascii="宋体" w:hAnsi="宋体" w:eastAsia="宋体" w:cs="宋体"/>
          <w:color w:val="auto"/>
          <w:sz w:val="24"/>
          <w:szCs w:val="24"/>
          <w:highlight w:val="none"/>
        </w:rPr>
        <w:t>》（洛财纪字【2024】3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4、5、6</w:t>
      </w:r>
      <w:r>
        <w:rPr>
          <w:rFonts w:hint="eastAsia" w:ascii="宋体" w:hAnsi="宋体" w:eastAsia="宋体" w:cs="宋体"/>
          <w:color w:val="auto"/>
          <w:sz w:val="24"/>
          <w:szCs w:val="24"/>
          <w:highlight w:val="none"/>
        </w:rPr>
        <w:t>号），本项目实际到位资金</w:t>
      </w:r>
      <w:r>
        <w:rPr>
          <w:rFonts w:hint="eastAsia" w:ascii="宋体" w:hAnsi="宋体" w:eastAsia="宋体" w:cs="宋体"/>
          <w:color w:val="auto"/>
          <w:sz w:val="24"/>
          <w:szCs w:val="24"/>
          <w:highlight w:val="none"/>
          <w:lang w:val="en-US" w:eastAsia="zh-CN"/>
        </w:rPr>
        <w:t>134.73</w:t>
      </w:r>
      <w:r>
        <w:rPr>
          <w:rFonts w:hint="eastAsia" w:ascii="宋体" w:hAnsi="宋体" w:eastAsia="宋体" w:cs="宋体"/>
          <w:color w:val="auto"/>
          <w:sz w:val="24"/>
          <w:szCs w:val="24"/>
          <w:highlight w:val="none"/>
        </w:rPr>
        <w:t>万元，资金分配额度合理，与我单位实际需求相适应。资金分配与实际相适应，根据评分标准，该指标不扣分，得2分。</w:t>
      </w:r>
    </w:p>
    <w:p w14:paraId="385B851A">
      <w:pPr>
        <w:pStyle w:val="58"/>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（二）项目过程情况</w:t>
      </w:r>
    </w:p>
    <w:p w14:paraId="007ACC2E">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sz w:val="24"/>
          <w:szCs w:val="24"/>
          <w:highlight w:val="none"/>
        </w:rPr>
        <w:t>项目过程类指标包括资金管理和组织实施两方面的内容</w:t>
      </w:r>
      <w:r>
        <w:rPr>
          <w:rFonts w:hint="eastAsia" w:ascii="宋体" w:hAnsi="宋体" w:eastAsia="宋体" w:cs="宋体"/>
          <w:color w:val="auto"/>
          <w:sz w:val="24"/>
          <w:szCs w:val="24"/>
          <w:highlight w:val="none"/>
        </w:rPr>
        <w:t>，由 5个三级指标构成，权重分为20分，实际得分</w:t>
      </w:r>
      <w:r>
        <w:rPr>
          <w:rFonts w:hint="eastAsia" w:ascii="宋体" w:hAnsi="宋体" w:eastAsia="宋体" w:cs="宋体"/>
          <w:color w:val="auto"/>
          <w:sz w:val="24"/>
          <w:szCs w:val="24"/>
          <w:highlight w:val="none"/>
          <w:lang w:val="en-US" w:eastAsia="zh-CN"/>
        </w:rPr>
        <w:t>20</w:t>
      </w:r>
      <w:r>
        <w:rPr>
          <w:rFonts w:hint="eastAsia" w:ascii="宋体" w:hAnsi="宋体" w:eastAsia="宋体" w:cs="宋体"/>
          <w:color w:val="auto"/>
          <w:sz w:val="24"/>
          <w:szCs w:val="24"/>
          <w:highlight w:val="none"/>
        </w:rPr>
        <w:t>分，得分率为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w:t>
      </w:r>
    </w:p>
    <w:p w14:paraId="54603984">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bCs/>
          <w:color w:val="auto"/>
          <w:sz w:val="24"/>
          <w:szCs w:val="24"/>
          <w:highlight w:val="none"/>
        </w:rPr>
        <w:t>（1）资金到位率：</w:t>
      </w:r>
      <w:r>
        <w:rPr>
          <w:rFonts w:hint="eastAsia" w:ascii="宋体" w:hAnsi="宋体" w:eastAsia="宋体" w:cs="宋体"/>
          <w:b w:val="0"/>
          <w:bCs w:val="0"/>
          <w:color w:val="auto"/>
          <w:sz w:val="24"/>
          <w:szCs w:val="24"/>
          <w:highlight w:val="none"/>
        </w:rPr>
        <w:t>本项目预算资金为</w:t>
      </w:r>
      <w:r>
        <w:rPr>
          <w:rFonts w:hint="eastAsia" w:ascii="宋体" w:hAnsi="宋体" w:eastAsia="宋体" w:cs="宋体"/>
          <w:b w:val="0"/>
          <w:bCs w:val="0"/>
          <w:color w:val="auto"/>
          <w:sz w:val="24"/>
          <w:szCs w:val="24"/>
          <w:highlight w:val="none"/>
          <w:lang w:val="en-US" w:eastAsia="zh-CN"/>
        </w:rPr>
        <w:t>134.73</w:t>
      </w:r>
      <w:r>
        <w:rPr>
          <w:rFonts w:hint="eastAsia" w:ascii="宋体" w:hAnsi="宋体" w:eastAsia="宋体" w:cs="宋体"/>
          <w:b w:val="0"/>
          <w:bCs w:val="0"/>
          <w:color w:val="auto"/>
          <w:sz w:val="24"/>
          <w:szCs w:val="24"/>
          <w:highlight w:val="none"/>
        </w:rPr>
        <w:t>万元，其中：财政安排资金</w:t>
      </w:r>
      <w:r>
        <w:rPr>
          <w:rFonts w:hint="eastAsia" w:ascii="宋体" w:hAnsi="宋体" w:eastAsia="宋体" w:cs="宋体"/>
          <w:b w:val="0"/>
          <w:bCs w:val="0"/>
          <w:color w:val="auto"/>
          <w:sz w:val="24"/>
          <w:szCs w:val="24"/>
          <w:highlight w:val="none"/>
          <w:lang w:val="en-US" w:eastAsia="zh-CN"/>
        </w:rPr>
        <w:t>134.73</w:t>
      </w:r>
      <w:r>
        <w:rPr>
          <w:rFonts w:hint="eastAsia" w:ascii="宋体" w:hAnsi="宋体" w:eastAsia="宋体" w:cs="宋体"/>
          <w:b w:val="0"/>
          <w:bCs w:val="0"/>
          <w:color w:val="auto"/>
          <w:sz w:val="24"/>
          <w:szCs w:val="24"/>
          <w:highlight w:val="none"/>
        </w:rPr>
        <w:t>万元，其他资金</w:t>
      </w:r>
      <w:r>
        <w:rPr>
          <w:rFonts w:hint="eastAsia" w:ascii="宋体" w:hAnsi="宋体" w:eastAsia="宋体" w:cs="宋体"/>
          <w:b w:val="0"/>
          <w:bCs w:val="0"/>
          <w:color w:val="auto"/>
          <w:sz w:val="24"/>
          <w:szCs w:val="24"/>
          <w:highlight w:val="none"/>
          <w:lang w:val="en-US" w:eastAsia="zh-CN"/>
        </w:rPr>
        <w:t>0</w:t>
      </w:r>
      <w:r>
        <w:rPr>
          <w:rFonts w:hint="eastAsia" w:ascii="宋体" w:hAnsi="宋体" w:eastAsia="宋体" w:cs="宋体"/>
          <w:b w:val="0"/>
          <w:bCs w:val="0"/>
          <w:color w:val="auto"/>
          <w:sz w:val="24"/>
          <w:szCs w:val="24"/>
          <w:highlight w:val="none"/>
        </w:rPr>
        <w:t>万元，实际到位资金</w:t>
      </w:r>
      <w:r>
        <w:rPr>
          <w:rFonts w:hint="eastAsia" w:ascii="宋体" w:hAnsi="宋体" w:eastAsia="宋体" w:cs="宋体"/>
          <w:b w:val="0"/>
          <w:bCs w:val="0"/>
          <w:color w:val="auto"/>
          <w:sz w:val="24"/>
          <w:szCs w:val="24"/>
          <w:highlight w:val="none"/>
          <w:lang w:val="en-US" w:eastAsia="zh-CN"/>
        </w:rPr>
        <w:t>134.73</w:t>
      </w:r>
      <w:r>
        <w:rPr>
          <w:rFonts w:hint="eastAsia" w:ascii="宋体" w:hAnsi="宋体" w:eastAsia="宋体" w:cs="宋体"/>
          <w:b w:val="0"/>
          <w:bCs w:val="0"/>
          <w:color w:val="auto"/>
          <w:sz w:val="24"/>
          <w:szCs w:val="24"/>
          <w:highlight w:val="none"/>
        </w:rPr>
        <w:t>万元，资金到位率=</w:t>
      </w:r>
      <w:r>
        <w:rPr>
          <w:rFonts w:hint="eastAsia" w:ascii="宋体" w:hAnsi="宋体" w:eastAsia="宋体" w:cs="宋体"/>
          <w:b w:val="0"/>
          <w:bCs w:val="0"/>
          <w:color w:val="auto"/>
          <w:sz w:val="24"/>
          <w:szCs w:val="24"/>
          <w:highlight w:val="none"/>
          <w:lang w:val="en-US" w:eastAsia="zh-CN"/>
        </w:rPr>
        <w:t>100%；通过分析可知，该项目</w:t>
      </w:r>
      <w:r>
        <w:rPr>
          <w:rFonts w:hint="eastAsia" w:ascii="宋体" w:hAnsi="宋体" w:eastAsia="宋体" w:cs="宋体"/>
          <w:b w:val="0"/>
          <w:bCs w:val="0"/>
          <w:color w:val="auto"/>
          <w:sz w:val="24"/>
          <w:szCs w:val="24"/>
          <w:highlight w:val="none"/>
        </w:rPr>
        <w:t>财政资金足额拨付到位，能够及时足额</w:t>
      </w:r>
      <w:r>
        <w:rPr>
          <w:rFonts w:hint="eastAsia" w:ascii="宋体" w:hAnsi="宋体" w:eastAsia="宋体" w:cs="宋体"/>
          <w:b w:val="0"/>
          <w:bCs w:val="0"/>
          <w:color w:val="auto"/>
          <w:sz w:val="24"/>
          <w:szCs w:val="24"/>
          <w:highlight w:val="none"/>
          <w:lang w:val="en-US" w:eastAsia="zh-CN"/>
        </w:rPr>
        <w:t>支付</w:t>
      </w:r>
      <w:r>
        <w:rPr>
          <w:rFonts w:hint="eastAsia" w:ascii="宋体" w:hAnsi="宋体" w:eastAsia="宋体" w:cs="宋体"/>
          <w:b w:val="0"/>
          <w:bCs w:val="0"/>
          <w:color w:val="auto"/>
          <w:sz w:val="24"/>
          <w:szCs w:val="24"/>
          <w:highlight w:val="none"/>
        </w:rPr>
        <w:t>给</w:t>
      </w:r>
      <w:r>
        <w:rPr>
          <w:rFonts w:hint="eastAsia" w:ascii="宋体" w:hAnsi="宋体" w:eastAsia="宋体" w:cs="宋体"/>
          <w:b w:val="0"/>
          <w:bCs w:val="0"/>
          <w:color w:val="auto"/>
          <w:sz w:val="24"/>
          <w:szCs w:val="24"/>
          <w:highlight w:val="none"/>
          <w:lang w:val="en-US" w:eastAsia="zh-CN"/>
        </w:rPr>
        <w:t>实施</w:t>
      </w:r>
      <w:r>
        <w:rPr>
          <w:rFonts w:hint="eastAsia" w:ascii="宋体" w:hAnsi="宋体" w:eastAsia="宋体" w:cs="宋体"/>
          <w:b w:val="0"/>
          <w:bCs w:val="0"/>
          <w:color w:val="auto"/>
          <w:sz w:val="24"/>
          <w:szCs w:val="24"/>
          <w:highlight w:val="none"/>
        </w:rPr>
        <w:t>单位</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 xml:space="preserve">根据评分标准，该指标不扣分，得3分。   </w:t>
      </w:r>
    </w:p>
    <w:p w14:paraId="53B616D0">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（2）预算执行率：</w:t>
      </w:r>
      <w:r>
        <w:rPr>
          <w:rFonts w:hint="eastAsia" w:ascii="宋体" w:hAnsi="宋体" w:eastAsia="宋体" w:cs="宋体"/>
          <w:color w:val="auto"/>
          <w:sz w:val="24"/>
          <w:szCs w:val="24"/>
          <w:highlight w:val="none"/>
        </w:rPr>
        <w:t>本项目实际支出资金</w:t>
      </w:r>
      <w:r>
        <w:rPr>
          <w:rFonts w:hint="eastAsia" w:ascii="宋体" w:hAnsi="宋体" w:eastAsia="宋体" w:cs="宋体"/>
          <w:color w:val="auto"/>
          <w:sz w:val="24"/>
          <w:szCs w:val="24"/>
          <w:highlight w:val="none"/>
          <w:lang w:val="en-US" w:eastAsia="zh-CN"/>
        </w:rPr>
        <w:t>134.73</w:t>
      </w:r>
      <w:r>
        <w:rPr>
          <w:rFonts w:hint="eastAsia" w:ascii="宋体" w:hAnsi="宋体" w:eastAsia="宋体" w:cs="宋体"/>
          <w:color w:val="auto"/>
          <w:sz w:val="24"/>
          <w:szCs w:val="24"/>
          <w:highlight w:val="none"/>
        </w:rPr>
        <w:t>万元，预算执行率=（</w:t>
      </w:r>
      <w:r>
        <w:rPr>
          <w:rFonts w:hint="eastAsia" w:ascii="宋体" w:hAnsi="宋体" w:eastAsia="宋体" w:cs="宋体"/>
          <w:color w:val="auto"/>
          <w:sz w:val="24"/>
          <w:szCs w:val="24"/>
          <w:highlight w:val="none"/>
          <w:lang w:val="en-US" w:eastAsia="zh-CN"/>
        </w:rPr>
        <w:t>134.73</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134.73</w:t>
      </w:r>
      <w:r>
        <w:rPr>
          <w:rFonts w:hint="eastAsia" w:ascii="宋体" w:hAnsi="宋体" w:eastAsia="宋体" w:cs="宋体"/>
          <w:color w:val="auto"/>
          <w:sz w:val="24"/>
          <w:szCs w:val="24"/>
          <w:highlight w:val="none"/>
        </w:rPr>
        <w:t>）×100.0%=</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通过分析可知，该项目</w:t>
      </w:r>
      <w:r>
        <w:rPr>
          <w:rFonts w:hint="eastAsia" w:ascii="宋体" w:hAnsi="宋体" w:eastAsia="宋体" w:cs="宋体"/>
          <w:color w:val="auto"/>
          <w:sz w:val="24"/>
          <w:szCs w:val="24"/>
          <w:highlight w:val="none"/>
        </w:rPr>
        <w:t>预算编制较为详细，项目资金支出总体能够按照预算执行，根据评分标准，该指标不扣分，得3分。</w:t>
      </w:r>
    </w:p>
    <w:p w14:paraId="71595114">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（3）资金使用合规性：</w:t>
      </w:r>
      <w:r>
        <w:rPr>
          <w:rFonts w:hint="eastAsia" w:ascii="宋体" w:hAnsi="宋体" w:eastAsia="宋体" w:cs="宋体"/>
          <w:color w:val="auto"/>
          <w:sz w:val="24"/>
          <w:szCs w:val="24"/>
          <w:highlight w:val="none"/>
        </w:rPr>
        <w:t>通过检查项目资金申请文件、</w:t>
      </w:r>
      <w:r>
        <w:rPr>
          <w:rFonts w:hint="eastAsia" w:ascii="宋体" w:hAnsi="宋体" w:eastAsia="宋体" w:cs="宋体"/>
          <w:color w:val="auto"/>
          <w:sz w:val="24"/>
          <w:szCs w:val="24"/>
          <w:highlight w:val="none"/>
          <w:lang w:val="en-US" w:eastAsia="zh-CN"/>
        </w:rPr>
        <w:t>国库支付凭证</w:t>
      </w:r>
      <w:r>
        <w:rPr>
          <w:rFonts w:hint="eastAsia" w:ascii="宋体" w:hAnsi="宋体" w:eastAsia="宋体" w:cs="宋体"/>
          <w:color w:val="auto"/>
          <w:sz w:val="24"/>
          <w:szCs w:val="24"/>
          <w:highlight w:val="none"/>
        </w:rPr>
        <w:t>等财务</w:t>
      </w:r>
      <w:r>
        <w:rPr>
          <w:rFonts w:hint="eastAsia" w:ascii="宋体" w:hAnsi="宋体" w:eastAsia="宋体" w:cs="宋体"/>
          <w:color w:val="auto"/>
          <w:sz w:val="24"/>
          <w:szCs w:val="24"/>
          <w:highlight w:val="none"/>
          <w:lang w:val="en-US" w:eastAsia="zh-CN"/>
        </w:rPr>
        <w:t>资料</w:t>
      </w:r>
      <w:r>
        <w:rPr>
          <w:rFonts w:hint="eastAsia" w:ascii="宋体" w:hAnsi="宋体" w:eastAsia="宋体" w:cs="宋体"/>
          <w:color w:val="auto"/>
          <w:sz w:val="24"/>
          <w:szCs w:val="24"/>
          <w:highlight w:val="none"/>
        </w:rPr>
        <w:t>，得出本项目资金支出符合国家财经法规、《政府会计制度》《</w:t>
      </w:r>
      <w:r>
        <w:rPr>
          <w:rFonts w:hint="eastAsia" w:ascii="宋体" w:hAnsi="宋体" w:eastAsia="宋体" w:cs="宋体"/>
          <w:color w:val="auto"/>
          <w:sz w:val="24"/>
          <w:szCs w:val="24"/>
          <w:highlight w:val="none"/>
          <w:lang w:eastAsia="zh-CN"/>
        </w:rPr>
        <w:t>洛浦县纪律检查委员会</w:t>
      </w:r>
      <w:r>
        <w:rPr>
          <w:rFonts w:hint="eastAsia" w:ascii="宋体" w:hAnsi="宋体" w:eastAsia="宋体" w:cs="宋体"/>
          <w:color w:val="auto"/>
          <w:sz w:val="24"/>
          <w:szCs w:val="24"/>
          <w:highlight w:val="none"/>
        </w:rPr>
        <w:t>单位资金管理办法》，资金的拨付有完整的审批程序和手续，资金实际使用方向与预算批复用途一致，不存在截留、挤占、挪用、虚列支出的情况。</w:t>
      </w:r>
      <w:r>
        <w:rPr>
          <w:rFonts w:hint="eastAsia" w:ascii="宋体" w:hAnsi="宋体" w:eastAsia="宋体" w:cs="宋体"/>
          <w:color w:val="auto"/>
          <w:sz w:val="24"/>
          <w:szCs w:val="24"/>
          <w:highlight w:val="none"/>
          <w:lang w:val="en-US" w:eastAsia="zh-CN"/>
        </w:rPr>
        <w:t>我单位</w:t>
      </w:r>
      <w:r>
        <w:rPr>
          <w:rFonts w:hint="eastAsia" w:ascii="宋体" w:hAnsi="宋体" w:eastAsia="宋体" w:cs="宋体"/>
          <w:color w:val="auto"/>
          <w:sz w:val="24"/>
          <w:szCs w:val="24"/>
          <w:highlight w:val="none"/>
        </w:rPr>
        <w:t>制定了相关的制度和管理规定对经费使用进行规范管理，财务制度健全、执行严格，根据评分标准，该指标不扣分，得4分。</w:t>
      </w:r>
    </w:p>
    <w:p w14:paraId="40962A1C">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b/>
          <w:bCs/>
          <w:color w:val="auto"/>
          <w:sz w:val="24"/>
          <w:szCs w:val="24"/>
          <w:highlight w:val="none"/>
        </w:rPr>
        <w:t>4）管理制度健全性：</w:t>
      </w:r>
      <w:r>
        <w:rPr>
          <w:rFonts w:hint="eastAsia" w:ascii="宋体" w:hAnsi="宋体" w:eastAsia="宋体" w:cs="宋体"/>
          <w:b w:val="0"/>
          <w:bCs w:val="0"/>
          <w:color w:val="auto"/>
          <w:sz w:val="24"/>
          <w:szCs w:val="24"/>
          <w:highlight w:val="none"/>
        </w:rPr>
        <w:t>我单位已制定《</w:t>
      </w:r>
      <w:r>
        <w:rPr>
          <w:rFonts w:hint="eastAsia" w:ascii="宋体" w:hAnsi="宋体" w:eastAsia="宋体" w:cs="宋体"/>
          <w:b w:val="0"/>
          <w:bCs w:val="0"/>
          <w:color w:val="auto"/>
          <w:sz w:val="24"/>
          <w:szCs w:val="24"/>
          <w:highlight w:val="none"/>
          <w:lang w:eastAsia="zh-CN"/>
        </w:rPr>
        <w:t>洛浦县纪律检查委员会</w:t>
      </w:r>
      <w:r>
        <w:rPr>
          <w:rFonts w:hint="eastAsia" w:ascii="宋体" w:hAnsi="宋体" w:eastAsia="宋体" w:cs="宋体"/>
          <w:b w:val="0"/>
          <w:bCs w:val="0"/>
          <w:color w:val="auto"/>
          <w:sz w:val="24"/>
          <w:szCs w:val="24"/>
          <w:highlight w:val="none"/>
        </w:rPr>
        <w:t>收支业务管理制度》，</w:t>
      </w:r>
      <w:r>
        <w:rPr>
          <w:rFonts w:hint="eastAsia" w:ascii="宋体" w:hAnsi="宋体" w:eastAsia="宋体" w:cs="宋体"/>
          <w:b w:val="0"/>
          <w:bCs w:val="0"/>
          <w:color w:val="auto"/>
          <w:sz w:val="24"/>
          <w:szCs w:val="24"/>
          <w:highlight w:val="none"/>
          <w:lang w:val="en-US" w:eastAsia="zh-CN"/>
        </w:rPr>
        <w:t>相关</w:t>
      </w:r>
      <w:r>
        <w:rPr>
          <w:rFonts w:hint="eastAsia" w:ascii="宋体" w:hAnsi="宋体" w:eastAsia="宋体" w:cs="宋体"/>
          <w:b w:val="0"/>
          <w:bCs w:val="0"/>
          <w:color w:val="auto"/>
          <w:sz w:val="24"/>
          <w:szCs w:val="24"/>
          <w:highlight w:val="none"/>
        </w:rPr>
        <w:t>制度均符合行政事业单位内控管理要求，财务和业务管理制度合法、合规、完整，本项目执行符合上述制度规定。根据评分标准，该指标不扣分，得5分。</w:t>
      </w:r>
    </w:p>
    <w:p w14:paraId="6216454D">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（5）制度执行有效性</w:t>
      </w:r>
      <w:r>
        <w:rPr>
          <w:rFonts w:hint="eastAsia" w:ascii="宋体" w:hAnsi="宋体" w:eastAsia="宋体" w:cs="宋体"/>
          <w:color w:val="auto"/>
          <w:sz w:val="24"/>
          <w:szCs w:val="24"/>
          <w:highlight w:val="none"/>
        </w:rPr>
        <w:t>：该项目的实施符合《</w:t>
      </w:r>
      <w:r>
        <w:rPr>
          <w:rFonts w:hint="eastAsia" w:ascii="宋体" w:hAnsi="宋体" w:eastAsia="宋体" w:cs="宋体"/>
          <w:color w:val="auto"/>
          <w:sz w:val="24"/>
          <w:szCs w:val="24"/>
          <w:highlight w:val="none"/>
          <w:lang w:val="en-US" w:eastAsia="zh-CN"/>
        </w:rPr>
        <w:t>专项资金管理</w:t>
      </w:r>
      <w:r>
        <w:rPr>
          <w:rFonts w:hint="eastAsia" w:ascii="宋体" w:hAnsi="宋体" w:eastAsia="宋体" w:cs="宋体"/>
          <w:color w:val="auto"/>
          <w:sz w:val="24"/>
          <w:szCs w:val="24"/>
          <w:highlight w:val="none"/>
        </w:rPr>
        <w:t>办法》等相关法律法规及管理规定，项目具备完整规范的立项程序；经查证项目实施过程资料，项目</w:t>
      </w:r>
      <w:r>
        <w:rPr>
          <w:rFonts w:hint="eastAsia" w:ascii="宋体" w:hAnsi="宋体" w:eastAsia="宋体" w:cs="宋体"/>
          <w:color w:val="auto"/>
          <w:sz w:val="24"/>
          <w:szCs w:val="24"/>
          <w:highlight w:val="none"/>
          <w:lang w:eastAsia="zh-CN"/>
        </w:rPr>
        <w:t>实施</w:t>
      </w:r>
      <w:r>
        <w:rPr>
          <w:rFonts w:hint="eastAsia" w:ascii="宋体" w:hAnsi="宋体" w:eastAsia="宋体" w:cs="宋体"/>
          <w:color w:val="auto"/>
          <w:sz w:val="24"/>
          <w:szCs w:val="24"/>
          <w:highlight w:val="none"/>
        </w:rPr>
        <w:t>过程均按相关制度执行，基本完成既定目标；经查证</w:t>
      </w:r>
      <w:r>
        <w:rPr>
          <w:rFonts w:hint="eastAsia" w:ascii="宋体" w:hAnsi="宋体" w:eastAsia="宋体" w:cs="宋体"/>
          <w:color w:val="auto"/>
          <w:sz w:val="24"/>
          <w:szCs w:val="24"/>
          <w:highlight w:val="none"/>
          <w:lang w:eastAsia="zh-CN"/>
        </w:rPr>
        <w:t>纪委</w:t>
      </w:r>
      <w:r>
        <w:rPr>
          <w:rFonts w:hint="eastAsia" w:ascii="宋体" w:hAnsi="宋体" w:eastAsia="宋体" w:cs="宋体"/>
          <w:color w:val="auto"/>
          <w:sz w:val="24"/>
          <w:szCs w:val="24"/>
          <w:highlight w:val="none"/>
          <w:lang w:val="en-US" w:eastAsia="zh-CN"/>
        </w:rPr>
        <w:t>常委会会议</w:t>
      </w:r>
      <w:r>
        <w:rPr>
          <w:rFonts w:hint="eastAsia" w:ascii="宋体" w:hAnsi="宋体" w:eastAsia="宋体" w:cs="宋体"/>
          <w:color w:val="auto"/>
          <w:sz w:val="24"/>
          <w:szCs w:val="24"/>
          <w:highlight w:val="none"/>
        </w:rPr>
        <w:t>纪要、项目资金支付审批表、记账凭证等资金拨付流程资料，项目资金拨付流程完整、手续齐全。综上分析，项目执行遵守相关法律法规和相关管理规定。根据评分标准，该指标不扣分，得5分。</w:t>
      </w:r>
    </w:p>
    <w:p w14:paraId="53F8C06B">
      <w:pPr>
        <w:pStyle w:val="58"/>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（三）项目产出情况</w:t>
      </w:r>
    </w:p>
    <w:p w14:paraId="2D89CFD2">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项目产出类指标包括产出数量、产出质量、产出时效、产出成本四方面的内容，由4个三级指标构成，权重分为45分，实际得分</w:t>
      </w:r>
      <w:r>
        <w:rPr>
          <w:rFonts w:hint="eastAsia" w:ascii="宋体" w:hAnsi="宋体" w:eastAsia="宋体" w:cs="宋体"/>
          <w:color w:val="auto"/>
          <w:sz w:val="24"/>
          <w:szCs w:val="24"/>
          <w:highlight w:val="none"/>
          <w:lang w:val="en-US" w:eastAsia="zh-CN"/>
        </w:rPr>
        <w:t>45</w:t>
      </w:r>
      <w:r>
        <w:rPr>
          <w:rFonts w:hint="eastAsia" w:ascii="宋体" w:hAnsi="宋体" w:eastAsia="宋体" w:cs="宋体"/>
          <w:color w:val="auto"/>
          <w:sz w:val="24"/>
          <w:szCs w:val="24"/>
          <w:highlight w:val="none"/>
        </w:rPr>
        <w:t>分，得分率为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w:t>
      </w:r>
    </w:p>
    <w:p w14:paraId="1F8CC79C">
      <w:pPr>
        <w:pageBreakBefore w:val="0"/>
        <w:widowControl w:val="0"/>
        <w:numPr>
          <w:ilvl w:val="0"/>
          <w:numId w:val="6"/>
        </w:numPr>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对于“产出数量”</w:t>
      </w:r>
    </w:p>
    <w:p w14:paraId="237F1EB2">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FF0000"/>
          <w:sz w:val="24"/>
          <w:szCs w:val="24"/>
          <w:highlight w:val="none"/>
        </w:rPr>
      </w:pPr>
      <w:r>
        <w:rPr>
          <w:rFonts w:hint="eastAsia" w:ascii="宋体" w:hAnsi="宋体" w:eastAsia="宋体" w:cs="宋体"/>
          <w:color w:val="auto"/>
          <w:sz w:val="24"/>
          <w:szCs w:val="24"/>
          <w:highlight w:val="none"/>
          <w:lang w:eastAsia="zh-CN"/>
        </w:rPr>
        <w:t>数量</w:t>
      </w:r>
      <w:r>
        <w:rPr>
          <w:rFonts w:hint="eastAsia" w:ascii="宋体" w:hAnsi="宋体" w:eastAsia="宋体" w:cs="宋体"/>
          <w:color w:val="auto"/>
          <w:sz w:val="24"/>
          <w:szCs w:val="24"/>
          <w:highlight w:val="none"/>
        </w:rPr>
        <w:t>指标</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，预期指标值为</w:t>
      </w:r>
      <w:r>
        <w:rPr>
          <w:rFonts w:hint="eastAsia" w:ascii="宋体" w:hAnsi="宋体" w:eastAsia="宋体" w:cs="宋体"/>
          <w:color w:val="auto"/>
          <w:sz w:val="24"/>
          <w:szCs w:val="24"/>
          <w:highlight w:val="none"/>
          <w:lang w:eastAsia="zh-CN"/>
        </w:rPr>
        <w:t>补贴发放月数</w:t>
      </w:r>
      <w:r>
        <w:rPr>
          <w:rFonts w:hint="eastAsia" w:ascii="宋体" w:hAnsi="宋体" w:eastAsia="宋体" w:cs="宋体"/>
          <w:color w:val="auto"/>
          <w:sz w:val="24"/>
          <w:szCs w:val="24"/>
          <w:highlight w:val="none"/>
          <w:lang w:val="en-US" w:eastAsia="zh-CN"/>
        </w:rPr>
        <w:t>=16个月</w:t>
      </w:r>
      <w:r>
        <w:rPr>
          <w:rFonts w:hint="eastAsia" w:ascii="宋体" w:hAnsi="宋体" w:eastAsia="宋体" w:cs="宋体"/>
          <w:color w:val="auto"/>
          <w:sz w:val="24"/>
          <w:szCs w:val="24"/>
          <w:highlight w:val="none"/>
        </w:rPr>
        <w:t>，实际完成值为</w:t>
      </w:r>
      <w:r>
        <w:rPr>
          <w:rFonts w:hint="eastAsia" w:ascii="宋体" w:hAnsi="宋体" w:eastAsia="宋体" w:cs="宋体"/>
          <w:color w:val="auto"/>
          <w:sz w:val="24"/>
          <w:szCs w:val="24"/>
          <w:highlight w:val="none"/>
          <w:lang w:eastAsia="zh-CN"/>
        </w:rPr>
        <w:t>补贴发放月数</w:t>
      </w:r>
      <w:r>
        <w:rPr>
          <w:rFonts w:hint="eastAsia" w:ascii="宋体" w:hAnsi="宋体" w:eastAsia="宋体" w:cs="宋体"/>
          <w:color w:val="auto"/>
          <w:sz w:val="24"/>
          <w:szCs w:val="24"/>
          <w:highlight w:val="none"/>
          <w:lang w:val="en-US" w:eastAsia="zh-CN"/>
        </w:rPr>
        <w:t>=16个月</w:t>
      </w:r>
      <w:r>
        <w:rPr>
          <w:rFonts w:hint="eastAsia" w:ascii="宋体" w:hAnsi="宋体" w:eastAsia="宋体" w:cs="宋体"/>
          <w:color w:val="auto"/>
          <w:sz w:val="24"/>
          <w:szCs w:val="24"/>
          <w:highlight w:val="none"/>
        </w:rPr>
        <w:t>，指标完成率为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，与预期目标一致，根据评分标准，该指标不扣分，得3分。</w:t>
      </w:r>
    </w:p>
    <w:p w14:paraId="32184A95">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FF0000"/>
          <w:sz w:val="24"/>
          <w:szCs w:val="24"/>
          <w:highlight w:val="none"/>
        </w:rPr>
      </w:pPr>
      <w:r>
        <w:rPr>
          <w:rFonts w:hint="eastAsia" w:ascii="宋体" w:hAnsi="宋体" w:eastAsia="宋体" w:cs="宋体"/>
          <w:color w:val="auto"/>
          <w:sz w:val="24"/>
          <w:szCs w:val="24"/>
          <w:highlight w:val="none"/>
          <w:lang w:eastAsia="zh-CN"/>
        </w:rPr>
        <w:t>数量</w:t>
      </w:r>
      <w:r>
        <w:rPr>
          <w:rFonts w:hint="eastAsia" w:ascii="宋体" w:hAnsi="宋体" w:eastAsia="宋体" w:cs="宋体"/>
          <w:color w:val="auto"/>
          <w:sz w:val="24"/>
          <w:szCs w:val="24"/>
          <w:highlight w:val="none"/>
        </w:rPr>
        <w:t>指标</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，预期指标值为</w:t>
      </w:r>
      <w:r>
        <w:rPr>
          <w:rFonts w:hint="eastAsia" w:ascii="宋体" w:hAnsi="宋体" w:eastAsia="宋体" w:cs="宋体"/>
          <w:color w:val="auto"/>
          <w:sz w:val="24"/>
          <w:szCs w:val="24"/>
          <w:highlight w:val="none"/>
          <w:lang w:eastAsia="zh-CN"/>
        </w:rPr>
        <w:t>补贴发放人数</w:t>
      </w:r>
      <w:r>
        <w:rPr>
          <w:rFonts w:hint="eastAsia" w:ascii="宋体" w:hAnsi="宋体" w:eastAsia="宋体" w:cs="宋体"/>
          <w:color w:val="auto"/>
          <w:sz w:val="24"/>
          <w:szCs w:val="24"/>
          <w:highlight w:val="none"/>
          <w:lang w:val="en-US" w:eastAsia="zh-CN"/>
        </w:rPr>
        <w:t>=726人</w:t>
      </w:r>
      <w:r>
        <w:rPr>
          <w:rFonts w:hint="eastAsia" w:ascii="宋体" w:hAnsi="宋体" w:eastAsia="宋体" w:cs="宋体"/>
          <w:color w:val="auto"/>
          <w:sz w:val="24"/>
          <w:szCs w:val="24"/>
          <w:highlight w:val="none"/>
        </w:rPr>
        <w:t>，实际完成值为</w:t>
      </w:r>
      <w:r>
        <w:rPr>
          <w:rFonts w:hint="eastAsia" w:ascii="宋体" w:hAnsi="宋体" w:eastAsia="宋体" w:cs="宋体"/>
          <w:color w:val="auto"/>
          <w:sz w:val="24"/>
          <w:szCs w:val="24"/>
          <w:highlight w:val="none"/>
          <w:lang w:eastAsia="zh-CN"/>
        </w:rPr>
        <w:t>补贴发放人数</w:t>
      </w:r>
      <w:r>
        <w:rPr>
          <w:rFonts w:hint="eastAsia" w:ascii="宋体" w:hAnsi="宋体" w:eastAsia="宋体" w:cs="宋体"/>
          <w:color w:val="auto"/>
          <w:sz w:val="24"/>
          <w:szCs w:val="24"/>
          <w:highlight w:val="none"/>
          <w:lang w:val="en-US" w:eastAsia="zh-CN"/>
        </w:rPr>
        <w:t>=726人</w:t>
      </w:r>
      <w:r>
        <w:rPr>
          <w:rFonts w:hint="eastAsia" w:ascii="宋体" w:hAnsi="宋体" w:eastAsia="宋体" w:cs="宋体"/>
          <w:color w:val="auto"/>
          <w:sz w:val="24"/>
          <w:szCs w:val="24"/>
          <w:highlight w:val="none"/>
        </w:rPr>
        <w:t>，指标完成率为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，与预期目标一致，根据评分标准，该指标不扣分，得3分。</w:t>
      </w:r>
    </w:p>
    <w:p w14:paraId="1ADE0E59">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合计得10分。</w:t>
      </w:r>
    </w:p>
    <w:p w14:paraId="11114598">
      <w:pPr>
        <w:pageBreakBefore w:val="0"/>
        <w:widowControl w:val="0"/>
        <w:numPr>
          <w:ilvl w:val="0"/>
          <w:numId w:val="6"/>
        </w:numPr>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对于“产出质量”：</w:t>
      </w:r>
    </w:p>
    <w:p w14:paraId="196C30D6">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质量</w:t>
      </w:r>
      <w:r>
        <w:rPr>
          <w:rFonts w:hint="eastAsia" w:ascii="宋体" w:hAnsi="宋体" w:eastAsia="宋体" w:cs="宋体"/>
          <w:color w:val="auto"/>
          <w:sz w:val="24"/>
          <w:szCs w:val="24"/>
          <w:highlight w:val="none"/>
        </w:rPr>
        <w:t>指标</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，预期指标值为</w:t>
      </w:r>
      <w:r>
        <w:rPr>
          <w:rFonts w:hint="eastAsia" w:ascii="宋体" w:hAnsi="宋体" w:eastAsia="宋体" w:cs="宋体"/>
          <w:color w:val="auto"/>
          <w:sz w:val="24"/>
          <w:szCs w:val="24"/>
          <w:highlight w:val="none"/>
          <w:lang w:eastAsia="zh-CN"/>
        </w:rPr>
        <w:t>资金使用合规率</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，实际完成值为</w:t>
      </w:r>
      <w:r>
        <w:rPr>
          <w:rFonts w:hint="eastAsia" w:ascii="宋体" w:hAnsi="宋体" w:eastAsia="宋体" w:cs="宋体"/>
          <w:color w:val="auto"/>
          <w:sz w:val="24"/>
          <w:szCs w:val="24"/>
          <w:highlight w:val="none"/>
          <w:lang w:eastAsia="zh-CN"/>
        </w:rPr>
        <w:t>资金使用合规率</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，指标完成率为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，与预期目标一致，根据评分标准，该指标不扣分，得5分。</w:t>
      </w:r>
    </w:p>
    <w:p w14:paraId="5280CBA6">
      <w:pPr>
        <w:pStyle w:val="11"/>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color w:val="auto"/>
          <w:sz w:val="24"/>
          <w:szCs w:val="24"/>
          <w:highlight w:val="none"/>
          <w:lang w:eastAsia="zh-CN"/>
        </w:rPr>
        <w:t>质量</w:t>
      </w:r>
      <w:r>
        <w:rPr>
          <w:rFonts w:hint="eastAsia" w:ascii="宋体" w:hAnsi="宋体" w:eastAsia="宋体" w:cs="宋体"/>
          <w:b w:val="0"/>
          <w:color w:val="auto"/>
          <w:sz w:val="24"/>
          <w:szCs w:val="24"/>
          <w:highlight w:val="none"/>
        </w:rPr>
        <w:t>指标</w:t>
      </w:r>
      <w:r>
        <w:rPr>
          <w:rFonts w:hint="eastAsia" w:ascii="宋体" w:hAnsi="宋体" w:eastAsia="宋体" w:cs="宋体"/>
          <w:b w:val="0"/>
          <w:color w:val="auto"/>
          <w:sz w:val="24"/>
          <w:szCs w:val="24"/>
          <w:highlight w:val="none"/>
          <w:lang w:val="en-US" w:eastAsia="zh-CN"/>
        </w:rPr>
        <w:t>2</w:t>
      </w:r>
      <w:r>
        <w:rPr>
          <w:rFonts w:hint="eastAsia" w:ascii="宋体" w:hAnsi="宋体" w:eastAsia="宋体" w:cs="宋体"/>
          <w:b w:val="0"/>
          <w:color w:val="auto"/>
          <w:sz w:val="24"/>
          <w:szCs w:val="24"/>
          <w:highlight w:val="none"/>
        </w:rPr>
        <w:t>，预期指标值</w:t>
      </w:r>
      <w:r>
        <w:rPr>
          <w:rFonts w:hint="eastAsia" w:ascii="宋体" w:hAnsi="宋体" w:eastAsia="宋体" w:cs="宋体"/>
          <w:b w:val="0"/>
          <w:color w:val="auto"/>
          <w:sz w:val="24"/>
          <w:szCs w:val="24"/>
          <w:highlight w:val="none"/>
          <w:lang w:eastAsia="zh-CN"/>
        </w:rPr>
        <w:t>为补助覆盖率</w:t>
      </w:r>
      <w:r>
        <w:rPr>
          <w:rFonts w:hint="eastAsia" w:ascii="宋体" w:hAnsi="宋体" w:eastAsia="宋体" w:cs="宋体"/>
          <w:b w:val="0"/>
          <w:color w:val="auto"/>
          <w:sz w:val="24"/>
          <w:szCs w:val="24"/>
          <w:highlight w:val="none"/>
          <w:lang w:val="en-US" w:eastAsia="zh-CN"/>
        </w:rPr>
        <w:t>=100%</w:t>
      </w:r>
      <w:r>
        <w:rPr>
          <w:rFonts w:hint="eastAsia" w:ascii="宋体" w:hAnsi="宋体" w:eastAsia="宋体" w:cs="宋体"/>
          <w:b w:val="0"/>
          <w:color w:val="auto"/>
          <w:sz w:val="24"/>
          <w:szCs w:val="24"/>
          <w:highlight w:val="none"/>
        </w:rPr>
        <w:t>，实际完成值为</w:t>
      </w:r>
      <w:r>
        <w:rPr>
          <w:rFonts w:hint="eastAsia" w:ascii="宋体" w:hAnsi="宋体" w:eastAsia="宋体" w:cs="宋体"/>
          <w:b w:val="0"/>
          <w:color w:val="auto"/>
          <w:sz w:val="24"/>
          <w:szCs w:val="24"/>
          <w:highlight w:val="none"/>
          <w:lang w:eastAsia="zh-CN"/>
        </w:rPr>
        <w:t>补助覆盖率</w:t>
      </w:r>
      <w:r>
        <w:rPr>
          <w:rFonts w:hint="eastAsia" w:ascii="宋体" w:hAnsi="宋体" w:eastAsia="宋体" w:cs="宋体"/>
          <w:b w:val="0"/>
          <w:color w:val="auto"/>
          <w:sz w:val="24"/>
          <w:szCs w:val="24"/>
          <w:highlight w:val="none"/>
          <w:lang w:val="en-US" w:eastAsia="zh-CN"/>
        </w:rPr>
        <w:t>=100%</w:t>
      </w:r>
      <w:r>
        <w:rPr>
          <w:rFonts w:hint="eastAsia" w:ascii="宋体" w:hAnsi="宋体" w:eastAsia="宋体" w:cs="宋体"/>
          <w:b w:val="0"/>
          <w:color w:val="auto"/>
          <w:sz w:val="24"/>
          <w:szCs w:val="24"/>
          <w:highlight w:val="none"/>
        </w:rPr>
        <w:t>，指标完成率为</w:t>
      </w:r>
      <w:r>
        <w:rPr>
          <w:rFonts w:hint="eastAsia" w:ascii="宋体" w:hAnsi="宋体" w:eastAsia="宋体" w:cs="宋体"/>
          <w:b w:val="0"/>
          <w:color w:val="auto"/>
          <w:sz w:val="24"/>
          <w:szCs w:val="24"/>
          <w:highlight w:val="none"/>
          <w:lang w:val="en-US" w:eastAsia="zh-CN"/>
        </w:rPr>
        <w:t>100%</w:t>
      </w:r>
      <w:r>
        <w:rPr>
          <w:rFonts w:hint="eastAsia" w:ascii="宋体" w:hAnsi="宋体" w:eastAsia="宋体" w:cs="宋体"/>
          <w:b w:val="0"/>
          <w:color w:val="auto"/>
          <w:sz w:val="24"/>
          <w:szCs w:val="24"/>
          <w:highlight w:val="none"/>
        </w:rPr>
        <w:t>，与预期目标一致，根据评分标准，该指标不扣分，</w:t>
      </w:r>
      <w:r>
        <w:rPr>
          <w:rFonts w:hint="eastAsia" w:ascii="宋体" w:hAnsi="宋体" w:eastAsia="宋体" w:cs="宋体"/>
          <w:b w:val="0"/>
          <w:bCs/>
          <w:color w:val="auto"/>
          <w:sz w:val="24"/>
          <w:szCs w:val="24"/>
          <w:highlight w:val="none"/>
        </w:rPr>
        <w:t>得5分。</w:t>
      </w:r>
    </w:p>
    <w:p w14:paraId="6FB0833E">
      <w:pPr>
        <w:pStyle w:val="11"/>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color w:val="auto"/>
          <w:sz w:val="24"/>
          <w:szCs w:val="24"/>
          <w:highlight w:val="none"/>
          <w:lang w:eastAsia="zh-CN"/>
        </w:rPr>
        <w:t>质量</w:t>
      </w:r>
      <w:r>
        <w:rPr>
          <w:rFonts w:hint="eastAsia" w:ascii="宋体" w:hAnsi="宋体" w:eastAsia="宋体" w:cs="宋体"/>
          <w:b w:val="0"/>
          <w:color w:val="auto"/>
          <w:sz w:val="24"/>
          <w:szCs w:val="24"/>
          <w:highlight w:val="none"/>
        </w:rPr>
        <w:t>指标</w:t>
      </w:r>
      <w:r>
        <w:rPr>
          <w:rFonts w:hint="eastAsia" w:ascii="宋体" w:hAnsi="宋体" w:eastAsia="宋体" w:cs="宋体"/>
          <w:b w:val="0"/>
          <w:color w:val="auto"/>
          <w:sz w:val="24"/>
          <w:szCs w:val="24"/>
          <w:highlight w:val="none"/>
          <w:lang w:val="en-US" w:eastAsia="zh-CN"/>
        </w:rPr>
        <w:t>3</w:t>
      </w:r>
      <w:r>
        <w:rPr>
          <w:rFonts w:hint="eastAsia" w:ascii="宋体" w:hAnsi="宋体" w:eastAsia="宋体" w:cs="宋体"/>
          <w:b w:val="0"/>
          <w:color w:val="auto"/>
          <w:sz w:val="24"/>
          <w:szCs w:val="24"/>
          <w:highlight w:val="none"/>
        </w:rPr>
        <w:t>，预期指标值</w:t>
      </w:r>
      <w:r>
        <w:rPr>
          <w:rFonts w:hint="eastAsia" w:ascii="宋体" w:hAnsi="宋体" w:eastAsia="宋体" w:cs="宋体"/>
          <w:b w:val="0"/>
          <w:color w:val="auto"/>
          <w:sz w:val="24"/>
          <w:szCs w:val="24"/>
          <w:highlight w:val="none"/>
          <w:lang w:eastAsia="zh-CN"/>
        </w:rPr>
        <w:t>为补助发放率</w:t>
      </w:r>
      <w:r>
        <w:rPr>
          <w:rFonts w:hint="eastAsia" w:ascii="宋体" w:hAnsi="宋体" w:eastAsia="宋体" w:cs="宋体"/>
          <w:b w:val="0"/>
          <w:color w:val="auto"/>
          <w:sz w:val="24"/>
          <w:szCs w:val="24"/>
          <w:highlight w:val="none"/>
          <w:lang w:val="en-US" w:eastAsia="zh-CN"/>
        </w:rPr>
        <w:t>=100%</w:t>
      </w:r>
      <w:r>
        <w:rPr>
          <w:rFonts w:hint="eastAsia" w:ascii="宋体" w:hAnsi="宋体" w:eastAsia="宋体" w:cs="宋体"/>
          <w:b w:val="0"/>
          <w:color w:val="auto"/>
          <w:sz w:val="24"/>
          <w:szCs w:val="24"/>
          <w:highlight w:val="none"/>
        </w:rPr>
        <w:t>，实际完成值为</w:t>
      </w:r>
      <w:r>
        <w:rPr>
          <w:rFonts w:hint="eastAsia" w:ascii="宋体" w:hAnsi="宋体" w:eastAsia="宋体" w:cs="宋体"/>
          <w:b w:val="0"/>
          <w:color w:val="auto"/>
          <w:sz w:val="24"/>
          <w:szCs w:val="24"/>
          <w:highlight w:val="none"/>
          <w:lang w:eastAsia="zh-CN"/>
        </w:rPr>
        <w:t>补助发放率</w:t>
      </w:r>
      <w:r>
        <w:rPr>
          <w:rFonts w:hint="eastAsia" w:ascii="宋体" w:hAnsi="宋体" w:eastAsia="宋体" w:cs="宋体"/>
          <w:b w:val="0"/>
          <w:color w:val="auto"/>
          <w:sz w:val="24"/>
          <w:szCs w:val="24"/>
          <w:highlight w:val="none"/>
          <w:lang w:val="en-US" w:eastAsia="zh-CN"/>
        </w:rPr>
        <w:t>=100%</w:t>
      </w:r>
      <w:r>
        <w:rPr>
          <w:rFonts w:hint="eastAsia" w:ascii="宋体" w:hAnsi="宋体" w:eastAsia="宋体" w:cs="宋体"/>
          <w:b w:val="0"/>
          <w:color w:val="auto"/>
          <w:sz w:val="24"/>
          <w:szCs w:val="24"/>
          <w:highlight w:val="none"/>
        </w:rPr>
        <w:t>，指标完成率为</w:t>
      </w:r>
      <w:r>
        <w:rPr>
          <w:rFonts w:hint="eastAsia" w:ascii="宋体" w:hAnsi="宋体" w:eastAsia="宋体" w:cs="宋体"/>
          <w:b w:val="0"/>
          <w:color w:val="auto"/>
          <w:sz w:val="24"/>
          <w:szCs w:val="24"/>
          <w:highlight w:val="none"/>
          <w:lang w:val="en-US" w:eastAsia="zh-CN"/>
        </w:rPr>
        <w:t>100%</w:t>
      </w:r>
      <w:r>
        <w:rPr>
          <w:rFonts w:hint="eastAsia" w:ascii="宋体" w:hAnsi="宋体" w:eastAsia="宋体" w:cs="宋体"/>
          <w:b w:val="0"/>
          <w:color w:val="auto"/>
          <w:sz w:val="24"/>
          <w:szCs w:val="24"/>
          <w:highlight w:val="none"/>
        </w:rPr>
        <w:t>，与预期目标一致，根据评分标准，该指标不扣分，</w:t>
      </w:r>
      <w:r>
        <w:rPr>
          <w:rFonts w:hint="eastAsia" w:ascii="宋体" w:hAnsi="宋体" w:eastAsia="宋体" w:cs="宋体"/>
          <w:b w:val="0"/>
          <w:bCs/>
          <w:color w:val="auto"/>
          <w:sz w:val="24"/>
          <w:szCs w:val="24"/>
          <w:highlight w:val="none"/>
        </w:rPr>
        <w:t>得5分。</w:t>
      </w:r>
    </w:p>
    <w:p w14:paraId="7DFE8915">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合计得10分。</w:t>
      </w:r>
    </w:p>
    <w:p w14:paraId="506E9BF5">
      <w:pPr>
        <w:pStyle w:val="11"/>
        <w:pageBreakBefore w:val="0"/>
        <w:widowControl w:val="0"/>
        <w:numPr>
          <w:ilvl w:val="0"/>
          <w:numId w:val="6"/>
        </w:numPr>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对于“产出时效”：</w:t>
      </w:r>
    </w:p>
    <w:p w14:paraId="7DA6109F">
      <w:pPr>
        <w:pStyle w:val="11"/>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lang w:eastAsia="zh-CN"/>
        </w:rPr>
        <w:t>时效</w:t>
      </w:r>
      <w:r>
        <w:rPr>
          <w:rFonts w:hint="eastAsia" w:ascii="宋体" w:hAnsi="宋体" w:eastAsia="宋体" w:cs="宋体"/>
          <w:b w:val="0"/>
          <w:color w:val="auto"/>
          <w:sz w:val="24"/>
          <w:szCs w:val="24"/>
          <w:highlight w:val="none"/>
        </w:rPr>
        <w:t>指标</w:t>
      </w:r>
      <w:r>
        <w:rPr>
          <w:rFonts w:hint="eastAsia" w:ascii="宋体" w:hAnsi="宋体" w:eastAsia="宋体" w:cs="宋体"/>
          <w:b w:val="0"/>
          <w:color w:val="auto"/>
          <w:sz w:val="24"/>
          <w:szCs w:val="24"/>
          <w:highlight w:val="none"/>
          <w:lang w:val="en-US" w:eastAsia="zh-CN"/>
        </w:rPr>
        <w:t>1</w:t>
      </w:r>
      <w:r>
        <w:rPr>
          <w:rFonts w:hint="eastAsia" w:ascii="宋体" w:hAnsi="宋体" w:eastAsia="宋体" w:cs="宋体"/>
          <w:b w:val="0"/>
          <w:color w:val="auto"/>
          <w:sz w:val="24"/>
          <w:szCs w:val="24"/>
          <w:highlight w:val="none"/>
        </w:rPr>
        <w:t>，预期指标值为</w:t>
      </w:r>
      <w:r>
        <w:rPr>
          <w:rFonts w:hint="eastAsia" w:ascii="宋体" w:hAnsi="宋体" w:eastAsia="宋体" w:cs="宋体"/>
          <w:b w:val="0"/>
          <w:color w:val="auto"/>
          <w:sz w:val="24"/>
          <w:szCs w:val="24"/>
          <w:highlight w:val="none"/>
          <w:lang w:eastAsia="zh-CN"/>
        </w:rPr>
        <w:t>资金支付及时率</w:t>
      </w:r>
      <w:r>
        <w:rPr>
          <w:rFonts w:hint="eastAsia" w:ascii="宋体" w:hAnsi="宋体" w:eastAsia="宋体" w:cs="宋体"/>
          <w:b w:val="0"/>
          <w:color w:val="auto"/>
          <w:sz w:val="24"/>
          <w:szCs w:val="24"/>
          <w:highlight w:val="none"/>
          <w:lang w:val="en-US" w:eastAsia="zh-CN"/>
        </w:rPr>
        <w:t>=100%</w:t>
      </w:r>
      <w:r>
        <w:rPr>
          <w:rFonts w:hint="eastAsia" w:ascii="宋体" w:hAnsi="宋体" w:eastAsia="宋体" w:cs="宋体"/>
          <w:b w:val="0"/>
          <w:color w:val="auto"/>
          <w:sz w:val="24"/>
          <w:szCs w:val="24"/>
          <w:highlight w:val="none"/>
        </w:rPr>
        <w:t>，实际完成值为</w:t>
      </w:r>
      <w:r>
        <w:rPr>
          <w:rFonts w:hint="eastAsia" w:ascii="宋体" w:hAnsi="宋体" w:eastAsia="宋体" w:cs="宋体"/>
          <w:b w:val="0"/>
          <w:color w:val="auto"/>
          <w:sz w:val="24"/>
          <w:szCs w:val="24"/>
          <w:highlight w:val="none"/>
          <w:lang w:eastAsia="zh-CN"/>
        </w:rPr>
        <w:t>资金支付及时率</w:t>
      </w:r>
      <w:r>
        <w:rPr>
          <w:rFonts w:hint="eastAsia" w:ascii="宋体" w:hAnsi="宋体" w:eastAsia="宋体" w:cs="宋体"/>
          <w:b w:val="0"/>
          <w:color w:val="auto"/>
          <w:sz w:val="24"/>
          <w:szCs w:val="24"/>
          <w:highlight w:val="none"/>
          <w:lang w:val="en-US" w:eastAsia="zh-CN"/>
        </w:rPr>
        <w:t>=100%</w:t>
      </w:r>
      <w:r>
        <w:rPr>
          <w:rFonts w:hint="eastAsia" w:ascii="宋体" w:hAnsi="宋体" w:eastAsia="宋体" w:cs="宋体"/>
          <w:b w:val="0"/>
          <w:color w:val="auto"/>
          <w:sz w:val="24"/>
          <w:szCs w:val="24"/>
          <w:highlight w:val="none"/>
        </w:rPr>
        <w:t>，指标完成率为</w:t>
      </w:r>
      <w:r>
        <w:rPr>
          <w:rFonts w:hint="eastAsia" w:ascii="宋体" w:hAnsi="宋体" w:eastAsia="宋体" w:cs="宋体"/>
          <w:b w:val="0"/>
          <w:color w:val="auto"/>
          <w:sz w:val="24"/>
          <w:szCs w:val="24"/>
          <w:highlight w:val="none"/>
          <w:lang w:val="en-US" w:eastAsia="zh-CN"/>
        </w:rPr>
        <w:t>100%</w:t>
      </w:r>
      <w:r>
        <w:rPr>
          <w:rFonts w:hint="eastAsia" w:ascii="宋体" w:hAnsi="宋体" w:eastAsia="宋体" w:cs="宋体"/>
          <w:b w:val="0"/>
          <w:color w:val="auto"/>
          <w:sz w:val="24"/>
          <w:szCs w:val="24"/>
          <w:highlight w:val="none"/>
        </w:rPr>
        <w:t>，与预期目标一致，根据评分标准，该指标不扣分，</w:t>
      </w:r>
      <w:r>
        <w:rPr>
          <w:rFonts w:hint="eastAsia" w:ascii="宋体" w:hAnsi="宋体" w:eastAsia="宋体" w:cs="宋体"/>
          <w:b w:val="0"/>
          <w:bCs/>
          <w:color w:val="auto"/>
          <w:sz w:val="24"/>
          <w:szCs w:val="24"/>
          <w:highlight w:val="none"/>
        </w:rPr>
        <w:t>得10分</w:t>
      </w:r>
      <w:r>
        <w:rPr>
          <w:rFonts w:hint="eastAsia" w:ascii="宋体" w:hAnsi="宋体" w:eastAsia="宋体" w:cs="宋体"/>
          <w:b w:val="0"/>
          <w:color w:val="auto"/>
          <w:sz w:val="24"/>
          <w:szCs w:val="24"/>
          <w:highlight w:val="none"/>
        </w:rPr>
        <w:t>。</w:t>
      </w:r>
    </w:p>
    <w:p w14:paraId="035B63A3">
      <w:pPr>
        <w:pStyle w:val="11"/>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lang w:eastAsia="zh-CN"/>
        </w:rPr>
        <w:t>时效</w:t>
      </w:r>
      <w:r>
        <w:rPr>
          <w:rFonts w:hint="eastAsia" w:ascii="宋体" w:hAnsi="宋体" w:eastAsia="宋体" w:cs="宋体"/>
          <w:b w:val="0"/>
          <w:color w:val="auto"/>
          <w:sz w:val="24"/>
          <w:szCs w:val="24"/>
          <w:highlight w:val="none"/>
        </w:rPr>
        <w:t>指标</w:t>
      </w:r>
      <w:r>
        <w:rPr>
          <w:rFonts w:hint="eastAsia" w:ascii="宋体" w:hAnsi="宋体" w:eastAsia="宋体" w:cs="宋体"/>
          <w:b w:val="0"/>
          <w:color w:val="auto"/>
          <w:sz w:val="24"/>
          <w:szCs w:val="24"/>
          <w:highlight w:val="none"/>
          <w:lang w:val="en-US" w:eastAsia="zh-CN"/>
        </w:rPr>
        <w:t>2</w:t>
      </w:r>
      <w:r>
        <w:rPr>
          <w:rFonts w:hint="eastAsia" w:ascii="宋体" w:hAnsi="宋体" w:eastAsia="宋体" w:cs="宋体"/>
          <w:b w:val="0"/>
          <w:color w:val="auto"/>
          <w:sz w:val="24"/>
          <w:szCs w:val="24"/>
          <w:highlight w:val="none"/>
        </w:rPr>
        <w:t>，预期指标值为</w:t>
      </w:r>
      <w:r>
        <w:rPr>
          <w:rFonts w:hint="eastAsia" w:ascii="宋体" w:hAnsi="宋体" w:eastAsia="宋体" w:cs="宋体"/>
          <w:b w:val="0"/>
          <w:color w:val="auto"/>
          <w:sz w:val="24"/>
          <w:szCs w:val="24"/>
          <w:highlight w:val="none"/>
          <w:lang w:eastAsia="zh-CN"/>
        </w:rPr>
        <w:t>项目开始时间</w:t>
      </w:r>
      <w:r>
        <w:rPr>
          <w:rFonts w:hint="eastAsia" w:ascii="宋体" w:hAnsi="宋体" w:eastAsia="宋体" w:cs="宋体"/>
          <w:b w:val="0"/>
          <w:color w:val="auto"/>
          <w:sz w:val="24"/>
          <w:szCs w:val="24"/>
          <w:highlight w:val="none"/>
          <w:lang w:val="en-US" w:eastAsia="zh-CN"/>
        </w:rPr>
        <w:t>2023年7月</w:t>
      </w:r>
      <w:r>
        <w:rPr>
          <w:rFonts w:hint="eastAsia" w:ascii="宋体" w:hAnsi="宋体" w:eastAsia="宋体" w:cs="宋体"/>
          <w:b w:val="0"/>
          <w:color w:val="auto"/>
          <w:sz w:val="24"/>
          <w:szCs w:val="24"/>
          <w:highlight w:val="none"/>
        </w:rPr>
        <w:t>，实际完成值为</w:t>
      </w:r>
      <w:r>
        <w:rPr>
          <w:rFonts w:hint="eastAsia" w:ascii="宋体" w:hAnsi="宋体" w:eastAsia="宋体" w:cs="宋体"/>
          <w:b w:val="0"/>
          <w:color w:val="auto"/>
          <w:sz w:val="24"/>
          <w:szCs w:val="24"/>
          <w:highlight w:val="none"/>
          <w:lang w:eastAsia="zh-CN"/>
        </w:rPr>
        <w:t>项目开始时间</w:t>
      </w:r>
      <w:r>
        <w:rPr>
          <w:rFonts w:hint="eastAsia" w:ascii="宋体" w:hAnsi="宋体" w:eastAsia="宋体" w:cs="宋体"/>
          <w:b w:val="0"/>
          <w:color w:val="auto"/>
          <w:sz w:val="24"/>
          <w:szCs w:val="24"/>
          <w:highlight w:val="none"/>
          <w:lang w:val="en-US" w:eastAsia="zh-CN"/>
        </w:rPr>
        <w:t>2023年7月</w:t>
      </w:r>
      <w:r>
        <w:rPr>
          <w:rFonts w:hint="eastAsia" w:ascii="宋体" w:hAnsi="宋体" w:eastAsia="宋体" w:cs="宋体"/>
          <w:b w:val="0"/>
          <w:color w:val="auto"/>
          <w:sz w:val="24"/>
          <w:szCs w:val="24"/>
          <w:highlight w:val="none"/>
        </w:rPr>
        <w:t>，指标完成率为</w:t>
      </w:r>
      <w:r>
        <w:rPr>
          <w:rFonts w:hint="eastAsia" w:ascii="宋体" w:hAnsi="宋体" w:eastAsia="宋体" w:cs="宋体"/>
          <w:b w:val="0"/>
          <w:color w:val="auto"/>
          <w:sz w:val="24"/>
          <w:szCs w:val="24"/>
          <w:highlight w:val="none"/>
          <w:lang w:val="en-US" w:eastAsia="zh-CN"/>
        </w:rPr>
        <w:t>100%</w:t>
      </w:r>
      <w:r>
        <w:rPr>
          <w:rFonts w:hint="eastAsia" w:ascii="宋体" w:hAnsi="宋体" w:eastAsia="宋体" w:cs="宋体"/>
          <w:b w:val="0"/>
          <w:color w:val="auto"/>
          <w:sz w:val="24"/>
          <w:szCs w:val="24"/>
          <w:highlight w:val="none"/>
        </w:rPr>
        <w:t>，与预期目标一致，根据评分标准，该指标不扣分，</w:t>
      </w:r>
      <w:r>
        <w:rPr>
          <w:rFonts w:hint="eastAsia" w:ascii="宋体" w:hAnsi="宋体" w:eastAsia="宋体" w:cs="宋体"/>
          <w:b w:val="0"/>
          <w:bCs/>
          <w:color w:val="auto"/>
          <w:sz w:val="24"/>
          <w:szCs w:val="24"/>
          <w:highlight w:val="none"/>
        </w:rPr>
        <w:t>得10分</w:t>
      </w:r>
      <w:r>
        <w:rPr>
          <w:rFonts w:hint="eastAsia" w:ascii="宋体" w:hAnsi="宋体" w:eastAsia="宋体" w:cs="宋体"/>
          <w:b w:val="0"/>
          <w:color w:val="auto"/>
          <w:sz w:val="24"/>
          <w:szCs w:val="24"/>
          <w:highlight w:val="none"/>
        </w:rPr>
        <w:t>。</w:t>
      </w:r>
    </w:p>
    <w:p w14:paraId="3D77E34E">
      <w:pPr>
        <w:pStyle w:val="11"/>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lang w:eastAsia="zh-CN"/>
        </w:rPr>
        <w:t>时效</w:t>
      </w:r>
      <w:r>
        <w:rPr>
          <w:rFonts w:hint="eastAsia" w:ascii="宋体" w:hAnsi="宋体" w:eastAsia="宋体" w:cs="宋体"/>
          <w:b w:val="0"/>
          <w:color w:val="auto"/>
          <w:sz w:val="24"/>
          <w:szCs w:val="24"/>
          <w:highlight w:val="none"/>
        </w:rPr>
        <w:t>指标</w:t>
      </w:r>
      <w:r>
        <w:rPr>
          <w:rFonts w:hint="eastAsia" w:ascii="宋体" w:hAnsi="宋体" w:eastAsia="宋体" w:cs="宋体"/>
          <w:b w:val="0"/>
          <w:color w:val="auto"/>
          <w:sz w:val="24"/>
          <w:szCs w:val="24"/>
          <w:highlight w:val="none"/>
          <w:lang w:val="en-US" w:eastAsia="zh-CN"/>
        </w:rPr>
        <w:t>3</w:t>
      </w:r>
      <w:r>
        <w:rPr>
          <w:rFonts w:hint="eastAsia" w:ascii="宋体" w:hAnsi="宋体" w:eastAsia="宋体" w:cs="宋体"/>
          <w:b w:val="0"/>
          <w:color w:val="auto"/>
          <w:sz w:val="24"/>
          <w:szCs w:val="24"/>
          <w:highlight w:val="none"/>
        </w:rPr>
        <w:t>，预期指标值为</w:t>
      </w:r>
      <w:r>
        <w:rPr>
          <w:rFonts w:hint="eastAsia" w:ascii="宋体" w:hAnsi="宋体" w:eastAsia="宋体" w:cs="宋体"/>
          <w:b w:val="0"/>
          <w:color w:val="auto"/>
          <w:sz w:val="24"/>
          <w:szCs w:val="24"/>
          <w:highlight w:val="none"/>
          <w:lang w:eastAsia="zh-CN"/>
        </w:rPr>
        <w:t>项目结束时间</w:t>
      </w:r>
      <w:r>
        <w:rPr>
          <w:rFonts w:hint="eastAsia" w:ascii="宋体" w:hAnsi="宋体" w:eastAsia="宋体" w:cs="宋体"/>
          <w:b w:val="0"/>
          <w:color w:val="auto"/>
          <w:sz w:val="24"/>
          <w:szCs w:val="24"/>
          <w:highlight w:val="none"/>
          <w:lang w:val="en-US" w:eastAsia="zh-CN"/>
        </w:rPr>
        <w:t>2024年10月</w:t>
      </w:r>
      <w:r>
        <w:rPr>
          <w:rFonts w:hint="eastAsia" w:ascii="宋体" w:hAnsi="宋体" w:eastAsia="宋体" w:cs="宋体"/>
          <w:b w:val="0"/>
          <w:color w:val="auto"/>
          <w:sz w:val="24"/>
          <w:szCs w:val="24"/>
          <w:highlight w:val="none"/>
        </w:rPr>
        <w:t>，实际完成值为</w:t>
      </w:r>
      <w:r>
        <w:rPr>
          <w:rFonts w:hint="eastAsia" w:ascii="宋体" w:hAnsi="宋体" w:eastAsia="宋体" w:cs="宋体"/>
          <w:b w:val="0"/>
          <w:color w:val="auto"/>
          <w:sz w:val="24"/>
          <w:szCs w:val="24"/>
          <w:highlight w:val="none"/>
          <w:lang w:eastAsia="zh-CN"/>
        </w:rPr>
        <w:t>项目结束时间</w:t>
      </w:r>
      <w:r>
        <w:rPr>
          <w:rFonts w:hint="eastAsia" w:ascii="宋体" w:hAnsi="宋体" w:eastAsia="宋体" w:cs="宋体"/>
          <w:b w:val="0"/>
          <w:color w:val="auto"/>
          <w:sz w:val="24"/>
          <w:szCs w:val="24"/>
          <w:highlight w:val="none"/>
          <w:lang w:val="en-US" w:eastAsia="zh-CN"/>
        </w:rPr>
        <w:t>2024年10月</w:t>
      </w:r>
      <w:r>
        <w:rPr>
          <w:rFonts w:hint="eastAsia" w:ascii="宋体" w:hAnsi="宋体" w:eastAsia="宋体" w:cs="宋体"/>
          <w:b w:val="0"/>
          <w:color w:val="auto"/>
          <w:sz w:val="24"/>
          <w:szCs w:val="24"/>
          <w:highlight w:val="none"/>
        </w:rPr>
        <w:t>，指标完成率为</w:t>
      </w:r>
      <w:r>
        <w:rPr>
          <w:rFonts w:hint="eastAsia" w:ascii="宋体" w:hAnsi="宋体" w:eastAsia="宋体" w:cs="宋体"/>
          <w:b w:val="0"/>
          <w:color w:val="auto"/>
          <w:sz w:val="24"/>
          <w:szCs w:val="24"/>
          <w:highlight w:val="none"/>
          <w:lang w:val="en-US" w:eastAsia="zh-CN"/>
        </w:rPr>
        <w:t>100%</w:t>
      </w:r>
      <w:r>
        <w:rPr>
          <w:rFonts w:hint="eastAsia" w:ascii="宋体" w:hAnsi="宋体" w:eastAsia="宋体" w:cs="宋体"/>
          <w:b w:val="0"/>
          <w:color w:val="auto"/>
          <w:sz w:val="24"/>
          <w:szCs w:val="24"/>
          <w:highlight w:val="none"/>
        </w:rPr>
        <w:t>，与预期目标一致，根据评分标准，该指标不扣分，</w:t>
      </w:r>
      <w:r>
        <w:rPr>
          <w:rFonts w:hint="eastAsia" w:ascii="宋体" w:hAnsi="宋体" w:eastAsia="宋体" w:cs="宋体"/>
          <w:b w:val="0"/>
          <w:bCs/>
          <w:color w:val="auto"/>
          <w:sz w:val="24"/>
          <w:szCs w:val="24"/>
          <w:highlight w:val="none"/>
        </w:rPr>
        <w:t>得10分</w:t>
      </w:r>
      <w:r>
        <w:rPr>
          <w:rFonts w:hint="eastAsia" w:ascii="宋体" w:hAnsi="宋体" w:eastAsia="宋体" w:cs="宋体"/>
          <w:b w:val="0"/>
          <w:color w:val="auto"/>
          <w:sz w:val="24"/>
          <w:szCs w:val="24"/>
          <w:highlight w:val="none"/>
        </w:rPr>
        <w:t>。</w:t>
      </w:r>
    </w:p>
    <w:p w14:paraId="700CD189">
      <w:pPr>
        <w:pStyle w:val="11"/>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合计得10分。</w:t>
      </w:r>
    </w:p>
    <w:p w14:paraId="6B59BBCF">
      <w:pPr>
        <w:pStyle w:val="48"/>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（4）对于“产出成本”：</w:t>
      </w:r>
    </w:p>
    <w:p w14:paraId="3A61E304">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经济成本</w:t>
      </w:r>
      <w:r>
        <w:rPr>
          <w:rFonts w:hint="eastAsia" w:ascii="宋体" w:hAnsi="宋体" w:eastAsia="宋体" w:cs="宋体"/>
          <w:color w:val="auto"/>
          <w:sz w:val="24"/>
          <w:szCs w:val="24"/>
          <w:highlight w:val="none"/>
        </w:rPr>
        <w:t>指标</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，预期指标值为</w:t>
      </w:r>
      <w:r>
        <w:rPr>
          <w:rFonts w:hint="eastAsia" w:ascii="宋体" w:hAnsi="宋体" w:eastAsia="宋体" w:cs="宋体"/>
          <w:color w:val="auto"/>
          <w:sz w:val="24"/>
          <w:szCs w:val="24"/>
          <w:highlight w:val="none"/>
          <w:lang w:eastAsia="zh-CN"/>
        </w:rPr>
        <w:t>主任月发放标准</w:t>
      </w:r>
      <w:r>
        <w:rPr>
          <w:rFonts w:hint="eastAsia" w:ascii="宋体" w:hAnsi="宋体" w:eastAsia="宋体" w:cs="宋体"/>
          <w:color w:val="auto"/>
          <w:sz w:val="24"/>
          <w:szCs w:val="24"/>
          <w:highlight w:val="none"/>
          <w:lang w:val="en-US" w:eastAsia="zh-CN"/>
        </w:rPr>
        <w:t>=200元/人/月</w:t>
      </w:r>
      <w:r>
        <w:rPr>
          <w:rFonts w:hint="eastAsia" w:ascii="宋体" w:hAnsi="宋体" w:eastAsia="宋体" w:cs="宋体"/>
          <w:color w:val="auto"/>
          <w:sz w:val="24"/>
          <w:szCs w:val="24"/>
          <w:highlight w:val="none"/>
        </w:rPr>
        <w:t>，实际完成值为</w:t>
      </w:r>
      <w:r>
        <w:rPr>
          <w:rFonts w:hint="eastAsia" w:ascii="宋体" w:hAnsi="宋体" w:eastAsia="宋体" w:cs="宋体"/>
          <w:color w:val="auto"/>
          <w:sz w:val="24"/>
          <w:szCs w:val="24"/>
          <w:highlight w:val="none"/>
          <w:lang w:eastAsia="zh-CN"/>
        </w:rPr>
        <w:t>主任月发放标准</w:t>
      </w:r>
      <w:r>
        <w:rPr>
          <w:rFonts w:hint="eastAsia" w:ascii="宋体" w:hAnsi="宋体" w:eastAsia="宋体" w:cs="宋体"/>
          <w:color w:val="auto"/>
          <w:sz w:val="24"/>
          <w:szCs w:val="24"/>
          <w:highlight w:val="none"/>
          <w:lang w:val="en-US" w:eastAsia="zh-CN"/>
        </w:rPr>
        <w:t>=200元/人/月</w:t>
      </w:r>
      <w:r>
        <w:rPr>
          <w:rFonts w:hint="eastAsia" w:ascii="宋体" w:hAnsi="宋体" w:eastAsia="宋体" w:cs="宋体"/>
          <w:color w:val="auto"/>
          <w:sz w:val="24"/>
          <w:szCs w:val="24"/>
          <w:highlight w:val="none"/>
        </w:rPr>
        <w:t>，指标完成率为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，根据评分标准，该指标不扣分，得1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w:t>
      </w:r>
    </w:p>
    <w:p w14:paraId="36464F57">
      <w:pPr>
        <w:pStyle w:val="59"/>
        <w:pageBreakBefore w:val="0"/>
        <w:widowControl w:val="0"/>
        <w:kinsoku/>
        <w:wordWrap/>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经济成本</w:t>
      </w:r>
      <w:r>
        <w:rPr>
          <w:rFonts w:hint="eastAsia" w:ascii="宋体" w:hAnsi="宋体" w:eastAsia="宋体" w:cs="宋体"/>
          <w:color w:val="auto"/>
          <w:sz w:val="24"/>
          <w:szCs w:val="24"/>
          <w:highlight w:val="none"/>
        </w:rPr>
        <w:t>指标</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，预期指标值为</w:t>
      </w:r>
      <w:r>
        <w:rPr>
          <w:rFonts w:hint="eastAsia" w:ascii="宋体" w:hAnsi="宋体" w:eastAsia="宋体" w:cs="宋体"/>
          <w:color w:val="auto"/>
          <w:sz w:val="24"/>
          <w:szCs w:val="24"/>
          <w:highlight w:val="none"/>
          <w:lang w:eastAsia="zh-CN"/>
        </w:rPr>
        <w:t>成员月发放标准</w:t>
      </w:r>
      <w:r>
        <w:rPr>
          <w:rFonts w:hint="eastAsia" w:ascii="宋体" w:hAnsi="宋体" w:eastAsia="宋体" w:cs="宋体"/>
          <w:color w:val="auto"/>
          <w:sz w:val="24"/>
          <w:szCs w:val="24"/>
          <w:highlight w:val="none"/>
          <w:lang w:val="en-US" w:eastAsia="zh-CN"/>
        </w:rPr>
        <w:t>=100元/人/月</w:t>
      </w:r>
      <w:r>
        <w:rPr>
          <w:rFonts w:hint="eastAsia" w:ascii="宋体" w:hAnsi="宋体" w:eastAsia="宋体" w:cs="宋体"/>
          <w:color w:val="auto"/>
          <w:sz w:val="24"/>
          <w:szCs w:val="24"/>
          <w:highlight w:val="none"/>
        </w:rPr>
        <w:t>，实际完成值为</w:t>
      </w:r>
      <w:r>
        <w:rPr>
          <w:rFonts w:hint="eastAsia" w:ascii="宋体" w:hAnsi="宋体" w:eastAsia="宋体" w:cs="宋体"/>
          <w:color w:val="auto"/>
          <w:sz w:val="24"/>
          <w:szCs w:val="24"/>
          <w:highlight w:val="none"/>
          <w:lang w:eastAsia="zh-CN"/>
        </w:rPr>
        <w:t>成员月发放标准</w:t>
      </w:r>
      <w:r>
        <w:rPr>
          <w:rFonts w:hint="eastAsia" w:ascii="宋体" w:hAnsi="宋体" w:eastAsia="宋体" w:cs="宋体"/>
          <w:color w:val="auto"/>
          <w:sz w:val="24"/>
          <w:szCs w:val="24"/>
          <w:highlight w:val="none"/>
          <w:lang w:val="en-US" w:eastAsia="zh-CN"/>
        </w:rPr>
        <w:t>=100元/人/月</w:t>
      </w:r>
      <w:r>
        <w:rPr>
          <w:rFonts w:hint="eastAsia" w:ascii="宋体" w:hAnsi="宋体" w:eastAsia="宋体" w:cs="宋体"/>
          <w:color w:val="auto"/>
          <w:sz w:val="24"/>
          <w:szCs w:val="24"/>
          <w:highlight w:val="none"/>
        </w:rPr>
        <w:t>，指标完成率为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，根据评分标准，该指标不扣分，得1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w:t>
      </w:r>
    </w:p>
    <w:p w14:paraId="4D543288">
      <w:pPr>
        <w:pStyle w:val="58"/>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（四）项目效益情况</w:t>
      </w:r>
    </w:p>
    <w:p w14:paraId="63880004">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项目效益类指标包括项目效益1个方面的内容，由</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个三级指标构成，权重分为20分，实际得分20分，得分率为100%。</w:t>
      </w:r>
    </w:p>
    <w:p w14:paraId="0790A73F">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（1）对于“社会效益指标”：</w:t>
      </w:r>
    </w:p>
    <w:p w14:paraId="07CEB141">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提升监察信息员经费保障水平指标，</w:t>
      </w:r>
      <w:r>
        <w:rPr>
          <w:rFonts w:hint="eastAsia" w:ascii="宋体" w:hAnsi="宋体" w:eastAsia="宋体" w:cs="宋体"/>
          <w:color w:val="auto"/>
          <w:sz w:val="24"/>
          <w:szCs w:val="24"/>
          <w:highlight w:val="none"/>
        </w:rPr>
        <w:t>该指标预期指标值为</w:t>
      </w:r>
      <w:r>
        <w:rPr>
          <w:rFonts w:hint="eastAsia" w:ascii="宋体" w:hAnsi="宋体" w:eastAsia="宋体" w:cs="宋体"/>
          <w:color w:val="auto"/>
          <w:sz w:val="24"/>
          <w:szCs w:val="24"/>
          <w:highlight w:val="none"/>
          <w:lang w:val="en-US" w:eastAsia="zh-CN"/>
        </w:rPr>
        <w:t>有效提升</w:t>
      </w:r>
      <w:r>
        <w:rPr>
          <w:rFonts w:hint="eastAsia" w:ascii="宋体" w:hAnsi="宋体" w:eastAsia="宋体" w:cs="宋体"/>
          <w:color w:val="auto"/>
          <w:sz w:val="24"/>
          <w:szCs w:val="24"/>
          <w:highlight w:val="none"/>
        </w:rPr>
        <w:t>，实际完成值为</w:t>
      </w:r>
      <w:r>
        <w:rPr>
          <w:rFonts w:hint="eastAsia" w:ascii="宋体" w:hAnsi="宋体" w:eastAsia="宋体" w:cs="宋体"/>
          <w:color w:val="auto"/>
          <w:sz w:val="24"/>
          <w:szCs w:val="24"/>
          <w:highlight w:val="none"/>
          <w:lang w:val="en-US" w:eastAsia="zh-CN"/>
        </w:rPr>
        <w:t>有效提升</w:t>
      </w:r>
      <w:r>
        <w:rPr>
          <w:rFonts w:hint="eastAsia" w:ascii="宋体" w:hAnsi="宋体" w:eastAsia="宋体" w:cs="宋体"/>
          <w:color w:val="auto"/>
          <w:sz w:val="24"/>
          <w:szCs w:val="24"/>
          <w:highlight w:val="none"/>
        </w:rPr>
        <w:t>，指标完成率为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，与预期指标一致，根据评分标准，该指标不扣分，得5分。</w:t>
      </w:r>
    </w:p>
    <w:p w14:paraId="2F9E96CD">
      <w:pPr>
        <w:pStyle w:val="11"/>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（4）满意度指标分析</w:t>
      </w:r>
    </w:p>
    <w:p w14:paraId="48DB823D">
      <w:pPr>
        <w:pStyle w:val="48"/>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对于“满意度指标：</w:t>
      </w:r>
      <w:r>
        <w:rPr>
          <w:rFonts w:hint="eastAsia" w:ascii="宋体" w:hAnsi="宋体" w:eastAsia="宋体" w:cs="宋体"/>
          <w:color w:val="auto"/>
          <w:sz w:val="24"/>
          <w:szCs w:val="24"/>
          <w:highlight w:val="none"/>
          <w:lang w:val="en-US" w:eastAsia="zh-CN"/>
        </w:rPr>
        <w:t>群众</w:t>
      </w:r>
      <w:r>
        <w:rPr>
          <w:rFonts w:hint="eastAsia" w:ascii="宋体" w:hAnsi="宋体" w:eastAsia="宋体" w:cs="宋体"/>
          <w:color w:val="auto"/>
          <w:sz w:val="24"/>
          <w:szCs w:val="24"/>
          <w:highlight w:val="none"/>
        </w:rPr>
        <w:t>满意度，该指标预期指标值为</w:t>
      </w:r>
      <w:r>
        <w:rPr>
          <w:rFonts w:hint="eastAsia" w:ascii="宋体" w:hAnsi="宋体" w:eastAsia="宋体" w:cs="宋体"/>
          <w:color w:val="auto"/>
          <w:sz w:val="24"/>
          <w:szCs w:val="24"/>
          <w:highlight w:val="none"/>
          <w:lang w:val="en-US" w:eastAsia="zh-CN"/>
        </w:rPr>
        <w:t xml:space="preserve"> &gt;=95%</w:t>
      </w:r>
      <w:r>
        <w:rPr>
          <w:rFonts w:hint="eastAsia" w:ascii="宋体" w:hAnsi="宋体" w:eastAsia="宋体" w:cs="宋体"/>
          <w:color w:val="auto"/>
          <w:sz w:val="24"/>
          <w:szCs w:val="24"/>
          <w:highlight w:val="none"/>
        </w:rPr>
        <w:t>，实际完成值为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，指标完成率为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，与预期目标一致，根据评分标准，该指标不扣分,得10分。</w:t>
      </w:r>
      <w:bookmarkEnd w:id="13"/>
    </w:p>
    <w:p w14:paraId="2FE057DA">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b/>
          <w:bCs/>
          <w:sz w:val="24"/>
          <w:szCs w:val="24"/>
        </w:rPr>
      </w:pPr>
      <w:r>
        <w:rPr>
          <w:rFonts w:hint="eastAsia" w:ascii="黑体" w:hAnsi="黑体" w:eastAsia="黑体" w:cs="黑体"/>
          <w:b/>
          <w:bCs/>
          <w:sz w:val="24"/>
          <w:szCs w:val="24"/>
        </w:rPr>
        <w:t>五、预算执行进度与绩效指标偏差情况</w:t>
      </w:r>
    </w:p>
    <w:p w14:paraId="23D12E17">
      <w:pPr>
        <w:pStyle w:val="48"/>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本项目年初预算资金总额为</w:t>
      </w:r>
      <w:r>
        <w:rPr>
          <w:rFonts w:hint="eastAsia" w:ascii="宋体" w:hAnsi="宋体" w:eastAsia="宋体" w:cs="宋体"/>
          <w:color w:val="auto"/>
          <w:sz w:val="24"/>
          <w:szCs w:val="24"/>
          <w:lang w:val="en-US" w:eastAsia="zh-CN"/>
        </w:rPr>
        <w:t>134.73</w:t>
      </w:r>
      <w:r>
        <w:rPr>
          <w:rFonts w:hint="eastAsia" w:ascii="宋体" w:hAnsi="宋体" w:eastAsia="宋体" w:cs="宋体"/>
          <w:color w:val="auto"/>
          <w:sz w:val="24"/>
          <w:szCs w:val="24"/>
        </w:rPr>
        <w:t>万元，全年预算数为</w:t>
      </w:r>
      <w:r>
        <w:rPr>
          <w:rFonts w:hint="eastAsia" w:ascii="宋体" w:hAnsi="宋体" w:eastAsia="宋体" w:cs="宋体"/>
          <w:color w:val="auto"/>
          <w:sz w:val="24"/>
          <w:szCs w:val="24"/>
          <w:lang w:val="en-US" w:eastAsia="zh-CN"/>
        </w:rPr>
        <w:t>134.73</w:t>
      </w:r>
      <w:r>
        <w:rPr>
          <w:rFonts w:hint="eastAsia" w:ascii="宋体" w:hAnsi="宋体" w:eastAsia="宋体" w:cs="宋体"/>
          <w:color w:val="auto"/>
          <w:sz w:val="24"/>
          <w:szCs w:val="24"/>
        </w:rPr>
        <w:t>万元，全年执行数为</w:t>
      </w:r>
      <w:r>
        <w:rPr>
          <w:rFonts w:hint="eastAsia" w:ascii="宋体" w:hAnsi="宋体" w:eastAsia="宋体" w:cs="宋体"/>
          <w:color w:val="auto"/>
          <w:sz w:val="24"/>
          <w:szCs w:val="24"/>
          <w:lang w:val="en-US" w:eastAsia="zh-CN"/>
        </w:rPr>
        <w:t>134.73</w:t>
      </w:r>
      <w:r>
        <w:rPr>
          <w:rFonts w:hint="eastAsia" w:ascii="宋体" w:hAnsi="宋体" w:eastAsia="宋体" w:cs="宋体"/>
          <w:color w:val="auto"/>
          <w:sz w:val="24"/>
          <w:szCs w:val="24"/>
        </w:rPr>
        <w:t>万元，预算执行率为</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w:t>
      </w:r>
    </w:p>
    <w:p w14:paraId="5BC8AD0E">
      <w:pPr>
        <w:pStyle w:val="48"/>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本项目共设置三级指标数量</w:t>
      </w:r>
      <w:r>
        <w:rPr>
          <w:rFonts w:hint="eastAsia" w:ascii="宋体" w:hAnsi="宋体" w:eastAsia="宋体" w:cs="宋体"/>
          <w:color w:val="auto"/>
          <w:sz w:val="24"/>
          <w:szCs w:val="24"/>
          <w:lang w:val="en-US" w:eastAsia="zh-CN"/>
        </w:rPr>
        <w:t>12</w:t>
      </w:r>
      <w:r>
        <w:rPr>
          <w:rFonts w:hint="eastAsia" w:ascii="宋体" w:hAnsi="宋体" w:eastAsia="宋体" w:cs="宋体"/>
          <w:color w:val="auto"/>
          <w:sz w:val="24"/>
          <w:szCs w:val="24"/>
        </w:rPr>
        <w:t>个，满分指标数量</w:t>
      </w:r>
      <w:r>
        <w:rPr>
          <w:rFonts w:hint="eastAsia" w:ascii="宋体" w:hAnsi="宋体" w:eastAsia="宋体" w:cs="宋体"/>
          <w:color w:val="auto"/>
          <w:sz w:val="24"/>
          <w:szCs w:val="24"/>
          <w:lang w:val="en-US" w:eastAsia="zh-CN"/>
        </w:rPr>
        <w:t>12</w:t>
      </w:r>
      <w:r>
        <w:rPr>
          <w:rFonts w:hint="eastAsia" w:ascii="宋体" w:hAnsi="宋体" w:eastAsia="宋体" w:cs="宋体"/>
          <w:color w:val="auto"/>
          <w:sz w:val="24"/>
          <w:szCs w:val="24"/>
        </w:rPr>
        <w:t>个，扣分指标数量</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个，经分析计算所有三级指标完成率得出，本项目总体完成率为</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w:t>
      </w:r>
    </w:p>
    <w:p w14:paraId="76154297">
      <w:pPr>
        <w:pStyle w:val="48"/>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综上所述本项目预算执行率与总体完成率之间的偏差为</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w:t>
      </w:r>
      <w:bookmarkStart w:id="14" w:name="_Toc68364673"/>
    </w:p>
    <w:p w14:paraId="638643FA">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b/>
          <w:bCs/>
          <w:sz w:val="24"/>
          <w:szCs w:val="24"/>
        </w:rPr>
      </w:pPr>
    </w:p>
    <w:p w14:paraId="37C3BF78">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b/>
          <w:bCs/>
          <w:sz w:val="24"/>
          <w:szCs w:val="24"/>
        </w:rPr>
      </w:pPr>
      <w:r>
        <w:rPr>
          <w:rFonts w:hint="eastAsia" w:ascii="黑体" w:hAnsi="黑体" w:eastAsia="黑体" w:cs="黑体"/>
          <w:b/>
          <w:bCs/>
          <w:sz w:val="24"/>
          <w:szCs w:val="24"/>
        </w:rPr>
        <w:t>六、主要经验及做法、存在的问题及原因分析</w:t>
      </w:r>
    </w:p>
    <w:p w14:paraId="33BE21AE">
      <w:pPr>
        <w:pStyle w:val="48"/>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b/>
          <w:bCs/>
          <w:sz w:val="24"/>
          <w:szCs w:val="24"/>
        </w:rPr>
        <w:t>（一）主要经验及做法</w:t>
      </w:r>
      <w:bookmarkEnd w:id="14"/>
    </w:p>
    <w:p w14:paraId="25F098AE">
      <w:pPr>
        <w:pStyle w:val="48"/>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本项目实施效果较好的原因主要是</w:t>
      </w:r>
      <w:r>
        <w:rPr>
          <w:rFonts w:hint="eastAsia" w:ascii="宋体" w:hAnsi="宋体" w:eastAsia="宋体" w:cs="宋体"/>
          <w:color w:val="auto"/>
          <w:sz w:val="24"/>
          <w:szCs w:val="24"/>
          <w:lang w:eastAsia="zh-CN"/>
        </w:rPr>
        <w:t>：</w:t>
      </w:r>
    </w:p>
    <w:p w14:paraId="0B9DE4CC">
      <w:pPr>
        <w:pStyle w:val="48"/>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一是</w:t>
      </w:r>
      <w:r>
        <w:rPr>
          <w:rFonts w:hint="eastAsia" w:ascii="宋体" w:hAnsi="宋体" w:eastAsia="宋体" w:cs="宋体"/>
          <w:color w:val="auto"/>
          <w:sz w:val="24"/>
          <w:szCs w:val="24"/>
        </w:rPr>
        <w:t>管理制度完善</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本单位严格按照相关要求完善资金使用管理制度，</w:t>
      </w:r>
      <w:r>
        <w:rPr>
          <w:rFonts w:hint="eastAsia" w:ascii="宋体" w:hAnsi="宋体" w:eastAsia="宋体" w:cs="宋体"/>
          <w:color w:val="auto"/>
          <w:sz w:val="24"/>
          <w:szCs w:val="24"/>
          <w:lang w:eastAsia="zh-CN"/>
        </w:rPr>
        <w:t>本项目能够严格按照《</w:t>
      </w:r>
      <w:r>
        <w:rPr>
          <w:rFonts w:hint="eastAsia" w:ascii="宋体" w:hAnsi="宋体" w:eastAsia="宋体" w:cs="宋体"/>
          <w:color w:val="auto"/>
          <w:sz w:val="24"/>
          <w:szCs w:val="24"/>
          <w:lang w:val="en-US" w:eastAsia="zh-CN"/>
        </w:rPr>
        <w:t>2024年监察信息员经费项目实施方案》执行。</w:t>
      </w:r>
    </w:p>
    <w:p w14:paraId="1E9470C3">
      <w:pPr>
        <w:pStyle w:val="48"/>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二是</w:t>
      </w:r>
      <w:r>
        <w:rPr>
          <w:rFonts w:hint="eastAsia" w:ascii="宋体" w:hAnsi="宋体" w:eastAsia="宋体" w:cs="宋体"/>
          <w:color w:val="auto"/>
          <w:sz w:val="24"/>
          <w:szCs w:val="24"/>
        </w:rPr>
        <w:t>责任落实到位</w:t>
      </w:r>
      <w:r>
        <w:rPr>
          <w:rFonts w:hint="eastAsia" w:ascii="宋体" w:hAnsi="宋体" w:eastAsia="宋体" w:cs="宋体"/>
          <w:color w:val="auto"/>
          <w:sz w:val="24"/>
          <w:szCs w:val="24"/>
          <w:lang w:eastAsia="zh-CN"/>
        </w:rPr>
        <w:t>。本位高度重视项目实施，加强组织领导，明确工作责任，责任压实到人，项目资金申请到发放领导亲自抓落实。</w:t>
      </w:r>
    </w:p>
    <w:p w14:paraId="6BE2D0D8">
      <w:pPr>
        <w:pStyle w:val="48"/>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三是</w:t>
      </w:r>
      <w:r>
        <w:rPr>
          <w:rFonts w:hint="eastAsia" w:ascii="宋体" w:hAnsi="宋体" w:eastAsia="宋体" w:cs="宋体"/>
          <w:color w:val="auto"/>
          <w:sz w:val="24"/>
          <w:szCs w:val="24"/>
        </w:rPr>
        <w:t>跟踪考核机制完善且运行有效</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认真履行责任和义务，树立全局观念，以绩效管理结果为导向，强化整体支出目标意识，同时建立督导长效机制，对单位资金执行及项目进行长期动态监督监管，对发现的问题及时研究，并进行纠偏。</w:t>
      </w:r>
    </w:p>
    <w:p w14:paraId="31D5169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9"/>
        <w:rPr>
          <w:rFonts w:hint="eastAsia" w:ascii="宋体" w:hAnsi="宋体" w:eastAsia="宋体" w:cs="宋体"/>
          <w:sz w:val="24"/>
          <w:szCs w:val="24"/>
        </w:rPr>
      </w:pPr>
      <w:bookmarkStart w:id="15" w:name="_Toc68364674"/>
      <w:r>
        <w:rPr>
          <w:rFonts w:hint="eastAsia" w:ascii="宋体" w:hAnsi="宋体" w:eastAsia="宋体" w:cs="宋体"/>
          <w:b/>
          <w:bCs/>
          <w:sz w:val="24"/>
          <w:szCs w:val="24"/>
        </w:rPr>
        <w:t>（二）存在问题及原因分析</w:t>
      </w:r>
      <w:bookmarkEnd w:id="15"/>
    </w:p>
    <w:p w14:paraId="2DBCDA5E">
      <w:pPr>
        <w:keepNext w:val="0"/>
        <w:keepLines w:val="0"/>
        <w:pageBreakBefore w:val="0"/>
        <w:widowControl w:val="0"/>
        <w:kinsoku/>
        <w:wordWrap/>
        <w:overflowPunct/>
        <w:topLinePunct w:val="0"/>
        <w:autoSpaceDE/>
        <w:autoSpaceDN/>
        <w:bidi w:val="0"/>
        <w:adjustRightInd/>
        <w:snapToGrid/>
        <w:spacing w:line="360" w:lineRule="auto"/>
        <w:ind w:left="0" w:leftChars="0" w:firstLine="464" w:firstLineChars="200"/>
        <w:jc w:val="both"/>
        <w:textAlignment w:val="auto"/>
        <w:outlineLvl w:val="9"/>
        <w:rPr>
          <w:rStyle w:val="27"/>
          <w:rFonts w:hint="eastAsia" w:ascii="宋体" w:hAnsi="宋体" w:eastAsia="宋体" w:cs="宋体"/>
          <w:b w:val="0"/>
          <w:bCs w:val="0"/>
          <w:color w:val="auto"/>
          <w:spacing w:val="-4"/>
          <w:sz w:val="24"/>
          <w:szCs w:val="24"/>
        </w:rPr>
      </w:pPr>
      <w:r>
        <w:rPr>
          <w:rStyle w:val="27"/>
          <w:rFonts w:hint="eastAsia" w:ascii="宋体" w:hAnsi="宋体" w:eastAsia="宋体" w:cs="宋体"/>
          <w:b w:val="0"/>
          <w:bCs w:val="0"/>
          <w:color w:val="auto"/>
          <w:spacing w:val="-4"/>
          <w:sz w:val="24"/>
          <w:szCs w:val="24"/>
          <w:lang w:val="en-US" w:eastAsia="zh-CN"/>
        </w:rPr>
        <w:t>一</w:t>
      </w:r>
      <w:r>
        <w:rPr>
          <w:rStyle w:val="27"/>
          <w:rFonts w:hint="eastAsia" w:ascii="宋体" w:hAnsi="宋体" w:eastAsia="宋体" w:cs="宋体"/>
          <w:b w:val="0"/>
          <w:bCs w:val="0"/>
          <w:color w:val="auto"/>
          <w:spacing w:val="-4"/>
          <w:sz w:val="24"/>
          <w:szCs w:val="24"/>
        </w:rPr>
        <w:t>是</w:t>
      </w:r>
      <w:r>
        <w:rPr>
          <w:rStyle w:val="27"/>
          <w:rFonts w:hint="eastAsia" w:ascii="宋体" w:hAnsi="宋体" w:eastAsia="宋体" w:cs="宋体"/>
          <w:b w:val="0"/>
          <w:bCs w:val="0"/>
          <w:color w:val="auto"/>
          <w:spacing w:val="-4"/>
          <w:sz w:val="24"/>
          <w:szCs w:val="24"/>
          <w:lang w:eastAsia="zh-CN"/>
        </w:rPr>
        <w:t>项目</w:t>
      </w:r>
      <w:r>
        <w:rPr>
          <w:rStyle w:val="27"/>
          <w:rFonts w:hint="eastAsia" w:ascii="宋体" w:hAnsi="宋体" w:eastAsia="宋体" w:cs="宋体"/>
          <w:b w:val="0"/>
          <w:bCs w:val="0"/>
          <w:color w:val="auto"/>
          <w:spacing w:val="-4"/>
          <w:sz w:val="24"/>
          <w:szCs w:val="24"/>
        </w:rPr>
        <w:t>支出绩效</w:t>
      </w:r>
      <w:r>
        <w:rPr>
          <w:rStyle w:val="27"/>
          <w:rFonts w:hint="eastAsia" w:ascii="宋体" w:hAnsi="宋体" w:eastAsia="宋体" w:cs="宋体"/>
          <w:b w:val="0"/>
          <w:bCs w:val="0"/>
          <w:color w:val="auto"/>
          <w:spacing w:val="-4"/>
          <w:sz w:val="24"/>
          <w:szCs w:val="24"/>
          <w:lang w:val="en-US" w:eastAsia="zh-CN"/>
        </w:rPr>
        <w:t>总体</w:t>
      </w:r>
      <w:r>
        <w:rPr>
          <w:rStyle w:val="27"/>
          <w:rFonts w:hint="eastAsia" w:ascii="宋体" w:hAnsi="宋体" w:eastAsia="宋体" w:cs="宋体"/>
          <w:b w:val="0"/>
          <w:bCs w:val="0"/>
          <w:color w:val="auto"/>
          <w:spacing w:val="-4"/>
          <w:sz w:val="24"/>
          <w:szCs w:val="24"/>
        </w:rPr>
        <w:t>目标与</w:t>
      </w:r>
      <w:r>
        <w:rPr>
          <w:rStyle w:val="27"/>
          <w:rFonts w:hint="eastAsia" w:ascii="宋体" w:hAnsi="宋体" w:eastAsia="宋体" w:cs="宋体"/>
          <w:b w:val="0"/>
          <w:bCs w:val="0"/>
          <w:color w:val="auto"/>
          <w:spacing w:val="-4"/>
          <w:sz w:val="24"/>
          <w:szCs w:val="24"/>
          <w:lang w:val="en-US" w:eastAsia="zh-CN"/>
        </w:rPr>
        <w:t>履职效能</w:t>
      </w:r>
      <w:r>
        <w:rPr>
          <w:rStyle w:val="27"/>
          <w:rFonts w:hint="eastAsia" w:ascii="宋体" w:hAnsi="宋体" w:eastAsia="宋体" w:cs="宋体"/>
          <w:b w:val="0"/>
          <w:bCs w:val="0"/>
          <w:color w:val="auto"/>
          <w:spacing w:val="-4"/>
          <w:sz w:val="24"/>
          <w:szCs w:val="24"/>
        </w:rPr>
        <w:t>的数量指标、质量指标缺乏对应性，关联性和可操作性不强。</w:t>
      </w:r>
    </w:p>
    <w:p w14:paraId="0A31C591">
      <w:pPr>
        <w:pStyle w:val="62"/>
        <w:keepNext w:val="0"/>
        <w:keepLines w:val="0"/>
        <w:pageBreakBefore w:val="0"/>
        <w:widowControl w:val="0"/>
        <w:numPr>
          <w:ilvl w:val="0"/>
          <w:numId w:val="0"/>
        </w:numPr>
        <w:kinsoku/>
        <w:wordWrap/>
        <w:overflowPunct/>
        <w:topLinePunct w:val="0"/>
        <w:autoSpaceDE/>
        <w:autoSpaceDN/>
        <w:bidi w:val="0"/>
        <w:adjustRightInd/>
        <w:snapToGrid/>
        <w:spacing w:before="0" w:after="0" w:line="360" w:lineRule="auto"/>
        <w:ind w:left="0" w:leftChars="0" w:firstLine="464" w:firstLineChars="200"/>
        <w:jc w:val="both"/>
        <w:textAlignment w:val="auto"/>
        <w:rPr>
          <w:rFonts w:hint="eastAsia" w:ascii="宋体" w:hAnsi="宋体" w:eastAsia="宋体" w:cs="宋体"/>
          <w:b w:val="0"/>
          <w:bCs w:val="0"/>
          <w:color w:val="auto"/>
          <w:sz w:val="24"/>
          <w:szCs w:val="24"/>
        </w:rPr>
      </w:pPr>
      <w:r>
        <w:rPr>
          <w:rStyle w:val="27"/>
          <w:rFonts w:hint="eastAsia" w:ascii="宋体" w:hAnsi="宋体" w:eastAsia="宋体" w:cs="宋体"/>
          <w:b w:val="0"/>
          <w:bCs w:val="0"/>
          <w:color w:val="auto"/>
          <w:spacing w:val="-4"/>
          <w:kern w:val="2"/>
          <w:sz w:val="24"/>
          <w:szCs w:val="24"/>
          <w:lang w:val="en-US" w:eastAsia="zh-CN" w:bidi="ar-SA"/>
        </w:rPr>
        <w:t>二是专业人员缺乏，难以适应现行的预算绩效管理。随着财政改革步伐的推进，预算绩效管理在财政改革中的地位与角色更加凸显，而当前绩效管理没有成熟模式，没有预算绩效专业管理人员，缺乏预算绩效管理专业知识和相应的工作经验。</w:t>
      </w:r>
    </w:p>
    <w:p w14:paraId="379E9EB9">
      <w:pPr>
        <w:keepNext w:val="0"/>
        <w:keepLines w:val="0"/>
        <w:pageBreakBefore w:val="0"/>
        <w:widowControl w:val="0"/>
        <w:kinsoku/>
        <w:wordWrap/>
        <w:overflowPunct/>
        <w:topLinePunct w:val="0"/>
        <w:autoSpaceDE/>
        <w:autoSpaceDN/>
        <w:bidi w:val="0"/>
        <w:adjustRightInd/>
        <w:snapToGrid/>
        <w:spacing w:line="360" w:lineRule="auto"/>
        <w:ind w:left="0" w:leftChars="0" w:firstLine="464" w:firstLineChars="200"/>
        <w:jc w:val="both"/>
        <w:textAlignment w:val="auto"/>
        <w:outlineLvl w:val="9"/>
        <w:rPr>
          <w:rStyle w:val="27"/>
          <w:rFonts w:hint="eastAsia" w:ascii="宋体" w:hAnsi="宋体" w:eastAsia="宋体" w:cs="宋体"/>
          <w:b w:val="0"/>
          <w:bCs w:val="0"/>
          <w:color w:val="auto"/>
          <w:spacing w:val="-4"/>
          <w:sz w:val="24"/>
          <w:szCs w:val="24"/>
        </w:rPr>
      </w:pPr>
      <w:r>
        <w:rPr>
          <w:rStyle w:val="27"/>
          <w:rFonts w:hint="eastAsia" w:ascii="宋体" w:hAnsi="宋体" w:eastAsia="宋体" w:cs="宋体"/>
          <w:b w:val="0"/>
          <w:bCs w:val="0"/>
          <w:color w:val="auto"/>
          <w:spacing w:val="-4"/>
          <w:sz w:val="24"/>
          <w:szCs w:val="24"/>
          <w:lang w:eastAsia="zh-CN"/>
        </w:rPr>
        <w:t>主要原因：</w:t>
      </w:r>
      <w:r>
        <w:rPr>
          <w:rStyle w:val="27"/>
          <w:rFonts w:hint="eastAsia" w:ascii="宋体" w:hAnsi="宋体" w:eastAsia="宋体" w:cs="宋体"/>
          <w:b w:val="0"/>
          <w:bCs w:val="0"/>
          <w:color w:val="auto"/>
          <w:spacing w:val="-4"/>
          <w:sz w:val="24"/>
          <w:szCs w:val="24"/>
        </w:rPr>
        <w:t>部门对项目绩效目标的设定和各项指标的理解、认识不到位，导致项目绩效目标不够明确、不够细化、不够量化，缺乏可衡量性和可实现性。</w:t>
      </w:r>
    </w:p>
    <w:p w14:paraId="084572C6">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sz w:val="24"/>
          <w:szCs w:val="24"/>
        </w:rPr>
      </w:pPr>
      <w:bookmarkStart w:id="16" w:name="_Toc68364675"/>
    </w:p>
    <w:p w14:paraId="376F49F6">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b w:val="0"/>
          <w:bCs w:val="0"/>
          <w:color w:val="FF0000"/>
          <w:sz w:val="24"/>
          <w:szCs w:val="24"/>
        </w:rPr>
      </w:pPr>
      <w:r>
        <w:rPr>
          <w:rFonts w:hint="eastAsia" w:ascii="黑体" w:hAnsi="黑体" w:eastAsia="黑体" w:cs="黑体"/>
          <w:sz w:val="24"/>
          <w:szCs w:val="24"/>
        </w:rPr>
        <w:t>七、有关建议</w:t>
      </w:r>
      <w:bookmarkEnd w:id="16"/>
    </w:p>
    <w:p w14:paraId="006FC2BD">
      <w:pPr>
        <w:pStyle w:val="62"/>
        <w:keepNext w:val="0"/>
        <w:keepLines w:val="0"/>
        <w:pageBreakBefore w:val="0"/>
        <w:widowControl w:val="0"/>
        <w:numPr>
          <w:ilvl w:val="0"/>
          <w:numId w:val="0"/>
        </w:numPr>
        <w:kinsoku/>
        <w:wordWrap/>
        <w:overflowPunct/>
        <w:topLinePunct w:val="0"/>
        <w:autoSpaceDE/>
        <w:autoSpaceDN/>
        <w:bidi w:val="0"/>
        <w:adjustRightInd/>
        <w:snapToGrid/>
        <w:spacing w:before="0" w:after="0" w:line="360" w:lineRule="auto"/>
        <w:ind w:left="0" w:leftChars="0" w:firstLine="464" w:firstLineChars="200"/>
        <w:jc w:val="both"/>
        <w:textAlignment w:val="auto"/>
        <w:rPr>
          <w:rStyle w:val="27"/>
          <w:rFonts w:hint="eastAsia" w:ascii="宋体" w:hAnsi="宋体" w:eastAsia="宋体" w:cs="宋体"/>
          <w:b w:val="0"/>
          <w:bCs w:val="0"/>
          <w:color w:val="auto"/>
          <w:spacing w:val="-4"/>
          <w:kern w:val="2"/>
          <w:sz w:val="24"/>
          <w:szCs w:val="24"/>
          <w:lang w:val="en-US" w:eastAsia="zh-CN" w:bidi="ar-SA"/>
        </w:rPr>
      </w:pPr>
      <w:r>
        <w:rPr>
          <w:rStyle w:val="27"/>
          <w:rFonts w:hint="eastAsia" w:ascii="宋体" w:hAnsi="宋体" w:eastAsia="宋体" w:cs="宋体"/>
          <w:b w:val="0"/>
          <w:bCs w:val="0"/>
          <w:color w:val="auto"/>
          <w:spacing w:val="-4"/>
          <w:kern w:val="2"/>
          <w:sz w:val="24"/>
          <w:szCs w:val="24"/>
          <w:lang w:val="en-US" w:eastAsia="zh-CN" w:bidi="ar-SA"/>
        </w:rPr>
        <w:t>一是提高预算编制的准确性，强化绩效目标管理。根据项目年度工作内容和总体目标，合理编制、细化预算，结合实际情况，科学合理设置绩效目标和绩效指标，确保指标设置能够全面体现工作任务的主要产出和效益。</w:t>
      </w:r>
    </w:p>
    <w:p w14:paraId="305A99DA">
      <w:pPr>
        <w:pStyle w:val="62"/>
        <w:keepNext w:val="0"/>
        <w:keepLines w:val="0"/>
        <w:pageBreakBefore w:val="0"/>
        <w:widowControl w:val="0"/>
        <w:numPr>
          <w:ilvl w:val="0"/>
          <w:numId w:val="0"/>
        </w:numPr>
        <w:kinsoku/>
        <w:wordWrap/>
        <w:overflowPunct/>
        <w:topLinePunct w:val="0"/>
        <w:autoSpaceDE/>
        <w:autoSpaceDN/>
        <w:bidi w:val="0"/>
        <w:adjustRightInd/>
        <w:snapToGrid/>
        <w:spacing w:before="0" w:after="0" w:line="360" w:lineRule="auto"/>
        <w:ind w:left="0" w:leftChars="0" w:firstLine="464" w:firstLineChars="200"/>
        <w:jc w:val="both"/>
        <w:textAlignment w:val="auto"/>
        <w:rPr>
          <w:rFonts w:hint="eastAsia" w:ascii="宋体" w:hAnsi="宋体" w:eastAsia="宋体" w:cs="宋体"/>
          <w:b/>
          <w:bCs/>
          <w:color w:val="FF0000"/>
          <w:sz w:val="24"/>
          <w:szCs w:val="24"/>
          <w:lang w:val="en-US" w:eastAsia="zh-CN"/>
        </w:rPr>
      </w:pPr>
      <w:r>
        <w:rPr>
          <w:rStyle w:val="27"/>
          <w:rFonts w:hint="eastAsia" w:ascii="宋体" w:hAnsi="宋体" w:eastAsia="宋体" w:cs="宋体"/>
          <w:b w:val="0"/>
          <w:bCs w:val="0"/>
          <w:color w:val="auto"/>
          <w:spacing w:val="-4"/>
          <w:kern w:val="2"/>
          <w:sz w:val="24"/>
          <w:szCs w:val="24"/>
          <w:lang w:val="en-US" w:eastAsia="zh-CN" w:bidi="ar-SA"/>
        </w:rPr>
        <w:t>二是加强绩效业务学习及培训，提高业务人员绩效管理意识，进一步加强预算绩效管理工作，优化项目支出绩效指标体系，完善预算绩效管理制度，有效推动我单位下一年度预算绩效管理工作常态化、规范化。通过强化专业培训、学习考察、业务交流等措施，帮助和促进本单位现有人员提高绩效管理业务水平、实际工作能力。强化预算绩效执行工作，指定专人负责预算执行监督管理，进一步推动预算绩效管理工作。</w:t>
      </w:r>
    </w:p>
    <w:p w14:paraId="749DC01E">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sz w:val="24"/>
          <w:szCs w:val="24"/>
        </w:rPr>
      </w:pPr>
      <w:bookmarkStart w:id="17" w:name="_Toc68364676"/>
    </w:p>
    <w:p w14:paraId="098DCEA6">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sz w:val="24"/>
          <w:szCs w:val="24"/>
        </w:rPr>
      </w:pPr>
      <w:r>
        <w:rPr>
          <w:rFonts w:hint="eastAsia" w:ascii="黑体" w:hAnsi="黑体" w:eastAsia="黑体" w:cs="黑体"/>
          <w:sz w:val="24"/>
          <w:szCs w:val="24"/>
        </w:rPr>
        <w:t>八、其他需要说明的问题</w:t>
      </w:r>
      <w:bookmarkEnd w:id="17"/>
    </w:p>
    <w:p w14:paraId="0B29FB05">
      <w:pPr>
        <w:pStyle w:val="48"/>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我单位对上述项目支出绩效评价报告内反映内容的真实性、完整性负责，</w:t>
      </w:r>
      <w:r>
        <w:rPr>
          <w:rFonts w:hint="eastAsia" w:ascii="宋体" w:hAnsi="宋体" w:eastAsia="宋体" w:cs="宋体"/>
          <w:sz w:val="24"/>
          <w:szCs w:val="24"/>
          <w:lang w:val="en-US" w:eastAsia="zh-CN"/>
        </w:rPr>
        <w:t>愿</w:t>
      </w:r>
      <w:r>
        <w:rPr>
          <w:rFonts w:hint="eastAsia" w:ascii="宋体" w:hAnsi="宋体" w:eastAsia="宋体" w:cs="宋体"/>
          <w:sz w:val="24"/>
          <w:szCs w:val="24"/>
        </w:rPr>
        <w:t>接受上级部门及社会公众监督。</w:t>
      </w:r>
    </w:p>
    <w:p w14:paraId="538BBFB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sz w:val="24"/>
          <w:szCs w:val="24"/>
        </w:rPr>
      </w:pPr>
    </w:p>
    <w:p w14:paraId="5CDC4CE1">
      <w:pPr>
        <w:pageBreakBefore w:val="0"/>
        <w:widowControl w:val="0"/>
        <w:kinsoku/>
        <w:wordWrap/>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附件1：监察信息员经费项目绩效评价指标体系</w:t>
      </w:r>
    </w:p>
    <w:p w14:paraId="0435495F">
      <w:pPr>
        <w:pageBreakBefore w:val="0"/>
        <w:widowControl w:val="0"/>
        <w:kinsoku/>
        <w:wordWrap/>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附件2：监察信息员经费项目综合得分表</w:t>
      </w:r>
    </w:p>
    <w:p w14:paraId="15105D98">
      <w:pPr>
        <w:pageBreakBefore w:val="0"/>
        <w:widowControl w:val="0"/>
        <w:kinsoku/>
        <w:wordWrap/>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附件3：满意度调查问分析情况</w:t>
      </w:r>
    </w:p>
    <w:p w14:paraId="2E62BA71">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rPr>
      </w:pPr>
    </w:p>
    <w:p w14:paraId="65020EC0">
      <w:pPr>
        <w:pStyle w:val="11"/>
        <w:pageBreakBefore w:val="0"/>
        <w:kinsoku/>
        <w:wordWrap/>
        <w:topLinePunct w:val="0"/>
        <w:autoSpaceDE/>
        <w:autoSpaceDN/>
        <w:bidi w:val="0"/>
        <w:spacing w:before="0" w:after="0"/>
        <w:ind w:left="0" w:leftChars="0" w:firstLine="0" w:firstLineChars="0"/>
        <w:jc w:val="both"/>
        <w:rPr>
          <w:rFonts w:hint="eastAsia" w:ascii="宋体" w:hAnsi="宋体" w:eastAsia="宋体" w:cs="宋体"/>
          <w:sz w:val="24"/>
          <w:szCs w:val="24"/>
        </w:rPr>
      </w:pPr>
    </w:p>
    <w:p w14:paraId="61D1C4DB">
      <w:pPr>
        <w:pStyle w:val="11"/>
        <w:pageBreakBefore w:val="0"/>
        <w:kinsoku/>
        <w:wordWrap/>
        <w:topLinePunct w:val="0"/>
        <w:autoSpaceDE/>
        <w:autoSpaceDN/>
        <w:bidi w:val="0"/>
        <w:spacing w:before="0" w:after="0"/>
        <w:ind w:left="0" w:leftChars="0" w:firstLine="0" w:firstLineChars="0"/>
        <w:jc w:val="both"/>
        <w:rPr>
          <w:rFonts w:hint="eastAsia" w:ascii="宋体" w:hAnsi="宋体" w:eastAsia="宋体" w:cs="宋体"/>
          <w:sz w:val="24"/>
          <w:szCs w:val="24"/>
        </w:rPr>
        <w:sectPr>
          <w:footerReference r:id="rId11" w:type="default"/>
          <w:pgSz w:w="11906" w:h="16838"/>
          <w:pgMar w:top="1985" w:right="1531" w:bottom="1701" w:left="1531" w:header="851" w:footer="992" w:gutter="0"/>
          <w:pgNumType w:fmt="decimal" w:start="1"/>
          <w:cols w:space="720" w:num="1"/>
          <w:docGrid w:type="linesAndChars" w:linePitch="386" w:charSpace="0"/>
        </w:sectPr>
      </w:pPr>
    </w:p>
    <w:tbl>
      <w:tblPr>
        <w:tblStyle w:val="2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07"/>
        <w:gridCol w:w="550"/>
        <w:gridCol w:w="543"/>
        <w:gridCol w:w="551"/>
        <w:gridCol w:w="666"/>
        <w:gridCol w:w="551"/>
        <w:gridCol w:w="2650"/>
        <w:gridCol w:w="1118"/>
        <w:gridCol w:w="4272"/>
        <w:gridCol w:w="952"/>
        <w:gridCol w:w="508"/>
      </w:tblGrid>
      <w:tr w14:paraId="423C0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007" w:type="dxa"/>
            <w:tcBorders>
              <w:top w:val="nil"/>
              <w:left w:val="nil"/>
              <w:bottom w:val="nil"/>
              <w:right w:val="nil"/>
            </w:tcBorders>
            <w:noWrap/>
            <w:vAlign w:val="center"/>
          </w:tcPr>
          <w:p w14:paraId="325614D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附件1：</w:t>
            </w:r>
          </w:p>
        </w:tc>
        <w:tc>
          <w:tcPr>
            <w:tcW w:w="550" w:type="dxa"/>
            <w:tcBorders>
              <w:top w:val="nil"/>
              <w:left w:val="nil"/>
              <w:bottom w:val="nil"/>
              <w:right w:val="nil"/>
            </w:tcBorders>
            <w:noWrap/>
            <w:vAlign w:val="center"/>
          </w:tcPr>
          <w:p w14:paraId="21C7508E">
            <w:pPr>
              <w:keepNext w:val="0"/>
              <w:keepLines w:val="0"/>
              <w:pageBreakBefore w:val="0"/>
              <w:widowControl/>
              <w:kinsoku/>
              <w:wordWrap/>
              <w:overflowPunct/>
              <w:topLinePunct w:val="0"/>
              <w:autoSpaceDE/>
              <w:autoSpaceDN/>
              <w:bidi w:val="0"/>
              <w:adjustRightInd/>
              <w:snapToGrid/>
              <w:ind w:firstLine="0" w:firstLineChars="0"/>
              <w:rPr>
                <w:rFonts w:hint="eastAsia" w:ascii="宋体" w:hAnsi="宋体" w:eastAsia="宋体" w:cs="宋体"/>
                <w:i w:val="0"/>
                <w:iCs w:val="0"/>
                <w:color w:val="000000"/>
                <w:sz w:val="21"/>
                <w:szCs w:val="21"/>
                <w:u w:val="none"/>
              </w:rPr>
            </w:pPr>
          </w:p>
        </w:tc>
        <w:tc>
          <w:tcPr>
            <w:tcW w:w="543" w:type="dxa"/>
            <w:tcBorders>
              <w:top w:val="nil"/>
              <w:left w:val="nil"/>
              <w:bottom w:val="nil"/>
              <w:right w:val="nil"/>
            </w:tcBorders>
            <w:noWrap/>
            <w:vAlign w:val="center"/>
          </w:tcPr>
          <w:p w14:paraId="088CFCEC">
            <w:pPr>
              <w:keepNext w:val="0"/>
              <w:keepLines w:val="0"/>
              <w:pageBreakBefore w:val="0"/>
              <w:widowControl/>
              <w:kinsoku/>
              <w:wordWrap/>
              <w:overflowPunct/>
              <w:topLinePunct w:val="0"/>
              <w:autoSpaceDE/>
              <w:autoSpaceDN/>
              <w:bidi w:val="0"/>
              <w:adjustRightInd/>
              <w:snapToGrid/>
              <w:ind w:firstLine="0" w:firstLineChars="0"/>
              <w:rPr>
                <w:rFonts w:hint="eastAsia" w:ascii="宋体" w:hAnsi="宋体" w:eastAsia="宋体" w:cs="宋体"/>
                <w:i w:val="0"/>
                <w:iCs w:val="0"/>
                <w:color w:val="000000"/>
                <w:sz w:val="21"/>
                <w:szCs w:val="21"/>
                <w:u w:val="none"/>
              </w:rPr>
            </w:pPr>
          </w:p>
        </w:tc>
        <w:tc>
          <w:tcPr>
            <w:tcW w:w="551" w:type="dxa"/>
            <w:tcBorders>
              <w:top w:val="nil"/>
              <w:left w:val="nil"/>
              <w:bottom w:val="nil"/>
              <w:right w:val="nil"/>
            </w:tcBorders>
            <w:noWrap/>
            <w:vAlign w:val="center"/>
          </w:tcPr>
          <w:p w14:paraId="34AABB45">
            <w:pPr>
              <w:keepNext w:val="0"/>
              <w:keepLines w:val="0"/>
              <w:pageBreakBefore w:val="0"/>
              <w:widowControl/>
              <w:kinsoku/>
              <w:wordWrap/>
              <w:overflowPunct/>
              <w:topLinePunct w:val="0"/>
              <w:autoSpaceDE/>
              <w:autoSpaceDN/>
              <w:bidi w:val="0"/>
              <w:adjustRightInd/>
              <w:snapToGrid/>
              <w:ind w:firstLine="0" w:firstLineChars="0"/>
              <w:rPr>
                <w:rFonts w:hint="eastAsia" w:ascii="宋体" w:hAnsi="宋体" w:eastAsia="宋体" w:cs="宋体"/>
                <w:i w:val="0"/>
                <w:iCs w:val="0"/>
                <w:color w:val="000000"/>
                <w:sz w:val="21"/>
                <w:szCs w:val="21"/>
                <w:u w:val="none"/>
              </w:rPr>
            </w:pPr>
          </w:p>
        </w:tc>
        <w:tc>
          <w:tcPr>
            <w:tcW w:w="666" w:type="dxa"/>
            <w:tcBorders>
              <w:top w:val="nil"/>
              <w:left w:val="nil"/>
              <w:bottom w:val="nil"/>
              <w:right w:val="nil"/>
            </w:tcBorders>
            <w:noWrap/>
            <w:vAlign w:val="center"/>
          </w:tcPr>
          <w:p w14:paraId="79D7087D">
            <w:pPr>
              <w:keepNext w:val="0"/>
              <w:keepLines w:val="0"/>
              <w:pageBreakBefore w:val="0"/>
              <w:widowControl/>
              <w:kinsoku/>
              <w:wordWrap/>
              <w:overflowPunct/>
              <w:topLinePunct w:val="0"/>
              <w:autoSpaceDE/>
              <w:autoSpaceDN/>
              <w:bidi w:val="0"/>
              <w:adjustRightInd/>
              <w:snapToGrid/>
              <w:ind w:firstLine="0" w:firstLineChars="0"/>
              <w:rPr>
                <w:rFonts w:hint="eastAsia" w:ascii="宋体" w:hAnsi="宋体" w:eastAsia="宋体" w:cs="宋体"/>
                <w:i w:val="0"/>
                <w:iCs w:val="0"/>
                <w:color w:val="000000"/>
                <w:sz w:val="21"/>
                <w:szCs w:val="21"/>
                <w:u w:val="none"/>
              </w:rPr>
            </w:pPr>
          </w:p>
        </w:tc>
        <w:tc>
          <w:tcPr>
            <w:tcW w:w="551" w:type="dxa"/>
            <w:tcBorders>
              <w:top w:val="nil"/>
              <w:left w:val="nil"/>
              <w:bottom w:val="nil"/>
              <w:right w:val="nil"/>
            </w:tcBorders>
            <w:noWrap/>
            <w:vAlign w:val="center"/>
          </w:tcPr>
          <w:p w14:paraId="2275A308">
            <w:pPr>
              <w:keepNext w:val="0"/>
              <w:keepLines w:val="0"/>
              <w:pageBreakBefore w:val="0"/>
              <w:widowControl/>
              <w:kinsoku/>
              <w:wordWrap/>
              <w:overflowPunct/>
              <w:topLinePunct w:val="0"/>
              <w:autoSpaceDE/>
              <w:autoSpaceDN/>
              <w:bidi w:val="0"/>
              <w:adjustRightInd/>
              <w:snapToGrid/>
              <w:ind w:firstLine="0" w:firstLineChars="0"/>
              <w:rPr>
                <w:rFonts w:hint="eastAsia" w:ascii="宋体" w:hAnsi="宋体" w:eastAsia="宋体" w:cs="宋体"/>
                <w:i w:val="0"/>
                <w:iCs w:val="0"/>
                <w:color w:val="000000"/>
                <w:sz w:val="21"/>
                <w:szCs w:val="21"/>
                <w:u w:val="none"/>
              </w:rPr>
            </w:pPr>
          </w:p>
        </w:tc>
        <w:tc>
          <w:tcPr>
            <w:tcW w:w="2650" w:type="dxa"/>
            <w:tcBorders>
              <w:top w:val="nil"/>
              <w:left w:val="nil"/>
              <w:bottom w:val="nil"/>
              <w:right w:val="nil"/>
            </w:tcBorders>
            <w:noWrap/>
            <w:vAlign w:val="center"/>
          </w:tcPr>
          <w:p w14:paraId="1BBF9B75">
            <w:pPr>
              <w:keepNext w:val="0"/>
              <w:keepLines w:val="0"/>
              <w:pageBreakBefore w:val="0"/>
              <w:widowControl/>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1"/>
                <w:szCs w:val="21"/>
                <w:u w:val="none"/>
              </w:rPr>
            </w:pPr>
          </w:p>
        </w:tc>
        <w:tc>
          <w:tcPr>
            <w:tcW w:w="1118" w:type="dxa"/>
            <w:tcBorders>
              <w:top w:val="nil"/>
              <w:left w:val="nil"/>
              <w:bottom w:val="nil"/>
              <w:right w:val="nil"/>
            </w:tcBorders>
            <w:noWrap/>
            <w:vAlign w:val="center"/>
          </w:tcPr>
          <w:p w14:paraId="10581E63">
            <w:pPr>
              <w:keepNext w:val="0"/>
              <w:keepLines w:val="0"/>
              <w:pageBreakBefore w:val="0"/>
              <w:widowControl/>
              <w:kinsoku/>
              <w:wordWrap/>
              <w:overflowPunct/>
              <w:topLinePunct w:val="0"/>
              <w:autoSpaceDE/>
              <w:autoSpaceDN/>
              <w:bidi w:val="0"/>
              <w:adjustRightInd/>
              <w:snapToGrid/>
              <w:ind w:firstLine="0" w:firstLineChars="0"/>
              <w:rPr>
                <w:rFonts w:hint="eastAsia" w:ascii="宋体" w:hAnsi="宋体" w:eastAsia="宋体" w:cs="宋体"/>
                <w:i w:val="0"/>
                <w:iCs w:val="0"/>
                <w:color w:val="000000"/>
                <w:sz w:val="21"/>
                <w:szCs w:val="21"/>
                <w:u w:val="none"/>
              </w:rPr>
            </w:pPr>
          </w:p>
        </w:tc>
        <w:tc>
          <w:tcPr>
            <w:tcW w:w="4272" w:type="dxa"/>
            <w:tcBorders>
              <w:top w:val="nil"/>
              <w:left w:val="nil"/>
              <w:bottom w:val="nil"/>
              <w:right w:val="nil"/>
            </w:tcBorders>
            <w:noWrap/>
            <w:vAlign w:val="center"/>
          </w:tcPr>
          <w:p w14:paraId="63DE43A3">
            <w:pPr>
              <w:keepNext w:val="0"/>
              <w:keepLines w:val="0"/>
              <w:pageBreakBefore w:val="0"/>
              <w:widowControl/>
              <w:kinsoku/>
              <w:wordWrap/>
              <w:overflowPunct/>
              <w:topLinePunct w:val="0"/>
              <w:autoSpaceDE/>
              <w:autoSpaceDN/>
              <w:bidi w:val="0"/>
              <w:adjustRightInd/>
              <w:snapToGrid/>
              <w:ind w:firstLine="0" w:firstLineChars="0"/>
              <w:rPr>
                <w:rFonts w:hint="eastAsia" w:ascii="宋体" w:hAnsi="宋体" w:eastAsia="宋体" w:cs="宋体"/>
                <w:i w:val="0"/>
                <w:iCs w:val="0"/>
                <w:color w:val="000000"/>
                <w:sz w:val="21"/>
                <w:szCs w:val="21"/>
                <w:u w:val="none"/>
              </w:rPr>
            </w:pPr>
          </w:p>
        </w:tc>
        <w:tc>
          <w:tcPr>
            <w:tcW w:w="952" w:type="dxa"/>
            <w:tcBorders>
              <w:top w:val="nil"/>
              <w:left w:val="nil"/>
              <w:bottom w:val="nil"/>
              <w:right w:val="nil"/>
            </w:tcBorders>
            <w:noWrap/>
            <w:vAlign w:val="center"/>
          </w:tcPr>
          <w:p w14:paraId="5EEE7976">
            <w:pPr>
              <w:keepNext w:val="0"/>
              <w:keepLines w:val="0"/>
              <w:pageBreakBefore w:val="0"/>
              <w:widowControl/>
              <w:kinsoku/>
              <w:wordWrap/>
              <w:overflowPunct/>
              <w:topLinePunct w:val="0"/>
              <w:autoSpaceDE/>
              <w:autoSpaceDN/>
              <w:bidi w:val="0"/>
              <w:adjustRightInd/>
              <w:snapToGrid/>
              <w:ind w:firstLine="0" w:firstLineChars="0"/>
              <w:rPr>
                <w:rFonts w:hint="eastAsia" w:ascii="宋体" w:hAnsi="宋体" w:eastAsia="宋体" w:cs="宋体"/>
                <w:i w:val="0"/>
                <w:iCs w:val="0"/>
                <w:color w:val="000000"/>
                <w:sz w:val="21"/>
                <w:szCs w:val="21"/>
                <w:u w:val="none"/>
              </w:rPr>
            </w:pPr>
          </w:p>
        </w:tc>
        <w:tc>
          <w:tcPr>
            <w:tcW w:w="508" w:type="dxa"/>
            <w:tcBorders>
              <w:top w:val="nil"/>
              <w:left w:val="nil"/>
              <w:bottom w:val="nil"/>
              <w:right w:val="nil"/>
            </w:tcBorders>
            <w:noWrap/>
            <w:vAlign w:val="center"/>
          </w:tcPr>
          <w:p w14:paraId="503A8835">
            <w:pPr>
              <w:keepNext w:val="0"/>
              <w:keepLines w:val="0"/>
              <w:pageBreakBefore w:val="0"/>
              <w:widowControl/>
              <w:kinsoku/>
              <w:wordWrap/>
              <w:overflowPunct/>
              <w:topLinePunct w:val="0"/>
              <w:autoSpaceDE/>
              <w:autoSpaceDN/>
              <w:bidi w:val="0"/>
              <w:adjustRightInd/>
              <w:snapToGrid/>
              <w:ind w:firstLine="0" w:firstLineChars="0"/>
              <w:rPr>
                <w:rFonts w:hint="eastAsia" w:ascii="宋体" w:hAnsi="宋体" w:eastAsia="宋体" w:cs="宋体"/>
                <w:i w:val="0"/>
                <w:iCs w:val="0"/>
                <w:color w:val="000000"/>
                <w:sz w:val="21"/>
                <w:szCs w:val="21"/>
                <w:u w:val="none"/>
              </w:rPr>
            </w:pPr>
          </w:p>
        </w:tc>
      </w:tr>
      <w:tr w14:paraId="0BD27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3368" w:type="dxa"/>
            <w:gridSpan w:val="11"/>
            <w:tcBorders>
              <w:top w:val="nil"/>
              <w:left w:val="nil"/>
              <w:bottom w:val="nil"/>
              <w:right w:val="nil"/>
            </w:tcBorders>
            <w:noWrap w:val="0"/>
            <w:vAlign w:val="center"/>
          </w:tcPr>
          <w:p w14:paraId="5CAD5AF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FF0000"/>
                <w:sz w:val="21"/>
                <w:szCs w:val="21"/>
                <w:u w:val="none"/>
              </w:rPr>
            </w:pPr>
            <w:r>
              <w:rPr>
                <w:rFonts w:hint="eastAsia" w:ascii="宋体" w:hAnsi="宋体" w:eastAsia="宋体" w:cs="宋体"/>
                <w:b/>
                <w:bCs/>
                <w:i w:val="0"/>
                <w:iCs w:val="0"/>
                <w:color w:val="auto"/>
                <w:kern w:val="0"/>
                <w:sz w:val="21"/>
                <w:szCs w:val="21"/>
                <w:u w:val="none"/>
                <w:lang w:val="en-US" w:eastAsia="zh-CN"/>
              </w:rPr>
              <w:t>2024年监察信息员经费项目</w:t>
            </w:r>
            <w:r>
              <w:rPr>
                <w:rStyle w:val="45"/>
                <w:rFonts w:hint="eastAsia" w:ascii="宋体" w:hAnsi="宋体" w:eastAsia="宋体" w:cs="宋体"/>
                <w:color w:val="auto"/>
                <w:sz w:val="21"/>
                <w:szCs w:val="21"/>
                <w:lang w:val="en-US" w:eastAsia="zh-CN"/>
              </w:rPr>
              <w:t>绩效评价指标体</w:t>
            </w:r>
            <w:r>
              <w:rPr>
                <w:rStyle w:val="45"/>
                <w:rFonts w:hint="eastAsia" w:ascii="宋体" w:hAnsi="宋体" w:eastAsia="宋体" w:cs="宋体"/>
                <w:sz w:val="21"/>
                <w:szCs w:val="21"/>
                <w:lang w:val="en-US" w:eastAsia="zh-CN"/>
              </w:rPr>
              <w:t>系综合评分表</w:t>
            </w:r>
          </w:p>
        </w:tc>
      </w:tr>
      <w:tr w14:paraId="1F9188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07" w:type="dxa"/>
            <w:tcBorders>
              <w:top w:val="single" w:color="auto" w:sz="4" w:space="0"/>
              <w:left w:val="single" w:color="auto" w:sz="4" w:space="0"/>
              <w:bottom w:val="single" w:color="auto" w:sz="4" w:space="0"/>
              <w:right w:val="single" w:color="auto" w:sz="4" w:space="0"/>
            </w:tcBorders>
            <w:noWrap w:val="0"/>
            <w:vAlign w:val="center"/>
          </w:tcPr>
          <w:p w14:paraId="6BFCA23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一级指标</w:t>
            </w:r>
          </w:p>
        </w:tc>
        <w:tc>
          <w:tcPr>
            <w:tcW w:w="550" w:type="dxa"/>
            <w:tcBorders>
              <w:top w:val="single" w:color="auto" w:sz="4" w:space="0"/>
              <w:left w:val="single" w:color="auto" w:sz="4" w:space="0"/>
              <w:bottom w:val="single" w:color="auto" w:sz="4" w:space="0"/>
              <w:right w:val="single" w:color="auto" w:sz="4" w:space="0"/>
            </w:tcBorders>
            <w:noWrap w:val="0"/>
            <w:vAlign w:val="center"/>
          </w:tcPr>
          <w:p w14:paraId="43229A1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分值</w:t>
            </w:r>
          </w:p>
        </w:tc>
        <w:tc>
          <w:tcPr>
            <w:tcW w:w="543" w:type="dxa"/>
            <w:tcBorders>
              <w:top w:val="single" w:color="auto" w:sz="4" w:space="0"/>
              <w:left w:val="single" w:color="auto" w:sz="4" w:space="0"/>
              <w:bottom w:val="single" w:color="auto" w:sz="4" w:space="0"/>
              <w:right w:val="single" w:color="auto" w:sz="4" w:space="0"/>
            </w:tcBorders>
            <w:noWrap w:val="0"/>
            <w:vAlign w:val="center"/>
          </w:tcPr>
          <w:p w14:paraId="66A19DD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二级指标</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26FAA92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分值</w:t>
            </w:r>
          </w:p>
        </w:tc>
        <w:tc>
          <w:tcPr>
            <w:tcW w:w="666" w:type="dxa"/>
            <w:tcBorders>
              <w:top w:val="single" w:color="auto" w:sz="4" w:space="0"/>
              <w:left w:val="single" w:color="auto" w:sz="4" w:space="0"/>
              <w:bottom w:val="single" w:color="auto" w:sz="4" w:space="0"/>
              <w:right w:val="single" w:color="auto" w:sz="4" w:space="0"/>
            </w:tcBorders>
            <w:noWrap w:val="0"/>
            <w:vAlign w:val="center"/>
          </w:tcPr>
          <w:p w14:paraId="6690FE8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三级指标</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12E66DD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分值</w:t>
            </w:r>
          </w:p>
        </w:tc>
        <w:tc>
          <w:tcPr>
            <w:tcW w:w="2650" w:type="dxa"/>
            <w:tcBorders>
              <w:top w:val="single" w:color="auto" w:sz="4" w:space="0"/>
              <w:left w:val="single" w:color="auto" w:sz="4" w:space="0"/>
              <w:bottom w:val="single" w:color="auto" w:sz="4" w:space="0"/>
              <w:right w:val="single" w:color="auto" w:sz="4" w:space="0"/>
            </w:tcBorders>
            <w:noWrap w:val="0"/>
            <w:vAlign w:val="center"/>
          </w:tcPr>
          <w:p w14:paraId="213B4A3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指标解释</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1A85B40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标杆值</w:t>
            </w:r>
          </w:p>
        </w:tc>
        <w:tc>
          <w:tcPr>
            <w:tcW w:w="4272" w:type="dxa"/>
            <w:tcBorders>
              <w:top w:val="single" w:color="auto" w:sz="4" w:space="0"/>
              <w:left w:val="single" w:color="auto" w:sz="4" w:space="0"/>
              <w:bottom w:val="single" w:color="auto" w:sz="4" w:space="0"/>
              <w:right w:val="single" w:color="auto" w:sz="4" w:space="0"/>
            </w:tcBorders>
            <w:noWrap w:val="0"/>
            <w:vAlign w:val="center"/>
          </w:tcPr>
          <w:p w14:paraId="4160999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评分标准</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7A626B4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完成值</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4523F6C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rPr>
              <w:t>得分</w:t>
            </w:r>
          </w:p>
        </w:tc>
      </w:tr>
      <w:tr w14:paraId="27D5B0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2" w:hRule="atLeast"/>
        </w:trPr>
        <w:tc>
          <w:tcPr>
            <w:tcW w:w="1007" w:type="dxa"/>
            <w:vMerge w:val="restart"/>
            <w:tcBorders>
              <w:top w:val="single" w:color="auto" w:sz="4" w:space="0"/>
              <w:left w:val="single" w:color="auto" w:sz="4" w:space="0"/>
              <w:bottom w:val="single" w:color="auto" w:sz="4" w:space="0"/>
              <w:right w:val="single" w:color="auto" w:sz="4" w:space="0"/>
            </w:tcBorders>
            <w:noWrap w:val="0"/>
            <w:vAlign w:val="center"/>
          </w:tcPr>
          <w:p w14:paraId="63643E7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项目决策</w:t>
            </w:r>
          </w:p>
        </w:tc>
        <w:tc>
          <w:tcPr>
            <w:tcW w:w="550" w:type="dxa"/>
            <w:vMerge w:val="restart"/>
            <w:tcBorders>
              <w:top w:val="single" w:color="auto" w:sz="4" w:space="0"/>
              <w:left w:val="single" w:color="auto" w:sz="4" w:space="0"/>
              <w:bottom w:val="single" w:color="auto" w:sz="4" w:space="0"/>
              <w:right w:val="single" w:color="auto" w:sz="4" w:space="0"/>
            </w:tcBorders>
            <w:noWrap w:val="0"/>
            <w:vAlign w:val="center"/>
          </w:tcPr>
          <w:p w14:paraId="5E172D1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23</w:t>
            </w:r>
          </w:p>
        </w:tc>
        <w:tc>
          <w:tcPr>
            <w:tcW w:w="543" w:type="dxa"/>
            <w:vMerge w:val="restart"/>
            <w:tcBorders>
              <w:top w:val="single" w:color="auto" w:sz="4" w:space="0"/>
              <w:left w:val="single" w:color="auto" w:sz="4" w:space="0"/>
              <w:bottom w:val="single" w:color="auto" w:sz="4" w:space="0"/>
              <w:right w:val="single" w:color="auto" w:sz="4" w:space="0"/>
            </w:tcBorders>
            <w:noWrap w:val="0"/>
            <w:vAlign w:val="center"/>
          </w:tcPr>
          <w:p w14:paraId="1792B73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项目立项</w:t>
            </w:r>
          </w:p>
        </w:tc>
        <w:tc>
          <w:tcPr>
            <w:tcW w:w="551" w:type="dxa"/>
            <w:vMerge w:val="restart"/>
            <w:tcBorders>
              <w:top w:val="single" w:color="auto" w:sz="4" w:space="0"/>
              <w:left w:val="single" w:color="auto" w:sz="4" w:space="0"/>
              <w:bottom w:val="single" w:color="auto" w:sz="4" w:space="0"/>
              <w:right w:val="single" w:color="auto" w:sz="4" w:space="0"/>
            </w:tcBorders>
            <w:noWrap w:val="0"/>
            <w:vAlign w:val="center"/>
          </w:tcPr>
          <w:p w14:paraId="407EF59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5</w:t>
            </w:r>
          </w:p>
        </w:tc>
        <w:tc>
          <w:tcPr>
            <w:tcW w:w="666" w:type="dxa"/>
            <w:tcBorders>
              <w:top w:val="single" w:color="auto" w:sz="4" w:space="0"/>
              <w:left w:val="single" w:color="auto" w:sz="4" w:space="0"/>
              <w:bottom w:val="single" w:color="auto" w:sz="4" w:space="0"/>
              <w:right w:val="single" w:color="auto" w:sz="4" w:space="0"/>
            </w:tcBorders>
            <w:noWrap w:val="0"/>
            <w:vAlign w:val="center"/>
          </w:tcPr>
          <w:p w14:paraId="7E0B022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立项依据充分性</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57FA789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w:t>
            </w:r>
          </w:p>
        </w:tc>
        <w:tc>
          <w:tcPr>
            <w:tcW w:w="2650" w:type="dxa"/>
            <w:tcBorders>
              <w:top w:val="single" w:color="auto" w:sz="4" w:space="0"/>
              <w:left w:val="single" w:color="auto" w:sz="4" w:space="0"/>
              <w:bottom w:val="single" w:color="auto" w:sz="4" w:space="0"/>
              <w:right w:val="single" w:color="auto" w:sz="4" w:space="0"/>
            </w:tcBorders>
            <w:noWrap w:val="0"/>
            <w:vAlign w:val="center"/>
          </w:tcPr>
          <w:p w14:paraId="7DB9E47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项目立项是否符合法律法规、相关政策、发展规划以及部门职责，用以反映和考核项目立项依据情况。</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29EFF0C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充分</w:t>
            </w:r>
          </w:p>
        </w:tc>
        <w:tc>
          <w:tcPr>
            <w:tcW w:w="4272" w:type="dxa"/>
            <w:tcBorders>
              <w:top w:val="single" w:color="auto" w:sz="4" w:space="0"/>
              <w:left w:val="single" w:color="auto" w:sz="4" w:space="0"/>
              <w:bottom w:val="single" w:color="auto" w:sz="4" w:space="0"/>
              <w:right w:val="single" w:color="auto" w:sz="4" w:space="0"/>
            </w:tcBorders>
            <w:noWrap w:val="0"/>
            <w:vAlign w:val="center"/>
          </w:tcPr>
          <w:p w14:paraId="54D9E858">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①项目立项是否符合国家法律法规、国民经济发展规划和相关政策；</w:t>
            </w:r>
          </w:p>
          <w:p w14:paraId="37DE556E">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②项目立项是否符合行业发展规划和政策要求；</w:t>
            </w:r>
          </w:p>
          <w:p w14:paraId="16D194A6">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③项目立项是否与部门职责范围相符，</w:t>
            </w:r>
            <w:bookmarkStart w:id="18" w:name="_GoBack"/>
            <w:bookmarkEnd w:id="18"/>
            <w:r>
              <w:rPr>
                <w:rFonts w:hint="eastAsia" w:ascii="宋体" w:hAnsi="宋体" w:eastAsia="宋体" w:cs="宋体"/>
                <w:i w:val="0"/>
                <w:iCs w:val="0"/>
                <w:color w:val="000000"/>
                <w:kern w:val="0"/>
                <w:sz w:val="21"/>
                <w:szCs w:val="21"/>
                <w:u w:val="none"/>
                <w:lang w:val="en-US" w:eastAsia="zh-CN"/>
              </w:rPr>
              <w:t>属于部门履职所需；</w:t>
            </w:r>
          </w:p>
          <w:p w14:paraId="575634E0">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④项目是否属于公共财政支持范围，是否符合中央、地方事权支出责任划分原则；</w:t>
            </w:r>
          </w:p>
          <w:p w14:paraId="6BDBADE7">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⑤项目是否与相关部门同类项目或部门内部相关项目重复。</w:t>
            </w:r>
          </w:p>
          <w:p w14:paraId="6DB40998">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以上每条要素占权重分的20%，每有一条不符合，扣除对应权重分，扣完为止。</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0F51C63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充分</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038A1F9F">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2</w:t>
            </w:r>
          </w:p>
        </w:tc>
      </w:tr>
      <w:tr w14:paraId="31808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007" w:type="dxa"/>
            <w:vMerge w:val="continue"/>
            <w:tcBorders>
              <w:top w:val="single" w:color="auto" w:sz="4" w:space="0"/>
              <w:left w:val="single" w:color="auto" w:sz="4" w:space="0"/>
              <w:bottom w:val="single" w:color="auto" w:sz="4" w:space="0"/>
              <w:right w:val="single" w:color="auto" w:sz="4" w:space="0"/>
            </w:tcBorders>
            <w:noWrap w:val="0"/>
            <w:vAlign w:val="center"/>
          </w:tcPr>
          <w:p w14:paraId="414050DE">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550" w:type="dxa"/>
            <w:vMerge w:val="continue"/>
            <w:tcBorders>
              <w:top w:val="single" w:color="auto" w:sz="4" w:space="0"/>
              <w:left w:val="single" w:color="auto" w:sz="4" w:space="0"/>
              <w:bottom w:val="single" w:color="auto" w:sz="4" w:space="0"/>
              <w:right w:val="single" w:color="auto" w:sz="4" w:space="0"/>
            </w:tcBorders>
            <w:noWrap w:val="0"/>
            <w:vAlign w:val="center"/>
          </w:tcPr>
          <w:p w14:paraId="29E816DF">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14:paraId="1B392671">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551" w:type="dxa"/>
            <w:vMerge w:val="continue"/>
            <w:tcBorders>
              <w:top w:val="single" w:color="auto" w:sz="4" w:space="0"/>
              <w:left w:val="single" w:color="auto" w:sz="4" w:space="0"/>
              <w:bottom w:val="single" w:color="auto" w:sz="4" w:space="0"/>
              <w:right w:val="single" w:color="auto" w:sz="4" w:space="0"/>
            </w:tcBorders>
            <w:noWrap w:val="0"/>
            <w:vAlign w:val="center"/>
          </w:tcPr>
          <w:p w14:paraId="652D24AC">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666" w:type="dxa"/>
            <w:tcBorders>
              <w:top w:val="single" w:color="auto" w:sz="4" w:space="0"/>
              <w:left w:val="single" w:color="auto" w:sz="4" w:space="0"/>
              <w:bottom w:val="single" w:color="auto" w:sz="4" w:space="0"/>
              <w:right w:val="single" w:color="auto" w:sz="4" w:space="0"/>
            </w:tcBorders>
            <w:noWrap w:val="0"/>
            <w:vAlign w:val="center"/>
          </w:tcPr>
          <w:p w14:paraId="6ABF5A4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立项程序规范性</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1154D43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w:t>
            </w:r>
          </w:p>
        </w:tc>
        <w:tc>
          <w:tcPr>
            <w:tcW w:w="2650" w:type="dxa"/>
            <w:tcBorders>
              <w:top w:val="single" w:color="auto" w:sz="4" w:space="0"/>
              <w:left w:val="single" w:color="auto" w:sz="4" w:space="0"/>
              <w:bottom w:val="single" w:color="auto" w:sz="4" w:space="0"/>
              <w:right w:val="single" w:color="auto" w:sz="4" w:space="0"/>
            </w:tcBorders>
            <w:noWrap w:val="0"/>
            <w:vAlign w:val="center"/>
          </w:tcPr>
          <w:p w14:paraId="5DCB2A8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项目申请、设立过程是否符合相关要求，用以反映和考核项目立项的规范情况。</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779FB1B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规范</w:t>
            </w:r>
          </w:p>
        </w:tc>
        <w:tc>
          <w:tcPr>
            <w:tcW w:w="4272" w:type="dxa"/>
            <w:tcBorders>
              <w:top w:val="single" w:color="auto" w:sz="4" w:space="0"/>
              <w:left w:val="single" w:color="auto" w:sz="4" w:space="0"/>
              <w:bottom w:val="single" w:color="auto" w:sz="4" w:space="0"/>
              <w:right w:val="single" w:color="auto" w:sz="4" w:space="0"/>
            </w:tcBorders>
            <w:noWrap w:val="0"/>
            <w:vAlign w:val="center"/>
          </w:tcPr>
          <w:p w14:paraId="2614AAD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①项目是否按照规定的程序申请设立；</w:t>
            </w:r>
          </w:p>
          <w:p w14:paraId="3083636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②审批文件、材料是否符合相关要求；</w:t>
            </w:r>
          </w:p>
          <w:p w14:paraId="518D0E4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③事前是否已经过必要的可行性研究、专家论证、风险评估、绩效评估、集体决策。</w:t>
            </w:r>
          </w:p>
          <w:p w14:paraId="351B7C2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①②③齐全得权重分的100%，缺①扣权重分的40%，缺②扣权重分的30%，缺③扣权重分的30%。</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5DC340E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规范</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5AC7142B">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3</w:t>
            </w:r>
          </w:p>
        </w:tc>
      </w:tr>
      <w:tr w14:paraId="69944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18" w:hRule="atLeast"/>
        </w:trPr>
        <w:tc>
          <w:tcPr>
            <w:tcW w:w="1007" w:type="dxa"/>
            <w:vMerge w:val="continue"/>
            <w:tcBorders>
              <w:top w:val="single" w:color="auto" w:sz="4" w:space="0"/>
              <w:left w:val="single" w:color="auto" w:sz="4" w:space="0"/>
              <w:bottom w:val="single" w:color="auto" w:sz="4" w:space="0"/>
              <w:right w:val="single" w:color="auto" w:sz="4" w:space="0"/>
            </w:tcBorders>
            <w:noWrap w:val="0"/>
            <w:vAlign w:val="center"/>
          </w:tcPr>
          <w:p w14:paraId="67114C70">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550" w:type="dxa"/>
            <w:vMerge w:val="continue"/>
            <w:tcBorders>
              <w:top w:val="single" w:color="auto" w:sz="4" w:space="0"/>
              <w:left w:val="single" w:color="auto" w:sz="4" w:space="0"/>
              <w:bottom w:val="single" w:color="auto" w:sz="4" w:space="0"/>
              <w:right w:val="single" w:color="auto" w:sz="4" w:space="0"/>
            </w:tcBorders>
            <w:noWrap w:val="0"/>
            <w:vAlign w:val="center"/>
          </w:tcPr>
          <w:p w14:paraId="5C770830">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543" w:type="dxa"/>
            <w:vMerge w:val="restart"/>
            <w:tcBorders>
              <w:top w:val="single" w:color="auto" w:sz="4" w:space="0"/>
              <w:left w:val="single" w:color="auto" w:sz="4" w:space="0"/>
              <w:bottom w:val="single" w:color="auto" w:sz="4" w:space="0"/>
              <w:right w:val="single" w:color="auto" w:sz="4" w:space="0"/>
            </w:tcBorders>
            <w:noWrap w:val="0"/>
            <w:vAlign w:val="center"/>
          </w:tcPr>
          <w:p w14:paraId="38251C6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绩效目标</w:t>
            </w:r>
          </w:p>
        </w:tc>
        <w:tc>
          <w:tcPr>
            <w:tcW w:w="551" w:type="dxa"/>
            <w:vMerge w:val="restart"/>
            <w:tcBorders>
              <w:top w:val="single" w:color="auto" w:sz="4" w:space="0"/>
              <w:left w:val="single" w:color="auto" w:sz="4" w:space="0"/>
              <w:bottom w:val="single" w:color="auto" w:sz="4" w:space="0"/>
              <w:right w:val="single" w:color="auto" w:sz="4" w:space="0"/>
            </w:tcBorders>
            <w:noWrap w:val="0"/>
            <w:vAlign w:val="center"/>
          </w:tcPr>
          <w:p w14:paraId="0A69182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w:t>
            </w:r>
          </w:p>
        </w:tc>
        <w:tc>
          <w:tcPr>
            <w:tcW w:w="666" w:type="dxa"/>
            <w:tcBorders>
              <w:top w:val="single" w:color="auto" w:sz="4" w:space="0"/>
              <w:left w:val="single" w:color="auto" w:sz="4" w:space="0"/>
              <w:bottom w:val="single" w:color="auto" w:sz="4" w:space="0"/>
              <w:right w:val="single" w:color="auto" w:sz="4" w:space="0"/>
            </w:tcBorders>
            <w:noWrap w:val="0"/>
            <w:vAlign w:val="center"/>
          </w:tcPr>
          <w:p w14:paraId="4409B06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绩效目标合理性</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0883AEF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5</w:t>
            </w:r>
          </w:p>
        </w:tc>
        <w:tc>
          <w:tcPr>
            <w:tcW w:w="2650" w:type="dxa"/>
            <w:tcBorders>
              <w:top w:val="single" w:color="auto" w:sz="4" w:space="0"/>
              <w:left w:val="single" w:color="auto" w:sz="4" w:space="0"/>
              <w:bottom w:val="single" w:color="auto" w:sz="4" w:space="0"/>
              <w:right w:val="single" w:color="auto" w:sz="4" w:space="0"/>
            </w:tcBorders>
            <w:noWrap w:val="0"/>
            <w:vAlign w:val="center"/>
          </w:tcPr>
          <w:p w14:paraId="574820A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项目所设定的绩效目标是否依据充分，是否符合客观实际，用以反映和考核项目绩效目标与项目实施的相符情况。</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5CDAA01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合理</w:t>
            </w:r>
          </w:p>
        </w:tc>
        <w:tc>
          <w:tcPr>
            <w:tcW w:w="4272" w:type="dxa"/>
            <w:tcBorders>
              <w:top w:val="single" w:color="auto" w:sz="4" w:space="0"/>
              <w:left w:val="single" w:color="auto" w:sz="4" w:space="0"/>
              <w:bottom w:val="single" w:color="auto" w:sz="4" w:space="0"/>
              <w:right w:val="single" w:color="auto" w:sz="4" w:space="0"/>
            </w:tcBorders>
            <w:noWrap w:val="0"/>
            <w:vAlign w:val="center"/>
          </w:tcPr>
          <w:p w14:paraId="6464574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①项目是否有绩效目标；</w:t>
            </w:r>
          </w:p>
          <w:p w14:paraId="5ACFA46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②项目绩效目标与实际工作内容是否具有相关性；</w:t>
            </w:r>
          </w:p>
          <w:p w14:paraId="61858EE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③项目预期产出效益和效果是否符合正常的业绩水平；</w:t>
            </w:r>
          </w:p>
          <w:p w14:paraId="513F687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④是否与预算确定的项目投资额或资金量相匹配。</w:t>
            </w:r>
          </w:p>
          <w:p w14:paraId="51198FB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以上每条要素各占权重的25%，每有一条不符合，扣除对应的权重分，扣完为止。</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3FBB260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合理</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057D1C98">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5</w:t>
            </w:r>
          </w:p>
        </w:tc>
      </w:tr>
      <w:tr w14:paraId="09F08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0" w:hRule="atLeast"/>
        </w:trPr>
        <w:tc>
          <w:tcPr>
            <w:tcW w:w="1007" w:type="dxa"/>
            <w:vMerge w:val="continue"/>
            <w:tcBorders>
              <w:top w:val="single" w:color="auto" w:sz="4" w:space="0"/>
              <w:left w:val="single" w:color="auto" w:sz="4" w:space="0"/>
              <w:bottom w:val="single" w:color="auto" w:sz="4" w:space="0"/>
              <w:right w:val="single" w:color="auto" w:sz="4" w:space="0"/>
            </w:tcBorders>
            <w:noWrap w:val="0"/>
            <w:vAlign w:val="center"/>
          </w:tcPr>
          <w:p w14:paraId="4CCC26C0">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550" w:type="dxa"/>
            <w:vMerge w:val="continue"/>
            <w:tcBorders>
              <w:top w:val="single" w:color="auto" w:sz="4" w:space="0"/>
              <w:left w:val="single" w:color="auto" w:sz="4" w:space="0"/>
              <w:bottom w:val="single" w:color="auto" w:sz="4" w:space="0"/>
              <w:right w:val="single" w:color="auto" w:sz="4" w:space="0"/>
            </w:tcBorders>
            <w:noWrap w:val="0"/>
            <w:vAlign w:val="center"/>
          </w:tcPr>
          <w:p w14:paraId="44D5ED82">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14:paraId="01474D45">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551" w:type="dxa"/>
            <w:vMerge w:val="continue"/>
            <w:tcBorders>
              <w:top w:val="single" w:color="auto" w:sz="4" w:space="0"/>
              <w:left w:val="single" w:color="auto" w:sz="4" w:space="0"/>
              <w:bottom w:val="single" w:color="auto" w:sz="4" w:space="0"/>
              <w:right w:val="single" w:color="auto" w:sz="4" w:space="0"/>
            </w:tcBorders>
            <w:noWrap w:val="0"/>
            <w:vAlign w:val="center"/>
          </w:tcPr>
          <w:p w14:paraId="520A6D51">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666" w:type="dxa"/>
            <w:tcBorders>
              <w:top w:val="single" w:color="auto" w:sz="4" w:space="0"/>
              <w:left w:val="single" w:color="auto" w:sz="4" w:space="0"/>
              <w:bottom w:val="single" w:color="auto" w:sz="4" w:space="0"/>
              <w:right w:val="single" w:color="auto" w:sz="4" w:space="0"/>
            </w:tcBorders>
            <w:noWrap w:val="0"/>
            <w:vAlign w:val="center"/>
          </w:tcPr>
          <w:p w14:paraId="4D23172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绩效指标明确性</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1926568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5</w:t>
            </w:r>
          </w:p>
        </w:tc>
        <w:tc>
          <w:tcPr>
            <w:tcW w:w="2650" w:type="dxa"/>
            <w:tcBorders>
              <w:top w:val="single" w:color="auto" w:sz="4" w:space="0"/>
              <w:left w:val="single" w:color="auto" w:sz="4" w:space="0"/>
              <w:bottom w:val="single" w:color="auto" w:sz="4" w:space="0"/>
              <w:right w:val="single" w:color="auto" w:sz="4" w:space="0"/>
            </w:tcBorders>
            <w:noWrap w:val="0"/>
            <w:vAlign w:val="center"/>
          </w:tcPr>
          <w:p w14:paraId="1883207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依据绩效目标设定的绩效指标是否清晰、细化、可衡量等，用以反映和考核项目绩效目标的明细化情况。</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63B5039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明确</w:t>
            </w:r>
          </w:p>
        </w:tc>
        <w:tc>
          <w:tcPr>
            <w:tcW w:w="4272" w:type="dxa"/>
            <w:tcBorders>
              <w:top w:val="single" w:color="auto" w:sz="4" w:space="0"/>
              <w:left w:val="single" w:color="auto" w:sz="4" w:space="0"/>
              <w:bottom w:val="single" w:color="auto" w:sz="4" w:space="0"/>
              <w:right w:val="single" w:color="auto" w:sz="4" w:space="0"/>
            </w:tcBorders>
            <w:noWrap w:val="0"/>
            <w:vAlign w:val="center"/>
          </w:tcPr>
          <w:p w14:paraId="0BD42B9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①是否将项目绩效目标细化分解为具体的绩效指标；</w:t>
            </w:r>
          </w:p>
          <w:p w14:paraId="2F9DB0F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②是否通过清晰、可衡量的指标值予以体现；</w:t>
            </w:r>
          </w:p>
          <w:p w14:paraId="4DDE915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③是否与项目目标任务数或计划数相对应。</w:t>
            </w:r>
          </w:p>
          <w:p w14:paraId="34C6E6E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①②③齐全得权重分的100%，缺①扣权重分的20%，缺②扣权重分的50%，缺③扣权重分的30%。</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5BA81BD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明确</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35F77442">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5</w:t>
            </w:r>
          </w:p>
        </w:tc>
      </w:tr>
      <w:tr w14:paraId="1740A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4" w:hRule="atLeast"/>
        </w:trPr>
        <w:tc>
          <w:tcPr>
            <w:tcW w:w="1007" w:type="dxa"/>
            <w:vMerge w:val="continue"/>
            <w:tcBorders>
              <w:top w:val="single" w:color="auto" w:sz="4" w:space="0"/>
              <w:left w:val="single" w:color="auto" w:sz="4" w:space="0"/>
              <w:bottom w:val="single" w:color="auto" w:sz="4" w:space="0"/>
              <w:right w:val="single" w:color="auto" w:sz="4" w:space="0"/>
            </w:tcBorders>
            <w:noWrap w:val="0"/>
            <w:vAlign w:val="center"/>
          </w:tcPr>
          <w:p w14:paraId="7FAAA079">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550" w:type="dxa"/>
            <w:vMerge w:val="continue"/>
            <w:tcBorders>
              <w:top w:val="single" w:color="auto" w:sz="4" w:space="0"/>
              <w:left w:val="single" w:color="auto" w:sz="4" w:space="0"/>
              <w:bottom w:val="single" w:color="auto" w:sz="4" w:space="0"/>
              <w:right w:val="single" w:color="auto" w:sz="4" w:space="0"/>
            </w:tcBorders>
            <w:noWrap w:val="0"/>
            <w:vAlign w:val="center"/>
          </w:tcPr>
          <w:p w14:paraId="27F3A333">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543" w:type="dxa"/>
            <w:vMerge w:val="restart"/>
            <w:tcBorders>
              <w:top w:val="single" w:color="auto" w:sz="4" w:space="0"/>
              <w:left w:val="single" w:color="auto" w:sz="4" w:space="0"/>
              <w:bottom w:val="single" w:color="auto" w:sz="4" w:space="0"/>
              <w:right w:val="single" w:color="auto" w:sz="4" w:space="0"/>
            </w:tcBorders>
            <w:noWrap w:val="0"/>
            <w:vAlign w:val="center"/>
          </w:tcPr>
          <w:p w14:paraId="2B0E708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资金投入</w:t>
            </w:r>
          </w:p>
        </w:tc>
        <w:tc>
          <w:tcPr>
            <w:tcW w:w="551" w:type="dxa"/>
            <w:vMerge w:val="restart"/>
            <w:tcBorders>
              <w:top w:val="single" w:color="auto" w:sz="4" w:space="0"/>
              <w:left w:val="single" w:color="auto" w:sz="4" w:space="0"/>
              <w:bottom w:val="single" w:color="auto" w:sz="4" w:space="0"/>
              <w:right w:val="single" w:color="auto" w:sz="4" w:space="0"/>
            </w:tcBorders>
            <w:noWrap w:val="0"/>
            <w:vAlign w:val="center"/>
          </w:tcPr>
          <w:p w14:paraId="68BCDDA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8</w:t>
            </w:r>
          </w:p>
        </w:tc>
        <w:tc>
          <w:tcPr>
            <w:tcW w:w="666" w:type="dxa"/>
            <w:tcBorders>
              <w:top w:val="single" w:color="auto" w:sz="4" w:space="0"/>
              <w:left w:val="single" w:color="auto" w:sz="4" w:space="0"/>
              <w:bottom w:val="single" w:color="auto" w:sz="4" w:space="0"/>
              <w:right w:val="single" w:color="auto" w:sz="4" w:space="0"/>
            </w:tcBorders>
            <w:noWrap w:val="0"/>
            <w:vAlign w:val="center"/>
          </w:tcPr>
          <w:p w14:paraId="0C49EDC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预算编制科学性</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404B0F0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w:t>
            </w:r>
          </w:p>
        </w:tc>
        <w:tc>
          <w:tcPr>
            <w:tcW w:w="2650" w:type="dxa"/>
            <w:tcBorders>
              <w:top w:val="single" w:color="auto" w:sz="4" w:space="0"/>
              <w:left w:val="single" w:color="auto" w:sz="4" w:space="0"/>
              <w:bottom w:val="single" w:color="auto" w:sz="4" w:space="0"/>
              <w:right w:val="single" w:color="auto" w:sz="4" w:space="0"/>
            </w:tcBorders>
            <w:noWrap w:val="0"/>
            <w:vAlign w:val="center"/>
          </w:tcPr>
          <w:p w14:paraId="755E6FF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项目预算编制是否经过科学论证、有明确标准，资金额度与年度目标是否相适应，用以反映和考核项目预算编制的科学性、合理性情况。</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62D1CD1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科学</w:t>
            </w:r>
          </w:p>
        </w:tc>
        <w:tc>
          <w:tcPr>
            <w:tcW w:w="4272" w:type="dxa"/>
            <w:tcBorders>
              <w:top w:val="single" w:color="auto" w:sz="4" w:space="0"/>
              <w:left w:val="single" w:color="auto" w:sz="4" w:space="0"/>
              <w:bottom w:val="single" w:color="auto" w:sz="4" w:space="0"/>
              <w:right w:val="single" w:color="auto" w:sz="4" w:space="0"/>
            </w:tcBorders>
            <w:noWrap w:val="0"/>
            <w:vAlign w:val="center"/>
          </w:tcPr>
          <w:p w14:paraId="45EDE66D">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①预算编制是否经过科学论证；</w:t>
            </w:r>
          </w:p>
          <w:p w14:paraId="15DB0F34">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②预算内容与项目内容是否匹配；</w:t>
            </w:r>
          </w:p>
          <w:p w14:paraId="7EFA9B7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③预算额度测算依据是否充分，是否按照标准编制；</w:t>
            </w:r>
          </w:p>
          <w:p w14:paraId="4A3DD97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④预算确定的项目投资额或资金量是否与工作任务相匹配。</w:t>
            </w:r>
          </w:p>
          <w:p w14:paraId="2CC9006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以上每条要素各占权重的25%，每有一条不符合，扣除对应的权重分，扣完为止。</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51C5904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科学</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0FE2C8DD">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4</w:t>
            </w:r>
          </w:p>
        </w:tc>
      </w:tr>
      <w:tr w14:paraId="353107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02" w:hRule="atLeast"/>
        </w:trPr>
        <w:tc>
          <w:tcPr>
            <w:tcW w:w="1007" w:type="dxa"/>
            <w:vMerge w:val="continue"/>
            <w:tcBorders>
              <w:top w:val="single" w:color="auto" w:sz="4" w:space="0"/>
              <w:left w:val="single" w:color="auto" w:sz="4" w:space="0"/>
              <w:bottom w:val="single" w:color="auto" w:sz="4" w:space="0"/>
              <w:right w:val="single" w:color="auto" w:sz="4" w:space="0"/>
            </w:tcBorders>
            <w:noWrap w:val="0"/>
            <w:vAlign w:val="center"/>
          </w:tcPr>
          <w:p w14:paraId="6F11D809">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550" w:type="dxa"/>
            <w:vMerge w:val="continue"/>
            <w:tcBorders>
              <w:top w:val="single" w:color="auto" w:sz="4" w:space="0"/>
              <w:left w:val="single" w:color="auto" w:sz="4" w:space="0"/>
              <w:bottom w:val="single" w:color="auto" w:sz="4" w:space="0"/>
              <w:right w:val="single" w:color="auto" w:sz="4" w:space="0"/>
            </w:tcBorders>
            <w:noWrap w:val="0"/>
            <w:vAlign w:val="center"/>
          </w:tcPr>
          <w:p w14:paraId="40D01BF7">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14:paraId="0F96F2F7">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551" w:type="dxa"/>
            <w:vMerge w:val="continue"/>
            <w:tcBorders>
              <w:top w:val="single" w:color="auto" w:sz="4" w:space="0"/>
              <w:left w:val="single" w:color="auto" w:sz="4" w:space="0"/>
              <w:bottom w:val="single" w:color="auto" w:sz="4" w:space="0"/>
              <w:right w:val="single" w:color="auto" w:sz="4" w:space="0"/>
            </w:tcBorders>
            <w:noWrap w:val="0"/>
            <w:vAlign w:val="center"/>
          </w:tcPr>
          <w:p w14:paraId="7B0B85EA">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666" w:type="dxa"/>
            <w:tcBorders>
              <w:top w:val="single" w:color="auto" w:sz="4" w:space="0"/>
              <w:left w:val="single" w:color="auto" w:sz="4" w:space="0"/>
              <w:bottom w:val="single" w:color="auto" w:sz="4" w:space="0"/>
              <w:right w:val="single" w:color="auto" w:sz="4" w:space="0"/>
            </w:tcBorders>
            <w:noWrap w:val="0"/>
            <w:vAlign w:val="center"/>
          </w:tcPr>
          <w:p w14:paraId="7C52C9B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资金分配合理性</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4807D3F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w:t>
            </w:r>
          </w:p>
        </w:tc>
        <w:tc>
          <w:tcPr>
            <w:tcW w:w="2650" w:type="dxa"/>
            <w:tcBorders>
              <w:top w:val="single" w:color="auto" w:sz="4" w:space="0"/>
              <w:left w:val="single" w:color="auto" w:sz="4" w:space="0"/>
              <w:bottom w:val="single" w:color="auto" w:sz="4" w:space="0"/>
              <w:right w:val="single" w:color="auto" w:sz="4" w:space="0"/>
            </w:tcBorders>
            <w:noWrap w:val="0"/>
            <w:vAlign w:val="center"/>
          </w:tcPr>
          <w:p w14:paraId="02CF530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项目预算资金分配是否有测算依据，与补助单位或地方实际是否相适应，用以反映和考核项目预算资金分配的科学性、合理性情况。</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2EDA917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合理</w:t>
            </w:r>
          </w:p>
        </w:tc>
        <w:tc>
          <w:tcPr>
            <w:tcW w:w="4272" w:type="dxa"/>
            <w:tcBorders>
              <w:top w:val="single" w:color="auto" w:sz="4" w:space="0"/>
              <w:left w:val="single" w:color="auto" w:sz="4" w:space="0"/>
              <w:bottom w:val="single" w:color="auto" w:sz="4" w:space="0"/>
              <w:right w:val="single" w:color="auto" w:sz="4" w:space="0"/>
            </w:tcBorders>
            <w:noWrap w:val="0"/>
            <w:vAlign w:val="center"/>
          </w:tcPr>
          <w:p w14:paraId="39DF44A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①预算资金分配依据是否充分；</w:t>
            </w:r>
          </w:p>
          <w:p w14:paraId="7A7C15E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②资金分配额度是否合理，与项目单位或地方实际是否相适应。</w:t>
            </w:r>
          </w:p>
          <w:p w14:paraId="5B105DB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以上每条要素各占权重的50%，每有一条不符合，扣除对应的权重分，扣完为止。</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7D64F06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合理</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5A01DE11">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4</w:t>
            </w:r>
          </w:p>
        </w:tc>
      </w:tr>
      <w:tr w14:paraId="65444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2" w:hRule="atLeast"/>
        </w:trPr>
        <w:tc>
          <w:tcPr>
            <w:tcW w:w="1007" w:type="dxa"/>
            <w:vMerge w:val="restart"/>
            <w:tcBorders>
              <w:top w:val="single" w:color="auto" w:sz="4" w:space="0"/>
              <w:left w:val="single" w:color="auto" w:sz="4" w:space="0"/>
              <w:bottom w:val="single" w:color="auto" w:sz="4" w:space="0"/>
              <w:right w:val="single" w:color="auto" w:sz="4" w:space="0"/>
            </w:tcBorders>
            <w:noWrap w:val="0"/>
            <w:vAlign w:val="center"/>
          </w:tcPr>
          <w:p w14:paraId="76E861E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项目过程</w:t>
            </w:r>
          </w:p>
        </w:tc>
        <w:tc>
          <w:tcPr>
            <w:tcW w:w="550" w:type="dxa"/>
            <w:vMerge w:val="restart"/>
            <w:tcBorders>
              <w:top w:val="single" w:color="auto" w:sz="4" w:space="0"/>
              <w:left w:val="single" w:color="auto" w:sz="4" w:space="0"/>
              <w:bottom w:val="single" w:color="auto" w:sz="4" w:space="0"/>
              <w:right w:val="single" w:color="auto" w:sz="4" w:space="0"/>
            </w:tcBorders>
            <w:noWrap w:val="0"/>
            <w:vAlign w:val="center"/>
          </w:tcPr>
          <w:p w14:paraId="028FCA4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12</w:t>
            </w:r>
          </w:p>
        </w:tc>
        <w:tc>
          <w:tcPr>
            <w:tcW w:w="543" w:type="dxa"/>
            <w:vMerge w:val="restart"/>
            <w:tcBorders>
              <w:top w:val="single" w:color="auto" w:sz="4" w:space="0"/>
              <w:left w:val="single" w:color="auto" w:sz="4" w:space="0"/>
              <w:bottom w:val="single" w:color="auto" w:sz="4" w:space="0"/>
              <w:right w:val="single" w:color="auto" w:sz="4" w:space="0"/>
            </w:tcBorders>
            <w:noWrap w:val="0"/>
            <w:vAlign w:val="center"/>
          </w:tcPr>
          <w:p w14:paraId="5A7F42E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资金管理</w:t>
            </w:r>
          </w:p>
        </w:tc>
        <w:tc>
          <w:tcPr>
            <w:tcW w:w="551" w:type="dxa"/>
            <w:vMerge w:val="restart"/>
            <w:tcBorders>
              <w:top w:val="single" w:color="auto" w:sz="4" w:space="0"/>
              <w:left w:val="single" w:color="auto" w:sz="4" w:space="0"/>
              <w:bottom w:val="single" w:color="auto" w:sz="4" w:space="0"/>
              <w:right w:val="single" w:color="auto" w:sz="4" w:space="0"/>
            </w:tcBorders>
            <w:noWrap w:val="0"/>
            <w:vAlign w:val="center"/>
          </w:tcPr>
          <w:p w14:paraId="0316C04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6</w:t>
            </w:r>
          </w:p>
        </w:tc>
        <w:tc>
          <w:tcPr>
            <w:tcW w:w="666" w:type="dxa"/>
            <w:tcBorders>
              <w:top w:val="single" w:color="auto" w:sz="4" w:space="0"/>
              <w:left w:val="single" w:color="auto" w:sz="4" w:space="0"/>
              <w:bottom w:val="single" w:color="auto" w:sz="4" w:space="0"/>
              <w:right w:val="single" w:color="auto" w:sz="4" w:space="0"/>
            </w:tcBorders>
            <w:noWrap w:val="0"/>
            <w:vAlign w:val="center"/>
          </w:tcPr>
          <w:p w14:paraId="6F21032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资金到位率</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3BAF296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w:t>
            </w:r>
          </w:p>
        </w:tc>
        <w:tc>
          <w:tcPr>
            <w:tcW w:w="2650" w:type="dxa"/>
            <w:tcBorders>
              <w:top w:val="single" w:color="auto" w:sz="4" w:space="0"/>
              <w:left w:val="single" w:color="auto" w:sz="4" w:space="0"/>
              <w:bottom w:val="single" w:color="auto" w:sz="4" w:space="0"/>
              <w:right w:val="single" w:color="auto" w:sz="4" w:space="0"/>
            </w:tcBorders>
            <w:noWrap w:val="0"/>
            <w:vAlign w:val="center"/>
          </w:tcPr>
          <w:p w14:paraId="346C727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实际到位资金与预算资金的比率，用以反映和考核资金落实情况对项目实施的总体保障程度。</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26E9596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100%</w:t>
            </w:r>
          </w:p>
        </w:tc>
        <w:tc>
          <w:tcPr>
            <w:tcW w:w="4272" w:type="dxa"/>
            <w:tcBorders>
              <w:top w:val="single" w:color="auto" w:sz="4" w:space="0"/>
              <w:left w:val="single" w:color="auto" w:sz="4" w:space="0"/>
              <w:bottom w:val="single" w:color="auto" w:sz="4" w:space="0"/>
              <w:right w:val="single" w:color="auto" w:sz="4" w:space="0"/>
            </w:tcBorders>
            <w:noWrap w:val="0"/>
            <w:vAlign w:val="center"/>
          </w:tcPr>
          <w:p w14:paraId="50AB938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资金到位率=（实际到位资金/预算资金）×100%。</w:t>
            </w:r>
          </w:p>
          <w:p w14:paraId="489D823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资金到位率=100%，得权重分满分，每降低1%，扣除5%权重分，扣完为止。</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6BDE9C8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100%</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18B191F0">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w:t>
            </w:r>
          </w:p>
        </w:tc>
      </w:tr>
      <w:tr w14:paraId="08376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trPr>
        <w:tc>
          <w:tcPr>
            <w:tcW w:w="1007" w:type="dxa"/>
            <w:vMerge w:val="continue"/>
            <w:tcBorders>
              <w:top w:val="single" w:color="auto" w:sz="4" w:space="0"/>
              <w:left w:val="single" w:color="auto" w:sz="4" w:space="0"/>
              <w:bottom w:val="single" w:color="auto" w:sz="4" w:space="0"/>
              <w:right w:val="single" w:color="auto" w:sz="4" w:space="0"/>
            </w:tcBorders>
            <w:noWrap w:val="0"/>
            <w:vAlign w:val="center"/>
          </w:tcPr>
          <w:p w14:paraId="38AF53EF">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550" w:type="dxa"/>
            <w:vMerge w:val="continue"/>
            <w:tcBorders>
              <w:top w:val="single" w:color="auto" w:sz="4" w:space="0"/>
              <w:left w:val="single" w:color="auto" w:sz="4" w:space="0"/>
              <w:bottom w:val="single" w:color="auto" w:sz="4" w:space="0"/>
              <w:right w:val="single" w:color="auto" w:sz="4" w:space="0"/>
            </w:tcBorders>
            <w:noWrap w:val="0"/>
            <w:vAlign w:val="center"/>
          </w:tcPr>
          <w:p w14:paraId="153175F6">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14:paraId="36364FB1">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551" w:type="dxa"/>
            <w:vMerge w:val="continue"/>
            <w:tcBorders>
              <w:top w:val="single" w:color="auto" w:sz="4" w:space="0"/>
              <w:left w:val="single" w:color="auto" w:sz="4" w:space="0"/>
              <w:bottom w:val="single" w:color="auto" w:sz="4" w:space="0"/>
              <w:right w:val="single" w:color="auto" w:sz="4" w:space="0"/>
            </w:tcBorders>
            <w:noWrap w:val="0"/>
            <w:vAlign w:val="center"/>
          </w:tcPr>
          <w:p w14:paraId="733D1BDE">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666" w:type="dxa"/>
            <w:tcBorders>
              <w:top w:val="single" w:color="auto" w:sz="4" w:space="0"/>
              <w:left w:val="single" w:color="auto" w:sz="4" w:space="0"/>
              <w:bottom w:val="single" w:color="auto" w:sz="4" w:space="0"/>
              <w:right w:val="single" w:color="auto" w:sz="4" w:space="0"/>
            </w:tcBorders>
            <w:noWrap w:val="0"/>
            <w:vAlign w:val="center"/>
          </w:tcPr>
          <w:p w14:paraId="4F5F9AA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预算执行率</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7E30E3D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w:t>
            </w:r>
          </w:p>
        </w:tc>
        <w:tc>
          <w:tcPr>
            <w:tcW w:w="2650" w:type="dxa"/>
            <w:tcBorders>
              <w:top w:val="single" w:color="auto" w:sz="4" w:space="0"/>
              <w:left w:val="single" w:color="auto" w:sz="4" w:space="0"/>
              <w:bottom w:val="single" w:color="auto" w:sz="4" w:space="0"/>
              <w:right w:val="single" w:color="auto" w:sz="4" w:space="0"/>
            </w:tcBorders>
            <w:noWrap w:val="0"/>
            <w:vAlign w:val="center"/>
          </w:tcPr>
          <w:p w14:paraId="4A06B9D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项目预算资金是否按照计划执行，用以反映或考核项目预算执行情况。</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671EEEC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100%</w:t>
            </w:r>
          </w:p>
        </w:tc>
        <w:tc>
          <w:tcPr>
            <w:tcW w:w="4272" w:type="dxa"/>
            <w:tcBorders>
              <w:top w:val="single" w:color="auto" w:sz="4" w:space="0"/>
              <w:left w:val="single" w:color="auto" w:sz="4" w:space="0"/>
              <w:bottom w:val="single" w:color="auto" w:sz="4" w:space="0"/>
              <w:right w:val="single" w:color="auto" w:sz="4" w:space="0"/>
            </w:tcBorders>
            <w:noWrap w:val="0"/>
            <w:vAlign w:val="center"/>
          </w:tcPr>
          <w:p w14:paraId="62368D2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预算执行率=（实际支出资金/实际到位资金）×100%。</w:t>
            </w:r>
          </w:p>
          <w:p w14:paraId="15D618E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预算执行率=100%，得权重分满分；若预算执行率＜100%，得分=预算执行率*分值；若执行率≤60%，则不得分。</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33FD2FC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和预算执行率保持一致</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33905A1C">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2</w:t>
            </w:r>
          </w:p>
        </w:tc>
      </w:tr>
      <w:tr w14:paraId="60039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96" w:hRule="atLeast"/>
        </w:trPr>
        <w:tc>
          <w:tcPr>
            <w:tcW w:w="1007" w:type="dxa"/>
            <w:vMerge w:val="continue"/>
            <w:tcBorders>
              <w:top w:val="single" w:color="auto" w:sz="4" w:space="0"/>
              <w:left w:val="single" w:color="auto" w:sz="4" w:space="0"/>
              <w:bottom w:val="single" w:color="auto" w:sz="4" w:space="0"/>
              <w:right w:val="single" w:color="auto" w:sz="4" w:space="0"/>
            </w:tcBorders>
            <w:noWrap w:val="0"/>
            <w:vAlign w:val="center"/>
          </w:tcPr>
          <w:p w14:paraId="795CCDB8">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550" w:type="dxa"/>
            <w:vMerge w:val="continue"/>
            <w:tcBorders>
              <w:top w:val="single" w:color="auto" w:sz="4" w:space="0"/>
              <w:left w:val="single" w:color="auto" w:sz="4" w:space="0"/>
              <w:bottom w:val="single" w:color="auto" w:sz="4" w:space="0"/>
              <w:right w:val="single" w:color="auto" w:sz="4" w:space="0"/>
            </w:tcBorders>
            <w:noWrap w:val="0"/>
            <w:vAlign w:val="center"/>
          </w:tcPr>
          <w:p w14:paraId="27B166C3">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14:paraId="2F7C9484">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551" w:type="dxa"/>
            <w:vMerge w:val="continue"/>
            <w:tcBorders>
              <w:top w:val="single" w:color="auto" w:sz="4" w:space="0"/>
              <w:left w:val="single" w:color="auto" w:sz="4" w:space="0"/>
              <w:bottom w:val="single" w:color="auto" w:sz="4" w:space="0"/>
              <w:right w:val="single" w:color="auto" w:sz="4" w:space="0"/>
            </w:tcBorders>
            <w:noWrap w:val="0"/>
            <w:vAlign w:val="center"/>
          </w:tcPr>
          <w:p w14:paraId="2B88E89D">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666" w:type="dxa"/>
            <w:tcBorders>
              <w:top w:val="single" w:color="auto" w:sz="4" w:space="0"/>
              <w:left w:val="single" w:color="auto" w:sz="4" w:space="0"/>
              <w:bottom w:val="single" w:color="auto" w:sz="4" w:space="0"/>
              <w:right w:val="single" w:color="auto" w:sz="4" w:space="0"/>
            </w:tcBorders>
            <w:noWrap w:val="0"/>
            <w:vAlign w:val="center"/>
          </w:tcPr>
          <w:p w14:paraId="78B09F8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资金使用合规性</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32FE1B6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w:t>
            </w:r>
          </w:p>
        </w:tc>
        <w:tc>
          <w:tcPr>
            <w:tcW w:w="2650" w:type="dxa"/>
            <w:tcBorders>
              <w:top w:val="single" w:color="auto" w:sz="4" w:space="0"/>
              <w:left w:val="single" w:color="auto" w:sz="4" w:space="0"/>
              <w:bottom w:val="single" w:color="auto" w:sz="4" w:space="0"/>
              <w:right w:val="single" w:color="auto" w:sz="4" w:space="0"/>
            </w:tcBorders>
            <w:noWrap w:val="0"/>
            <w:vAlign w:val="center"/>
          </w:tcPr>
          <w:p w14:paraId="4DAD294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项目资金使用是否符合相关的财务管理制度规定，用以反映和考核项目资金的规范运行情况。</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5312896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合规</w:t>
            </w:r>
          </w:p>
        </w:tc>
        <w:tc>
          <w:tcPr>
            <w:tcW w:w="4272" w:type="dxa"/>
            <w:tcBorders>
              <w:top w:val="single" w:color="auto" w:sz="4" w:space="0"/>
              <w:left w:val="single" w:color="auto" w:sz="4" w:space="0"/>
              <w:bottom w:val="single" w:color="auto" w:sz="4" w:space="0"/>
              <w:right w:val="single" w:color="auto" w:sz="4" w:space="0"/>
            </w:tcBorders>
            <w:noWrap w:val="0"/>
            <w:vAlign w:val="center"/>
          </w:tcPr>
          <w:p w14:paraId="2525DE5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①否符合国家财经法规和财务管理制度以及有关专项资金管理办法的规定；</w:t>
            </w:r>
          </w:p>
          <w:p w14:paraId="5C1449AC">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②资金的拨付是否有完整的审批程序和手续；</w:t>
            </w:r>
          </w:p>
          <w:p w14:paraId="5E1088D0">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③是否符合项目预算批复或合同规定的用途；</w:t>
            </w:r>
          </w:p>
          <w:p w14:paraId="0ACB78A1">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④是否存在截留、挤占、挪用、虚列支出等情况。</w:t>
            </w:r>
          </w:p>
          <w:p w14:paraId="67D11453">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以上每条指标各占权重分的25%，要素①②不符合，扣除对应权重分；要素③④不符合属于重大违纪，该指标不得分。</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77EE0EE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合规</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34A7B22A">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3</w:t>
            </w:r>
          </w:p>
        </w:tc>
      </w:tr>
      <w:tr w14:paraId="725C8D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72" w:hRule="atLeast"/>
        </w:trPr>
        <w:tc>
          <w:tcPr>
            <w:tcW w:w="1007" w:type="dxa"/>
            <w:vMerge w:val="continue"/>
            <w:tcBorders>
              <w:top w:val="single" w:color="auto" w:sz="4" w:space="0"/>
              <w:left w:val="single" w:color="auto" w:sz="4" w:space="0"/>
              <w:bottom w:val="single" w:color="auto" w:sz="4" w:space="0"/>
              <w:right w:val="single" w:color="auto" w:sz="4" w:space="0"/>
            </w:tcBorders>
            <w:noWrap w:val="0"/>
            <w:vAlign w:val="center"/>
          </w:tcPr>
          <w:p w14:paraId="55971161">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550" w:type="dxa"/>
            <w:vMerge w:val="continue"/>
            <w:tcBorders>
              <w:top w:val="single" w:color="auto" w:sz="4" w:space="0"/>
              <w:left w:val="single" w:color="auto" w:sz="4" w:space="0"/>
              <w:bottom w:val="single" w:color="auto" w:sz="4" w:space="0"/>
              <w:right w:val="single" w:color="auto" w:sz="4" w:space="0"/>
            </w:tcBorders>
            <w:noWrap w:val="0"/>
            <w:vAlign w:val="center"/>
          </w:tcPr>
          <w:p w14:paraId="25653E8B">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543" w:type="dxa"/>
            <w:vMerge w:val="restart"/>
            <w:tcBorders>
              <w:top w:val="single" w:color="auto" w:sz="4" w:space="0"/>
              <w:left w:val="single" w:color="auto" w:sz="4" w:space="0"/>
              <w:bottom w:val="single" w:color="auto" w:sz="4" w:space="0"/>
              <w:right w:val="single" w:color="auto" w:sz="4" w:space="0"/>
            </w:tcBorders>
            <w:noWrap w:val="0"/>
            <w:vAlign w:val="center"/>
          </w:tcPr>
          <w:p w14:paraId="23F121B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组织实施</w:t>
            </w:r>
          </w:p>
        </w:tc>
        <w:tc>
          <w:tcPr>
            <w:tcW w:w="551" w:type="dxa"/>
            <w:vMerge w:val="restart"/>
            <w:tcBorders>
              <w:top w:val="single" w:color="auto" w:sz="4" w:space="0"/>
              <w:left w:val="single" w:color="auto" w:sz="4" w:space="0"/>
              <w:bottom w:val="single" w:color="auto" w:sz="4" w:space="0"/>
              <w:right w:val="single" w:color="auto" w:sz="4" w:space="0"/>
            </w:tcBorders>
            <w:noWrap w:val="0"/>
            <w:vAlign w:val="center"/>
          </w:tcPr>
          <w:p w14:paraId="6B46688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6</w:t>
            </w:r>
          </w:p>
        </w:tc>
        <w:tc>
          <w:tcPr>
            <w:tcW w:w="666" w:type="dxa"/>
            <w:tcBorders>
              <w:top w:val="single" w:color="auto" w:sz="4" w:space="0"/>
              <w:left w:val="single" w:color="auto" w:sz="4" w:space="0"/>
              <w:bottom w:val="single" w:color="auto" w:sz="4" w:space="0"/>
              <w:right w:val="single" w:color="auto" w:sz="4" w:space="0"/>
            </w:tcBorders>
            <w:noWrap w:val="0"/>
            <w:vAlign w:val="center"/>
          </w:tcPr>
          <w:p w14:paraId="431E3F7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管理制度健全性</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0ABE2F6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w:t>
            </w:r>
          </w:p>
        </w:tc>
        <w:tc>
          <w:tcPr>
            <w:tcW w:w="2650" w:type="dxa"/>
            <w:tcBorders>
              <w:top w:val="single" w:color="auto" w:sz="4" w:space="0"/>
              <w:left w:val="single" w:color="auto" w:sz="4" w:space="0"/>
              <w:bottom w:val="single" w:color="auto" w:sz="4" w:space="0"/>
              <w:right w:val="single" w:color="auto" w:sz="4" w:space="0"/>
            </w:tcBorders>
            <w:noWrap w:val="0"/>
            <w:vAlign w:val="center"/>
          </w:tcPr>
          <w:p w14:paraId="1B23FC4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项目实施单位的财务和业务管理制度是否健全，用以反映和考核财务和业务管理制度对项目顺利实施的保障情况。</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3324177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健全</w:t>
            </w:r>
          </w:p>
        </w:tc>
        <w:tc>
          <w:tcPr>
            <w:tcW w:w="4272" w:type="dxa"/>
            <w:tcBorders>
              <w:top w:val="single" w:color="auto" w:sz="4" w:space="0"/>
              <w:left w:val="single" w:color="auto" w:sz="4" w:space="0"/>
              <w:bottom w:val="single" w:color="auto" w:sz="4" w:space="0"/>
              <w:right w:val="single" w:color="auto" w:sz="4" w:space="0"/>
            </w:tcBorders>
            <w:noWrap w:val="0"/>
            <w:vAlign w:val="center"/>
          </w:tcPr>
          <w:p w14:paraId="5A44879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①是否已制定或具有相应的财务和业务管理制度；</w:t>
            </w:r>
          </w:p>
          <w:p w14:paraId="420FE3F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②财务和业务管理制度是否合法、合规、完整。</w:t>
            </w:r>
          </w:p>
          <w:p w14:paraId="222321D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以上每条要素各占权重的50%，每有一条不符合，扣除对应的权重分，扣完为止。</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250E2D2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健全</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130241EF">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3</w:t>
            </w:r>
          </w:p>
        </w:tc>
      </w:tr>
      <w:tr w14:paraId="72CE0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1007" w:type="dxa"/>
            <w:vMerge w:val="continue"/>
            <w:tcBorders>
              <w:top w:val="single" w:color="auto" w:sz="4" w:space="0"/>
              <w:left w:val="single" w:color="auto" w:sz="4" w:space="0"/>
              <w:bottom w:val="single" w:color="auto" w:sz="4" w:space="0"/>
              <w:right w:val="single" w:color="auto" w:sz="4" w:space="0"/>
            </w:tcBorders>
            <w:noWrap w:val="0"/>
            <w:vAlign w:val="center"/>
          </w:tcPr>
          <w:p w14:paraId="42B69116">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550" w:type="dxa"/>
            <w:vMerge w:val="continue"/>
            <w:tcBorders>
              <w:top w:val="single" w:color="auto" w:sz="4" w:space="0"/>
              <w:left w:val="single" w:color="auto" w:sz="4" w:space="0"/>
              <w:bottom w:val="single" w:color="auto" w:sz="4" w:space="0"/>
              <w:right w:val="single" w:color="auto" w:sz="4" w:space="0"/>
            </w:tcBorders>
            <w:noWrap w:val="0"/>
            <w:vAlign w:val="center"/>
          </w:tcPr>
          <w:p w14:paraId="77AD6B6F">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14:paraId="5D0FCEC1">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551" w:type="dxa"/>
            <w:vMerge w:val="continue"/>
            <w:tcBorders>
              <w:top w:val="single" w:color="auto" w:sz="4" w:space="0"/>
              <w:left w:val="single" w:color="auto" w:sz="4" w:space="0"/>
              <w:bottom w:val="single" w:color="auto" w:sz="4" w:space="0"/>
              <w:right w:val="single" w:color="auto" w:sz="4" w:space="0"/>
            </w:tcBorders>
            <w:noWrap w:val="0"/>
            <w:vAlign w:val="center"/>
          </w:tcPr>
          <w:p w14:paraId="518F4342">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666" w:type="dxa"/>
            <w:tcBorders>
              <w:top w:val="single" w:color="auto" w:sz="4" w:space="0"/>
              <w:left w:val="single" w:color="auto" w:sz="4" w:space="0"/>
              <w:bottom w:val="single" w:color="auto" w:sz="4" w:space="0"/>
              <w:right w:val="single" w:color="auto" w:sz="4" w:space="0"/>
            </w:tcBorders>
            <w:noWrap w:val="0"/>
            <w:vAlign w:val="center"/>
          </w:tcPr>
          <w:p w14:paraId="65FB68E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制度执行有效性</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2037A98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3</w:t>
            </w:r>
          </w:p>
        </w:tc>
        <w:tc>
          <w:tcPr>
            <w:tcW w:w="2650" w:type="dxa"/>
            <w:tcBorders>
              <w:top w:val="single" w:color="auto" w:sz="4" w:space="0"/>
              <w:left w:val="single" w:color="auto" w:sz="4" w:space="0"/>
              <w:bottom w:val="single" w:color="auto" w:sz="4" w:space="0"/>
              <w:right w:val="single" w:color="auto" w:sz="4" w:space="0"/>
            </w:tcBorders>
            <w:noWrap w:val="0"/>
            <w:vAlign w:val="center"/>
          </w:tcPr>
          <w:p w14:paraId="1791AE0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项目实施是否符合相关管理规定，用以反映和考核相关管理制度的有效执行情况。</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3E7267F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有效</w:t>
            </w:r>
          </w:p>
        </w:tc>
        <w:tc>
          <w:tcPr>
            <w:tcW w:w="4272" w:type="dxa"/>
            <w:tcBorders>
              <w:top w:val="single" w:color="auto" w:sz="4" w:space="0"/>
              <w:left w:val="single" w:color="auto" w:sz="4" w:space="0"/>
              <w:bottom w:val="single" w:color="auto" w:sz="4" w:space="0"/>
              <w:right w:val="single" w:color="auto" w:sz="4" w:space="0"/>
            </w:tcBorders>
            <w:noWrap w:val="0"/>
            <w:vAlign w:val="center"/>
          </w:tcPr>
          <w:p w14:paraId="158633F8">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①否遵守相关法律法规和相关管理规定；</w:t>
            </w:r>
          </w:p>
          <w:p w14:paraId="49097C25">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②项目调整及支出调整手续是否完备；</w:t>
            </w:r>
          </w:p>
          <w:p w14:paraId="532417BA">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③项目资料是否齐全并及时归档。</w:t>
            </w:r>
          </w:p>
          <w:p w14:paraId="3B8813B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①②③齐全得权重分的100%，缺①扣权重分的30%，缺②扣权重分的40%，缺③扣权重分的30%。</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0AD05E1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有效</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4565EF8C">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3</w:t>
            </w:r>
          </w:p>
        </w:tc>
      </w:tr>
      <w:tr w14:paraId="4A8A86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70" w:hRule="atLeast"/>
        </w:trPr>
        <w:tc>
          <w:tcPr>
            <w:tcW w:w="1007" w:type="dxa"/>
            <w:vMerge w:val="restart"/>
            <w:tcBorders>
              <w:top w:val="single" w:color="auto" w:sz="4" w:space="0"/>
              <w:left w:val="single" w:color="auto" w:sz="4" w:space="0"/>
              <w:bottom w:val="single" w:color="auto" w:sz="4" w:space="0"/>
              <w:right w:val="single" w:color="auto" w:sz="4" w:space="0"/>
            </w:tcBorders>
            <w:noWrap w:val="0"/>
            <w:vAlign w:val="center"/>
          </w:tcPr>
          <w:p w14:paraId="49E4443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项目产出</w:t>
            </w:r>
          </w:p>
        </w:tc>
        <w:tc>
          <w:tcPr>
            <w:tcW w:w="550" w:type="dxa"/>
            <w:vMerge w:val="restart"/>
            <w:tcBorders>
              <w:top w:val="single" w:color="auto" w:sz="4" w:space="0"/>
              <w:left w:val="single" w:color="auto" w:sz="4" w:space="0"/>
              <w:bottom w:val="single" w:color="auto" w:sz="4" w:space="0"/>
              <w:right w:val="single" w:color="auto" w:sz="4" w:space="0"/>
            </w:tcBorders>
            <w:noWrap w:val="0"/>
            <w:vAlign w:val="center"/>
          </w:tcPr>
          <w:p w14:paraId="506B37D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40</w:t>
            </w:r>
          </w:p>
        </w:tc>
        <w:tc>
          <w:tcPr>
            <w:tcW w:w="543" w:type="dxa"/>
            <w:tcBorders>
              <w:top w:val="single" w:color="auto" w:sz="4" w:space="0"/>
              <w:left w:val="single" w:color="auto" w:sz="4" w:space="0"/>
              <w:bottom w:val="single" w:color="auto" w:sz="4" w:space="0"/>
              <w:right w:val="single" w:color="auto" w:sz="4" w:space="0"/>
            </w:tcBorders>
            <w:noWrap w:val="0"/>
            <w:vAlign w:val="center"/>
          </w:tcPr>
          <w:p w14:paraId="1665CB0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产出数量</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5F297EC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w:t>
            </w:r>
          </w:p>
        </w:tc>
        <w:tc>
          <w:tcPr>
            <w:tcW w:w="666" w:type="dxa"/>
            <w:tcBorders>
              <w:top w:val="single" w:color="auto" w:sz="4" w:space="0"/>
              <w:left w:val="single" w:color="auto" w:sz="4" w:space="0"/>
              <w:bottom w:val="single" w:color="auto" w:sz="4" w:space="0"/>
              <w:right w:val="single" w:color="auto" w:sz="4" w:space="0"/>
            </w:tcBorders>
            <w:noWrap w:val="0"/>
            <w:vAlign w:val="center"/>
          </w:tcPr>
          <w:p w14:paraId="20AFF90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实际完成率</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17218A1D">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10</w:t>
            </w:r>
          </w:p>
        </w:tc>
        <w:tc>
          <w:tcPr>
            <w:tcW w:w="2650" w:type="dxa"/>
            <w:tcBorders>
              <w:top w:val="single" w:color="auto" w:sz="4" w:space="0"/>
              <w:left w:val="single" w:color="auto" w:sz="4" w:space="0"/>
              <w:bottom w:val="single" w:color="auto" w:sz="4" w:space="0"/>
              <w:right w:val="single" w:color="auto" w:sz="4" w:space="0"/>
            </w:tcBorders>
            <w:noWrap w:val="0"/>
            <w:vAlign w:val="center"/>
          </w:tcPr>
          <w:p w14:paraId="15767DF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项目实施的实际产出数与计划产出数的比率，用以反映和考核项目产出数量目标的实现程度。</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5F1A908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rPr>
              <w:t>100%</w:t>
            </w:r>
          </w:p>
        </w:tc>
        <w:tc>
          <w:tcPr>
            <w:tcW w:w="4272" w:type="dxa"/>
            <w:tcBorders>
              <w:top w:val="single" w:color="auto" w:sz="4" w:space="0"/>
              <w:left w:val="single" w:color="auto" w:sz="4" w:space="0"/>
              <w:bottom w:val="single" w:color="auto" w:sz="4" w:space="0"/>
              <w:right w:val="single" w:color="auto" w:sz="4" w:space="0"/>
            </w:tcBorders>
            <w:noWrap w:val="0"/>
            <w:vAlign w:val="center"/>
          </w:tcPr>
          <w:p w14:paraId="6B2D0E9B">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实际完成率=（实际完成/预期完成）×100%。</w:t>
            </w:r>
            <w:r>
              <w:rPr>
                <w:rFonts w:hint="eastAsia" w:ascii="宋体" w:hAnsi="宋体" w:eastAsia="宋体" w:cs="宋体"/>
                <w:i w:val="0"/>
                <w:iCs w:val="0"/>
                <w:color w:val="auto"/>
                <w:kern w:val="0"/>
                <w:sz w:val="21"/>
                <w:szCs w:val="21"/>
                <w:u w:val="none"/>
                <w:lang w:val="en-US" w:eastAsia="zh-CN"/>
              </w:rPr>
              <w:br w:type="textWrapping"/>
            </w:r>
            <w:r>
              <w:rPr>
                <w:rFonts w:hint="eastAsia" w:ascii="宋体" w:hAnsi="宋体" w:eastAsia="宋体" w:cs="宋体"/>
                <w:i w:val="0"/>
                <w:iCs w:val="0"/>
                <w:color w:val="auto"/>
                <w:kern w:val="0"/>
                <w:sz w:val="21"/>
                <w:szCs w:val="21"/>
                <w:u w:val="none"/>
                <w:lang w:val="en-US" w:eastAsia="zh-CN"/>
              </w:rPr>
              <w:t>①实际完成率≥100%，且偏离程度＜20%，得满分；</w:t>
            </w:r>
            <w:r>
              <w:rPr>
                <w:rFonts w:hint="eastAsia" w:ascii="宋体" w:hAnsi="宋体" w:eastAsia="宋体" w:cs="宋体"/>
                <w:i w:val="0"/>
                <w:iCs w:val="0"/>
                <w:color w:val="auto"/>
                <w:kern w:val="0"/>
                <w:sz w:val="21"/>
                <w:szCs w:val="21"/>
                <w:u w:val="none"/>
                <w:lang w:val="en-US" w:eastAsia="zh-CN"/>
              </w:rPr>
              <w:br w:type="textWrapping"/>
            </w:r>
            <w:r>
              <w:rPr>
                <w:rFonts w:hint="eastAsia" w:ascii="宋体" w:hAnsi="宋体" w:eastAsia="宋体" w:cs="宋体"/>
                <w:i w:val="0"/>
                <w:iCs w:val="0"/>
                <w:color w:val="auto"/>
                <w:kern w:val="0"/>
                <w:sz w:val="21"/>
                <w:szCs w:val="21"/>
                <w:u w:val="none"/>
                <w:lang w:val="en-US" w:eastAsia="zh-CN"/>
              </w:rPr>
              <w:t>②实际完成率≥100%，偏离程度≥20%，得0分；</w:t>
            </w:r>
            <w:r>
              <w:rPr>
                <w:rFonts w:hint="eastAsia" w:ascii="宋体" w:hAnsi="宋体" w:eastAsia="宋体" w:cs="宋体"/>
                <w:i w:val="0"/>
                <w:iCs w:val="0"/>
                <w:color w:val="auto"/>
                <w:kern w:val="0"/>
                <w:sz w:val="21"/>
                <w:szCs w:val="21"/>
                <w:u w:val="none"/>
                <w:lang w:val="en-US" w:eastAsia="zh-CN"/>
              </w:rPr>
              <w:br w:type="textWrapping"/>
            </w:r>
            <w:r>
              <w:rPr>
                <w:rFonts w:hint="eastAsia" w:ascii="宋体" w:hAnsi="宋体" w:eastAsia="宋体" w:cs="宋体"/>
                <w:i w:val="0"/>
                <w:iCs w:val="0"/>
                <w:color w:val="auto"/>
                <w:kern w:val="0"/>
                <w:sz w:val="21"/>
                <w:szCs w:val="21"/>
                <w:u w:val="none"/>
                <w:lang w:val="en-US" w:eastAsia="zh-CN"/>
              </w:rPr>
              <w:t>③实际完成率×100%＜100%，得分=实际完成率×指标分值。</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376A82C7">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100%</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300760DD">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10</w:t>
            </w:r>
          </w:p>
        </w:tc>
      </w:tr>
      <w:tr w14:paraId="5649B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1007" w:type="dxa"/>
            <w:vMerge w:val="continue"/>
            <w:tcBorders>
              <w:top w:val="single" w:color="auto" w:sz="4" w:space="0"/>
              <w:left w:val="single" w:color="auto" w:sz="4" w:space="0"/>
              <w:bottom w:val="single" w:color="auto" w:sz="4" w:space="0"/>
              <w:right w:val="single" w:color="auto" w:sz="4" w:space="0"/>
            </w:tcBorders>
            <w:noWrap w:val="0"/>
            <w:vAlign w:val="center"/>
          </w:tcPr>
          <w:p w14:paraId="747CF1A6">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550" w:type="dxa"/>
            <w:vMerge w:val="continue"/>
            <w:tcBorders>
              <w:top w:val="single" w:color="auto" w:sz="4" w:space="0"/>
              <w:left w:val="single" w:color="auto" w:sz="4" w:space="0"/>
              <w:bottom w:val="single" w:color="auto" w:sz="4" w:space="0"/>
              <w:right w:val="single" w:color="auto" w:sz="4" w:space="0"/>
            </w:tcBorders>
            <w:noWrap w:val="0"/>
            <w:vAlign w:val="center"/>
          </w:tcPr>
          <w:p w14:paraId="05DEC50D">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543" w:type="dxa"/>
            <w:tcBorders>
              <w:top w:val="single" w:color="auto" w:sz="4" w:space="0"/>
              <w:left w:val="single" w:color="auto" w:sz="4" w:space="0"/>
              <w:bottom w:val="single" w:color="auto" w:sz="4" w:space="0"/>
              <w:right w:val="single" w:color="auto" w:sz="4" w:space="0"/>
            </w:tcBorders>
            <w:noWrap w:val="0"/>
            <w:vAlign w:val="center"/>
          </w:tcPr>
          <w:p w14:paraId="17A7776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产出质量</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2816A79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w:t>
            </w:r>
          </w:p>
        </w:tc>
        <w:tc>
          <w:tcPr>
            <w:tcW w:w="666" w:type="dxa"/>
            <w:tcBorders>
              <w:top w:val="single" w:color="auto" w:sz="4" w:space="0"/>
              <w:left w:val="single" w:color="auto" w:sz="4" w:space="0"/>
              <w:bottom w:val="single" w:color="auto" w:sz="4" w:space="0"/>
              <w:right w:val="single" w:color="auto" w:sz="4" w:space="0"/>
            </w:tcBorders>
            <w:noWrap w:val="0"/>
            <w:vAlign w:val="center"/>
          </w:tcPr>
          <w:p w14:paraId="02C4BC8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质量达标率</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2F4F52C2">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10</w:t>
            </w:r>
          </w:p>
        </w:tc>
        <w:tc>
          <w:tcPr>
            <w:tcW w:w="2650" w:type="dxa"/>
            <w:tcBorders>
              <w:top w:val="single" w:color="auto" w:sz="4" w:space="0"/>
              <w:left w:val="single" w:color="auto" w:sz="4" w:space="0"/>
              <w:bottom w:val="single" w:color="auto" w:sz="4" w:space="0"/>
              <w:right w:val="single" w:color="auto" w:sz="4" w:space="0"/>
            </w:tcBorders>
            <w:noWrap w:val="0"/>
            <w:vAlign w:val="center"/>
          </w:tcPr>
          <w:p w14:paraId="60ED0CF6">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项目完成的质量达标产出数与实际产出数的比率，用以反映和考核项目产出质量目标的实现程度。</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2D98FA31">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100%</w:t>
            </w:r>
          </w:p>
        </w:tc>
        <w:tc>
          <w:tcPr>
            <w:tcW w:w="4272" w:type="dxa"/>
            <w:tcBorders>
              <w:top w:val="single" w:color="auto" w:sz="4" w:space="0"/>
              <w:left w:val="single" w:color="auto" w:sz="4" w:space="0"/>
              <w:bottom w:val="single" w:color="auto" w:sz="4" w:space="0"/>
              <w:right w:val="single" w:color="auto" w:sz="4" w:space="0"/>
            </w:tcBorders>
            <w:noWrap w:val="0"/>
            <w:vAlign w:val="center"/>
          </w:tcPr>
          <w:p w14:paraId="4A89564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若指标达到标杆值，则得100%权重分；否则，得分=（实际完成/预期完成）×100%×指标分值。</w:t>
            </w:r>
          </w:p>
          <w:p w14:paraId="5FC63E0E">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若指标完成值达到标杆值，则得100%权重分；否则，不得分。</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249ACC03">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100%</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58BEB2C2">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10</w:t>
            </w:r>
          </w:p>
        </w:tc>
      </w:tr>
      <w:tr w14:paraId="6BAEE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1007" w:type="dxa"/>
            <w:vMerge w:val="continue"/>
            <w:tcBorders>
              <w:top w:val="single" w:color="auto" w:sz="4" w:space="0"/>
              <w:left w:val="single" w:color="auto" w:sz="4" w:space="0"/>
              <w:bottom w:val="single" w:color="auto" w:sz="4" w:space="0"/>
              <w:right w:val="single" w:color="auto" w:sz="4" w:space="0"/>
            </w:tcBorders>
            <w:noWrap w:val="0"/>
            <w:vAlign w:val="center"/>
          </w:tcPr>
          <w:p w14:paraId="14B6A771">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550" w:type="dxa"/>
            <w:vMerge w:val="continue"/>
            <w:tcBorders>
              <w:top w:val="single" w:color="auto" w:sz="4" w:space="0"/>
              <w:left w:val="single" w:color="auto" w:sz="4" w:space="0"/>
              <w:bottom w:val="single" w:color="auto" w:sz="4" w:space="0"/>
              <w:right w:val="single" w:color="auto" w:sz="4" w:space="0"/>
            </w:tcBorders>
            <w:noWrap w:val="0"/>
            <w:vAlign w:val="center"/>
          </w:tcPr>
          <w:p w14:paraId="7AC26B27">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543" w:type="dxa"/>
            <w:tcBorders>
              <w:top w:val="single" w:color="auto" w:sz="4" w:space="0"/>
              <w:left w:val="single" w:color="auto" w:sz="4" w:space="0"/>
              <w:bottom w:val="single" w:color="auto" w:sz="4" w:space="0"/>
              <w:right w:val="single" w:color="auto" w:sz="4" w:space="0"/>
            </w:tcBorders>
            <w:noWrap w:val="0"/>
            <w:vAlign w:val="center"/>
          </w:tcPr>
          <w:p w14:paraId="2C19A67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产出时效</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583A719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w:t>
            </w:r>
          </w:p>
        </w:tc>
        <w:tc>
          <w:tcPr>
            <w:tcW w:w="666" w:type="dxa"/>
            <w:tcBorders>
              <w:top w:val="single" w:color="auto" w:sz="4" w:space="0"/>
              <w:left w:val="single" w:color="auto" w:sz="4" w:space="0"/>
              <w:bottom w:val="single" w:color="auto" w:sz="4" w:space="0"/>
              <w:right w:val="single" w:color="auto" w:sz="4" w:space="0"/>
            </w:tcBorders>
            <w:noWrap w:val="0"/>
            <w:vAlign w:val="center"/>
          </w:tcPr>
          <w:p w14:paraId="3264EFE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完成及时率</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6182DAC0">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10</w:t>
            </w:r>
          </w:p>
        </w:tc>
        <w:tc>
          <w:tcPr>
            <w:tcW w:w="2650" w:type="dxa"/>
            <w:tcBorders>
              <w:top w:val="single" w:color="auto" w:sz="4" w:space="0"/>
              <w:left w:val="single" w:color="auto" w:sz="4" w:space="0"/>
              <w:bottom w:val="single" w:color="auto" w:sz="4" w:space="0"/>
              <w:right w:val="single" w:color="auto" w:sz="4" w:space="0"/>
            </w:tcBorders>
            <w:noWrap w:val="0"/>
            <w:vAlign w:val="center"/>
          </w:tcPr>
          <w:p w14:paraId="1CB69127">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项目实际完成时间与计划完成时间的比较，用以反映和考核项目产出时效目标的实现程度。</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5CBEE649">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有效</w:t>
            </w:r>
          </w:p>
        </w:tc>
        <w:tc>
          <w:tcPr>
            <w:tcW w:w="4272" w:type="dxa"/>
            <w:tcBorders>
              <w:top w:val="single" w:color="auto" w:sz="4" w:space="0"/>
              <w:left w:val="single" w:color="auto" w:sz="4" w:space="0"/>
              <w:bottom w:val="single" w:color="auto" w:sz="4" w:space="0"/>
              <w:right w:val="single" w:color="auto" w:sz="4" w:space="0"/>
            </w:tcBorders>
            <w:noWrap w:val="0"/>
            <w:vAlign w:val="center"/>
          </w:tcPr>
          <w:p w14:paraId="08595C0F">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若指标完成值达到标杆值，则得100%权重分；否则，得分=（实际完成/预期完成）×100%×指标分值。</w:t>
            </w:r>
          </w:p>
          <w:p w14:paraId="43CE10B2">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若在规定时间内完成，得100%权重分；若未在规定的时间内完成，得分=（1-未在规定时间内完成工作数/实际完成工作总数）×分值。</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211380BC">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有效</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58FAFC63">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10</w:t>
            </w:r>
          </w:p>
        </w:tc>
      </w:tr>
      <w:tr w14:paraId="6AA71A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trPr>
        <w:tc>
          <w:tcPr>
            <w:tcW w:w="1007" w:type="dxa"/>
            <w:vMerge w:val="continue"/>
            <w:tcBorders>
              <w:top w:val="single" w:color="auto" w:sz="4" w:space="0"/>
              <w:left w:val="single" w:color="auto" w:sz="4" w:space="0"/>
              <w:bottom w:val="single" w:color="auto" w:sz="4" w:space="0"/>
              <w:right w:val="single" w:color="auto" w:sz="4" w:space="0"/>
            </w:tcBorders>
            <w:noWrap w:val="0"/>
            <w:vAlign w:val="center"/>
          </w:tcPr>
          <w:p w14:paraId="2997808B">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550" w:type="dxa"/>
            <w:vMerge w:val="continue"/>
            <w:tcBorders>
              <w:top w:val="single" w:color="auto" w:sz="4" w:space="0"/>
              <w:left w:val="single" w:color="auto" w:sz="4" w:space="0"/>
              <w:bottom w:val="single" w:color="auto" w:sz="4" w:space="0"/>
              <w:right w:val="single" w:color="auto" w:sz="4" w:space="0"/>
            </w:tcBorders>
            <w:noWrap w:val="0"/>
            <w:vAlign w:val="center"/>
          </w:tcPr>
          <w:p w14:paraId="294F445E">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543" w:type="dxa"/>
            <w:tcBorders>
              <w:top w:val="single" w:color="auto" w:sz="4" w:space="0"/>
              <w:left w:val="single" w:color="auto" w:sz="4" w:space="0"/>
              <w:bottom w:val="single" w:color="auto" w:sz="4" w:space="0"/>
              <w:right w:val="single" w:color="auto" w:sz="4" w:space="0"/>
            </w:tcBorders>
            <w:noWrap w:val="0"/>
            <w:vAlign w:val="center"/>
          </w:tcPr>
          <w:p w14:paraId="4E6D9CB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产出成本</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042E345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w:t>
            </w:r>
          </w:p>
        </w:tc>
        <w:tc>
          <w:tcPr>
            <w:tcW w:w="666" w:type="dxa"/>
            <w:tcBorders>
              <w:top w:val="single" w:color="auto" w:sz="4" w:space="0"/>
              <w:left w:val="single" w:color="auto" w:sz="4" w:space="0"/>
              <w:bottom w:val="single" w:color="auto" w:sz="4" w:space="0"/>
              <w:right w:val="single" w:color="auto" w:sz="4" w:space="0"/>
            </w:tcBorders>
            <w:noWrap w:val="0"/>
            <w:vAlign w:val="center"/>
          </w:tcPr>
          <w:p w14:paraId="1ECD8B9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成本节约率</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518249A0">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2650" w:type="dxa"/>
            <w:tcBorders>
              <w:top w:val="single" w:color="auto" w:sz="4" w:space="0"/>
              <w:left w:val="single" w:color="auto" w:sz="4" w:space="0"/>
              <w:bottom w:val="single" w:color="auto" w:sz="4" w:space="0"/>
              <w:right w:val="single" w:color="auto" w:sz="4" w:space="0"/>
            </w:tcBorders>
            <w:noWrap w:val="0"/>
            <w:vAlign w:val="center"/>
          </w:tcPr>
          <w:p w14:paraId="68FBD0AE">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完成项目计划工作目标的实际节约成本与计划成本的比率，用以反映和考核项目的成本节约程度。</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6817D761">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100%</w:t>
            </w:r>
          </w:p>
        </w:tc>
        <w:tc>
          <w:tcPr>
            <w:tcW w:w="4272" w:type="dxa"/>
            <w:tcBorders>
              <w:top w:val="single" w:color="auto" w:sz="4" w:space="0"/>
              <w:left w:val="single" w:color="auto" w:sz="4" w:space="0"/>
              <w:bottom w:val="single" w:color="auto" w:sz="4" w:space="0"/>
              <w:right w:val="single" w:color="auto" w:sz="4" w:space="0"/>
            </w:tcBorders>
            <w:noWrap w:val="0"/>
            <w:vAlign w:val="center"/>
          </w:tcPr>
          <w:p w14:paraId="10E16CC7">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实际完成率=（实际支付资金数/计划应支付资金数）×100%。</w:t>
            </w:r>
            <w:r>
              <w:rPr>
                <w:rFonts w:hint="eastAsia" w:ascii="宋体" w:hAnsi="宋体" w:eastAsia="宋体" w:cs="宋体"/>
                <w:i w:val="0"/>
                <w:iCs w:val="0"/>
                <w:color w:val="auto"/>
                <w:kern w:val="0"/>
                <w:sz w:val="21"/>
                <w:szCs w:val="21"/>
                <w:u w:val="none"/>
                <w:lang w:val="en-US" w:eastAsia="zh-CN"/>
              </w:rPr>
              <w:br w:type="textWrapping"/>
            </w:r>
            <w:r>
              <w:rPr>
                <w:rFonts w:hint="eastAsia" w:ascii="宋体" w:hAnsi="宋体" w:eastAsia="宋体" w:cs="宋体"/>
                <w:i w:val="0"/>
                <w:iCs w:val="0"/>
                <w:color w:val="auto"/>
                <w:kern w:val="0"/>
                <w:sz w:val="21"/>
                <w:szCs w:val="21"/>
                <w:u w:val="none"/>
                <w:lang w:val="en-US" w:eastAsia="zh-CN"/>
              </w:rPr>
              <w:t>①实际完成率＞年度指标值，得0得分；</w:t>
            </w:r>
            <w:r>
              <w:rPr>
                <w:rFonts w:hint="eastAsia" w:ascii="宋体" w:hAnsi="宋体" w:eastAsia="宋体" w:cs="宋体"/>
                <w:i w:val="0"/>
                <w:iCs w:val="0"/>
                <w:color w:val="auto"/>
                <w:kern w:val="0"/>
                <w:sz w:val="21"/>
                <w:szCs w:val="21"/>
                <w:u w:val="none"/>
                <w:lang w:val="en-US" w:eastAsia="zh-CN"/>
              </w:rPr>
              <w:br w:type="textWrapping"/>
            </w:r>
            <w:r>
              <w:rPr>
                <w:rFonts w:hint="eastAsia" w:ascii="宋体" w:hAnsi="宋体" w:eastAsia="宋体" w:cs="宋体"/>
                <w:i w:val="0"/>
                <w:iCs w:val="0"/>
                <w:color w:val="auto"/>
                <w:kern w:val="0"/>
                <w:sz w:val="21"/>
                <w:szCs w:val="21"/>
                <w:u w:val="none"/>
                <w:lang w:val="en-US" w:eastAsia="zh-CN"/>
              </w:rPr>
              <w:t>②实际完成率≤年度指标值，且偏离程度＜20%，得满分；</w:t>
            </w:r>
            <w:r>
              <w:rPr>
                <w:rFonts w:hint="eastAsia" w:ascii="宋体" w:hAnsi="宋体" w:eastAsia="宋体" w:cs="宋体"/>
                <w:i w:val="0"/>
                <w:iCs w:val="0"/>
                <w:color w:val="auto"/>
                <w:kern w:val="0"/>
                <w:sz w:val="21"/>
                <w:szCs w:val="21"/>
                <w:u w:val="none"/>
                <w:lang w:val="en-US" w:eastAsia="zh-CN"/>
              </w:rPr>
              <w:br w:type="textWrapping"/>
            </w:r>
            <w:r>
              <w:rPr>
                <w:rFonts w:hint="eastAsia" w:ascii="宋体" w:hAnsi="宋体" w:eastAsia="宋体" w:cs="宋体"/>
                <w:i w:val="0"/>
                <w:iCs w:val="0"/>
                <w:color w:val="auto"/>
                <w:kern w:val="0"/>
                <w:sz w:val="21"/>
                <w:szCs w:val="21"/>
                <w:u w:val="none"/>
                <w:lang w:val="en-US" w:eastAsia="zh-CN"/>
              </w:rPr>
              <w:t>③实际完成率＜年度指标值，且偏离程度≥20%，得分=实际完成率×分值。</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251D3AB3">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100%</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5AA7818F">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10</w:t>
            </w:r>
          </w:p>
        </w:tc>
      </w:tr>
      <w:tr w14:paraId="0DFF15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0" w:hRule="atLeast"/>
        </w:trPr>
        <w:tc>
          <w:tcPr>
            <w:tcW w:w="1007" w:type="dxa"/>
            <w:vMerge w:val="restart"/>
            <w:tcBorders>
              <w:top w:val="single" w:color="auto" w:sz="4" w:space="0"/>
              <w:left w:val="single" w:color="auto" w:sz="4" w:space="0"/>
              <w:bottom w:val="single" w:color="auto" w:sz="4" w:space="0"/>
              <w:right w:val="single" w:color="auto" w:sz="4" w:space="0"/>
            </w:tcBorders>
            <w:noWrap w:val="0"/>
            <w:vAlign w:val="center"/>
          </w:tcPr>
          <w:p w14:paraId="6C49592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项目效益</w:t>
            </w:r>
          </w:p>
        </w:tc>
        <w:tc>
          <w:tcPr>
            <w:tcW w:w="550" w:type="dxa"/>
            <w:vMerge w:val="restart"/>
            <w:tcBorders>
              <w:top w:val="single" w:color="auto" w:sz="4" w:space="0"/>
              <w:left w:val="single" w:color="auto" w:sz="4" w:space="0"/>
              <w:bottom w:val="single" w:color="auto" w:sz="4" w:space="0"/>
              <w:right w:val="single" w:color="auto" w:sz="4" w:space="0"/>
            </w:tcBorders>
            <w:noWrap w:val="0"/>
            <w:vAlign w:val="center"/>
          </w:tcPr>
          <w:p w14:paraId="6D79A59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25</w:t>
            </w:r>
          </w:p>
        </w:tc>
        <w:tc>
          <w:tcPr>
            <w:tcW w:w="543" w:type="dxa"/>
            <w:vMerge w:val="restart"/>
            <w:tcBorders>
              <w:top w:val="single" w:color="auto" w:sz="4" w:space="0"/>
              <w:left w:val="single" w:color="auto" w:sz="4" w:space="0"/>
              <w:bottom w:val="single" w:color="auto" w:sz="4" w:space="0"/>
              <w:right w:val="single" w:color="auto" w:sz="4" w:space="0"/>
            </w:tcBorders>
            <w:noWrap w:val="0"/>
            <w:vAlign w:val="center"/>
          </w:tcPr>
          <w:p w14:paraId="0E8217B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项目效益</w:t>
            </w:r>
          </w:p>
        </w:tc>
        <w:tc>
          <w:tcPr>
            <w:tcW w:w="551" w:type="dxa"/>
            <w:vMerge w:val="restart"/>
            <w:tcBorders>
              <w:top w:val="single" w:color="auto" w:sz="4" w:space="0"/>
              <w:left w:val="single" w:color="auto" w:sz="4" w:space="0"/>
              <w:bottom w:val="single" w:color="auto" w:sz="4" w:space="0"/>
              <w:right w:val="single" w:color="auto" w:sz="4" w:space="0"/>
            </w:tcBorders>
            <w:noWrap w:val="0"/>
            <w:vAlign w:val="center"/>
          </w:tcPr>
          <w:p w14:paraId="39CDFBB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25</w:t>
            </w:r>
          </w:p>
        </w:tc>
        <w:tc>
          <w:tcPr>
            <w:tcW w:w="666" w:type="dxa"/>
            <w:tcBorders>
              <w:top w:val="single" w:color="auto" w:sz="4" w:space="0"/>
              <w:left w:val="single" w:color="auto" w:sz="4" w:space="0"/>
              <w:bottom w:val="single" w:color="auto" w:sz="4" w:space="0"/>
              <w:right w:val="single" w:color="auto" w:sz="4" w:space="0"/>
            </w:tcBorders>
            <w:noWrap w:val="0"/>
            <w:vAlign w:val="center"/>
          </w:tcPr>
          <w:p w14:paraId="1C4338E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社会效益</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7E46581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15</w:t>
            </w:r>
          </w:p>
        </w:tc>
        <w:tc>
          <w:tcPr>
            <w:tcW w:w="2650" w:type="dxa"/>
            <w:tcBorders>
              <w:top w:val="single" w:color="auto" w:sz="4" w:space="0"/>
              <w:left w:val="single" w:color="auto" w:sz="4" w:space="0"/>
              <w:bottom w:val="single" w:color="auto" w:sz="4" w:space="0"/>
              <w:right w:val="single" w:color="auto" w:sz="4" w:space="0"/>
            </w:tcBorders>
            <w:noWrap w:val="0"/>
            <w:vAlign w:val="center"/>
          </w:tcPr>
          <w:p w14:paraId="5265772D">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项目实施所产生的效益。</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07B006C8">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有效提升</w:t>
            </w:r>
          </w:p>
        </w:tc>
        <w:tc>
          <w:tcPr>
            <w:tcW w:w="4272" w:type="dxa"/>
            <w:tcBorders>
              <w:top w:val="single" w:color="auto" w:sz="4" w:space="0"/>
              <w:left w:val="single" w:color="auto" w:sz="4" w:space="0"/>
              <w:bottom w:val="single" w:color="auto" w:sz="4" w:space="0"/>
              <w:right w:val="single" w:color="auto" w:sz="4" w:space="0"/>
            </w:tcBorders>
            <w:noWrap w:val="0"/>
            <w:vAlign w:val="center"/>
          </w:tcPr>
          <w:p w14:paraId="14716DC9">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按评判等级赋分。分为基本达成目标、部分实现目标、实现目标程度较低三个档次，并分别按照该指标对应分值区间100%-80%（含）、80%-60%（含）、60%-0%合理确定分值。</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00D3D377">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1"/>
                <w:szCs w:val="21"/>
                <w:u w:val="none"/>
                <w:lang w:eastAsia="zh-CN"/>
              </w:rPr>
            </w:pPr>
            <w:r>
              <w:rPr>
                <w:rFonts w:hint="eastAsia" w:ascii="宋体" w:hAnsi="宋体" w:eastAsia="宋体" w:cs="宋体"/>
                <w:i w:val="0"/>
                <w:iCs w:val="0"/>
                <w:color w:val="auto"/>
                <w:sz w:val="21"/>
                <w:szCs w:val="21"/>
                <w:u w:val="none"/>
                <w:lang w:eastAsia="zh-CN"/>
              </w:rPr>
              <w:t>有效提升</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6CDD747C">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15</w:t>
            </w:r>
          </w:p>
        </w:tc>
      </w:tr>
      <w:tr w14:paraId="67F9A3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1007" w:type="dxa"/>
            <w:vMerge w:val="continue"/>
            <w:tcBorders>
              <w:top w:val="single" w:color="auto" w:sz="4" w:space="0"/>
              <w:left w:val="single" w:color="auto" w:sz="4" w:space="0"/>
              <w:bottom w:val="single" w:color="auto" w:sz="4" w:space="0"/>
              <w:right w:val="single" w:color="auto" w:sz="4" w:space="0"/>
            </w:tcBorders>
            <w:noWrap w:val="0"/>
            <w:vAlign w:val="center"/>
          </w:tcPr>
          <w:p w14:paraId="05E7EB18">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550" w:type="dxa"/>
            <w:vMerge w:val="continue"/>
            <w:tcBorders>
              <w:top w:val="single" w:color="auto" w:sz="4" w:space="0"/>
              <w:left w:val="single" w:color="auto" w:sz="4" w:space="0"/>
              <w:bottom w:val="single" w:color="auto" w:sz="4" w:space="0"/>
              <w:right w:val="single" w:color="auto" w:sz="4" w:space="0"/>
            </w:tcBorders>
            <w:noWrap w:val="0"/>
            <w:vAlign w:val="center"/>
          </w:tcPr>
          <w:p w14:paraId="154309E9">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543" w:type="dxa"/>
            <w:vMerge w:val="continue"/>
            <w:tcBorders>
              <w:top w:val="single" w:color="auto" w:sz="4" w:space="0"/>
              <w:left w:val="single" w:color="auto" w:sz="4" w:space="0"/>
              <w:bottom w:val="single" w:color="auto" w:sz="4" w:space="0"/>
              <w:right w:val="single" w:color="auto" w:sz="4" w:space="0"/>
            </w:tcBorders>
            <w:noWrap w:val="0"/>
            <w:vAlign w:val="center"/>
          </w:tcPr>
          <w:p w14:paraId="5CFC8C30">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551" w:type="dxa"/>
            <w:vMerge w:val="continue"/>
            <w:tcBorders>
              <w:top w:val="single" w:color="auto" w:sz="4" w:space="0"/>
              <w:left w:val="single" w:color="auto" w:sz="4" w:space="0"/>
              <w:bottom w:val="single" w:color="auto" w:sz="4" w:space="0"/>
              <w:right w:val="single" w:color="auto" w:sz="4" w:space="0"/>
            </w:tcBorders>
            <w:noWrap w:val="0"/>
            <w:vAlign w:val="center"/>
          </w:tcPr>
          <w:p w14:paraId="48A74328">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666" w:type="dxa"/>
            <w:tcBorders>
              <w:top w:val="single" w:color="auto" w:sz="4" w:space="0"/>
              <w:left w:val="single" w:color="auto" w:sz="4" w:space="0"/>
              <w:bottom w:val="single" w:color="auto" w:sz="4" w:space="0"/>
              <w:right w:val="single" w:color="auto" w:sz="4" w:space="0"/>
            </w:tcBorders>
            <w:noWrap w:val="0"/>
            <w:vAlign w:val="center"/>
          </w:tcPr>
          <w:p w14:paraId="11F3CBC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服务对象满意度</w:t>
            </w:r>
          </w:p>
        </w:tc>
        <w:tc>
          <w:tcPr>
            <w:tcW w:w="551" w:type="dxa"/>
            <w:tcBorders>
              <w:top w:val="single" w:color="auto" w:sz="4" w:space="0"/>
              <w:left w:val="single" w:color="auto" w:sz="4" w:space="0"/>
              <w:bottom w:val="single" w:color="auto" w:sz="4" w:space="0"/>
              <w:right w:val="single" w:color="auto" w:sz="4" w:space="0"/>
            </w:tcBorders>
            <w:noWrap w:val="0"/>
            <w:vAlign w:val="center"/>
          </w:tcPr>
          <w:p w14:paraId="098EE0C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w:t>
            </w:r>
          </w:p>
        </w:tc>
        <w:tc>
          <w:tcPr>
            <w:tcW w:w="2650" w:type="dxa"/>
            <w:tcBorders>
              <w:top w:val="single" w:color="auto" w:sz="4" w:space="0"/>
              <w:left w:val="single" w:color="auto" w:sz="4" w:space="0"/>
              <w:bottom w:val="single" w:color="auto" w:sz="4" w:space="0"/>
              <w:right w:val="single" w:color="auto" w:sz="4" w:space="0"/>
            </w:tcBorders>
            <w:noWrap w:val="0"/>
            <w:vAlign w:val="center"/>
          </w:tcPr>
          <w:p w14:paraId="69B9E9A7">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sz w:val="21"/>
                <w:szCs w:val="21"/>
                <w:u w:val="none"/>
              </w:rPr>
              <w:t>社会公众或服务对象对项目实施效果的满意程度。</w:t>
            </w:r>
          </w:p>
        </w:tc>
        <w:tc>
          <w:tcPr>
            <w:tcW w:w="1118" w:type="dxa"/>
            <w:tcBorders>
              <w:top w:val="single" w:color="auto" w:sz="4" w:space="0"/>
              <w:left w:val="single" w:color="auto" w:sz="4" w:space="0"/>
              <w:bottom w:val="single" w:color="auto" w:sz="4" w:space="0"/>
              <w:right w:val="single" w:color="auto" w:sz="4" w:space="0"/>
            </w:tcBorders>
            <w:noWrap w:val="0"/>
            <w:vAlign w:val="center"/>
          </w:tcPr>
          <w:p w14:paraId="0991E293">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100%</w:t>
            </w:r>
          </w:p>
        </w:tc>
        <w:tc>
          <w:tcPr>
            <w:tcW w:w="4272" w:type="dxa"/>
            <w:tcBorders>
              <w:top w:val="single" w:color="auto" w:sz="4" w:space="0"/>
              <w:left w:val="single" w:color="auto" w:sz="4" w:space="0"/>
              <w:bottom w:val="single" w:color="auto" w:sz="4" w:space="0"/>
              <w:right w:val="single" w:color="auto" w:sz="4" w:space="0"/>
            </w:tcBorders>
            <w:noWrap w:val="0"/>
            <w:vAlign w:val="center"/>
          </w:tcPr>
          <w:p w14:paraId="3CBF8F16">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根据问卷调查，满意度达到标杆值，得权重分的100%；否则低于95%，得分=实际满意度*指标分值。</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4E6E3C11">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100%</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3E248C0E">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10</w:t>
            </w:r>
          </w:p>
        </w:tc>
      </w:tr>
      <w:tr w14:paraId="746D8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07" w:type="dxa"/>
            <w:tcBorders>
              <w:top w:val="single" w:color="auto" w:sz="4" w:space="0"/>
              <w:left w:val="single" w:color="auto" w:sz="4" w:space="0"/>
              <w:bottom w:val="single" w:color="auto" w:sz="4" w:space="0"/>
              <w:right w:val="single" w:color="auto" w:sz="4" w:space="0"/>
            </w:tcBorders>
            <w:noWrap w:val="0"/>
            <w:vAlign w:val="center"/>
          </w:tcPr>
          <w:p w14:paraId="74ECD5F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总分</w:t>
            </w:r>
          </w:p>
        </w:tc>
        <w:tc>
          <w:tcPr>
            <w:tcW w:w="550" w:type="dxa"/>
            <w:tcBorders>
              <w:top w:val="single" w:color="auto" w:sz="4" w:space="0"/>
              <w:left w:val="single" w:color="auto" w:sz="4" w:space="0"/>
              <w:bottom w:val="single" w:color="auto" w:sz="4" w:space="0"/>
              <w:right w:val="single" w:color="auto" w:sz="4" w:space="0"/>
            </w:tcBorders>
            <w:noWrap w:val="0"/>
            <w:vAlign w:val="center"/>
          </w:tcPr>
          <w:p w14:paraId="73C1BB6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100</w:t>
            </w:r>
          </w:p>
        </w:tc>
        <w:tc>
          <w:tcPr>
            <w:tcW w:w="543" w:type="dxa"/>
            <w:tcBorders>
              <w:top w:val="single" w:color="auto" w:sz="4" w:space="0"/>
              <w:left w:val="single" w:color="auto" w:sz="4" w:space="0"/>
              <w:bottom w:val="single" w:color="auto" w:sz="4" w:space="0"/>
              <w:right w:val="single" w:color="auto" w:sz="4" w:space="0"/>
            </w:tcBorders>
            <w:noWrap w:val="0"/>
            <w:vAlign w:val="center"/>
          </w:tcPr>
          <w:p w14:paraId="4F65A5E0">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551" w:type="dxa"/>
            <w:tcBorders>
              <w:top w:val="single" w:color="auto" w:sz="4" w:space="0"/>
              <w:left w:val="single" w:color="auto" w:sz="4" w:space="0"/>
              <w:bottom w:val="single" w:color="auto" w:sz="4" w:space="0"/>
              <w:right w:val="single" w:color="auto" w:sz="4" w:space="0"/>
            </w:tcBorders>
            <w:noWrap w:val="0"/>
            <w:vAlign w:val="center"/>
          </w:tcPr>
          <w:p w14:paraId="53D979F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100</w:t>
            </w:r>
          </w:p>
        </w:tc>
        <w:tc>
          <w:tcPr>
            <w:tcW w:w="666" w:type="dxa"/>
            <w:tcBorders>
              <w:top w:val="single" w:color="auto" w:sz="4" w:space="0"/>
              <w:left w:val="single" w:color="auto" w:sz="4" w:space="0"/>
              <w:bottom w:val="single" w:color="auto" w:sz="4" w:space="0"/>
              <w:right w:val="single" w:color="auto" w:sz="4" w:space="0"/>
            </w:tcBorders>
            <w:noWrap w:val="0"/>
            <w:vAlign w:val="center"/>
          </w:tcPr>
          <w:p w14:paraId="6791B2B9">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551" w:type="dxa"/>
            <w:tcBorders>
              <w:top w:val="single" w:color="auto" w:sz="4" w:space="0"/>
              <w:left w:val="single" w:color="auto" w:sz="4" w:space="0"/>
              <w:bottom w:val="single" w:color="auto" w:sz="4" w:space="0"/>
              <w:right w:val="single" w:color="auto" w:sz="4" w:space="0"/>
            </w:tcBorders>
            <w:noWrap w:val="0"/>
            <w:vAlign w:val="center"/>
          </w:tcPr>
          <w:p w14:paraId="537E2BD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100</w:t>
            </w:r>
          </w:p>
        </w:tc>
        <w:tc>
          <w:tcPr>
            <w:tcW w:w="2650" w:type="dxa"/>
            <w:tcBorders>
              <w:top w:val="single" w:color="auto" w:sz="4" w:space="0"/>
              <w:left w:val="single" w:color="auto" w:sz="4" w:space="0"/>
              <w:bottom w:val="single" w:color="auto" w:sz="4" w:space="0"/>
              <w:right w:val="single" w:color="auto" w:sz="4" w:space="0"/>
            </w:tcBorders>
            <w:noWrap w:val="0"/>
            <w:vAlign w:val="center"/>
          </w:tcPr>
          <w:p w14:paraId="3CEACE17">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c>
          <w:tcPr>
            <w:tcW w:w="1118" w:type="dxa"/>
            <w:tcBorders>
              <w:top w:val="single" w:color="auto" w:sz="4" w:space="0"/>
              <w:left w:val="single" w:color="auto" w:sz="4" w:space="0"/>
              <w:bottom w:val="single" w:color="auto" w:sz="4" w:space="0"/>
              <w:right w:val="single" w:color="auto" w:sz="4" w:space="0"/>
            </w:tcBorders>
            <w:noWrap w:val="0"/>
            <w:vAlign w:val="center"/>
          </w:tcPr>
          <w:p w14:paraId="07F634E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rPr>
              <w:t>-</w:t>
            </w:r>
          </w:p>
        </w:tc>
        <w:tc>
          <w:tcPr>
            <w:tcW w:w="4272" w:type="dxa"/>
            <w:tcBorders>
              <w:top w:val="single" w:color="auto" w:sz="4" w:space="0"/>
              <w:left w:val="single" w:color="auto" w:sz="4" w:space="0"/>
              <w:bottom w:val="single" w:color="auto" w:sz="4" w:space="0"/>
              <w:right w:val="single" w:color="auto" w:sz="4" w:space="0"/>
            </w:tcBorders>
            <w:noWrap w:val="0"/>
            <w:vAlign w:val="center"/>
          </w:tcPr>
          <w:p w14:paraId="0385C8C5">
            <w:pPr>
              <w:keepNext w:val="0"/>
              <w:keepLines w:val="0"/>
              <w:pageBreakBefore w:val="0"/>
              <w:widowControl/>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1"/>
                <w:szCs w:val="21"/>
                <w:u w:val="none"/>
              </w:rPr>
            </w:pPr>
          </w:p>
        </w:tc>
        <w:tc>
          <w:tcPr>
            <w:tcW w:w="952" w:type="dxa"/>
            <w:tcBorders>
              <w:top w:val="single" w:color="auto" w:sz="4" w:space="0"/>
              <w:left w:val="single" w:color="auto" w:sz="4" w:space="0"/>
              <w:bottom w:val="single" w:color="auto" w:sz="4" w:space="0"/>
              <w:right w:val="single" w:color="auto" w:sz="4" w:space="0"/>
            </w:tcBorders>
            <w:noWrap w:val="0"/>
            <w:vAlign w:val="center"/>
          </w:tcPr>
          <w:p w14:paraId="2297676B">
            <w:pPr>
              <w:keepNext w:val="0"/>
              <w:keepLines w:val="0"/>
              <w:pageBreakBefore w:val="0"/>
              <w:widowControl/>
              <w:kinsoku/>
              <w:wordWrap/>
              <w:overflowPunct/>
              <w:topLinePunct w:val="0"/>
              <w:autoSpaceDE/>
              <w:autoSpaceDN/>
              <w:bidi w:val="0"/>
              <w:adjustRightInd/>
              <w:snapToGrid/>
              <w:ind w:firstLine="0" w:firstLineChars="0"/>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100</w:t>
            </w:r>
          </w:p>
        </w:tc>
        <w:tc>
          <w:tcPr>
            <w:tcW w:w="508" w:type="dxa"/>
            <w:tcBorders>
              <w:top w:val="single" w:color="auto" w:sz="4" w:space="0"/>
              <w:left w:val="single" w:color="auto" w:sz="4" w:space="0"/>
              <w:bottom w:val="single" w:color="auto" w:sz="4" w:space="0"/>
              <w:right w:val="single" w:color="auto" w:sz="4" w:space="0"/>
            </w:tcBorders>
            <w:noWrap w:val="0"/>
            <w:vAlign w:val="center"/>
          </w:tcPr>
          <w:p w14:paraId="77A9C882">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1"/>
                <w:szCs w:val="21"/>
                <w:u w:val="none"/>
              </w:rPr>
            </w:pPr>
          </w:p>
        </w:tc>
      </w:tr>
    </w:tbl>
    <w:p w14:paraId="49BEBC86">
      <w:pPr>
        <w:pStyle w:val="11"/>
        <w:pageBreakBefore w:val="0"/>
        <w:kinsoku/>
        <w:wordWrap/>
        <w:topLinePunct w:val="0"/>
        <w:autoSpaceDE/>
        <w:autoSpaceDN/>
        <w:bidi w:val="0"/>
        <w:spacing w:before="0" w:after="0"/>
        <w:rPr>
          <w:rFonts w:hint="eastAsia" w:ascii="宋体" w:hAnsi="宋体" w:eastAsia="宋体" w:cs="宋体"/>
          <w:sz w:val="24"/>
          <w:szCs w:val="24"/>
          <w:lang w:eastAsia="zh-CN"/>
        </w:rPr>
      </w:pPr>
    </w:p>
    <w:p w14:paraId="06981C8E">
      <w:pPr>
        <w:pStyle w:val="11"/>
        <w:pageBreakBefore w:val="0"/>
        <w:kinsoku/>
        <w:wordWrap/>
        <w:topLinePunct w:val="0"/>
        <w:autoSpaceDE/>
        <w:autoSpaceDN/>
        <w:bidi w:val="0"/>
        <w:spacing w:before="0" w:after="0"/>
        <w:rPr>
          <w:rFonts w:hint="eastAsia" w:ascii="宋体" w:hAnsi="宋体" w:eastAsia="宋体" w:cs="宋体"/>
          <w:sz w:val="24"/>
          <w:szCs w:val="24"/>
          <w:lang w:eastAsia="zh-CN"/>
        </w:rPr>
      </w:pPr>
    </w:p>
    <w:p w14:paraId="338E40C9">
      <w:pPr>
        <w:pStyle w:val="11"/>
        <w:pageBreakBefore w:val="0"/>
        <w:kinsoku/>
        <w:wordWrap/>
        <w:topLinePunct w:val="0"/>
        <w:autoSpaceDE/>
        <w:autoSpaceDN/>
        <w:bidi w:val="0"/>
        <w:spacing w:before="0" w:after="0"/>
        <w:rPr>
          <w:rFonts w:hint="eastAsia" w:ascii="宋体" w:hAnsi="宋体" w:eastAsia="宋体" w:cs="宋体"/>
          <w:sz w:val="24"/>
          <w:szCs w:val="24"/>
          <w:lang w:eastAsia="zh-CN"/>
        </w:rPr>
      </w:pPr>
    </w:p>
    <w:p w14:paraId="065B519A">
      <w:pPr>
        <w:pStyle w:val="11"/>
        <w:pageBreakBefore w:val="0"/>
        <w:kinsoku/>
        <w:wordWrap/>
        <w:topLinePunct w:val="0"/>
        <w:autoSpaceDE/>
        <w:autoSpaceDN/>
        <w:bidi w:val="0"/>
        <w:spacing w:before="0" w:after="0"/>
        <w:ind w:left="0" w:leftChars="0" w:firstLine="0" w:firstLineChars="0"/>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附件2：</w:t>
      </w:r>
    </w:p>
    <w:tbl>
      <w:tblPr>
        <w:tblStyle w:val="24"/>
        <w:tblpPr w:leftFromText="180" w:rightFromText="180" w:vertAnchor="text" w:horzAnchor="page" w:tblpX="1794" w:tblpY="596"/>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63"/>
        <w:gridCol w:w="1778"/>
        <w:gridCol w:w="2786"/>
        <w:gridCol w:w="2314"/>
        <w:gridCol w:w="3449"/>
        <w:gridCol w:w="1331"/>
      </w:tblGrid>
      <w:tr w14:paraId="03A79E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1363" w:type="dxa"/>
            <w:tcBorders>
              <w:top w:val="nil"/>
              <w:left w:val="nil"/>
              <w:bottom w:val="nil"/>
              <w:right w:val="nil"/>
            </w:tcBorders>
            <w:noWrap/>
            <w:vAlign w:val="center"/>
          </w:tcPr>
          <w:p w14:paraId="31A4307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000000"/>
                <w:sz w:val="21"/>
                <w:szCs w:val="21"/>
                <w:u w:val="none"/>
              </w:rPr>
            </w:pPr>
          </w:p>
        </w:tc>
        <w:tc>
          <w:tcPr>
            <w:tcW w:w="1778" w:type="dxa"/>
            <w:tcBorders>
              <w:top w:val="nil"/>
              <w:left w:val="nil"/>
              <w:bottom w:val="nil"/>
              <w:right w:val="nil"/>
            </w:tcBorders>
            <w:noWrap/>
            <w:vAlign w:val="center"/>
          </w:tcPr>
          <w:p w14:paraId="5C203332">
            <w:pPr>
              <w:keepNext w:val="0"/>
              <w:keepLines w:val="0"/>
              <w:pageBreakBefore w:val="0"/>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000000"/>
                <w:sz w:val="21"/>
                <w:szCs w:val="21"/>
                <w:u w:val="none"/>
              </w:rPr>
            </w:pPr>
          </w:p>
        </w:tc>
        <w:tc>
          <w:tcPr>
            <w:tcW w:w="2786" w:type="dxa"/>
            <w:tcBorders>
              <w:top w:val="nil"/>
              <w:left w:val="nil"/>
              <w:bottom w:val="nil"/>
              <w:right w:val="nil"/>
            </w:tcBorders>
            <w:noWrap/>
            <w:vAlign w:val="center"/>
          </w:tcPr>
          <w:p w14:paraId="457B8A06">
            <w:pPr>
              <w:keepNext w:val="0"/>
              <w:keepLines w:val="0"/>
              <w:pageBreakBefore w:val="0"/>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000000"/>
                <w:sz w:val="21"/>
                <w:szCs w:val="21"/>
                <w:u w:val="none"/>
              </w:rPr>
            </w:pPr>
          </w:p>
        </w:tc>
        <w:tc>
          <w:tcPr>
            <w:tcW w:w="2314" w:type="dxa"/>
            <w:tcBorders>
              <w:top w:val="nil"/>
              <w:left w:val="nil"/>
              <w:bottom w:val="nil"/>
              <w:right w:val="nil"/>
            </w:tcBorders>
            <w:noWrap/>
            <w:vAlign w:val="center"/>
          </w:tcPr>
          <w:p w14:paraId="643B4A8D">
            <w:pPr>
              <w:keepNext w:val="0"/>
              <w:keepLines w:val="0"/>
              <w:pageBreakBefore w:val="0"/>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000000"/>
                <w:sz w:val="21"/>
                <w:szCs w:val="21"/>
                <w:u w:val="none"/>
              </w:rPr>
            </w:pPr>
          </w:p>
        </w:tc>
        <w:tc>
          <w:tcPr>
            <w:tcW w:w="3449" w:type="dxa"/>
            <w:tcBorders>
              <w:top w:val="nil"/>
              <w:left w:val="nil"/>
              <w:bottom w:val="nil"/>
              <w:right w:val="nil"/>
            </w:tcBorders>
            <w:noWrap/>
            <w:vAlign w:val="center"/>
          </w:tcPr>
          <w:p w14:paraId="1ABC3ED8">
            <w:pPr>
              <w:keepNext w:val="0"/>
              <w:keepLines w:val="0"/>
              <w:pageBreakBefore w:val="0"/>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000000"/>
                <w:sz w:val="21"/>
                <w:szCs w:val="21"/>
                <w:u w:val="none"/>
              </w:rPr>
            </w:pPr>
          </w:p>
        </w:tc>
        <w:tc>
          <w:tcPr>
            <w:tcW w:w="1331" w:type="dxa"/>
            <w:tcBorders>
              <w:top w:val="nil"/>
              <w:left w:val="nil"/>
              <w:bottom w:val="nil"/>
              <w:right w:val="nil"/>
            </w:tcBorders>
            <w:noWrap/>
            <w:vAlign w:val="center"/>
          </w:tcPr>
          <w:p w14:paraId="126D7150">
            <w:pPr>
              <w:keepNext w:val="0"/>
              <w:keepLines w:val="0"/>
              <w:pageBreakBefore w:val="0"/>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000000"/>
                <w:sz w:val="21"/>
                <w:szCs w:val="21"/>
                <w:u w:val="none"/>
              </w:rPr>
            </w:pPr>
          </w:p>
        </w:tc>
      </w:tr>
      <w:tr w14:paraId="69B861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13021" w:type="dxa"/>
            <w:gridSpan w:val="6"/>
            <w:tcBorders>
              <w:top w:val="nil"/>
              <w:left w:val="nil"/>
              <w:bottom w:val="nil"/>
              <w:right w:val="nil"/>
            </w:tcBorders>
            <w:noWrap/>
            <w:vAlign w:val="center"/>
          </w:tcPr>
          <w:p w14:paraId="3FC186F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rPr>
              <w:t>监察信息员经费项目综合得分表</w:t>
            </w:r>
          </w:p>
        </w:tc>
      </w:tr>
      <w:tr w14:paraId="4473B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noWrap w:val="0"/>
            <w:vAlign w:val="center"/>
          </w:tcPr>
          <w:p w14:paraId="7B71D95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rPr>
              <w:t>指标</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1B9AD72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rPr>
              <w:t>项目决策</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40ED2DE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both"/>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rPr>
              <w:t>项目过程</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7AFEAA0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rPr>
              <w:t>项目产出</w:t>
            </w:r>
          </w:p>
        </w:tc>
        <w:tc>
          <w:tcPr>
            <w:tcW w:w="3449" w:type="dxa"/>
            <w:tcBorders>
              <w:top w:val="single" w:color="auto" w:sz="4" w:space="0"/>
              <w:left w:val="single" w:color="auto" w:sz="4" w:space="0"/>
              <w:bottom w:val="single" w:color="auto" w:sz="4" w:space="0"/>
              <w:right w:val="single" w:color="auto" w:sz="4" w:space="0"/>
            </w:tcBorders>
            <w:noWrap w:val="0"/>
            <w:vAlign w:val="center"/>
          </w:tcPr>
          <w:p w14:paraId="384EC06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rPr>
              <w:t>项目效益</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2705819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rPr>
              <w:t>合计</w:t>
            </w:r>
          </w:p>
        </w:tc>
      </w:tr>
      <w:tr w14:paraId="745A4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noWrap w:val="0"/>
            <w:vAlign w:val="center"/>
          </w:tcPr>
          <w:p w14:paraId="6E5D5F3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rPr>
              <w:t>权重</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4F4E1D6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 xml:space="preserve">23.00 </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1B20DFF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 xml:space="preserve">12.00 </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0D97D1D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 xml:space="preserve">40.00 </w:t>
            </w:r>
          </w:p>
        </w:tc>
        <w:tc>
          <w:tcPr>
            <w:tcW w:w="3449" w:type="dxa"/>
            <w:tcBorders>
              <w:top w:val="single" w:color="auto" w:sz="4" w:space="0"/>
              <w:left w:val="single" w:color="auto" w:sz="4" w:space="0"/>
              <w:bottom w:val="single" w:color="auto" w:sz="4" w:space="0"/>
              <w:right w:val="single" w:color="auto" w:sz="4" w:space="0"/>
            </w:tcBorders>
            <w:noWrap w:val="0"/>
            <w:vAlign w:val="center"/>
          </w:tcPr>
          <w:p w14:paraId="1385FED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 xml:space="preserve">25.00 </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331D458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 xml:space="preserve">100.00 </w:t>
            </w:r>
          </w:p>
        </w:tc>
      </w:tr>
      <w:tr w14:paraId="1A71B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noWrap w:val="0"/>
            <w:vAlign w:val="center"/>
          </w:tcPr>
          <w:p w14:paraId="63F198C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rPr>
              <w:t>得分</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3F244B7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 xml:space="preserve">23.00 </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771AED2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 xml:space="preserve">12.00 </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7CF0651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 xml:space="preserve">40.00 </w:t>
            </w:r>
          </w:p>
        </w:tc>
        <w:tc>
          <w:tcPr>
            <w:tcW w:w="3449" w:type="dxa"/>
            <w:tcBorders>
              <w:top w:val="single" w:color="auto" w:sz="4" w:space="0"/>
              <w:left w:val="single" w:color="auto" w:sz="4" w:space="0"/>
              <w:bottom w:val="single" w:color="auto" w:sz="4" w:space="0"/>
              <w:right w:val="single" w:color="auto" w:sz="4" w:space="0"/>
            </w:tcBorders>
            <w:noWrap w:val="0"/>
            <w:vAlign w:val="center"/>
          </w:tcPr>
          <w:p w14:paraId="0CFFCB7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 xml:space="preserve">25.00 </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72DE6B0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 xml:space="preserve">100.00 </w:t>
            </w:r>
          </w:p>
        </w:tc>
      </w:tr>
      <w:tr w14:paraId="25746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noWrap w:val="0"/>
            <w:vAlign w:val="center"/>
          </w:tcPr>
          <w:p w14:paraId="10E55D3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rPr>
              <w:t>得分率</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0615E0B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100.00%</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15EB655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100.00%</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48C8AE0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100.00%</w:t>
            </w:r>
          </w:p>
        </w:tc>
        <w:tc>
          <w:tcPr>
            <w:tcW w:w="3449" w:type="dxa"/>
            <w:tcBorders>
              <w:top w:val="single" w:color="auto" w:sz="4" w:space="0"/>
              <w:left w:val="single" w:color="auto" w:sz="4" w:space="0"/>
              <w:bottom w:val="single" w:color="auto" w:sz="4" w:space="0"/>
              <w:right w:val="single" w:color="auto" w:sz="4" w:space="0"/>
            </w:tcBorders>
            <w:noWrap w:val="0"/>
            <w:vAlign w:val="center"/>
          </w:tcPr>
          <w:p w14:paraId="68298C9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100.00%</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6011399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100.00%</w:t>
            </w:r>
          </w:p>
        </w:tc>
      </w:tr>
    </w:tbl>
    <w:p w14:paraId="5F682454">
      <w:pPr>
        <w:pStyle w:val="11"/>
        <w:pageBreakBefore w:val="0"/>
        <w:kinsoku/>
        <w:wordWrap/>
        <w:topLinePunct w:val="0"/>
        <w:autoSpaceDE/>
        <w:autoSpaceDN/>
        <w:bidi w:val="0"/>
        <w:spacing w:before="0" w:after="0"/>
        <w:ind w:left="0" w:leftChars="0" w:firstLine="0" w:firstLineChars="0"/>
        <w:jc w:val="both"/>
        <w:rPr>
          <w:rFonts w:hint="default" w:ascii="宋体" w:hAnsi="宋体" w:eastAsia="宋体" w:cs="宋体"/>
          <w:sz w:val="24"/>
          <w:szCs w:val="24"/>
          <w:lang w:val="en-US" w:eastAsia="zh-CN"/>
        </w:rPr>
      </w:pPr>
    </w:p>
    <w:p w14:paraId="41E57C1A">
      <w:pPr>
        <w:pStyle w:val="11"/>
        <w:pageBreakBefore w:val="0"/>
        <w:kinsoku/>
        <w:wordWrap/>
        <w:topLinePunct w:val="0"/>
        <w:autoSpaceDE/>
        <w:autoSpaceDN/>
        <w:bidi w:val="0"/>
        <w:spacing w:before="0" w:after="0"/>
        <w:ind w:left="0" w:leftChars="0" w:firstLine="0" w:firstLineChars="0"/>
        <w:jc w:val="both"/>
        <w:rPr>
          <w:rFonts w:hint="eastAsia" w:ascii="宋体" w:hAnsi="宋体" w:eastAsia="宋体" w:cs="宋体"/>
          <w:sz w:val="24"/>
          <w:szCs w:val="24"/>
          <w:lang w:eastAsia="zh-CN"/>
        </w:rPr>
        <w:sectPr>
          <w:pgSz w:w="16838" w:h="11906" w:orient="landscape"/>
          <w:pgMar w:top="1531" w:right="1985" w:bottom="1531" w:left="1701" w:header="851" w:footer="992" w:gutter="0"/>
          <w:pgNumType w:fmt="decimal"/>
          <w:cols w:space="720" w:num="1"/>
          <w:docGrid w:type="linesAndChars" w:linePitch="386" w:charSpace="0"/>
        </w:sectPr>
      </w:pPr>
    </w:p>
    <w:p w14:paraId="2074F90A">
      <w:pPr>
        <w:keepNext w:val="0"/>
        <w:keepLines w:val="0"/>
        <w:pageBreakBefore w:val="0"/>
        <w:widowControl w:val="0"/>
        <w:kinsoku/>
        <w:wordWrap/>
        <w:overflowPunct/>
        <w:topLinePunct w:val="0"/>
        <w:autoSpaceDE/>
        <w:autoSpaceDN/>
        <w:bidi w:val="0"/>
        <w:adjustRightInd/>
        <w:snapToGrid/>
        <w:spacing w:line="360" w:lineRule="auto"/>
        <w:ind w:left="480" w:leftChars="0" w:hanging="480" w:hanging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附件3：</w:t>
      </w:r>
    </w:p>
    <w:p w14:paraId="5BF9D219">
      <w:pPr>
        <w:keepNext w:val="0"/>
        <w:keepLines w:val="0"/>
        <w:pageBreakBefore w:val="0"/>
        <w:widowControl w:val="0"/>
        <w:kinsoku/>
        <w:wordWrap/>
        <w:overflowPunct/>
        <w:topLinePunct w:val="0"/>
        <w:autoSpaceDE/>
        <w:autoSpaceDN/>
        <w:bidi w:val="0"/>
        <w:adjustRightInd/>
        <w:snapToGrid/>
        <w:spacing w:line="360" w:lineRule="auto"/>
        <w:ind w:left="480" w:leftChars="0" w:hanging="480" w:hangingChars="200"/>
        <w:jc w:val="center"/>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lang w:val="en-US" w:eastAsia="zh-CN"/>
        </w:rPr>
        <w:t>监察信息员经费项目满意度</w:t>
      </w:r>
      <w:r>
        <w:rPr>
          <w:rFonts w:hint="eastAsia" w:ascii="宋体" w:hAnsi="宋体" w:eastAsia="宋体" w:cs="宋体"/>
          <w:b/>
          <w:bCs/>
          <w:sz w:val="24"/>
          <w:szCs w:val="24"/>
          <w:highlight w:val="none"/>
        </w:rPr>
        <w:t>调查问卷</w:t>
      </w:r>
      <w:r>
        <w:rPr>
          <w:rFonts w:hint="eastAsia" w:ascii="宋体" w:hAnsi="宋体" w:eastAsia="宋体" w:cs="宋体"/>
          <w:b/>
          <w:bCs/>
          <w:sz w:val="24"/>
          <w:szCs w:val="24"/>
          <w:highlight w:val="none"/>
          <w:lang w:val="en-US" w:eastAsia="zh-CN"/>
        </w:rPr>
        <w:t>分析报告</w:t>
      </w:r>
    </w:p>
    <w:p w14:paraId="32870E97">
      <w:pPr>
        <w:keepNext w:val="0"/>
        <w:keepLines w:val="0"/>
        <w:pageBreakBefore w:val="0"/>
        <w:widowControl w:val="0"/>
        <w:kinsoku/>
        <w:wordWrap/>
        <w:overflowPunct/>
        <w:topLinePunct w:val="0"/>
        <w:autoSpaceDE/>
        <w:autoSpaceDN/>
        <w:bidi w:val="0"/>
        <w:adjustRightInd/>
        <w:snapToGrid/>
        <w:spacing w:line="360" w:lineRule="auto"/>
        <w:ind w:left="480" w:leftChars="0" w:hanging="480" w:hangingChars="200"/>
        <w:jc w:val="both"/>
        <w:textAlignment w:val="auto"/>
        <w:rPr>
          <w:rFonts w:hint="eastAsia" w:ascii="宋体" w:hAnsi="宋体" w:eastAsia="宋体" w:cs="宋体"/>
          <w:b/>
          <w:bCs/>
          <w:sz w:val="24"/>
          <w:szCs w:val="24"/>
          <w:highlight w:val="none"/>
        </w:rPr>
      </w:pPr>
    </w:p>
    <w:p w14:paraId="49112D71">
      <w:pPr>
        <w:keepNext w:val="0"/>
        <w:keepLines w:val="0"/>
        <w:pageBreakBefore w:val="0"/>
        <w:widowControl w:val="0"/>
        <w:kinsoku/>
        <w:wordWrap/>
        <w:overflowPunct/>
        <w:topLinePunct w:val="0"/>
        <w:autoSpaceDE/>
        <w:autoSpaceDN/>
        <w:bidi w:val="0"/>
        <w:adjustRightInd/>
        <w:snapToGrid/>
        <w:spacing w:line="360" w:lineRule="auto"/>
        <w:ind w:left="480" w:leftChars="0" w:hanging="480" w:hangingChars="200"/>
        <w:jc w:val="both"/>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sz w:val="24"/>
          <w:szCs w:val="24"/>
          <w:highlight w:val="none"/>
        </w:rPr>
        <w:t>为客</w:t>
      </w:r>
      <w:r>
        <w:rPr>
          <w:rFonts w:hint="eastAsia" w:ascii="宋体" w:hAnsi="宋体" w:eastAsia="宋体" w:cs="宋体"/>
          <w:color w:val="auto"/>
          <w:sz w:val="24"/>
          <w:szCs w:val="24"/>
          <w:highlight w:val="none"/>
        </w:rPr>
        <w:t>观评价该项目的社会效果，了解</w:t>
      </w:r>
      <w:r>
        <w:rPr>
          <w:rFonts w:hint="eastAsia" w:ascii="宋体" w:hAnsi="宋体" w:eastAsia="宋体" w:cs="宋体"/>
          <w:color w:val="auto"/>
          <w:sz w:val="24"/>
          <w:szCs w:val="24"/>
          <w:highlight w:val="none"/>
          <w:lang w:val="en-US" w:eastAsia="zh-CN"/>
        </w:rPr>
        <w:t>项目受益群体</w:t>
      </w:r>
      <w:r>
        <w:rPr>
          <w:rFonts w:hint="eastAsia" w:ascii="宋体" w:hAnsi="宋体" w:eastAsia="宋体" w:cs="宋体"/>
          <w:color w:val="auto"/>
          <w:sz w:val="24"/>
          <w:szCs w:val="24"/>
          <w:highlight w:val="none"/>
        </w:rPr>
        <w:t>对项目</w:t>
      </w:r>
      <w:r>
        <w:rPr>
          <w:rFonts w:hint="eastAsia" w:ascii="宋体" w:hAnsi="宋体" w:eastAsia="宋体" w:cs="宋体"/>
          <w:color w:val="auto"/>
          <w:sz w:val="24"/>
          <w:szCs w:val="24"/>
          <w:highlight w:val="none"/>
          <w:lang w:val="en-US" w:eastAsia="zh-CN"/>
        </w:rPr>
        <w:t>实施后</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val="en-US" w:eastAsia="zh-CN"/>
        </w:rPr>
        <w:t>真实</w:t>
      </w:r>
      <w:r>
        <w:rPr>
          <w:rFonts w:hint="eastAsia" w:ascii="宋体" w:hAnsi="宋体" w:eastAsia="宋体" w:cs="宋体"/>
          <w:color w:val="auto"/>
          <w:sz w:val="24"/>
          <w:szCs w:val="24"/>
          <w:highlight w:val="none"/>
        </w:rPr>
        <w:t>评价情况，对本项目</w:t>
      </w:r>
      <w:r>
        <w:rPr>
          <w:rFonts w:hint="eastAsia" w:ascii="宋体" w:hAnsi="宋体" w:eastAsia="宋体" w:cs="宋体"/>
          <w:color w:val="auto"/>
          <w:sz w:val="24"/>
          <w:szCs w:val="24"/>
          <w:highlight w:val="none"/>
          <w:lang w:eastAsia="zh-CN"/>
        </w:rPr>
        <w:t>开展</w:t>
      </w:r>
      <w:r>
        <w:rPr>
          <w:rFonts w:hint="eastAsia" w:ascii="宋体" w:hAnsi="宋体" w:eastAsia="宋体" w:cs="宋体"/>
          <w:color w:val="auto"/>
          <w:sz w:val="24"/>
          <w:szCs w:val="24"/>
          <w:highlight w:val="none"/>
        </w:rPr>
        <w:t>满意度问卷调查。问卷调查工作情况如下：</w:t>
      </w:r>
    </w:p>
    <w:p w14:paraId="5E8F9567">
      <w:pPr>
        <w:keepNext w:val="0"/>
        <w:keepLines w:val="0"/>
        <w:pageBreakBefore w:val="0"/>
        <w:widowControl w:val="0"/>
        <w:kinsoku/>
        <w:wordWrap/>
        <w:overflowPunct/>
        <w:topLinePunct w:val="0"/>
        <w:autoSpaceDE/>
        <w:autoSpaceDN/>
        <w:bidi w:val="0"/>
        <w:adjustRightInd/>
        <w:snapToGrid/>
        <w:spacing w:line="360" w:lineRule="auto"/>
        <w:ind w:left="480" w:leftChars="0" w:hanging="480" w:hanging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rPr>
        <w:t>该问卷调查从202</w:t>
      </w: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年</w:t>
      </w: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月</w:t>
      </w:r>
      <w:r>
        <w:rPr>
          <w:rFonts w:hint="eastAsia" w:ascii="宋体" w:hAnsi="宋体" w:eastAsia="宋体" w:cs="宋体"/>
          <w:b/>
          <w:bCs/>
          <w:color w:val="auto"/>
          <w:sz w:val="24"/>
          <w:szCs w:val="24"/>
          <w:highlight w:val="none"/>
          <w:lang w:val="en-US" w:eastAsia="zh-CN"/>
        </w:rPr>
        <w:t>20</w:t>
      </w:r>
      <w:r>
        <w:rPr>
          <w:rFonts w:hint="eastAsia" w:ascii="宋体" w:hAnsi="宋体" w:eastAsia="宋体" w:cs="宋体"/>
          <w:b/>
          <w:bCs/>
          <w:color w:val="auto"/>
          <w:sz w:val="24"/>
          <w:szCs w:val="24"/>
          <w:highlight w:val="none"/>
        </w:rPr>
        <w:t>日开始至202</w:t>
      </w: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年</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月</w:t>
      </w:r>
      <w:r>
        <w:rPr>
          <w:rFonts w:hint="eastAsia" w:ascii="宋体" w:hAnsi="宋体" w:eastAsia="宋体" w:cs="宋体"/>
          <w:b/>
          <w:bCs/>
          <w:color w:val="auto"/>
          <w:sz w:val="24"/>
          <w:szCs w:val="24"/>
          <w:highlight w:val="none"/>
          <w:lang w:val="en-US" w:eastAsia="zh-CN"/>
        </w:rPr>
        <w:t>10</w:t>
      </w:r>
      <w:r>
        <w:rPr>
          <w:rFonts w:hint="eastAsia" w:ascii="宋体" w:hAnsi="宋体" w:eastAsia="宋体" w:cs="宋体"/>
          <w:b/>
          <w:bCs/>
          <w:color w:val="auto"/>
          <w:sz w:val="24"/>
          <w:szCs w:val="24"/>
          <w:highlight w:val="none"/>
        </w:rPr>
        <w:t>日结束，调查问卷共设置</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道题目。</w:t>
      </w:r>
    </w:p>
    <w:p w14:paraId="008122B6">
      <w:pPr>
        <w:pStyle w:val="11"/>
        <w:keepNext w:val="0"/>
        <w:keepLines w:val="0"/>
        <w:pageBreakBefore w:val="0"/>
        <w:widowControl w:val="0"/>
        <w:kinsoku/>
        <w:wordWrap/>
        <w:overflowPunct/>
        <w:topLinePunct w:val="0"/>
        <w:autoSpaceDE/>
        <w:autoSpaceDN/>
        <w:bidi w:val="0"/>
        <w:adjustRightInd/>
        <w:snapToGrid/>
        <w:spacing w:before="0" w:after="0" w:line="360" w:lineRule="auto"/>
        <w:ind w:left="480" w:hanging="480" w:hanging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调查</w:t>
      </w:r>
      <w:r>
        <w:rPr>
          <w:rFonts w:hint="eastAsia" w:ascii="宋体" w:hAnsi="宋体" w:eastAsia="宋体" w:cs="宋体"/>
          <w:b/>
          <w:bCs/>
          <w:color w:val="auto"/>
          <w:sz w:val="24"/>
          <w:szCs w:val="24"/>
          <w:highlight w:val="none"/>
        </w:rPr>
        <w:t>对象</w:t>
      </w:r>
    </w:p>
    <w:p w14:paraId="169703C2">
      <w:pPr>
        <w:pStyle w:val="11"/>
        <w:keepNext w:val="0"/>
        <w:keepLines w:val="0"/>
        <w:pageBreakBefore w:val="0"/>
        <w:widowControl w:val="0"/>
        <w:kinsoku/>
        <w:wordWrap/>
        <w:overflowPunct/>
        <w:topLinePunct w:val="0"/>
        <w:autoSpaceDE/>
        <w:autoSpaceDN/>
        <w:bidi w:val="0"/>
        <w:adjustRightInd/>
        <w:snapToGrid/>
        <w:spacing w:before="0" w:after="0" w:line="360" w:lineRule="auto"/>
        <w:ind w:left="480" w:hanging="480" w:hangingChars="200"/>
        <w:textAlignment w:val="auto"/>
        <w:rPr>
          <w:rFonts w:hint="eastAsia" w:ascii="宋体" w:hAnsi="宋体" w:eastAsia="宋体" w:cs="宋体"/>
          <w:b/>
          <w:bCs/>
          <w:i w:val="0"/>
          <w:iCs w:val="0"/>
          <w:color w:val="auto"/>
          <w:sz w:val="24"/>
          <w:szCs w:val="24"/>
          <w:highlight w:val="none"/>
        </w:rPr>
      </w:pPr>
      <w:r>
        <w:rPr>
          <w:rFonts w:hint="eastAsia" w:ascii="宋体" w:hAnsi="宋体" w:eastAsia="宋体" w:cs="宋体"/>
          <w:color w:val="auto"/>
          <w:sz w:val="24"/>
          <w:szCs w:val="24"/>
          <w:highlight w:val="none"/>
        </w:rPr>
        <w:t>本次</w:t>
      </w:r>
      <w:r>
        <w:rPr>
          <w:rFonts w:hint="eastAsia" w:ascii="宋体" w:hAnsi="宋体" w:eastAsia="宋体" w:cs="宋体"/>
          <w:color w:val="auto"/>
          <w:sz w:val="24"/>
          <w:szCs w:val="24"/>
          <w:highlight w:val="none"/>
          <w:lang w:eastAsia="zh-CN"/>
        </w:rPr>
        <w:t>调查</w:t>
      </w:r>
      <w:r>
        <w:rPr>
          <w:rFonts w:hint="eastAsia" w:ascii="宋体" w:hAnsi="宋体" w:eastAsia="宋体" w:cs="宋体"/>
          <w:color w:val="auto"/>
          <w:sz w:val="24"/>
          <w:szCs w:val="24"/>
          <w:highlight w:val="none"/>
        </w:rPr>
        <w:t>的受益对象为</w:t>
      </w:r>
      <w:r>
        <w:rPr>
          <w:rFonts w:hint="eastAsia" w:ascii="宋体" w:hAnsi="宋体" w:eastAsia="宋体" w:cs="宋体"/>
          <w:color w:val="auto"/>
          <w:sz w:val="24"/>
          <w:szCs w:val="24"/>
          <w:highlight w:val="none"/>
          <w:lang w:val="en-US" w:eastAsia="zh-CN"/>
        </w:rPr>
        <w:t>洛浦县各乡镇及街道监察信息员</w:t>
      </w:r>
      <w:r>
        <w:rPr>
          <w:rFonts w:hint="eastAsia" w:ascii="宋体" w:hAnsi="宋体" w:eastAsia="宋体" w:cs="宋体"/>
          <w:color w:val="auto"/>
          <w:sz w:val="24"/>
          <w:szCs w:val="24"/>
          <w:highlight w:val="none"/>
        </w:rPr>
        <w:t>。</w:t>
      </w:r>
    </w:p>
    <w:p w14:paraId="6F91C014">
      <w:pPr>
        <w:keepNext w:val="0"/>
        <w:keepLines w:val="0"/>
        <w:pageBreakBefore w:val="0"/>
        <w:widowControl w:val="0"/>
        <w:kinsoku/>
        <w:wordWrap/>
        <w:overflowPunct/>
        <w:topLinePunct w:val="0"/>
        <w:autoSpaceDE/>
        <w:autoSpaceDN/>
        <w:bidi w:val="0"/>
        <w:adjustRightInd/>
        <w:snapToGrid/>
        <w:spacing w:line="360" w:lineRule="auto"/>
        <w:ind w:left="480" w:leftChars="0" w:hanging="480" w:hanging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bCs/>
          <w:i w:val="0"/>
          <w:iCs w:val="0"/>
          <w:color w:val="auto"/>
          <w:sz w:val="24"/>
          <w:szCs w:val="24"/>
          <w:highlight w:val="none"/>
        </w:rPr>
        <w:t>2.</w:t>
      </w:r>
      <w:r>
        <w:rPr>
          <w:rFonts w:hint="eastAsia" w:ascii="宋体" w:hAnsi="宋体" w:eastAsia="宋体" w:cs="宋体"/>
          <w:b/>
          <w:bCs/>
          <w:i w:val="0"/>
          <w:iCs w:val="0"/>
          <w:color w:val="auto"/>
          <w:sz w:val="24"/>
          <w:szCs w:val="24"/>
          <w:highlight w:val="none"/>
          <w:lang w:eastAsia="zh-CN"/>
        </w:rPr>
        <w:t>调查</w:t>
      </w:r>
      <w:r>
        <w:rPr>
          <w:rFonts w:hint="eastAsia" w:ascii="宋体" w:hAnsi="宋体" w:eastAsia="宋体" w:cs="宋体"/>
          <w:b/>
          <w:bCs/>
          <w:i w:val="0"/>
          <w:iCs w:val="0"/>
          <w:color w:val="auto"/>
          <w:sz w:val="24"/>
          <w:szCs w:val="24"/>
          <w:highlight w:val="none"/>
        </w:rPr>
        <w:t>内容</w:t>
      </w:r>
    </w:p>
    <w:p w14:paraId="114E555F">
      <w:pPr>
        <w:keepNext w:val="0"/>
        <w:keepLines w:val="0"/>
        <w:pageBreakBefore w:val="0"/>
        <w:widowControl w:val="0"/>
        <w:kinsoku/>
        <w:wordWrap/>
        <w:overflowPunct/>
        <w:topLinePunct w:val="0"/>
        <w:autoSpaceDE/>
        <w:autoSpaceDN/>
        <w:bidi w:val="0"/>
        <w:adjustRightInd/>
        <w:snapToGrid/>
        <w:spacing w:line="360" w:lineRule="auto"/>
        <w:ind w:left="480" w:leftChars="0" w:hanging="480" w:hanging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①您对监察信息员经费项目的发放标准是否满意?</w:t>
      </w:r>
    </w:p>
    <w:p w14:paraId="6A08B234">
      <w:pPr>
        <w:keepNext w:val="0"/>
        <w:keepLines w:val="0"/>
        <w:pageBreakBefore w:val="0"/>
        <w:widowControl w:val="0"/>
        <w:kinsoku/>
        <w:wordWrap/>
        <w:overflowPunct/>
        <w:topLinePunct w:val="0"/>
        <w:autoSpaceDE/>
        <w:autoSpaceDN/>
        <w:bidi w:val="0"/>
        <w:adjustRightInd/>
        <w:snapToGrid/>
        <w:spacing w:line="360" w:lineRule="auto"/>
        <w:ind w:left="480" w:leftChars="0" w:hanging="480" w:hanging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非常满意（ ）       比较满意（ ）      一般（ ）     不满意（ ）</w:t>
      </w:r>
    </w:p>
    <w:p w14:paraId="32E3EB44">
      <w:pPr>
        <w:keepNext w:val="0"/>
        <w:keepLines w:val="0"/>
        <w:pageBreakBefore w:val="0"/>
        <w:widowControl w:val="0"/>
        <w:kinsoku/>
        <w:wordWrap/>
        <w:overflowPunct/>
        <w:topLinePunct w:val="0"/>
        <w:autoSpaceDE/>
        <w:autoSpaceDN/>
        <w:bidi w:val="0"/>
        <w:adjustRightInd/>
        <w:snapToGrid/>
        <w:spacing w:line="360" w:lineRule="auto"/>
        <w:ind w:left="480" w:leftChars="0" w:hanging="480" w:hanging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②您对监察信息员经费项目资金发放效率是否满意？</w:t>
      </w:r>
    </w:p>
    <w:p w14:paraId="7511C33A">
      <w:pPr>
        <w:keepNext w:val="0"/>
        <w:keepLines w:val="0"/>
        <w:pageBreakBefore w:val="0"/>
        <w:widowControl w:val="0"/>
        <w:kinsoku/>
        <w:wordWrap/>
        <w:overflowPunct/>
        <w:topLinePunct w:val="0"/>
        <w:autoSpaceDE/>
        <w:autoSpaceDN/>
        <w:bidi w:val="0"/>
        <w:adjustRightInd/>
        <w:snapToGrid/>
        <w:spacing w:line="360" w:lineRule="auto"/>
        <w:ind w:left="480" w:leftChars="0" w:hanging="480" w:hanging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非常满意（ ）       比较满意（ ）      一般（ ）     不满意（ ）</w:t>
      </w:r>
    </w:p>
    <w:p w14:paraId="26D90CCA">
      <w:pPr>
        <w:keepNext w:val="0"/>
        <w:keepLines w:val="0"/>
        <w:pageBreakBefore w:val="0"/>
        <w:widowControl w:val="0"/>
        <w:kinsoku/>
        <w:wordWrap/>
        <w:overflowPunct/>
        <w:topLinePunct w:val="0"/>
        <w:autoSpaceDE/>
        <w:autoSpaceDN/>
        <w:bidi w:val="0"/>
        <w:adjustRightInd/>
        <w:snapToGrid/>
        <w:spacing w:line="360" w:lineRule="auto"/>
        <w:ind w:left="480" w:leftChars="0" w:hanging="480" w:hanging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③总的来说，您对目前监察信息员经费项目实施后的整体满意程度如何？</w:t>
      </w:r>
    </w:p>
    <w:p w14:paraId="2A1E6B4B">
      <w:pPr>
        <w:keepNext w:val="0"/>
        <w:keepLines w:val="0"/>
        <w:pageBreakBefore w:val="0"/>
        <w:widowControl w:val="0"/>
        <w:kinsoku/>
        <w:wordWrap/>
        <w:overflowPunct/>
        <w:topLinePunct w:val="0"/>
        <w:autoSpaceDE/>
        <w:autoSpaceDN/>
        <w:bidi w:val="0"/>
        <w:adjustRightInd/>
        <w:snapToGrid/>
        <w:spacing w:line="360" w:lineRule="auto"/>
        <w:ind w:left="480" w:leftChars="0" w:hanging="480" w:hanging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非常满意（ ）       比较满意（ ）      一般（ ）     不满意（ ）</w:t>
      </w:r>
    </w:p>
    <w:p w14:paraId="60D32023">
      <w:pPr>
        <w:pStyle w:val="11"/>
        <w:keepNext w:val="0"/>
        <w:keepLines w:val="0"/>
        <w:pageBreakBefore w:val="0"/>
        <w:widowControl w:val="0"/>
        <w:kinsoku/>
        <w:wordWrap/>
        <w:overflowPunct/>
        <w:topLinePunct w:val="0"/>
        <w:autoSpaceDE/>
        <w:autoSpaceDN/>
        <w:bidi w:val="0"/>
        <w:adjustRightInd/>
        <w:snapToGrid/>
        <w:spacing w:before="0" w:after="0" w:line="360" w:lineRule="auto"/>
        <w:ind w:left="480" w:hanging="480" w:hangingChars="20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lang w:eastAsia="zh-CN"/>
        </w:rPr>
        <w:t>调查</w:t>
      </w:r>
      <w:r>
        <w:rPr>
          <w:rFonts w:hint="eastAsia" w:ascii="宋体" w:hAnsi="宋体" w:eastAsia="宋体" w:cs="宋体"/>
          <w:b/>
          <w:bCs/>
          <w:color w:val="auto"/>
          <w:sz w:val="24"/>
          <w:szCs w:val="24"/>
          <w:highlight w:val="none"/>
        </w:rPr>
        <w:t>方法</w:t>
      </w:r>
    </w:p>
    <w:p w14:paraId="31210BA1">
      <w:pPr>
        <w:keepNext w:val="0"/>
        <w:keepLines w:val="0"/>
        <w:pageBreakBefore w:val="0"/>
        <w:widowControl w:val="0"/>
        <w:kinsoku/>
        <w:wordWrap/>
        <w:overflowPunct/>
        <w:topLinePunct w:val="0"/>
        <w:autoSpaceDE/>
        <w:autoSpaceDN/>
        <w:bidi w:val="0"/>
        <w:adjustRightInd/>
        <w:snapToGrid/>
        <w:spacing w:line="360" w:lineRule="auto"/>
        <w:ind w:left="480" w:hanging="480" w:hangingChars="200"/>
        <w:jc w:val="both"/>
        <w:textAlignment w:val="auto"/>
        <w:rPr>
          <w:rFonts w:hint="eastAsia" w:ascii="宋体" w:hAnsi="宋体" w:eastAsia="宋体" w:cs="宋体"/>
          <w:b/>
          <w:bCs/>
          <w:sz w:val="24"/>
          <w:szCs w:val="24"/>
          <w:highlight w:val="none"/>
          <w:lang w:val="en-US" w:eastAsia="zh-CN"/>
        </w:rPr>
      </w:pPr>
      <w:r>
        <w:rPr>
          <w:rFonts w:hint="eastAsia" w:ascii="宋体" w:hAnsi="宋体" w:eastAsia="宋体" w:cs="宋体"/>
          <w:color w:val="auto"/>
          <w:sz w:val="24"/>
          <w:szCs w:val="24"/>
          <w:highlight w:val="none"/>
        </w:rPr>
        <w:t>问卷调查采取</w:t>
      </w:r>
      <w:r>
        <w:rPr>
          <w:rFonts w:hint="eastAsia" w:ascii="宋体" w:hAnsi="宋体" w:eastAsia="宋体" w:cs="宋体"/>
          <w:color w:val="auto"/>
          <w:sz w:val="24"/>
          <w:szCs w:val="24"/>
          <w:highlight w:val="none"/>
          <w:lang w:val="en-US" w:eastAsia="zh-CN"/>
        </w:rPr>
        <w:t>分层</w:t>
      </w:r>
      <w:r>
        <w:rPr>
          <w:rFonts w:hint="eastAsia" w:ascii="宋体" w:hAnsi="宋体" w:eastAsia="宋体" w:cs="宋体"/>
          <w:color w:val="auto"/>
          <w:sz w:val="24"/>
          <w:szCs w:val="24"/>
          <w:highlight w:val="none"/>
        </w:rPr>
        <w:t>抽样和</w:t>
      </w:r>
      <w:r>
        <w:rPr>
          <w:rFonts w:hint="eastAsia" w:ascii="宋体" w:hAnsi="宋体" w:eastAsia="宋体" w:cs="宋体"/>
          <w:color w:val="auto"/>
          <w:sz w:val="24"/>
          <w:szCs w:val="24"/>
          <w:highlight w:val="none"/>
          <w:lang w:val="en-US" w:eastAsia="zh-CN"/>
        </w:rPr>
        <w:t>随机抽样相结合</w:t>
      </w:r>
      <w:r>
        <w:rPr>
          <w:rFonts w:hint="eastAsia" w:ascii="宋体" w:hAnsi="宋体" w:eastAsia="宋体" w:cs="宋体"/>
          <w:color w:val="auto"/>
          <w:sz w:val="24"/>
          <w:szCs w:val="24"/>
          <w:highlight w:val="none"/>
        </w:rPr>
        <w:t>的方式进行。在全面</w:t>
      </w:r>
      <w:r>
        <w:rPr>
          <w:rFonts w:hint="eastAsia" w:ascii="宋体" w:hAnsi="宋体" w:eastAsia="宋体" w:cs="宋体"/>
          <w:color w:val="auto"/>
          <w:sz w:val="24"/>
          <w:szCs w:val="24"/>
          <w:highlight w:val="none"/>
          <w:lang w:eastAsia="zh-CN"/>
        </w:rPr>
        <w:t>调查</w:t>
      </w:r>
      <w:r>
        <w:rPr>
          <w:rFonts w:hint="eastAsia" w:ascii="宋体" w:hAnsi="宋体" w:eastAsia="宋体" w:cs="宋体"/>
          <w:color w:val="auto"/>
          <w:sz w:val="24"/>
          <w:szCs w:val="24"/>
          <w:highlight w:val="none"/>
        </w:rPr>
        <w:t>开展之前会先进行论证，依据论证结果对问卷和抽样方案再进行一次修改和调整</w:t>
      </w:r>
      <w:r>
        <w:rPr>
          <w:rFonts w:hint="eastAsia" w:ascii="宋体" w:hAnsi="宋体" w:eastAsia="宋体" w:cs="宋体"/>
          <w:sz w:val="24"/>
          <w:szCs w:val="24"/>
          <w:highlight w:val="none"/>
          <w:lang w:val="en-US" w:eastAsia="zh-CN"/>
        </w:rPr>
        <w:t>之后再付诸实施</w:t>
      </w:r>
      <w:r>
        <w:rPr>
          <w:rFonts w:hint="eastAsia" w:ascii="宋体" w:hAnsi="宋体" w:eastAsia="宋体" w:cs="宋体"/>
          <w:sz w:val="24"/>
          <w:szCs w:val="24"/>
          <w:highlight w:val="none"/>
        </w:rPr>
        <w:t>。</w:t>
      </w:r>
    </w:p>
    <w:p w14:paraId="34F2F06A">
      <w:pPr>
        <w:pStyle w:val="11"/>
        <w:keepNext w:val="0"/>
        <w:keepLines w:val="0"/>
        <w:pageBreakBefore w:val="0"/>
        <w:widowControl w:val="0"/>
        <w:kinsoku/>
        <w:wordWrap/>
        <w:overflowPunct/>
        <w:topLinePunct w:val="0"/>
        <w:autoSpaceDE/>
        <w:autoSpaceDN/>
        <w:bidi w:val="0"/>
        <w:adjustRightInd/>
        <w:snapToGrid/>
        <w:spacing w:before="0" w:after="0" w:line="360" w:lineRule="auto"/>
        <w:ind w:left="480" w:hanging="480" w:hangingChars="200"/>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4.</w:t>
      </w:r>
      <w:r>
        <w:rPr>
          <w:rFonts w:hint="eastAsia" w:ascii="宋体" w:hAnsi="宋体" w:eastAsia="宋体" w:cs="宋体"/>
          <w:b/>
          <w:bCs/>
          <w:sz w:val="24"/>
          <w:szCs w:val="24"/>
          <w:highlight w:val="none"/>
        </w:rPr>
        <w:t>抽样方式</w:t>
      </w:r>
    </w:p>
    <w:p w14:paraId="53C3FF40">
      <w:pPr>
        <w:keepNext w:val="0"/>
        <w:keepLines w:val="0"/>
        <w:pageBreakBefore w:val="0"/>
        <w:widowControl w:val="0"/>
        <w:kinsoku/>
        <w:wordWrap/>
        <w:overflowPunct/>
        <w:topLinePunct w:val="0"/>
        <w:autoSpaceDE/>
        <w:autoSpaceDN/>
        <w:bidi w:val="0"/>
        <w:adjustRightInd/>
        <w:snapToGrid/>
        <w:spacing w:line="360" w:lineRule="auto"/>
        <w:ind w:left="480" w:hanging="480" w:hangingChars="200"/>
        <w:jc w:val="both"/>
        <w:textAlignment w:val="auto"/>
        <w:rPr>
          <w:rFonts w:hint="eastAsia" w:ascii="宋体" w:hAnsi="宋体" w:eastAsia="宋体" w:cs="宋体"/>
          <w:b/>
          <w:bCs/>
          <w:sz w:val="24"/>
          <w:szCs w:val="24"/>
          <w:highlight w:val="none"/>
          <w:lang w:val="en-US" w:eastAsia="zh-CN"/>
        </w:rPr>
      </w:pPr>
      <w:r>
        <w:rPr>
          <w:rFonts w:hint="eastAsia" w:ascii="宋体" w:hAnsi="宋体" w:eastAsia="宋体" w:cs="宋体"/>
          <w:sz w:val="24"/>
          <w:szCs w:val="24"/>
          <w:highlight w:val="none"/>
        </w:rPr>
        <w:t>为确保问卷</w:t>
      </w:r>
      <w:r>
        <w:rPr>
          <w:rFonts w:hint="eastAsia" w:ascii="宋体" w:hAnsi="宋体" w:eastAsia="宋体" w:cs="宋体"/>
          <w:sz w:val="24"/>
          <w:szCs w:val="24"/>
          <w:highlight w:val="none"/>
          <w:lang w:eastAsia="zh-CN"/>
        </w:rPr>
        <w:t>调查</w:t>
      </w:r>
      <w:r>
        <w:rPr>
          <w:rFonts w:hint="eastAsia" w:ascii="宋体" w:hAnsi="宋体" w:eastAsia="宋体" w:cs="宋体"/>
          <w:sz w:val="24"/>
          <w:szCs w:val="24"/>
          <w:highlight w:val="none"/>
        </w:rPr>
        <w:t>的全面性和代表性，本次</w:t>
      </w:r>
      <w:r>
        <w:rPr>
          <w:rFonts w:hint="eastAsia" w:ascii="宋体" w:hAnsi="宋体" w:eastAsia="宋体" w:cs="宋体"/>
          <w:sz w:val="24"/>
          <w:szCs w:val="24"/>
          <w:highlight w:val="none"/>
          <w:lang w:eastAsia="zh-CN"/>
        </w:rPr>
        <w:t>调查</w:t>
      </w:r>
      <w:r>
        <w:rPr>
          <w:rFonts w:hint="eastAsia" w:ascii="宋体" w:hAnsi="宋体" w:eastAsia="宋体" w:cs="宋体"/>
          <w:sz w:val="24"/>
          <w:szCs w:val="24"/>
          <w:highlight w:val="none"/>
        </w:rPr>
        <w:t>问卷调查采取</w:t>
      </w:r>
      <w:r>
        <w:rPr>
          <w:rFonts w:hint="eastAsia" w:ascii="宋体" w:hAnsi="宋体" w:eastAsia="宋体" w:cs="宋体"/>
          <w:sz w:val="24"/>
          <w:szCs w:val="24"/>
          <w:highlight w:val="none"/>
          <w:lang w:val="en-US" w:eastAsia="zh-CN"/>
        </w:rPr>
        <w:t>随机</w:t>
      </w:r>
      <w:r>
        <w:rPr>
          <w:rFonts w:hint="eastAsia" w:ascii="宋体" w:hAnsi="宋体" w:eastAsia="宋体" w:cs="宋体"/>
          <w:sz w:val="24"/>
          <w:szCs w:val="24"/>
          <w:highlight w:val="none"/>
        </w:rPr>
        <w:t>抽样和</w:t>
      </w:r>
      <w:r>
        <w:rPr>
          <w:rFonts w:hint="eastAsia" w:ascii="宋体" w:hAnsi="宋体" w:eastAsia="宋体" w:cs="宋体"/>
          <w:sz w:val="24"/>
          <w:szCs w:val="24"/>
          <w:highlight w:val="none"/>
          <w:lang w:val="en-US" w:eastAsia="zh-CN"/>
        </w:rPr>
        <w:t>分层抽样相结合</w:t>
      </w:r>
      <w:r>
        <w:rPr>
          <w:rFonts w:hint="eastAsia" w:ascii="宋体" w:hAnsi="宋体" w:eastAsia="宋体" w:cs="宋体"/>
          <w:sz w:val="24"/>
          <w:szCs w:val="24"/>
          <w:highlight w:val="none"/>
        </w:rPr>
        <w:t>方式进行。</w:t>
      </w:r>
    </w:p>
    <w:p w14:paraId="2D733903">
      <w:pPr>
        <w:keepNext w:val="0"/>
        <w:keepLines w:val="0"/>
        <w:pageBreakBefore w:val="0"/>
        <w:widowControl w:val="0"/>
        <w:kinsoku/>
        <w:wordWrap/>
        <w:overflowPunct/>
        <w:topLinePunct w:val="0"/>
        <w:autoSpaceDE/>
        <w:autoSpaceDN/>
        <w:bidi w:val="0"/>
        <w:adjustRightInd/>
        <w:snapToGrid/>
        <w:spacing w:line="360" w:lineRule="auto"/>
        <w:ind w:left="480" w:hanging="480" w:hangingChars="200"/>
        <w:jc w:val="both"/>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5.问卷的发放和回收</w:t>
      </w:r>
    </w:p>
    <w:p w14:paraId="35302397">
      <w:pPr>
        <w:keepNext w:val="0"/>
        <w:keepLines w:val="0"/>
        <w:pageBreakBefore w:val="0"/>
        <w:widowControl w:val="0"/>
        <w:kinsoku/>
        <w:wordWrap/>
        <w:overflowPunct/>
        <w:topLinePunct w:val="0"/>
        <w:autoSpaceDE/>
        <w:autoSpaceDN/>
        <w:bidi w:val="0"/>
        <w:adjustRightInd/>
        <w:snapToGrid/>
        <w:spacing w:line="360" w:lineRule="auto"/>
        <w:ind w:left="480" w:leftChars="0" w:hanging="480" w:hanging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为了给调查对象营造良好的作答环境，保证调查的科学性和严谨性，由我单位工作人员在线下发放问卷，邀请相应的调查对象填写问卷。到目前为止共回收</w:t>
      </w:r>
      <w:r>
        <w:rPr>
          <w:rFonts w:hint="eastAsia" w:ascii="宋体" w:hAnsi="宋体" w:eastAsia="宋体" w:cs="宋体"/>
          <w:color w:val="auto"/>
          <w:sz w:val="24"/>
          <w:szCs w:val="24"/>
          <w:highlight w:val="none"/>
          <w:lang w:val="en-US" w:eastAsia="zh-CN"/>
        </w:rPr>
        <w:t>问卷40份，其中有效问卷40份，有</w:t>
      </w:r>
      <w:r>
        <w:rPr>
          <w:rFonts w:hint="eastAsia" w:ascii="宋体" w:hAnsi="宋体" w:eastAsia="宋体" w:cs="宋体"/>
          <w:sz w:val="24"/>
          <w:szCs w:val="24"/>
          <w:highlight w:val="none"/>
          <w:lang w:val="en-US" w:eastAsia="zh-CN"/>
        </w:rPr>
        <w:t>效问卷回收率为100%。</w:t>
      </w:r>
    </w:p>
    <w:p w14:paraId="21618C47">
      <w:pPr>
        <w:pStyle w:val="11"/>
        <w:keepNext w:val="0"/>
        <w:keepLines w:val="0"/>
        <w:pageBreakBefore w:val="0"/>
        <w:widowControl w:val="0"/>
        <w:kinsoku/>
        <w:wordWrap/>
        <w:overflowPunct/>
        <w:topLinePunct w:val="0"/>
        <w:autoSpaceDE/>
        <w:autoSpaceDN/>
        <w:bidi w:val="0"/>
        <w:adjustRightInd/>
        <w:snapToGrid/>
        <w:spacing w:before="0" w:after="0" w:line="360" w:lineRule="auto"/>
        <w:ind w:left="480" w:hanging="480" w:hangingChars="200"/>
        <w:jc w:val="left"/>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6.问卷调查分析结果</w:t>
      </w:r>
    </w:p>
    <w:p w14:paraId="58D5F459">
      <w:pPr>
        <w:keepNext w:val="0"/>
        <w:keepLines w:val="0"/>
        <w:pageBreakBefore w:val="0"/>
        <w:widowControl w:val="0"/>
        <w:kinsoku/>
        <w:wordWrap/>
        <w:overflowPunct/>
        <w:topLinePunct w:val="0"/>
        <w:autoSpaceDE/>
        <w:autoSpaceDN/>
        <w:bidi w:val="0"/>
        <w:adjustRightInd/>
        <w:snapToGrid/>
        <w:spacing w:line="360" w:lineRule="auto"/>
        <w:ind w:left="480" w:leftChars="0" w:hanging="480" w:hanging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本次调查过程中，评价小组实际发放问卷40份，回收问卷40份，问卷回收率为100.00%，有效问卷40份，有效回收率100.00%，本次调查的整体情况如下：</w:t>
      </w:r>
    </w:p>
    <w:p w14:paraId="4DBB4A0C">
      <w:pPr>
        <w:keepNext w:val="0"/>
        <w:keepLines w:val="0"/>
        <w:pageBreakBefore w:val="0"/>
        <w:widowControl w:val="0"/>
        <w:kinsoku/>
        <w:wordWrap/>
        <w:overflowPunct/>
        <w:topLinePunct w:val="0"/>
        <w:autoSpaceDE/>
        <w:autoSpaceDN/>
        <w:bidi w:val="0"/>
        <w:adjustRightInd/>
        <w:snapToGrid/>
        <w:spacing w:line="360" w:lineRule="auto"/>
        <w:ind w:left="480" w:leftChars="0" w:hanging="480" w:hanging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第一个问题：该项统计有效问卷数量40份，选择非常满意的人数为38人。选择比较满意的人数为2人，选择一般的人数0人，选择不满意的人数0人，</w:t>
      </w:r>
    </w:p>
    <w:p w14:paraId="27153AFE">
      <w:pPr>
        <w:keepNext w:val="0"/>
        <w:keepLines w:val="0"/>
        <w:pageBreakBefore w:val="0"/>
        <w:widowControl w:val="0"/>
        <w:kinsoku/>
        <w:wordWrap/>
        <w:overflowPunct/>
        <w:topLinePunct w:val="0"/>
        <w:autoSpaceDE/>
        <w:autoSpaceDN/>
        <w:bidi w:val="0"/>
        <w:adjustRightInd/>
        <w:snapToGrid/>
        <w:spacing w:line="360" w:lineRule="auto"/>
        <w:ind w:left="480" w:leftChars="0" w:hanging="480" w:hanging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第二个问题：该项统计有效问卷数量40份，选择非常满意的人数为36人。选择比较满意的人数为4人，选择一般的人数0人，选择不满意的人数0人。</w:t>
      </w:r>
    </w:p>
    <w:p w14:paraId="325BCCB5">
      <w:pPr>
        <w:keepNext w:val="0"/>
        <w:keepLines w:val="0"/>
        <w:pageBreakBefore w:val="0"/>
        <w:widowControl w:val="0"/>
        <w:kinsoku/>
        <w:wordWrap/>
        <w:overflowPunct/>
        <w:topLinePunct w:val="0"/>
        <w:autoSpaceDE/>
        <w:autoSpaceDN/>
        <w:bidi w:val="0"/>
        <w:adjustRightInd/>
        <w:snapToGrid/>
        <w:spacing w:line="360" w:lineRule="auto"/>
        <w:ind w:left="480" w:leftChars="0" w:hanging="480" w:hanging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第三个问题：该项统计有效问卷数量40份，选择非常满意的人数为40人。选择比较满意的人数为0人，选择一般的人数0人，选择不满意的人数0人。</w:t>
      </w:r>
    </w:p>
    <w:p w14:paraId="7643E64B">
      <w:pPr>
        <w:keepNext w:val="0"/>
        <w:keepLines w:val="0"/>
        <w:pageBreakBefore w:val="0"/>
        <w:widowControl w:val="0"/>
        <w:kinsoku/>
        <w:wordWrap/>
        <w:overflowPunct/>
        <w:topLinePunct w:val="0"/>
        <w:autoSpaceDE/>
        <w:autoSpaceDN/>
        <w:bidi w:val="0"/>
        <w:adjustRightInd/>
        <w:snapToGrid/>
        <w:spacing w:line="360" w:lineRule="auto"/>
        <w:ind w:left="480" w:leftChars="0" w:hanging="480" w:hangingChars="200"/>
        <w:jc w:val="both"/>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二、调查结果统计</w:t>
      </w:r>
    </w:p>
    <w:p w14:paraId="5FBC39FA">
      <w:pPr>
        <w:keepNext w:val="0"/>
        <w:keepLines w:val="0"/>
        <w:pageBreakBefore w:val="0"/>
        <w:widowControl w:val="0"/>
        <w:kinsoku/>
        <w:wordWrap/>
        <w:overflowPunct/>
        <w:topLinePunct w:val="0"/>
        <w:autoSpaceDE/>
        <w:autoSpaceDN/>
        <w:bidi w:val="0"/>
        <w:adjustRightInd/>
        <w:snapToGrid/>
        <w:spacing w:line="360" w:lineRule="auto"/>
        <w:ind w:left="480" w:leftChars="0" w:hanging="480" w:hanging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color w:val="auto"/>
          <w:sz w:val="24"/>
          <w:szCs w:val="24"/>
          <w:highlight w:val="none"/>
          <w:lang w:val="en-US" w:eastAsia="zh-CN"/>
        </w:rPr>
        <w:t>监察信息员经费项目</w:t>
      </w:r>
      <w:r>
        <w:rPr>
          <w:rFonts w:hint="eastAsia" w:ascii="宋体" w:hAnsi="宋体" w:eastAsia="宋体" w:cs="宋体"/>
          <w:sz w:val="24"/>
          <w:szCs w:val="24"/>
          <w:highlight w:val="none"/>
          <w:lang w:val="en-US" w:eastAsia="zh-CN"/>
        </w:rPr>
        <w:t>针对受益人员发放40份调查问卷，最终统计受益人群满意度为100%。</w:t>
      </w:r>
    </w:p>
    <w:p w14:paraId="348763CB">
      <w:pPr>
        <w:keepNext w:val="0"/>
        <w:keepLines w:val="0"/>
        <w:pageBreakBefore w:val="0"/>
        <w:widowControl w:val="0"/>
        <w:kinsoku/>
        <w:wordWrap/>
        <w:overflowPunct/>
        <w:topLinePunct w:val="0"/>
        <w:autoSpaceDE/>
        <w:autoSpaceDN/>
        <w:bidi w:val="0"/>
        <w:adjustRightInd/>
        <w:snapToGrid/>
        <w:spacing w:line="360" w:lineRule="auto"/>
        <w:ind w:left="480" w:leftChars="0" w:hanging="480" w:hangingChars="200"/>
        <w:jc w:val="both"/>
        <w:textAlignment w:val="auto"/>
        <w:rPr>
          <w:rFonts w:hint="eastAsia" w:ascii="宋体" w:hAnsi="宋体" w:eastAsia="宋体" w:cs="宋体"/>
          <w:sz w:val="24"/>
          <w:szCs w:val="24"/>
          <w:highlight w:val="none"/>
          <w:lang w:val="en-US" w:eastAsia="zh-CN"/>
        </w:rPr>
      </w:pPr>
    </w:p>
    <w:p w14:paraId="2AB13DC2">
      <w:pPr>
        <w:keepNext w:val="0"/>
        <w:keepLines w:val="0"/>
        <w:pageBreakBefore w:val="0"/>
        <w:widowControl w:val="0"/>
        <w:kinsoku/>
        <w:wordWrap/>
        <w:overflowPunct/>
        <w:topLinePunct w:val="0"/>
        <w:autoSpaceDE/>
        <w:autoSpaceDN/>
        <w:bidi w:val="0"/>
        <w:adjustRightInd/>
        <w:snapToGrid/>
        <w:spacing w:line="360" w:lineRule="auto"/>
        <w:ind w:left="480" w:leftChars="0" w:hanging="480" w:hangingChars="200"/>
        <w:jc w:val="righ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洛浦县纪律检查委员会</w:t>
      </w:r>
    </w:p>
    <w:p w14:paraId="46A62029">
      <w:pPr>
        <w:keepNext w:val="0"/>
        <w:keepLines w:val="0"/>
        <w:pageBreakBefore w:val="0"/>
        <w:widowControl w:val="0"/>
        <w:kinsoku/>
        <w:wordWrap/>
        <w:overflowPunct/>
        <w:topLinePunct w:val="0"/>
        <w:autoSpaceDE/>
        <w:autoSpaceDN/>
        <w:bidi w:val="0"/>
        <w:adjustRightInd/>
        <w:snapToGrid/>
        <w:spacing w:line="360" w:lineRule="auto"/>
        <w:ind w:left="480" w:leftChars="0" w:hanging="480" w:hangingChars="200"/>
        <w:jc w:val="righ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2025年3月10日</w:t>
      </w:r>
    </w:p>
    <w:p w14:paraId="5FD484AF">
      <w:pPr>
        <w:keepNext w:val="0"/>
        <w:keepLines w:val="0"/>
        <w:pageBreakBefore w:val="0"/>
        <w:widowControl w:val="0"/>
        <w:kinsoku/>
        <w:wordWrap/>
        <w:overflowPunct/>
        <w:topLinePunct w:val="0"/>
        <w:autoSpaceDE/>
        <w:autoSpaceDN/>
        <w:bidi w:val="0"/>
        <w:adjustRightInd/>
        <w:snapToGrid/>
        <w:spacing w:line="360" w:lineRule="auto"/>
        <w:ind w:left="480" w:leftChars="0" w:hanging="480" w:hangingChars="200"/>
        <w:textAlignment w:val="auto"/>
        <w:rPr>
          <w:rFonts w:hint="eastAsia" w:ascii="宋体" w:hAnsi="宋体" w:eastAsia="宋体" w:cs="宋体"/>
          <w:sz w:val="24"/>
          <w:szCs w:val="24"/>
          <w:highlight w:val="none"/>
        </w:rPr>
      </w:pPr>
    </w:p>
    <w:p w14:paraId="7DBE6E38">
      <w:pPr>
        <w:pStyle w:val="11"/>
        <w:keepNext w:val="0"/>
        <w:keepLines w:val="0"/>
        <w:pageBreakBefore w:val="0"/>
        <w:widowControl w:val="0"/>
        <w:kinsoku/>
        <w:wordWrap/>
        <w:overflowPunct/>
        <w:topLinePunct w:val="0"/>
        <w:autoSpaceDE/>
        <w:autoSpaceDN/>
        <w:bidi w:val="0"/>
        <w:adjustRightInd/>
        <w:snapToGrid/>
        <w:spacing w:before="0" w:after="0" w:line="360" w:lineRule="auto"/>
        <w:ind w:left="480" w:hanging="480" w:hangingChars="200"/>
        <w:textAlignment w:val="auto"/>
        <w:rPr>
          <w:rFonts w:hint="eastAsia" w:ascii="宋体" w:hAnsi="宋体" w:eastAsia="宋体" w:cs="宋体"/>
          <w:sz w:val="24"/>
          <w:szCs w:val="24"/>
          <w:lang w:eastAsia="zh-CN"/>
        </w:rPr>
      </w:pPr>
    </w:p>
    <w:sectPr>
      <w:pgSz w:w="11906" w:h="16838"/>
      <w:pgMar w:top="1985" w:right="1531" w:bottom="1701" w:left="1531" w:header="851" w:footer="992" w:gutter="0"/>
      <w:pgNumType w:fmt="decimal"/>
      <w:cols w:space="720" w:num="1"/>
      <w:docGrid w:type="linesAndChars" w:linePitch="38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7C18A6C-70AF-42E0-8113-86B19F2C930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30F07F2F-21D2-4BA8-A4EE-2E2BABEEB743}"/>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方正仿宋_GBK">
    <w:panose1 w:val="02000000000000000000"/>
    <w:charset w:val="86"/>
    <w:family w:val="script"/>
    <w:pitch w:val="default"/>
    <w:sig w:usb0="A00002BF" w:usb1="38CF7CFA" w:usb2="00082016" w:usb3="00000000" w:csb0="00040001" w:csb1="00000000"/>
    <w:embedRegular r:id="rId3" w:fontKey="{1B26EA7D-1D46-4AFF-9417-C246D895A8F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5EC227">
    <w:pPr>
      <w:pStyle w:val="1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15278F">
    <w:pPr>
      <w:pStyle w:val="1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5DBF1D">
    <w:pPr>
      <w:pStyle w:val="1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CBEE23">
    <w:pPr>
      <w:pStyle w:val="16"/>
      <w:ind w:firstLine="360"/>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aspectratio="f"/>
          <v:textbox inset="0mm,0mm,0mm,0mm" style="mso-fit-shape-to-text:t;">
            <w:txbxContent>
              <w:p w14:paraId="02ED13E0">
                <w:pPr>
                  <w:pStyle w:val="16"/>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28</w:t>
                </w:r>
                <w:r>
                  <w:t xml:space="preserve"> 页</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EDAC6E">
    <w:pPr>
      <w:pStyle w:val="17"/>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72BEA9">
    <w:pPr>
      <w:pStyle w:val="1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0102B0">
    <w:pPr>
      <w:pStyle w:val="1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decimal"/>
      <w:suff w:val="nothing"/>
      <w:lvlText w:val="（%1）"/>
      <w:lvlJc w:val="left"/>
    </w:lvl>
  </w:abstractNum>
  <w:abstractNum w:abstractNumId="1">
    <w:nsid w:val="BF205925"/>
    <w:multiLevelType w:val="singleLevel"/>
    <w:tmpl w:val="BF205925"/>
    <w:lvl w:ilvl="0" w:tentative="0">
      <w:start w:val="1"/>
      <w:numFmt w:val="decimal"/>
      <w:suff w:val="nothing"/>
      <w:lvlText w:val="%1）"/>
      <w:lvlJc w:val="left"/>
    </w:lvl>
  </w:abstractNum>
  <w:abstractNum w:abstractNumId="2">
    <w:nsid w:val="CF092B84"/>
    <w:multiLevelType w:val="singleLevel"/>
    <w:tmpl w:val="CF092B84"/>
    <w:lvl w:ilvl="0" w:tentative="0">
      <w:start w:val="2"/>
      <w:numFmt w:val="decimal"/>
      <w:lvlText w:val="%1."/>
      <w:lvlJc w:val="left"/>
      <w:pPr>
        <w:tabs>
          <w:tab w:val="left" w:pos="312"/>
        </w:tabs>
      </w:pPr>
    </w:lvl>
  </w:abstractNum>
  <w:abstractNum w:abstractNumId="3">
    <w:nsid w:val="0053208E"/>
    <w:multiLevelType w:val="multilevel"/>
    <w:tmpl w:val="0053208E"/>
    <w:lvl w:ilvl="0" w:tentative="0">
      <w:start w:val="1"/>
      <w:numFmt w:val="chineseCountingThousand"/>
      <w:pStyle w:val="62"/>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3D62ECE"/>
    <w:multiLevelType w:val="singleLevel"/>
    <w:tmpl w:val="03D62ECE"/>
    <w:lvl w:ilvl="0" w:tentative="0">
      <w:start w:val="1"/>
      <w:numFmt w:val="decimal"/>
      <w:suff w:val="nothing"/>
      <w:lvlText w:val="（%1）"/>
      <w:lvlJc w:val="left"/>
    </w:lvl>
  </w:abstractNum>
  <w:abstractNum w:abstractNumId="5">
    <w:nsid w:val="59ADCABA"/>
    <w:multiLevelType w:val="singleLevel"/>
    <w:tmpl w:val="59ADCABA"/>
    <w:lvl w:ilvl="0" w:tentative="0">
      <w:start w:val="1"/>
      <w:numFmt w:val="decimal"/>
      <w:suff w:val="nothing"/>
      <w:lvlText w:val="（%1）"/>
      <w:lvlJc w:val="left"/>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doNotTrackMoves/>
  <w:documentProtection w:enforcement="0"/>
  <w:defaultTabStop w:val="420"/>
  <w:drawingGridHorizontalSpacing w:val="140"/>
  <w:drawingGridVerticalSpacing w:val="193"/>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zIzNjhjZjkxMjg2OGJjOTQ0NThhNzBhOGI4YTVmYWYifQ=="/>
  </w:docVars>
  <w:rsids>
    <w:rsidRoot w:val="00000000"/>
    <w:rsid w:val="1CD92567"/>
    <w:rsid w:val="4BA6145A"/>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qFormat="1" w:uiPriority="39" w:semiHidden="0" w:name="toc 2"/>
    <w:lsdException w:qFormat="1"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qFormat="1" w:uiPriority="39" w:semiHidden="0" w:name="toc 9"/>
    <w:lsdException w:uiPriority="99" w:name="Normal Indent"/>
    <w:lsdException w:uiPriority="99" w:name="footnote text"/>
    <w:lsdException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qFormat="1" w:unhideWhenUsed="0" w:uiPriority="0"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Times New Roman" w:hAnsi="Times New Roman" w:eastAsia="仿宋_GB2312" w:cs="黑体"/>
      <w:kern w:val="2"/>
      <w:sz w:val="28"/>
      <w:szCs w:val="22"/>
      <w:lang w:val="en-US" w:eastAsia="zh-CN" w:bidi="ar-SA"/>
    </w:rPr>
  </w:style>
  <w:style w:type="paragraph" w:styleId="4">
    <w:name w:val="heading 1"/>
    <w:basedOn w:val="1"/>
    <w:next w:val="2"/>
    <w:link w:val="34"/>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5">
    <w:name w:val="heading 2"/>
    <w:basedOn w:val="1"/>
    <w:next w:val="1"/>
    <w:link w:val="35"/>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6">
    <w:name w:val="heading 3"/>
    <w:basedOn w:val="1"/>
    <w:next w:val="1"/>
    <w:link w:val="36"/>
    <w:qFormat/>
    <w:uiPriority w:val="9"/>
    <w:pPr>
      <w:keepNext/>
      <w:keepLines/>
      <w:spacing w:before="260" w:after="260" w:line="416" w:lineRule="auto"/>
      <w:jc w:val="left"/>
      <w:outlineLvl w:val="2"/>
    </w:pPr>
    <w:rPr>
      <w:rFonts w:cs="Times New Roman"/>
      <w:bCs/>
      <w:kern w:val="0"/>
      <w:szCs w:val="32"/>
    </w:rPr>
  </w:style>
  <w:style w:type="paragraph" w:styleId="7">
    <w:name w:val="heading 4"/>
    <w:basedOn w:val="1"/>
    <w:next w:val="1"/>
    <w:link w:val="37"/>
    <w:qFormat/>
    <w:uiPriority w:val="9"/>
    <w:pPr>
      <w:keepNext/>
      <w:keepLines/>
      <w:spacing w:before="280" w:after="290" w:line="376" w:lineRule="auto"/>
      <w:outlineLvl w:val="3"/>
    </w:pPr>
    <w:rPr>
      <w:rFonts w:ascii="Cambria" w:hAnsi="Cambria" w:eastAsia="宋体" w:cs="Times New Roman"/>
      <w:b/>
      <w:bCs/>
      <w:kern w:val="0"/>
      <w:szCs w:val="28"/>
    </w:rPr>
  </w:style>
  <w:style w:type="character" w:default="1" w:styleId="26">
    <w:name w:val="Default Paragraph Font"/>
    <w:unhideWhenUsed/>
    <w:uiPriority w:val="1"/>
  </w:style>
  <w:style w:type="table" w:default="1" w:styleId="24">
    <w:name w:val="Normal Table"/>
    <w:unhideWhenUsed/>
    <w:qFormat/>
    <w:uiPriority w:val="99"/>
    <w:tblPr>
      <w:tblCellMar>
        <w:top w:w="0" w:type="dxa"/>
        <w:left w:w="108" w:type="dxa"/>
        <w:bottom w:w="0" w:type="dxa"/>
        <w:right w:w="108" w:type="dxa"/>
      </w:tblCellMar>
    </w:tblPr>
  </w:style>
  <w:style w:type="paragraph" w:styleId="2">
    <w:name w:val="Body Text First Indent 2"/>
    <w:basedOn w:val="3"/>
    <w:link w:val="33"/>
    <w:unhideWhenUsed/>
    <w:uiPriority w:val="0"/>
    <w:pPr>
      <w:ind w:firstLine="420"/>
    </w:pPr>
  </w:style>
  <w:style w:type="paragraph" w:styleId="3">
    <w:name w:val="Body Text Indent"/>
    <w:basedOn w:val="1"/>
    <w:link w:val="32"/>
    <w:unhideWhenUsed/>
    <w:uiPriority w:val="99"/>
    <w:pPr>
      <w:spacing w:after="120"/>
      <w:ind w:left="420" w:leftChars="200"/>
    </w:pPr>
    <w:rPr>
      <w:rFonts w:cs="Times New Roman"/>
      <w:kern w:val="0"/>
      <w:szCs w:val="20"/>
    </w:rPr>
  </w:style>
  <w:style w:type="paragraph" w:styleId="8">
    <w:name w:val="toc 7"/>
    <w:basedOn w:val="1"/>
    <w:next w:val="1"/>
    <w:unhideWhenUsed/>
    <w:uiPriority w:val="39"/>
    <w:pPr>
      <w:ind w:left="1680"/>
      <w:jc w:val="left"/>
    </w:pPr>
    <w:rPr>
      <w:rFonts w:ascii="Calibri" w:hAnsi="Calibri" w:cs="Calibri"/>
      <w:sz w:val="18"/>
      <w:szCs w:val="18"/>
    </w:rPr>
  </w:style>
  <w:style w:type="paragraph" w:styleId="9">
    <w:name w:val="table of authorities"/>
    <w:basedOn w:val="1"/>
    <w:next w:val="1"/>
    <w:qFormat/>
    <w:uiPriority w:val="0"/>
    <w:pPr>
      <w:ind w:left="200" w:leftChars="200"/>
    </w:pPr>
  </w:style>
  <w:style w:type="paragraph" w:styleId="10">
    <w:name w:val="Document Map"/>
    <w:basedOn w:val="1"/>
    <w:link w:val="38"/>
    <w:unhideWhenUsed/>
    <w:uiPriority w:val="99"/>
    <w:rPr>
      <w:rFonts w:ascii="宋体" w:eastAsia="宋体" w:cs="Times New Roman"/>
      <w:kern w:val="0"/>
      <w:sz w:val="18"/>
      <w:szCs w:val="18"/>
    </w:rPr>
  </w:style>
  <w:style w:type="paragraph" w:styleId="11">
    <w:name w:val="Body Text"/>
    <w:basedOn w:val="1"/>
    <w:qFormat/>
    <w:uiPriority w:val="0"/>
    <w:pPr>
      <w:spacing w:before="240" w:after="240" w:line="360" w:lineRule="auto"/>
      <w:jc w:val="center"/>
    </w:pPr>
    <w:rPr>
      <w:b/>
      <w:sz w:val="44"/>
    </w:rPr>
  </w:style>
  <w:style w:type="paragraph" w:styleId="12">
    <w:name w:val="toc 5"/>
    <w:basedOn w:val="1"/>
    <w:next w:val="1"/>
    <w:unhideWhenUsed/>
    <w:uiPriority w:val="39"/>
    <w:pPr>
      <w:ind w:left="1120"/>
      <w:jc w:val="left"/>
    </w:pPr>
    <w:rPr>
      <w:rFonts w:ascii="Calibri" w:hAnsi="Calibri" w:cs="Calibri"/>
      <w:sz w:val="18"/>
      <w:szCs w:val="18"/>
    </w:rPr>
  </w:style>
  <w:style w:type="paragraph" w:styleId="13">
    <w:name w:val="toc 3"/>
    <w:basedOn w:val="1"/>
    <w:next w:val="1"/>
    <w:unhideWhenUsed/>
    <w:qFormat/>
    <w:uiPriority w:val="39"/>
    <w:pPr>
      <w:ind w:left="560"/>
      <w:jc w:val="left"/>
    </w:pPr>
    <w:rPr>
      <w:rFonts w:ascii="Calibri" w:hAnsi="Calibri" w:cs="Calibri"/>
      <w:i/>
      <w:iCs/>
      <w:sz w:val="20"/>
      <w:szCs w:val="20"/>
    </w:rPr>
  </w:style>
  <w:style w:type="paragraph" w:styleId="14">
    <w:name w:val="toc 8"/>
    <w:basedOn w:val="1"/>
    <w:next w:val="1"/>
    <w:unhideWhenUsed/>
    <w:uiPriority w:val="39"/>
    <w:pPr>
      <w:ind w:left="1960"/>
      <w:jc w:val="left"/>
    </w:pPr>
    <w:rPr>
      <w:rFonts w:ascii="Calibri" w:hAnsi="Calibri" w:cs="Calibri"/>
      <w:sz w:val="18"/>
      <w:szCs w:val="18"/>
    </w:rPr>
  </w:style>
  <w:style w:type="paragraph" w:styleId="15">
    <w:name w:val="Balloon Text"/>
    <w:basedOn w:val="1"/>
    <w:link w:val="40"/>
    <w:unhideWhenUsed/>
    <w:uiPriority w:val="99"/>
    <w:rPr>
      <w:rFonts w:cs="Times New Roman"/>
      <w:kern w:val="0"/>
      <w:sz w:val="18"/>
      <w:szCs w:val="18"/>
    </w:rPr>
  </w:style>
  <w:style w:type="paragraph" w:styleId="16">
    <w:name w:val="footer"/>
    <w:basedOn w:val="1"/>
    <w:link w:val="41"/>
    <w:unhideWhenUsed/>
    <w:qFormat/>
    <w:uiPriority w:val="99"/>
    <w:pPr>
      <w:tabs>
        <w:tab w:val="center" w:pos="4153"/>
        <w:tab w:val="right" w:pos="8306"/>
      </w:tabs>
      <w:snapToGrid w:val="0"/>
      <w:jc w:val="left"/>
    </w:pPr>
    <w:rPr>
      <w:rFonts w:cs="Times New Roman"/>
      <w:kern w:val="0"/>
      <w:sz w:val="18"/>
      <w:szCs w:val="18"/>
    </w:rPr>
  </w:style>
  <w:style w:type="paragraph" w:styleId="17">
    <w:name w:val="header"/>
    <w:basedOn w:val="1"/>
    <w:link w:val="42"/>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18">
    <w:name w:val="toc 1"/>
    <w:basedOn w:val="1"/>
    <w:next w:val="1"/>
    <w:unhideWhenUsed/>
    <w:uiPriority w:val="39"/>
    <w:pPr>
      <w:spacing w:before="120" w:after="120"/>
      <w:jc w:val="left"/>
    </w:pPr>
    <w:rPr>
      <w:rFonts w:ascii="Calibri" w:hAnsi="Calibri" w:cs="Calibri"/>
      <w:b/>
      <w:bCs/>
      <w:caps/>
      <w:sz w:val="20"/>
      <w:szCs w:val="20"/>
    </w:rPr>
  </w:style>
  <w:style w:type="paragraph" w:styleId="19">
    <w:name w:val="toc 4"/>
    <w:basedOn w:val="1"/>
    <w:next w:val="1"/>
    <w:unhideWhenUsed/>
    <w:uiPriority w:val="39"/>
    <w:pPr>
      <w:ind w:left="840"/>
      <w:jc w:val="left"/>
    </w:pPr>
    <w:rPr>
      <w:rFonts w:ascii="Calibri" w:hAnsi="Calibri" w:cs="Calibri"/>
      <w:sz w:val="18"/>
      <w:szCs w:val="18"/>
    </w:rPr>
  </w:style>
  <w:style w:type="paragraph" w:styleId="20">
    <w:name w:val="toc 6"/>
    <w:basedOn w:val="1"/>
    <w:next w:val="1"/>
    <w:unhideWhenUsed/>
    <w:uiPriority w:val="39"/>
    <w:pPr>
      <w:ind w:left="1400"/>
      <w:jc w:val="left"/>
    </w:pPr>
    <w:rPr>
      <w:rFonts w:ascii="Calibri" w:hAnsi="Calibri" w:cs="Calibri"/>
      <w:sz w:val="18"/>
      <w:szCs w:val="18"/>
    </w:rPr>
  </w:style>
  <w:style w:type="paragraph" w:styleId="21">
    <w:name w:val="toc 2"/>
    <w:basedOn w:val="1"/>
    <w:next w:val="1"/>
    <w:unhideWhenUsed/>
    <w:qFormat/>
    <w:uiPriority w:val="39"/>
    <w:pPr>
      <w:ind w:left="280"/>
      <w:jc w:val="left"/>
    </w:pPr>
    <w:rPr>
      <w:rFonts w:ascii="Calibri" w:hAnsi="Calibri" w:cs="Calibri"/>
      <w:smallCaps/>
      <w:sz w:val="20"/>
      <w:szCs w:val="20"/>
    </w:rPr>
  </w:style>
  <w:style w:type="paragraph" w:styleId="22">
    <w:name w:val="toc 9"/>
    <w:basedOn w:val="1"/>
    <w:next w:val="1"/>
    <w:unhideWhenUsed/>
    <w:qFormat/>
    <w:uiPriority w:val="39"/>
    <w:pPr>
      <w:ind w:left="2240"/>
      <w:jc w:val="left"/>
    </w:pPr>
    <w:rPr>
      <w:rFonts w:ascii="Calibri" w:hAnsi="Calibri" w:cs="Calibri"/>
      <w:sz w:val="18"/>
      <w:szCs w:val="18"/>
    </w:rPr>
  </w:style>
  <w:style w:type="paragraph" w:styleId="23">
    <w:name w:val="Title"/>
    <w:basedOn w:val="1"/>
    <w:next w:val="1"/>
    <w:link w:val="43"/>
    <w:qFormat/>
    <w:uiPriority w:val="10"/>
    <w:pPr>
      <w:spacing w:before="240" w:after="60"/>
      <w:jc w:val="center"/>
      <w:outlineLvl w:val="0"/>
    </w:pPr>
    <w:rPr>
      <w:rFonts w:ascii="Cambria" w:hAnsi="Cambria" w:eastAsia="宋体" w:cs="Times New Roman"/>
      <w:b/>
      <w:bCs/>
      <w:sz w:val="32"/>
      <w:szCs w:val="32"/>
    </w:rPr>
  </w:style>
  <w:style w:type="table" w:styleId="25">
    <w:name w:val="Table Grid"/>
    <w:basedOn w:val="2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basedOn w:val="26"/>
    <w:qFormat/>
    <w:uiPriority w:val="0"/>
    <w:rPr>
      <w:b/>
      <w:bCs/>
    </w:rPr>
  </w:style>
  <w:style w:type="character" w:styleId="28">
    <w:name w:val="Hyperlink"/>
    <w:unhideWhenUsed/>
    <w:qFormat/>
    <w:uiPriority w:val="99"/>
    <w:rPr>
      <w:color w:val="0000FF"/>
      <w:u w:val="single"/>
    </w:rPr>
  </w:style>
  <w:style w:type="paragraph" w:customStyle="1" w:styleId="29">
    <w:name w:val="Comment Text"/>
    <w:basedOn w:val="1"/>
    <w:link w:val="39"/>
    <w:unhideWhenUsed/>
    <w:qFormat/>
    <w:uiPriority w:val="99"/>
    <w:rPr>
      <w:rFonts w:cs="Times New Roman"/>
      <w:kern w:val="0"/>
      <w:sz w:val="20"/>
      <w:szCs w:val="20"/>
    </w:rPr>
  </w:style>
  <w:style w:type="paragraph" w:customStyle="1" w:styleId="30">
    <w:name w:val="Comment Subject"/>
    <w:basedOn w:val="29"/>
    <w:next w:val="29"/>
    <w:link w:val="44"/>
    <w:unhideWhenUsed/>
    <w:qFormat/>
    <w:uiPriority w:val="99"/>
    <w:rPr>
      <w:b/>
      <w:bCs/>
    </w:rPr>
  </w:style>
  <w:style w:type="character" w:customStyle="1" w:styleId="31">
    <w:name w:val="Comment Reference"/>
    <w:unhideWhenUsed/>
    <w:qFormat/>
    <w:uiPriority w:val="99"/>
    <w:rPr>
      <w:sz w:val="16"/>
      <w:szCs w:val="16"/>
    </w:rPr>
  </w:style>
  <w:style w:type="character" w:customStyle="1" w:styleId="32">
    <w:name w:val="正文文本缩进 Char"/>
    <w:link w:val="3"/>
    <w:semiHidden/>
    <w:qFormat/>
    <w:uiPriority w:val="99"/>
    <w:rPr>
      <w:rFonts w:ascii="Calibri" w:hAnsi="Calibri" w:eastAsia="仿宋_GB2312" w:cs="黑体"/>
      <w:sz w:val="28"/>
    </w:rPr>
  </w:style>
  <w:style w:type="character" w:customStyle="1" w:styleId="33">
    <w:name w:val="正文首行缩进 2 Char"/>
    <w:link w:val="2"/>
    <w:qFormat/>
    <w:uiPriority w:val="0"/>
    <w:rPr>
      <w:rFonts w:ascii="Calibri" w:hAnsi="Calibri" w:eastAsia="仿宋_GB2312" w:cs="黑体"/>
      <w:sz w:val="28"/>
    </w:rPr>
  </w:style>
  <w:style w:type="character" w:customStyle="1" w:styleId="34">
    <w:name w:val="标题 1 Char"/>
    <w:link w:val="4"/>
    <w:uiPriority w:val="9"/>
    <w:rPr>
      <w:rFonts w:ascii="Times New Roman" w:hAnsi="Times New Roman" w:eastAsia="仿宋_GB2312" w:cs="Times New Roman"/>
      <w:b/>
      <w:bCs/>
      <w:kern w:val="44"/>
      <w:sz w:val="32"/>
      <w:szCs w:val="44"/>
    </w:rPr>
  </w:style>
  <w:style w:type="character" w:customStyle="1" w:styleId="35">
    <w:name w:val="标题 2 Char"/>
    <w:link w:val="5"/>
    <w:qFormat/>
    <w:uiPriority w:val="0"/>
    <w:rPr>
      <w:rFonts w:ascii="Cambria" w:hAnsi="Cambria" w:eastAsia="仿宋_GB2312" w:cs="Times New Roman"/>
      <w:b/>
      <w:bCs/>
      <w:kern w:val="0"/>
      <w:sz w:val="30"/>
      <w:szCs w:val="32"/>
    </w:rPr>
  </w:style>
  <w:style w:type="character" w:customStyle="1" w:styleId="36">
    <w:name w:val="标题 3 Char"/>
    <w:link w:val="6"/>
    <w:qFormat/>
    <w:uiPriority w:val="9"/>
    <w:rPr>
      <w:rFonts w:ascii="Calibri" w:hAnsi="Calibri" w:eastAsia="仿宋_GB2312" w:cs="黑体"/>
      <w:bCs/>
      <w:sz w:val="28"/>
      <w:szCs w:val="32"/>
    </w:rPr>
  </w:style>
  <w:style w:type="character" w:customStyle="1" w:styleId="37">
    <w:name w:val="标题 4 Char"/>
    <w:link w:val="7"/>
    <w:semiHidden/>
    <w:qFormat/>
    <w:uiPriority w:val="9"/>
    <w:rPr>
      <w:rFonts w:ascii="Cambria" w:hAnsi="Cambria" w:eastAsia="宋体" w:cs="Times New Roman"/>
      <w:b/>
      <w:bCs/>
      <w:sz w:val="28"/>
      <w:szCs w:val="28"/>
    </w:rPr>
  </w:style>
  <w:style w:type="character" w:customStyle="1" w:styleId="38">
    <w:name w:val="文档结构图 Char"/>
    <w:link w:val="10"/>
    <w:semiHidden/>
    <w:qFormat/>
    <w:uiPriority w:val="99"/>
    <w:rPr>
      <w:rFonts w:ascii="宋体" w:hAnsi="Calibri" w:eastAsia="宋体" w:cs="黑体"/>
      <w:sz w:val="18"/>
      <w:szCs w:val="18"/>
    </w:rPr>
  </w:style>
  <w:style w:type="character" w:customStyle="1" w:styleId="39">
    <w:name w:val="批注文字 Char"/>
    <w:link w:val="29"/>
    <w:semiHidden/>
    <w:qFormat/>
    <w:uiPriority w:val="99"/>
    <w:rPr>
      <w:rFonts w:ascii="Calibri" w:hAnsi="Calibri" w:eastAsia="仿宋_GB2312" w:cs="黑体"/>
      <w:sz w:val="20"/>
      <w:szCs w:val="20"/>
    </w:rPr>
  </w:style>
  <w:style w:type="character" w:customStyle="1" w:styleId="40">
    <w:name w:val="批注框文本 Char"/>
    <w:link w:val="15"/>
    <w:semiHidden/>
    <w:qFormat/>
    <w:uiPriority w:val="99"/>
    <w:rPr>
      <w:rFonts w:ascii="Calibri" w:hAnsi="Calibri" w:eastAsia="仿宋_GB2312" w:cs="黑体"/>
      <w:sz w:val="18"/>
      <w:szCs w:val="18"/>
    </w:rPr>
  </w:style>
  <w:style w:type="character" w:customStyle="1" w:styleId="41">
    <w:name w:val="页脚 Char"/>
    <w:link w:val="16"/>
    <w:qFormat/>
    <w:uiPriority w:val="99"/>
    <w:rPr>
      <w:rFonts w:ascii="Calibri" w:hAnsi="Calibri" w:eastAsia="仿宋_GB2312" w:cs="黑体"/>
      <w:sz w:val="18"/>
      <w:szCs w:val="18"/>
    </w:rPr>
  </w:style>
  <w:style w:type="character" w:customStyle="1" w:styleId="42">
    <w:name w:val="页眉 Char"/>
    <w:link w:val="17"/>
    <w:qFormat/>
    <w:uiPriority w:val="99"/>
    <w:rPr>
      <w:rFonts w:ascii="Calibri" w:hAnsi="Calibri" w:eastAsia="仿宋_GB2312" w:cs="黑体"/>
      <w:sz w:val="18"/>
      <w:szCs w:val="18"/>
    </w:rPr>
  </w:style>
  <w:style w:type="character" w:customStyle="1" w:styleId="43">
    <w:name w:val="标题 Char"/>
    <w:link w:val="23"/>
    <w:qFormat/>
    <w:uiPriority w:val="10"/>
    <w:rPr>
      <w:rFonts w:ascii="Cambria" w:hAnsi="Cambria"/>
      <w:b/>
      <w:bCs/>
      <w:kern w:val="2"/>
      <w:sz w:val="32"/>
      <w:szCs w:val="32"/>
    </w:rPr>
  </w:style>
  <w:style w:type="character" w:customStyle="1" w:styleId="44">
    <w:name w:val="批注主题 Char"/>
    <w:link w:val="30"/>
    <w:semiHidden/>
    <w:uiPriority w:val="99"/>
    <w:rPr>
      <w:rFonts w:ascii="Calibri" w:hAnsi="Calibri" w:eastAsia="仿宋_GB2312" w:cs="黑体"/>
      <w:b/>
      <w:bCs/>
      <w:sz w:val="20"/>
      <w:szCs w:val="20"/>
    </w:rPr>
  </w:style>
  <w:style w:type="character" w:customStyle="1" w:styleId="45">
    <w:name w:val="font71"/>
    <w:basedOn w:val="26"/>
    <w:uiPriority w:val="0"/>
    <w:rPr>
      <w:rFonts w:hint="eastAsia" w:ascii="微软雅黑" w:hAnsi="微软雅黑" w:eastAsia="微软雅黑" w:cs="微软雅黑"/>
      <w:b/>
      <w:bCs/>
      <w:color w:val="000000"/>
      <w:sz w:val="32"/>
      <w:szCs w:val="32"/>
      <w:u w:val="none"/>
    </w:rPr>
  </w:style>
  <w:style w:type="character" w:customStyle="1" w:styleId="46">
    <w:name w:val="46"/>
    <w:qFormat/>
    <w:uiPriority w:val="0"/>
    <w:rPr>
      <w:b/>
      <w:bCs/>
      <w:smallCaps/>
      <w:color w:val="C0504D"/>
      <w:spacing w:val="5"/>
      <w:u w:val="single"/>
    </w:rPr>
  </w:style>
  <w:style w:type="character" w:customStyle="1" w:styleId="47">
    <w:name w:val="闻政-正文段落文字 Char"/>
    <w:link w:val="48"/>
    <w:qFormat/>
    <w:uiPriority w:val="3"/>
    <w:rPr>
      <w:rFonts w:ascii="Times New Roman" w:hAnsi="Times New Roman" w:eastAsia="仿宋_GB2312"/>
      <w:sz w:val="28"/>
      <w:szCs w:val="28"/>
    </w:rPr>
  </w:style>
  <w:style w:type="paragraph" w:customStyle="1" w:styleId="48">
    <w:name w:val="闻政-正文段落文字"/>
    <w:basedOn w:val="1"/>
    <w:link w:val="47"/>
    <w:qFormat/>
    <w:uiPriority w:val="3"/>
    <w:pPr>
      <w:spacing w:line="500" w:lineRule="exact"/>
      <w:ind w:firstLine="200"/>
    </w:pPr>
    <w:rPr>
      <w:rFonts w:ascii="Times New Roman" w:hAnsi="Times New Roman" w:cs="Times New Roman"/>
      <w:kern w:val="0"/>
      <w:szCs w:val="28"/>
    </w:rPr>
  </w:style>
  <w:style w:type="character" w:customStyle="1" w:styleId="49">
    <w:name w:val="闻政-正文三级标题 Char"/>
    <w:link w:val="50"/>
    <w:qFormat/>
    <w:uiPriority w:val="3"/>
    <w:rPr>
      <w:rFonts w:ascii="Times New Roman" w:hAnsi="Times New Roman" w:eastAsia="仿宋_GB2312"/>
      <w:b/>
      <w:snapToGrid w:val="0"/>
      <w:sz w:val="28"/>
      <w:szCs w:val="28"/>
    </w:rPr>
  </w:style>
  <w:style w:type="paragraph" w:customStyle="1" w:styleId="50">
    <w:name w:val="闻政-正文三级标题"/>
    <w:basedOn w:val="1"/>
    <w:next w:val="48"/>
    <w:link w:val="49"/>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rPr>
  </w:style>
  <w:style w:type="character" w:customStyle="1" w:styleId="51">
    <w:name w:val="font11"/>
    <w:qFormat/>
    <w:uiPriority w:val="0"/>
    <w:rPr>
      <w:rFonts w:hint="eastAsia" w:ascii="方正仿宋_GBK" w:hAnsi="方正仿宋_GBK" w:eastAsia="方正仿宋_GBK" w:cs="方正仿宋_GBK"/>
      <w:color w:val="000000"/>
      <w:sz w:val="24"/>
      <w:szCs w:val="24"/>
      <w:u w:val="none"/>
    </w:rPr>
  </w:style>
  <w:style w:type="character" w:customStyle="1" w:styleId="52">
    <w:name w:val="闻政-正文一级标题 Char"/>
    <w:link w:val="53"/>
    <w:uiPriority w:val="3"/>
    <w:rPr>
      <w:rFonts w:ascii="黑体" w:hAnsi="黑体" w:eastAsia="黑体"/>
      <w:bCs/>
      <w:sz w:val="32"/>
      <w:szCs w:val="32"/>
    </w:rPr>
  </w:style>
  <w:style w:type="paragraph" w:customStyle="1" w:styleId="53">
    <w:name w:val="闻政-正文一级标题"/>
    <w:basedOn w:val="6"/>
    <w:next w:val="48"/>
    <w:link w:val="52"/>
    <w:qFormat/>
    <w:uiPriority w:val="3"/>
    <w:pPr>
      <w:spacing w:before="120" w:after="60" w:line="500" w:lineRule="exact"/>
      <w:ind w:firstLine="0" w:firstLineChars="0"/>
      <w:outlineLvl w:val="0"/>
    </w:pPr>
    <w:rPr>
      <w:rFonts w:ascii="黑体" w:hAnsi="黑体" w:eastAsia="黑体"/>
      <w:sz w:val="32"/>
    </w:rPr>
  </w:style>
  <w:style w:type="character" w:customStyle="1" w:styleId="54">
    <w:name w:val="font21"/>
    <w:uiPriority w:val="0"/>
    <w:rPr>
      <w:rFonts w:hint="default" w:ascii="Times New Roman" w:hAnsi="Times New Roman" w:cs="Times New Roman"/>
      <w:color w:val="000000"/>
      <w:sz w:val="24"/>
      <w:szCs w:val="24"/>
      <w:u w:val="none"/>
    </w:rPr>
  </w:style>
  <w:style w:type="character" w:customStyle="1" w:styleId="55">
    <w:name w:val="无间隔 Char"/>
    <w:link w:val="56"/>
    <w:uiPriority w:val="1"/>
    <w:rPr>
      <w:rFonts w:eastAsia="仿宋_GB2312" w:cs="黑体"/>
      <w:kern w:val="2"/>
      <w:sz w:val="28"/>
      <w:szCs w:val="22"/>
      <w:lang w:val="en-US" w:eastAsia="zh-CN" w:bidi="ar-SA"/>
    </w:rPr>
  </w:style>
  <w:style w:type="paragraph" w:styleId="56">
    <w:name w:val="No Spacing"/>
    <w:link w:val="55"/>
    <w:qFormat/>
    <w:uiPriority w:val="1"/>
    <w:pPr>
      <w:widowControl w:val="0"/>
      <w:ind w:firstLine="600" w:firstLineChars="200"/>
      <w:jc w:val="both"/>
    </w:pPr>
    <w:rPr>
      <w:rFonts w:ascii="Times New Roman" w:hAnsi="Times New Roman" w:eastAsia="仿宋_GB2312" w:cs="黑体"/>
      <w:kern w:val="2"/>
      <w:sz w:val="28"/>
      <w:szCs w:val="22"/>
      <w:lang w:val="en-US" w:eastAsia="zh-CN" w:bidi="ar-SA"/>
    </w:rPr>
  </w:style>
  <w:style w:type="character" w:customStyle="1" w:styleId="57">
    <w:name w:val="闻政-正文二级标题 Char"/>
    <w:link w:val="58"/>
    <w:uiPriority w:val="3"/>
    <w:rPr>
      <w:rFonts w:ascii="Times New Roman" w:hAnsi="Times New Roman" w:eastAsia="仿宋_GB2312"/>
      <w:b/>
      <w:bCs/>
      <w:sz w:val="28"/>
      <w:szCs w:val="32"/>
    </w:rPr>
  </w:style>
  <w:style w:type="paragraph" w:customStyle="1" w:styleId="58">
    <w:name w:val="闻政-正文二级标题"/>
    <w:basedOn w:val="5"/>
    <w:next w:val="48"/>
    <w:link w:val="57"/>
    <w:qFormat/>
    <w:uiPriority w:val="3"/>
    <w:pPr>
      <w:spacing w:before="120" w:after="60" w:line="500" w:lineRule="exact"/>
      <w:ind w:left="200" w:leftChars="200" w:firstLine="0" w:firstLineChars="0"/>
    </w:pPr>
    <w:rPr>
      <w:rFonts w:ascii="Times New Roman" w:hAnsi="Times New Roman"/>
      <w:sz w:val="28"/>
    </w:rPr>
  </w:style>
  <w:style w:type="paragraph" w:customStyle="1" w:styleId="59">
    <w:name w:val="样式1"/>
    <w:basedOn w:val="1"/>
    <w:qFormat/>
    <w:uiPriority w:val="0"/>
  </w:style>
  <w:style w:type="paragraph" w:styleId="60">
    <w:name w:val="List Paragraph"/>
    <w:basedOn w:val="1"/>
    <w:qFormat/>
    <w:uiPriority w:val="34"/>
    <w:pPr>
      <w:ind w:firstLine="420"/>
    </w:pPr>
  </w:style>
  <w:style w:type="paragraph" w:customStyle="1" w:styleId="61">
    <w:name w:val="和田正文1a"/>
    <w:basedOn w:val="1"/>
    <w:qFormat/>
    <w:uiPriority w:val="0"/>
    <w:pPr>
      <w:spacing w:line="560" w:lineRule="exact"/>
      <w:ind w:firstLine="1004" w:firstLineChars="200"/>
      <w:jc w:val="left"/>
    </w:pPr>
    <w:rPr>
      <w:rFonts w:ascii="Times New Roman" w:hAnsi="Times New Roman" w:cs="Times New Roman"/>
      <w:kern w:val="0"/>
      <w:sz w:val="32"/>
      <w:szCs w:val="32"/>
      <w:lang w:bidi="en-US"/>
    </w:rPr>
  </w:style>
  <w:style w:type="paragraph" w:customStyle="1" w:styleId="62">
    <w:name w:val="标题2"/>
    <w:basedOn w:val="5"/>
    <w:qFormat/>
    <w:uiPriority w:val="0"/>
    <w:pPr>
      <w:numPr>
        <w:ilvl w:val="0"/>
        <w:numId w:val="1"/>
      </w:numPr>
      <w:spacing w:before="120" w:after="120" w:line="500" w:lineRule="exact"/>
    </w:pPr>
    <w:rPr>
      <w:rFonts w:ascii="仿宋_GB2312" w:eastAsia="仿宋_GB2312" w:cs="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33E123A7B8C049039DD7CC95DDAD0708_13</vt:lpwstr>
  </property>
  <property fmtid="{D5CDD505-2E9C-101B-9397-08002B2CF9AE}" pid="4" name="KSOTemplateDocerSaveRecord">
    <vt:lpwstr>eyJoZGlkIjoiZDE5MGZhMTJhZDM2OTQwYzkzYWVjM2FhZDUxN2Q0M2IiLCJ1c2VySWQiOiI2NTE5NDIwMjYifQ==</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72dae5-2c95-4018-ab90-64b499e53fb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29</Pages>
  <Words>13551</Words>
  <Characters>14445</Characters>
  <Lines>44</Lines>
  <Paragraphs>12</Paragraphs>
  <TotalTime>38</TotalTime>
  <ScaleCrop>false</ScaleCrop>
  <LinksUpToDate>false</LinksUpToDate>
  <CharactersWithSpaces>14544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2021-04-03T09:53:00Z</dcterms:created>
  <dc:creator>User</dc:creator>
  <cp:lastModifiedBy>白羊</cp:lastModifiedBy>
  <dcterms:modified xsi:type="dcterms:W3CDTF">2025-12-25T11:16:08Z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33E123A7B8C049039DD7CC95DDAD0708_13</vt:lpwstr>
  </property>
  <property fmtid="{D5CDD505-2E9C-101B-9397-08002B2CF9AE}" pid="4" name="KSOTemplateDocerSaveRecord">
    <vt:lpwstr>eyJoZGlkIjoiYjM4NWYyMWE2NWU1OGNiMmIxMmZkYzA5MWEwNzJlZmIiLCJ1c2VySWQiOiI0MzE2NzY3NzkifQ==</vt:lpwstr>
  </property>
</Properties>
</file>