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4E01A3"/>
    <w:p w14:paraId="631FF42C">
      <w:pPr>
        <w:pageBreakBefore w:val="0"/>
        <w:widowControl w:val="0"/>
        <w:kinsoku/>
        <w:wordWrap/>
        <w:topLinePunct w:val="0"/>
        <w:autoSpaceDE/>
        <w:autoSpaceDN/>
        <w:bidi w:val="0"/>
        <w:spacing w:line="560" w:lineRule="exact"/>
        <w:ind w:left="0" w:leftChars="0" w:firstLine="0" w:firstLineChars="0"/>
        <w:textAlignment w:val="auto"/>
        <w:rPr>
          <w:rFonts w:hint="default" w:eastAsia="方正仿宋_GBK" w:cs="方正仿宋_GBK"/>
          <w:b/>
          <w:color w:val="auto"/>
          <w:kern w:val="0"/>
          <w:sz w:val="30"/>
          <w:szCs w:val="30"/>
          <w:highlight w:val="none"/>
          <w:lang w:val="en-US" w:eastAsia="zh-CN" w:bidi="en-US"/>
        </w:rPr>
      </w:pPr>
    </w:p>
    <w:p w14:paraId="76FB4D8A">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rFonts w:hint="eastAsia" w:ascii="黑体" w:hAnsi="黑体" w:eastAsia="黑体" w:cs="黑体"/>
          <w:b/>
          <w:color w:val="auto"/>
          <w:sz w:val="36"/>
          <w:szCs w:val="36"/>
          <w:highlight w:val="none"/>
          <w:lang w:val="en-US" w:eastAsia="zh-CN"/>
        </w:rPr>
      </w:pPr>
    </w:p>
    <w:p w14:paraId="5DFAB33D">
      <w:pPr>
        <w:pStyle w:val="7"/>
        <w:spacing w:before="140" w:line="224" w:lineRule="auto"/>
        <w:ind w:left="156"/>
        <w:outlineLvl w:val="0"/>
        <w:rPr>
          <w:rFonts w:hint="eastAsia" w:ascii="黑体" w:hAnsi="黑体" w:eastAsia="黑体" w:cs="黑体"/>
          <w:b/>
          <w:color w:val="auto"/>
          <w:sz w:val="36"/>
          <w:szCs w:val="36"/>
          <w:highlight w:val="none"/>
          <w:lang w:val="en-US" w:eastAsia="zh-CN"/>
        </w:rPr>
      </w:pPr>
      <w:r>
        <w:rPr>
          <w:rFonts w:hint="eastAsia" w:ascii="黑体" w:hAnsi="黑体" w:eastAsia="黑体" w:cs="黑体"/>
          <w:b/>
          <w:color w:val="auto"/>
          <w:sz w:val="36"/>
          <w:szCs w:val="36"/>
          <w:highlight w:val="none"/>
          <w:lang w:val="en-US" w:eastAsia="zh-CN"/>
        </w:rPr>
        <w:t>和田地区洛浦县</w:t>
      </w:r>
      <w:r>
        <w:rPr>
          <w:rFonts w:hint="eastAsia" w:ascii="黑体" w:hAnsi="黑体" w:eastAsia="黑体" w:cs="黑体"/>
          <w:b/>
          <w:bCs/>
          <w:color w:val="auto"/>
          <w:sz w:val="36"/>
          <w:szCs w:val="36"/>
          <w:highlight w:val="none"/>
          <w:lang w:val="en-US" w:eastAsia="zh-CN"/>
        </w:rPr>
        <w:t>2024年</w:t>
      </w:r>
      <w:r>
        <w:rPr>
          <w:rFonts w:hint="eastAsia" w:ascii="黑体" w:hAnsi="黑体" w:eastAsia="黑体" w:cs="黑体"/>
          <w:b/>
          <w:color w:val="auto"/>
          <w:sz w:val="36"/>
          <w:szCs w:val="36"/>
          <w:highlight w:val="none"/>
          <w:lang w:val="en-US" w:eastAsia="zh-CN"/>
        </w:rPr>
        <w:t>中央耕地建设与利用资金（耕地轮作项目资金）项目绩效自评报告</w:t>
      </w:r>
    </w:p>
    <w:p w14:paraId="62F3FEF4">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color w:val="auto"/>
          <w:sz w:val="36"/>
          <w:szCs w:val="36"/>
          <w:highlight w:val="none"/>
        </w:rPr>
      </w:pPr>
    </w:p>
    <w:p w14:paraId="1F75C374">
      <w:pPr>
        <w:pStyle w:val="6"/>
        <w:ind w:left="0" w:leftChars="0" w:firstLine="0" w:firstLineChars="0"/>
        <w:jc w:val="center"/>
        <w:rPr>
          <w:rFonts w:hint="eastAsia" w:ascii="宋体" w:hAnsi="宋体" w:eastAsia="宋体" w:cs="宋体"/>
          <w:b/>
          <w:bCs w:val="0"/>
          <w:color w:val="auto"/>
          <w:sz w:val="28"/>
          <w:szCs w:val="28"/>
          <w:highlight w:val="none"/>
          <w:lang w:eastAsia="zh-CN"/>
        </w:rPr>
      </w:pPr>
      <w:r>
        <w:rPr>
          <w:rFonts w:hint="eastAsia" w:ascii="宋体" w:hAnsi="宋体" w:eastAsia="宋体" w:cs="宋体"/>
          <w:b/>
          <w:bCs w:val="0"/>
          <w:color w:val="auto"/>
          <w:sz w:val="28"/>
          <w:szCs w:val="28"/>
          <w:highlight w:val="none"/>
          <w:lang w:eastAsia="zh-CN"/>
        </w:rPr>
        <w:t>（</w:t>
      </w:r>
      <w:r>
        <w:rPr>
          <w:rFonts w:hint="eastAsia" w:ascii="宋体" w:hAnsi="宋体" w:eastAsia="宋体" w:cs="宋体"/>
          <w:b/>
          <w:bCs w:val="0"/>
          <w:color w:val="auto"/>
          <w:sz w:val="28"/>
          <w:szCs w:val="28"/>
          <w:highlight w:val="none"/>
          <w:lang w:val="en-US" w:eastAsia="zh-CN"/>
        </w:rPr>
        <w:t>2024年度</w:t>
      </w:r>
      <w:r>
        <w:rPr>
          <w:rFonts w:hint="eastAsia" w:ascii="宋体" w:hAnsi="宋体" w:eastAsia="宋体" w:cs="宋体"/>
          <w:b/>
          <w:bCs w:val="0"/>
          <w:color w:val="auto"/>
          <w:sz w:val="28"/>
          <w:szCs w:val="28"/>
          <w:highlight w:val="none"/>
          <w:lang w:eastAsia="zh-CN"/>
        </w:rPr>
        <w:t>）</w:t>
      </w:r>
    </w:p>
    <w:p w14:paraId="03E631B8">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auto"/>
          <w:kern w:val="0"/>
          <w:sz w:val="32"/>
          <w:szCs w:val="32"/>
          <w:highlight w:val="none"/>
          <w:lang w:bidi="en-US"/>
        </w:rPr>
      </w:pPr>
    </w:p>
    <w:p w14:paraId="682776F8">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highlight w:val="none"/>
          <w:lang w:bidi="en-US"/>
        </w:rPr>
      </w:pPr>
    </w:p>
    <w:p w14:paraId="32D86446">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highlight w:val="none"/>
          <w:lang w:bidi="en-US"/>
        </w:rPr>
      </w:pPr>
    </w:p>
    <w:p w14:paraId="48C98756">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highlight w:val="none"/>
          <w:lang w:bidi="en-US"/>
        </w:rPr>
      </w:pPr>
    </w:p>
    <w:p w14:paraId="6E3B70BD">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highlight w:val="none"/>
          <w:lang w:bidi="en-US"/>
        </w:rPr>
      </w:pPr>
    </w:p>
    <w:p w14:paraId="0BB72BAF">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highlight w:val="none"/>
          <w:lang w:bidi="en-US"/>
        </w:rPr>
      </w:pPr>
    </w:p>
    <w:p w14:paraId="31BDBF44">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highlight w:val="none"/>
          <w:lang w:bidi="en-US"/>
        </w:rPr>
      </w:pPr>
    </w:p>
    <w:p w14:paraId="19176203">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auto"/>
          <w:kern w:val="0"/>
          <w:sz w:val="32"/>
          <w:szCs w:val="32"/>
          <w:highlight w:val="none"/>
          <w:lang w:bidi="en-US"/>
        </w:rPr>
      </w:pPr>
    </w:p>
    <w:p w14:paraId="49D37278">
      <w:pPr>
        <w:spacing w:line="360" w:lineRule="auto"/>
        <w:rPr>
          <w:rFonts w:hint="eastAsia" w:ascii="新宋体" w:hAnsi="新宋体" w:eastAsia="新宋体" w:cs="新宋体"/>
          <w:color w:val="auto"/>
          <w:sz w:val="24"/>
          <w:szCs w:val="24"/>
        </w:rPr>
      </w:pPr>
      <w:bookmarkStart w:id="0" w:name="_Toc68364657"/>
      <w:r>
        <w:rPr>
          <w:rFonts w:hint="eastAsia" w:ascii="新宋体" w:hAnsi="新宋体" w:eastAsia="新宋体" w:cs="新宋体"/>
          <w:color w:val="auto"/>
          <w:sz w:val="24"/>
          <w:szCs w:val="24"/>
        </w:rPr>
        <w:t>项目名称：</w:t>
      </w:r>
      <w:r>
        <w:rPr>
          <w:rFonts w:hint="eastAsia" w:ascii="新宋体" w:hAnsi="新宋体" w:eastAsia="新宋体" w:cs="新宋体"/>
          <w:color w:val="auto"/>
          <w:kern w:val="0"/>
          <w:sz w:val="24"/>
          <w:szCs w:val="24"/>
          <w:lang w:val="en-US" w:eastAsia="zh-CN"/>
        </w:rPr>
        <w:t>2024年度中央耕地建设与利用资金</w:t>
      </w:r>
      <w:r>
        <w:rPr>
          <w:rFonts w:hint="eastAsia" w:ascii="新宋体" w:hAnsi="新宋体" w:eastAsia="新宋体" w:cs="新宋体"/>
          <w:color w:val="auto"/>
          <w:kern w:val="0"/>
          <w:sz w:val="24"/>
          <w:szCs w:val="24"/>
          <w:lang w:eastAsia="zh-CN"/>
        </w:rPr>
        <w:t>（</w:t>
      </w:r>
      <w:r>
        <w:rPr>
          <w:rFonts w:hint="eastAsia" w:ascii="新宋体" w:hAnsi="新宋体" w:eastAsia="新宋体" w:cs="新宋体"/>
          <w:color w:val="auto"/>
          <w:kern w:val="0"/>
          <w:sz w:val="24"/>
          <w:szCs w:val="24"/>
          <w:lang w:val="en-US" w:eastAsia="zh-CN"/>
        </w:rPr>
        <w:t>耕地轮作</w:t>
      </w:r>
      <w:r>
        <w:rPr>
          <w:rFonts w:hint="eastAsia" w:ascii="新宋体" w:hAnsi="新宋体" w:eastAsia="新宋体" w:cs="新宋体"/>
          <w:color w:val="auto"/>
          <w:kern w:val="0"/>
          <w:sz w:val="24"/>
          <w:szCs w:val="24"/>
          <w:lang w:eastAsia="zh-CN"/>
        </w:rPr>
        <w:t>）</w:t>
      </w:r>
      <w:r>
        <w:rPr>
          <w:rFonts w:hint="eastAsia" w:ascii="新宋体" w:hAnsi="新宋体" w:eastAsia="新宋体" w:cs="新宋体"/>
          <w:color w:val="auto"/>
          <w:kern w:val="0"/>
          <w:sz w:val="24"/>
          <w:szCs w:val="24"/>
          <w:lang w:val="en-US" w:eastAsia="zh-CN"/>
        </w:rPr>
        <w:t>项目</w:t>
      </w:r>
    </w:p>
    <w:p w14:paraId="34B15228">
      <w:pPr>
        <w:spacing w:line="360" w:lineRule="auto"/>
        <w:rPr>
          <w:rFonts w:hint="eastAsia" w:ascii="新宋体" w:hAnsi="新宋体" w:eastAsia="新宋体" w:cs="新宋体"/>
          <w:color w:val="auto"/>
          <w:sz w:val="24"/>
          <w:szCs w:val="24"/>
        </w:rPr>
      </w:pPr>
      <w:r>
        <w:rPr>
          <w:rFonts w:hint="eastAsia" w:ascii="新宋体" w:hAnsi="新宋体" w:eastAsia="新宋体" w:cs="新宋体"/>
          <w:color w:val="auto"/>
          <w:sz w:val="24"/>
          <w:szCs w:val="24"/>
        </w:rPr>
        <w:t>实施单位（公章）：洛浦县农业技术推广中心</w:t>
      </w:r>
    </w:p>
    <w:p w14:paraId="4B23C2D2">
      <w:pPr>
        <w:spacing w:line="360" w:lineRule="auto"/>
        <w:rPr>
          <w:rFonts w:hint="eastAsia" w:ascii="新宋体" w:hAnsi="新宋体" w:eastAsia="新宋体" w:cs="新宋体"/>
          <w:color w:val="auto"/>
          <w:sz w:val="24"/>
          <w:szCs w:val="24"/>
        </w:rPr>
      </w:pPr>
      <w:r>
        <w:rPr>
          <w:rFonts w:hint="eastAsia" w:ascii="新宋体" w:hAnsi="新宋体" w:eastAsia="新宋体" w:cs="新宋体"/>
          <w:color w:val="auto"/>
          <w:sz w:val="24"/>
          <w:szCs w:val="24"/>
        </w:rPr>
        <w:t>主管部门（公章）：</w:t>
      </w:r>
      <w:r>
        <w:rPr>
          <w:rFonts w:hint="eastAsia" w:ascii="新宋体" w:hAnsi="新宋体" w:eastAsia="新宋体" w:cs="新宋体"/>
          <w:color w:val="auto"/>
          <w:sz w:val="24"/>
          <w:szCs w:val="24"/>
          <w:lang w:val="en-US" w:eastAsia="zh-CN"/>
        </w:rPr>
        <w:t>洛浦县农业技术推广中心</w:t>
      </w:r>
    </w:p>
    <w:p w14:paraId="2BA314A7">
      <w:pPr>
        <w:spacing w:line="360" w:lineRule="auto"/>
        <w:rPr>
          <w:rFonts w:hint="eastAsia" w:ascii="新宋体" w:hAnsi="新宋体" w:eastAsia="新宋体" w:cs="新宋体"/>
          <w:color w:val="auto"/>
          <w:sz w:val="24"/>
          <w:szCs w:val="24"/>
          <w:lang w:val="en-US"/>
        </w:rPr>
      </w:pPr>
      <w:r>
        <w:rPr>
          <w:rFonts w:hint="eastAsia" w:ascii="新宋体" w:hAnsi="新宋体" w:eastAsia="新宋体" w:cs="新宋体"/>
          <w:color w:val="auto"/>
          <w:sz w:val="24"/>
          <w:szCs w:val="24"/>
        </w:rPr>
        <w:t>项目负责人（签章）：</w:t>
      </w:r>
      <w:r>
        <w:rPr>
          <w:rStyle w:val="18"/>
          <w:rFonts w:hint="eastAsia" w:ascii="新宋体" w:hAnsi="新宋体" w:eastAsia="新宋体" w:cs="新宋体"/>
          <w:b w:val="0"/>
          <w:bCs w:val="0"/>
          <w:color w:val="auto"/>
          <w:sz w:val="24"/>
          <w:szCs w:val="24"/>
          <w:lang w:val="en-US" w:eastAsia="zh-CN"/>
        </w:rPr>
        <w:t>玉苏普江·木拉提</w:t>
      </w:r>
    </w:p>
    <w:p w14:paraId="4FD1DDFF">
      <w:pPr>
        <w:spacing w:line="360" w:lineRule="auto"/>
        <w:rPr>
          <w:rFonts w:hint="eastAsia" w:ascii="新宋体" w:hAnsi="新宋体" w:eastAsia="新宋体" w:cs="新宋体"/>
          <w:color w:val="auto"/>
          <w:sz w:val="24"/>
          <w:szCs w:val="24"/>
        </w:rPr>
      </w:pPr>
      <w:r>
        <w:rPr>
          <w:rFonts w:hint="eastAsia" w:ascii="新宋体" w:hAnsi="新宋体" w:eastAsia="新宋体" w:cs="新宋体"/>
          <w:color w:val="auto"/>
          <w:sz w:val="24"/>
          <w:szCs w:val="24"/>
        </w:rPr>
        <w:t xml:space="preserve">填报时间： </w:t>
      </w:r>
      <w:r>
        <w:rPr>
          <w:rFonts w:hint="eastAsia" w:ascii="新宋体" w:hAnsi="新宋体" w:eastAsia="新宋体" w:cs="新宋体"/>
          <w:color w:val="auto"/>
          <w:sz w:val="24"/>
          <w:szCs w:val="24"/>
          <w:lang w:val="en-US" w:eastAsia="zh-CN"/>
        </w:rPr>
        <w:t>2025</w:t>
      </w:r>
      <w:r>
        <w:rPr>
          <w:rFonts w:hint="eastAsia" w:ascii="新宋体" w:hAnsi="新宋体" w:eastAsia="新宋体" w:cs="新宋体"/>
          <w:color w:val="auto"/>
          <w:sz w:val="24"/>
          <w:szCs w:val="24"/>
        </w:rPr>
        <w:t>年</w:t>
      </w:r>
      <w:r>
        <w:rPr>
          <w:rFonts w:hint="eastAsia" w:ascii="新宋体" w:hAnsi="新宋体" w:eastAsia="新宋体" w:cs="新宋体"/>
          <w:color w:val="auto"/>
          <w:sz w:val="24"/>
          <w:szCs w:val="24"/>
          <w:lang w:val="en-US" w:eastAsia="zh-CN"/>
        </w:rPr>
        <w:t>3</w:t>
      </w:r>
      <w:r>
        <w:rPr>
          <w:rFonts w:hint="eastAsia" w:ascii="新宋体" w:hAnsi="新宋体" w:eastAsia="新宋体" w:cs="新宋体"/>
          <w:color w:val="auto"/>
          <w:sz w:val="24"/>
          <w:szCs w:val="24"/>
        </w:rPr>
        <w:t>月</w:t>
      </w:r>
      <w:r>
        <w:rPr>
          <w:rFonts w:hint="eastAsia" w:ascii="新宋体" w:hAnsi="新宋体" w:eastAsia="新宋体" w:cs="新宋体"/>
          <w:color w:val="auto"/>
          <w:sz w:val="24"/>
          <w:szCs w:val="24"/>
          <w:lang w:val="en-US" w:eastAsia="zh-CN"/>
        </w:rPr>
        <w:t>15</w:t>
      </w:r>
      <w:r>
        <w:rPr>
          <w:rFonts w:hint="eastAsia" w:ascii="新宋体" w:hAnsi="新宋体" w:eastAsia="新宋体" w:cs="新宋体"/>
          <w:color w:val="auto"/>
          <w:sz w:val="24"/>
          <w:szCs w:val="24"/>
        </w:rPr>
        <w:t>日</w:t>
      </w:r>
    </w:p>
    <w:p w14:paraId="12EACCA5">
      <w:pPr>
        <w:pStyle w:val="4"/>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新宋体" w:hAnsi="新宋体" w:eastAsia="新宋体" w:cs="新宋体"/>
          <w:color w:val="auto"/>
          <w:sz w:val="24"/>
          <w:szCs w:val="24"/>
          <w:highlight w:val="none"/>
          <w:lang w:val="en-US" w:eastAsia="zh-CN"/>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p w14:paraId="6E331CD8">
      <w:pPr>
        <w:pStyle w:val="4"/>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lang w:val="en-US" w:eastAsia="zh-CN"/>
        </w:rPr>
        <w:t>一、</w:t>
      </w:r>
      <w:r>
        <w:rPr>
          <w:rFonts w:hint="eastAsia" w:ascii="新宋体" w:hAnsi="新宋体" w:eastAsia="新宋体" w:cs="新宋体"/>
          <w:color w:val="auto"/>
          <w:sz w:val="24"/>
          <w:szCs w:val="24"/>
          <w:highlight w:val="none"/>
        </w:rPr>
        <w:t>基本情况</w:t>
      </w:r>
      <w:bookmarkEnd w:id="0"/>
    </w:p>
    <w:p w14:paraId="22674500">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bookmarkStart w:id="1" w:name="_Toc68364658"/>
      <w:r>
        <w:rPr>
          <w:rFonts w:hint="eastAsia" w:ascii="新宋体" w:hAnsi="新宋体" w:eastAsia="新宋体" w:cs="新宋体"/>
          <w:color w:val="auto"/>
          <w:sz w:val="24"/>
          <w:szCs w:val="24"/>
          <w:highlight w:val="none"/>
          <w:lang w:eastAsia="zh-CN"/>
        </w:rPr>
        <w:t>（一）</w:t>
      </w:r>
      <w:r>
        <w:rPr>
          <w:rFonts w:hint="eastAsia" w:ascii="新宋体" w:hAnsi="新宋体" w:eastAsia="新宋体" w:cs="新宋体"/>
          <w:color w:val="auto"/>
          <w:sz w:val="24"/>
          <w:szCs w:val="24"/>
          <w:highlight w:val="none"/>
        </w:rPr>
        <w:t>项目概况</w:t>
      </w:r>
      <w:bookmarkEnd w:id="1"/>
    </w:p>
    <w:p w14:paraId="78AA1522">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1.项目背景</w:t>
      </w:r>
    </w:p>
    <w:p w14:paraId="14F41ADE">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新宋体" w:hAnsi="新宋体" w:eastAsia="新宋体" w:cs="新宋体"/>
          <w:b/>
          <w:bCs/>
          <w:color w:val="auto"/>
          <w:sz w:val="24"/>
          <w:szCs w:val="24"/>
          <w:highlight w:val="none"/>
          <w:lang w:val="en-US" w:eastAsia="zh-CN"/>
        </w:rPr>
      </w:pPr>
      <w:r>
        <w:rPr>
          <w:rFonts w:hint="eastAsia" w:ascii="宋体" w:hAnsi="宋体" w:eastAsia="宋体" w:cs="宋体"/>
          <w:color w:val="auto"/>
          <w:sz w:val="24"/>
          <w:szCs w:val="24"/>
        </w:rPr>
        <w:t>保障辖区内30个行政村的办公经费、维修费、取暖费等各项运转经费，确保30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p w14:paraId="5E707C46">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lang w:val="en-US" w:eastAsia="zh-CN"/>
        </w:rPr>
        <w:t>2.</w:t>
      </w:r>
      <w:r>
        <w:rPr>
          <w:rFonts w:hint="eastAsia" w:ascii="新宋体" w:hAnsi="新宋体" w:eastAsia="新宋体" w:cs="新宋体"/>
          <w:b/>
          <w:bCs/>
          <w:color w:val="auto"/>
          <w:sz w:val="24"/>
          <w:szCs w:val="24"/>
          <w:highlight w:val="none"/>
        </w:rPr>
        <w:t>主要内容及实施情况</w:t>
      </w:r>
    </w:p>
    <w:p w14:paraId="0A5D95C4">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eastAsia="zh-CN"/>
        </w:rPr>
        <w:t>（</w:t>
      </w:r>
      <w:r>
        <w:rPr>
          <w:rFonts w:hint="eastAsia" w:ascii="新宋体" w:hAnsi="新宋体" w:eastAsia="新宋体" w:cs="新宋体"/>
          <w:b/>
          <w:bCs/>
          <w:color w:val="auto"/>
          <w:sz w:val="24"/>
          <w:szCs w:val="24"/>
          <w:highlight w:val="none"/>
          <w:lang w:val="en-US" w:eastAsia="zh-CN"/>
        </w:rPr>
        <w:t>1）主要内容</w:t>
      </w:r>
    </w:p>
    <w:p w14:paraId="330098ED">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新宋体" w:hAnsi="新宋体" w:eastAsia="新宋体" w:cs="新宋体"/>
          <w:b w:val="0"/>
          <w:bCs w:val="0"/>
          <w:color w:val="auto"/>
          <w:sz w:val="24"/>
          <w:szCs w:val="24"/>
          <w:highlight w:val="none"/>
          <w:lang w:val="en-US" w:eastAsia="zh-CN"/>
        </w:rPr>
      </w:pPr>
      <w:r>
        <w:rPr>
          <w:rFonts w:hint="eastAsia" w:ascii="宋体" w:hAnsi="宋体" w:eastAsia="宋体" w:cs="宋体"/>
          <w:color w:val="auto"/>
          <w:sz w:val="24"/>
          <w:szCs w:val="24"/>
        </w:rPr>
        <w:t>保障辖区内30个行政村的办公经费、维修费、取暖费等各项运转经费，确保30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p w14:paraId="531990E8">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3.实施情况</w:t>
      </w:r>
    </w:p>
    <w:p w14:paraId="2DAEFC9F">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1）项目实施主体</w:t>
      </w:r>
    </w:p>
    <w:p w14:paraId="36FB0A75">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color w:val="auto"/>
          <w:lang w:val="en-US" w:eastAsia="zh-CN"/>
        </w:rPr>
      </w:pPr>
      <w:r>
        <w:rPr>
          <w:rFonts w:hint="eastAsia" w:ascii="宋体" w:hAnsi="宋体" w:eastAsia="宋体" w:cs="宋体"/>
          <w:b w:val="0"/>
          <w:bCs w:val="0"/>
          <w:color w:val="auto"/>
          <w:sz w:val="24"/>
          <w:szCs w:val="24"/>
          <w:lang w:val="en-US" w:eastAsia="zh-CN"/>
        </w:rPr>
        <w:t>本项目主管部门为洛浦县农业技术推广中心，实施单位为洛浦县农业技术推广中心。</w:t>
      </w:r>
    </w:p>
    <w:p w14:paraId="7015872B">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2）项目实施时间：</w:t>
      </w:r>
    </w:p>
    <w:p w14:paraId="6A2B6446">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2024年1月-2024年12月</w:t>
      </w:r>
    </w:p>
    <w:p w14:paraId="796CABE6">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3）项目实施情况</w:t>
      </w:r>
    </w:p>
    <w:p w14:paraId="2CB81802">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b w:val="0"/>
          <w:bCs w:val="0"/>
          <w:color w:val="auto"/>
          <w:kern w:val="2"/>
          <w:sz w:val="24"/>
          <w:szCs w:val="24"/>
          <w:highlight w:val="none"/>
          <w:lang w:val="en-US" w:eastAsia="zh-CN" w:bidi="ar-SA"/>
        </w:rPr>
        <w:t>根据和田地区财政局下发《关于提前下达2024年中央耕地建设与利用资金预算的通知》（和地财农【2024】13号）文件要求，下达洛浦县（洛财农【2024】23号）文件的中央补助资金755万元。</w:t>
      </w:r>
    </w:p>
    <w:p w14:paraId="70069F3A">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lang w:val="en-US" w:eastAsia="zh-CN"/>
        </w:rPr>
        <w:t>4</w:t>
      </w:r>
      <w:r>
        <w:rPr>
          <w:rFonts w:hint="eastAsia" w:ascii="新宋体" w:hAnsi="新宋体" w:eastAsia="新宋体" w:cs="新宋体"/>
          <w:b/>
          <w:bCs/>
          <w:color w:val="auto"/>
          <w:sz w:val="24"/>
          <w:szCs w:val="24"/>
          <w:highlight w:val="none"/>
        </w:rPr>
        <w:t>.资金投入和使用情况</w:t>
      </w:r>
    </w:p>
    <w:p w14:paraId="7124A8ED">
      <w:pPr>
        <w:pStyle w:val="15"/>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（1）项目资金安排</w:t>
      </w:r>
      <w:r>
        <w:rPr>
          <w:rFonts w:hint="eastAsia" w:ascii="新宋体" w:hAnsi="新宋体" w:eastAsia="新宋体" w:cs="新宋体"/>
          <w:b/>
          <w:bCs/>
          <w:color w:val="auto"/>
          <w:sz w:val="24"/>
          <w:szCs w:val="24"/>
          <w:highlight w:val="none"/>
          <w:lang w:eastAsia="zh-CN"/>
        </w:rPr>
        <w:t>、</w:t>
      </w:r>
      <w:r>
        <w:rPr>
          <w:rFonts w:hint="eastAsia" w:ascii="新宋体" w:hAnsi="新宋体" w:eastAsia="新宋体" w:cs="新宋体"/>
          <w:b/>
          <w:bCs/>
          <w:color w:val="auto"/>
          <w:sz w:val="24"/>
          <w:szCs w:val="24"/>
          <w:highlight w:val="none"/>
        </w:rPr>
        <w:t>投入情况</w:t>
      </w:r>
    </w:p>
    <w:p w14:paraId="29F61439">
      <w:pPr>
        <w:pStyle w:val="15"/>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本项目预算安排总额项目总投资</w:t>
      </w:r>
      <w:r>
        <w:rPr>
          <w:rFonts w:hint="eastAsia" w:ascii="新宋体" w:hAnsi="新宋体" w:eastAsia="新宋体" w:cs="新宋体"/>
          <w:color w:val="auto"/>
          <w:sz w:val="24"/>
          <w:szCs w:val="24"/>
          <w:highlight w:val="none"/>
          <w:lang w:val="en-US" w:eastAsia="zh-CN"/>
        </w:rPr>
        <w:t>755</w:t>
      </w:r>
      <w:r>
        <w:rPr>
          <w:rFonts w:hint="eastAsia" w:ascii="新宋体" w:hAnsi="新宋体" w:eastAsia="新宋体" w:cs="新宋体"/>
          <w:color w:val="auto"/>
          <w:sz w:val="24"/>
          <w:szCs w:val="24"/>
          <w:highlight w:val="none"/>
        </w:rPr>
        <w:t>万元，其中：</w:t>
      </w:r>
      <w:r>
        <w:rPr>
          <w:rFonts w:hint="eastAsia" w:ascii="新宋体" w:hAnsi="新宋体" w:eastAsia="新宋体" w:cs="新宋体"/>
          <w:color w:val="auto"/>
          <w:sz w:val="24"/>
          <w:szCs w:val="24"/>
          <w:highlight w:val="none"/>
          <w:lang w:val="en-US" w:eastAsia="zh-CN"/>
        </w:rPr>
        <w:t>中央资金755</w:t>
      </w:r>
      <w:r>
        <w:rPr>
          <w:rFonts w:hint="eastAsia" w:ascii="新宋体" w:hAnsi="新宋体" w:eastAsia="新宋体" w:cs="新宋体"/>
          <w:color w:val="auto"/>
          <w:sz w:val="24"/>
          <w:szCs w:val="24"/>
          <w:highlight w:val="none"/>
        </w:rPr>
        <w:t>万元，预算资金到位率为</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w:t>
      </w:r>
    </w:p>
    <w:p w14:paraId="1C43B93F">
      <w:pPr>
        <w:pStyle w:val="15"/>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（2）项目资金实际使用情况分析</w:t>
      </w:r>
    </w:p>
    <w:p w14:paraId="07299BF5">
      <w:pPr>
        <w:pStyle w:val="15"/>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本项目实际支付资金</w:t>
      </w:r>
      <w:r>
        <w:rPr>
          <w:rFonts w:hint="eastAsia" w:ascii="新宋体" w:hAnsi="新宋体" w:eastAsia="新宋体" w:cs="新宋体"/>
          <w:color w:val="auto"/>
          <w:sz w:val="24"/>
          <w:szCs w:val="24"/>
          <w:highlight w:val="none"/>
          <w:lang w:val="en-US" w:eastAsia="zh-CN"/>
        </w:rPr>
        <w:t>755</w:t>
      </w:r>
      <w:r>
        <w:rPr>
          <w:rFonts w:hint="eastAsia" w:ascii="新宋体" w:hAnsi="新宋体" w:eastAsia="新宋体" w:cs="新宋体"/>
          <w:color w:val="auto"/>
          <w:sz w:val="24"/>
          <w:szCs w:val="24"/>
          <w:highlight w:val="none"/>
        </w:rPr>
        <w:t>万元，预算执行率</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w:t>
      </w:r>
    </w:p>
    <w:p w14:paraId="4431E3E4">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bCs/>
          <w:color w:val="auto"/>
          <w:sz w:val="24"/>
          <w:szCs w:val="24"/>
          <w:highlight w:val="none"/>
          <w:lang w:eastAsia="zh-CN"/>
        </w:rPr>
      </w:pPr>
      <w:bookmarkStart w:id="2" w:name="_Toc68364659"/>
      <w:r>
        <w:rPr>
          <w:rFonts w:hint="eastAsia" w:ascii="新宋体" w:hAnsi="新宋体" w:eastAsia="新宋体" w:cs="新宋体"/>
          <w:b/>
          <w:bCs/>
          <w:color w:val="auto"/>
          <w:sz w:val="24"/>
          <w:szCs w:val="24"/>
          <w:highlight w:val="none"/>
          <w:lang w:eastAsia="zh-CN"/>
        </w:rPr>
        <w:t>（二）项目绩效目标</w:t>
      </w:r>
      <w:bookmarkEnd w:id="2"/>
    </w:p>
    <w:p w14:paraId="2386E97F">
      <w:pPr>
        <w:pStyle w:val="15"/>
        <w:pageBreakBefore w:val="0"/>
        <w:widowControl w:val="0"/>
        <w:kinsoku/>
        <w:wordWrap/>
        <w:overflowPunct/>
        <w:topLinePunct w:val="0"/>
        <w:autoSpaceDE/>
        <w:autoSpaceDN/>
        <w:bidi w:val="0"/>
        <w:adjustRightInd/>
        <w:snapToGrid/>
        <w:spacing w:line="360" w:lineRule="auto"/>
        <w:ind w:left="0" w:leftChars="0" w:firstLine="420" w:firstLineChars="200"/>
        <w:jc w:val="both"/>
        <w:textAlignment w:val="auto"/>
        <w:rPr>
          <w:rFonts w:hint="eastAsia" w:ascii="宋体" w:hAnsi="宋体" w:eastAsia="宋体" w:cs="宋体"/>
          <w:color w:val="auto"/>
          <w:sz w:val="21"/>
          <w:szCs w:val="21"/>
        </w:rPr>
      </w:pPr>
      <w:bookmarkStart w:id="3" w:name="_Toc68364660"/>
      <w:r>
        <w:rPr>
          <w:rFonts w:hint="eastAsia" w:ascii="宋体" w:hAnsi="宋体" w:eastAsia="宋体" w:cs="宋体"/>
          <w:color w:val="auto"/>
          <w:sz w:val="21"/>
          <w:szCs w:val="21"/>
          <w:highlight w:val="none"/>
        </w:rPr>
        <w:t>项目绩效目标包括项目总</w:t>
      </w:r>
      <w:r>
        <w:rPr>
          <w:rFonts w:hint="eastAsia" w:ascii="宋体" w:hAnsi="宋体" w:eastAsia="宋体" w:cs="宋体"/>
          <w:color w:val="auto"/>
          <w:sz w:val="21"/>
          <w:szCs w:val="21"/>
          <w:highlight w:val="none"/>
          <w:lang w:val="en-US" w:eastAsia="zh-CN"/>
        </w:rPr>
        <w:t>体</w:t>
      </w:r>
      <w:r>
        <w:rPr>
          <w:rFonts w:hint="eastAsia" w:ascii="宋体" w:hAnsi="宋体" w:eastAsia="宋体" w:cs="宋体"/>
          <w:color w:val="auto"/>
          <w:sz w:val="21"/>
          <w:szCs w:val="21"/>
        </w:rPr>
        <w:t>目标和阶段性目标。</w:t>
      </w:r>
    </w:p>
    <w:p w14:paraId="64100F81">
      <w:pPr>
        <w:pStyle w:val="15"/>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w:t>
      </w:r>
      <w:r>
        <w:rPr>
          <w:rFonts w:hint="eastAsia" w:ascii="宋体" w:hAnsi="宋体" w:eastAsia="宋体" w:cs="宋体"/>
          <w:b/>
          <w:bCs/>
          <w:color w:val="auto"/>
          <w:sz w:val="24"/>
          <w:szCs w:val="24"/>
        </w:rPr>
        <w:t>总</w:t>
      </w:r>
      <w:r>
        <w:rPr>
          <w:rFonts w:hint="eastAsia" w:ascii="宋体" w:hAnsi="宋体" w:eastAsia="宋体" w:cs="宋体"/>
          <w:b/>
          <w:bCs/>
          <w:color w:val="auto"/>
          <w:sz w:val="24"/>
          <w:szCs w:val="24"/>
          <w:lang w:val="en-US" w:eastAsia="zh-CN"/>
        </w:rPr>
        <w:t>体</w:t>
      </w:r>
      <w:r>
        <w:rPr>
          <w:rFonts w:hint="eastAsia" w:ascii="宋体" w:hAnsi="宋体" w:eastAsia="宋体" w:cs="宋体"/>
          <w:b/>
          <w:bCs/>
          <w:color w:val="auto"/>
          <w:sz w:val="24"/>
          <w:szCs w:val="24"/>
        </w:rPr>
        <w:t>目标</w:t>
      </w:r>
    </w:p>
    <w:p w14:paraId="3E69E1AB">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jc w:val="both"/>
        <w:textAlignment w:val="auto"/>
        <w:outlineLvl w:val="2"/>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lang w:eastAsia="zh-CN"/>
        </w:rPr>
        <w:t>根据《关于下达2024看中央耕地建设与利用资金预算的通知》（和地财农【2024】13号-洛财农【2024】23号）文件内容实施。项目主要内容：项目资金用于耕地轮作休耕给予适当补助，补助标准轮作为150元/亩，用于补贴农户原有作物种植收益和土地管护投入，资金通过一卡通继续补贴。通过项目的实施，保障农民安全生产和粮食增收。争取受益人员满意度达95%以上。</w:t>
      </w:r>
    </w:p>
    <w:p w14:paraId="7CFE23CD">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jc w:val="both"/>
        <w:textAlignment w:val="auto"/>
        <w:outlineLvl w:val="2"/>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阶段性目标</w:t>
      </w:r>
    </w:p>
    <w:p w14:paraId="564C731B">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lang w:val="en-US" w:eastAsia="zh-CN"/>
        </w:rPr>
        <w:t>我</w:t>
      </w:r>
      <w:r>
        <w:rPr>
          <w:rFonts w:hint="eastAsia" w:ascii="宋体" w:hAnsi="宋体" w:eastAsia="宋体" w:cs="宋体"/>
          <w:color w:val="auto"/>
          <w:sz w:val="21"/>
          <w:szCs w:val="21"/>
          <w:highlight w:val="none"/>
        </w:rPr>
        <w:t>单位根据《项目支出绩效评价管理办法》（财预〔2020〕10号）《关于印发〈自治区财政支出</w:t>
      </w:r>
      <w:r>
        <w:rPr>
          <w:rFonts w:hint="eastAsia" w:ascii="宋体" w:hAnsi="宋体" w:eastAsia="宋体" w:cs="宋体"/>
          <w:color w:val="auto"/>
          <w:sz w:val="24"/>
          <w:szCs w:val="24"/>
          <w:highlight w:val="none"/>
        </w:rPr>
        <w:t>绩效评价管理暂行办法〉的通知》（新财预〔2018〕189号）以及自治区财政厅《关于印发〈自治区项目支出绩效目标设置指引〉的通知》（新财预〔2022〕42号）的规定，结合项目相关信息，设置了年度绩效目标如下：</w:t>
      </w:r>
    </w:p>
    <w:p w14:paraId="27F2ED54">
      <w:pPr>
        <w:pStyle w:val="15"/>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产出指标</w:t>
      </w:r>
    </w:p>
    <w:p w14:paraId="3CBAF6E0">
      <w:pPr>
        <w:pStyle w:val="15"/>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数量指标:</w:t>
      </w:r>
    </w:p>
    <w:p w14:paraId="006E35C4">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指标1:补贴发放人数，预期指标值：“&gt;=15505户”</w:t>
      </w:r>
    </w:p>
    <w:p w14:paraId="5D2DC586">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指标2:补助亩数，预期指标值：“&gt;=5万亩”</w:t>
      </w:r>
    </w:p>
    <w:p w14:paraId="45E8635D">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2）质量指标：</w:t>
      </w:r>
    </w:p>
    <w:p w14:paraId="21D8ACC8">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指标1:补贴资金覆盖率，预期指标值：“=100%”</w:t>
      </w:r>
    </w:p>
    <w:p w14:paraId="2CC600FF">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指标2:补贴资金准确率，预期指标值：“=100%”</w:t>
      </w:r>
    </w:p>
    <w:p w14:paraId="41A661EC">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3）时效目标：</w:t>
      </w:r>
    </w:p>
    <w:p w14:paraId="3E4DAF34">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指标1:项目完成时间，预期指标值：“2024年12月”</w:t>
      </w:r>
    </w:p>
    <w:p w14:paraId="5A65F110">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指标2:补贴资金发放及时率，预期指标值：“=100%”</w:t>
      </w:r>
    </w:p>
    <w:p w14:paraId="0C76DA7D">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（2）成本指标： </w:t>
      </w:r>
    </w:p>
    <w:p w14:paraId="49B8A0A7">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1）经济成本指标</w:t>
      </w:r>
    </w:p>
    <w:p w14:paraId="7D84EF09">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指标1:补助标准，预期指标值：“&lt;=150元/亩”</w:t>
      </w:r>
    </w:p>
    <w:p w14:paraId="3252CEF6">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（3）效益指标：</w:t>
      </w:r>
    </w:p>
    <w:p w14:paraId="75BAA4E2">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）社会效益指标：</w:t>
      </w:r>
    </w:p>
    <w:p w14:paraId="30B612AB">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指标1:保障农民安全生产和粮食增收，预期指标值：“有效保障”</w:t>
      </w:r>
    </w:p>
    <w:p w14:paraId="2D2AFF05">
      <w:pPr>
        <w:pStyle w:val="1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）服务对象满意度指标：</w:t>
      </w:r>
    </w:p>
    <w:p w14:paraId="041E3C54">
      <w:pPr>
        <w:pStyle w:val="4"/>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指标1:受益群众满意度，预期指标值：“&gt;=95%”</w:t>
      </w:r>
    </w:p>
    <w:p w14:paraId="0622A636">
      <w:pPr>
        <w:pStyle w:val="2"/>
        <w:rPr>
          <w:rFonts w:hint="eastAsia" w:ascii="黑体" w:hAnsi="黑体" w:eastAsia="黑体" w:cs="黑体"/>
          <w:color w:val="auto"/>
          <w:lang w:val="en-US" w:eastAsia="zh-CN"/>
        </w:rPr>
      </w:pPr>
    </w:p>
    <w:p w14:paraId="6FFF9150">
      <w:pPr>
        <w:pStyle w:val="4"/>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黑体" w:hAnsi="黑体" w:eastAsia="黑体" w:cs="黑体"/>
          <w:b/>
          <w:bCs/>
          <w:color w:val="auto"/>
          <w:sz w:val="24"/>
          <w:szCs w:val="24"/>
          <w:highlight w:val="none"/>
          <w:lang w:val="en-US" w:eastAsia="zh-CN"/>
        </w:rPr>
      </w:pPr>
      <w:r>
        <w:rPr>
          <w:rFonts w:hint="eastAsia" w:ascii="黑体" w:hAnsi="黑体" w:eastAsia="黑体" w:cs="黑体"/>
          <w:b/>
          <w:bCs/>
          <w:color w:val="auto"/>
          <w:sz w:val="24"/>
          <w:szCs w:val="24"/>
          <w:highlight w:val="none"/>
          <w:lang w:val="en-US" w:eastAsia="zh-CN"/>
        </w:rPr>
        <w:t>二、绩效评价工作开展情况</w:t>
      </w:r>
      <w:bookmarkEnd w:id="3"/>
    </w:p>
    <w:p w14:paraId="6430403E">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bookmarkStart w:id="4" w:name="_Toc68364661"/>
      <w:r>
        <w:rPr>
          <w:rFonts w:hint="eastAsia" w:ascii="新宋体" w:hAnsi="新宋体" w:eastAsia="新宋体" w:cs="新宋体"/>
          <w:color w:val="auto"/>
          <w:sz w:val="24"/>
          <w:szCs w:val="24"/>
          <w:highlight w:val="none"/>
        </w:rPr>
        <w:t>（一）绩效评价目的、对象和范围</w:t>
      </w:r>
      <w:bookmarkEnd w:id="4"/>
    </w:p>
    <w:p w14:paraId="3425ECCF">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1.绩效评价目的</w:t>
      </w:r>
    </w:p>
    <w:p w14:paraId="24B2EF6B">
      <w:pPr>
        <w:pStyle w:val="15"/>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color w:val="auto"/>
          <w:sz w:val="24"/>
          <w:szCs w:val="24"/>
          <w:highlight w:val="none"/>
        </w:rPr>
        <w:t>本次绩效评价遵循财政部《项目支出绩效评价管理办法》（财预〔2020〕10号）《自治区财政支出绩效评价管理暂行办法》（新财预〔2018〕189号）</w:t>
      </w:r>
      <w:r>
        <w:rPr>
          <w:rFonts w:hint="eastAsia" w:ascii="新宋体" w:hAnsi="新宋体" w:eastAsia="新宋体" w:cs="新宋体"/>
          <w:color w:val="auto"/>
          <w:sz w:val="24"/>
          <w:szCs w:val="24"/>
          <w:highlight w:val="none"/>
          <w:lang w:val="en-US" w:eastAsia="zh-CN"/>
        </w:rPr>
        <w:t>及</w:t>
      </w:r>
      <w:r>
        <w:rPr>
          <w:rFonts w:hint="eastAsia" w:ascii="新宋体" w:hAnsi="新宋体" w:eastAsia="新宋体" w:cs="新宋体"/>
          <w:color w:val="auto"/>
          <w:sz w:val="24"/>
          <w:szCs w:val="24"/>
          <w:highlight w:val="none"/>
        </w:rPr>
        <w:t>自治区财政厅《关于印发〈自治区项目支出绩效目标设置指引〉的通知》（新财预〔2022〕42号）等相关政策文件与规定，对洛浦县202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耕地轮作</w:t>
      </w:r>
      <w:r>
        <w:rPr>
          <w:rFonts w:hint="eastAsia" w:ascii="新宋体" w:hAnsi="新宋体" w:eastAsia="新宋体" w:cs="新宋体"/>
          <w:color w:val="auto"/>
          <w:sz w:val="24"/>
          <w:szCs w:val="24"/>
          <w:highlight w:val="none"/>
        </w:rPr>
        <w:t>项目支出绩效评价工作。全面了解洛浦县202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耕地轮作</w:t>
      </w:r>
      <w:r>
        <w:rPr>
          <w:rFonts w:hint="eastAsia" w:ascii="新宋体" w:hAnsi="新宋体" w:eastAsia="新宋体" w:cs="新宋体"/>
          <w:color w:val="auto"/>
          <w:sz w:val="24"/>
          <w:szCs w:val="24"/>
          <w:highlight w:val="none"/>
        </w:rPr>
        <w:t>项目预算编制合理性、资金使用合规性、项目管理的规范性、项目目标的实现情况、服务对象的满意度等项目实施前期、过程及</w:t>
      </w:r>
      <w:r>
        <w:rPr>
          <w:rFonts w:hint="eastAsia" w:ascii="新宋体" w:hAnsi="新宋体" w:eastAsia="新宋体" w:cs="新宋体"/>
          <w:color w:val="auto"/>
          <w:sz w:val="24"/>
          <w:szCs w:val="24"/>
          <w:highlight w:val="none"/>
          <w:lang w:val="en-US" w:eastAsia="zh-CN"/>
        </w:rPr>
        <w:t>实施</w:t>
      </w:r>
      <w:r>
        <w:rPr>
          <w:rFonts w:hint="eastAsia" w:ascii="新宋体" w:hAnsi="新宋体" w:eastAsia="新宋体" w:cs="新宋体"/>
          <w:color w:val="auto"/>
          <w:sz w:val="24"/>
          <w:szCs w:val="24"/>
          <w:highlight w:val="none"/>
        </w:rPr>
        <w:t>效果</w:t>
      </w:r>
      <w:r>
        <w:rPr>
          <w:rFonts w:hint="eastAsia" w:ascii="新宋体" w:hAnsi="新宋体" w:eastAsia="新宋体" w:cs="新宋体"/>
          <w:color w:val="auto"/>
          <w:sz w:val="24"/>
          <w:szCs w:val="24"/>
          <w:highlight w:val="none"/>
          <w:lang w:val="en-US" w:eastAsia="zh-CN"/>
        </w:rPr>
        <w:t>情况。</w:t>
      </w:r>
    </w:p>
    <w:p w14:paraId="680DDF2F">
      <w:pPr>
        <w:pStyle w:val="15"/>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color w:val="auto"/>
          <w:sz w:val="24"/>
          <w:szCs w:val="24"/>
          <w:highlight w:val="none"/>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4E46DC88">
      <w:pPr>
        <w:pStyle w:val="15"/>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color w:val="auto"/>
          <w:sz w:val="24"/>
          <w:szCs w:val="24"/>
          <w:highlight w:val="none"/>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2450C159">
      <w:pPr>
        <w:pStyle w:val="15"/>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新宋体" w:hAnsi="新宋体" w:eastAsia="新宋体" w:cs="新宋体"/>
          <w:b/>
          <w:bCs/>
          <w:color w:val="auto"/>
          <w:sz w:val="24"/>
          <w:szCs w:val="24"/>
          <w:highlight w:val="none"/>
        </w:rPr>
      </w:pPr>
      <w:r>
        <w:rPr>
          <w:rFonts w:hint="eastAsia" w:ascii="新宋体" w:hAnsi="新宋体" w:eastAsia="新宋体" w:cs="新宋体"/>
          <w:color w:val="auto"/>
          <w:sz w:val="24"/>
          <w:szCs w:val="24"/>
          <w:highlight w:val="none"/>
          <w:lang w:val="en-US" w:eastAsia="zh-CN"/>
        </w:rPr>
        <w:t>同时，通过部门项目支出绩效评价，可促进本单位发现预算项目管理中的问题、总结经验、改进工作，以提高</w:t>
      </w:r>
      <w:r>
        <w:rPr>
          <w:rFonts w:hint="eastAsia" w:ascii="新宋体" w:hAnsi="新宋体" w:eastAsia="新宋体" w:cs="新宋体"/>
          <w:color w:val="auto"/>
          <w:sz w:val="24"/>
          <w:szCs w:val="24"/>
          <w:highlight w:val="none"/>
        </w:rPr>
        <w:t>财政预算资金使用的效率及效益。</w:t>
      </w:r>
    </w:p>
    <w:p w14:paraId="17A1E75C">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2.绩效评价对象</w:t>
      </w:r>
    </w:p>
    <w:p w14:paraId="4146D749">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color w:val="auto"/>
          <w:sz w:val="24"/>
          <w:szCs w:val="24"/>
          <w:highlight w:val="none"/>
          <w:lang w:val="en-US" w:eastAsia="zh-CN"/>
        </w:rPr>
        <w:t>此</w:t>
      </w:r>
      <w:r>
        <w:rPr>
          <w:rFonts w:hint="eastAsia" w:ascii="新宋体" w:hAnsi="新宋体" w:eastAsia="新宋体" w:cs="新宋体"/>
          <w:color w:val="auto"/>
          <w:sz w:val="24"/>
          <w:szCs w:val="24"/>
          <w:highlight w:val="none"/>
        </w:rPr>
        <w:t>次绩效评价遵循财政部《项目支出绩效评价管理办法》（财预〔2020〕10号）和《自治区财政支出绩效评价管理暂行办法》（新财预〔2018〕189号）等政策文件规定，以洛浦县202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耕地轮作</w:t>
      </w:r>
      <w:r>
        <w:rPr>
          <w:rFonts w:hint="eastAsia" w:ascii="新宋体" w:hAnsi="新宋体" w:eastAsia="新宋体" w:cs="新宋体"/>
          <w:color w:val="auto"/>
          <w:sz w:val="24"/>
          <w:szCs w:val="24"/>
          <w:highlight w:val="none"/>
        </w:rPr>
        <w:t>项目为</w:t>
      </w:r>
      <w:r>
        <w:rPr>
          <w:rFonts w:hint="eastAsia" w:ascii="新宋体" w:hAnsi="新宋体" w:eastAsia="新宋体" w:cs="新宋体"/>
          <w:color w:val="auto"/>
          <w:sz w:val="24"/>
          <w:szCs w:val="24"/>
          <w:highlight w:val="none"/>
          <w:lang w:val="en-US" w:eastAsia="zh-CN"/>
        </w:rPr>
        <w:t>评价</w:t>
      </w:r>
      <w:r>
        <w:rPr>
          <w:rFonts w:hint="eastAsia" w:ascii="新宋体" w:hAnsi="新宋体" w:eastAsia="新宋体" w:cs="新宋体"/>
          <w:color w:val="auto"/>
          <w:sz w:val="24"/>
          <w:szCs w:val="24"/>
          <w:highlight w:val="none"/>
        </w:rPr>
        <w:t>对象</w:t>
      </w:r>
      <w:r>
        <w:rPr>
          <w:rFonts w:hint="eastAsia" w:ascii="新宋体" w:hAnsi="新宋体" w:eastAsia="新宋体" w:cs="新宋体"/>
          <w:color w:val="auto"/>
          <w:sz w:val="24"/>
          <w:szCs w:val="24"/>
          <w:highlight w:val="none"/>
          <w:lang w:eastAsia="zh-CN"/>
        </w:rPr>
        <w:t>，</w:t>
      </w:r>
      <w:r>
        <w:rPr>
          <w:rFonts w:hint="eastAsia" w:ascii="新宋体" w:hAnsi="新宋体" w:eastAsia="新宋体" w:cs="新宋体"/>
          <w:color w:val="auto"/>
          <w:sz w:val="24"/>
          <w:szCs w:val="24"/>
          <w:highlight w:val="none"/>
        </w:rPr>
        <w:t>对该项目决策、</w:t>
      </w:r>
      <w:r>
        <w:rPr>
          <w:rFonts w:hint="eastAsia" w:ascii="新宋体" w:hAnsi="新宋体" w:eastAsia="新宋体" w:cs="新宋体"/>
          <w:color w:val="auto"/>
          <w:sz w:val="24"/>
          <w:szCs w:val="24"/>
          <w:highlight w:val="none"/>
          <w:lang w:val="en-US" w:eastAsia="zh-CN"/>
        </w:rPr>
        <w:t>项目资金管理、项目实施</w:t>
      </w:r>
      <w:r>
        <w:rPr>
          <w:rFonts w:hint="eastAsia" w:ascii="新宋体" w:hAnsi="新宋体" w:eastAsia="新宋体" w:cs="新宋体"/>
          <w:color w:val="auto"/>
          <w:sz w:val="24"/>
          <w:szCs w:val="24"/>
          <w:highlight w:val="none"/>
        </w:rPr>
        <w:t>过程</w:t>
      </w:r>
      <w:r>
        <w:rPr>
          <w:rFonts w:hint="eastAsia" w:ascii="新宋体" w:hAnsi="新宋体" w:eastAsia="新宋体" w:cs="新宋体"/>
          <w:color w:val="auto"/>
          <w:sz w:val="24"/>
          <w:szCs w:val="24"/>
          <w:highlight w:val="none"/>
          <w:lang w:val="en-US" w:eastAsia="zh-CN"/>
        </w:rPr>
        <w:t>管理</w:t>
      </w:r>
      <w:r>
        <w:rPr>
          <w:rFonts w:hint="eastAsia" w:ascii="新宋体" w:hAnsi="新宋体" w:eastAsia="新宋体" w:cs="新宋体"/>
          <w:color w:val="auto"/>
          <w:sz w:val="24"/>
          <w:szCs w:val="24"/>
          <w:highlight w:val="none"/>
        </w:rPr>
        <w:t>，</w:t>
      </w:r>
      <w:r>
        <w:rPr>
          <w:rFonts w:hint="eastAsia" w:ascii="新宋体" w:hAnsi="新宋体" w:eastAsia="新宋体" w:cs="新宋体"/>
          <w:color w:val="auto"/>
          <w:sz w:val="24"/>
          <w:szCs w:val="24"/>
          <w:highlight w:val="none"/>
          <w:lang w:val="en-US" w:eastAsia="zh-CN"/>
        </w:rPr>
        <w:t>以及</w:t>
      </w:r>
      <w:r>
        <w:rPr>
          <w:rFonts w:hint="eastAsia" w:ascii="新宋体" w:hAnsi="新宋体" w:eastAsia="新宋体" w:cs="新宋体"/>
          <w:color w:val="auto"/>
          <w:sz w:val="24"/>
          <w:szCs w:val="24"/>
          <w:highlight w:val="none"/>
        </w:rPr>
        <w:t>项目实施所带来的产出和效果</w:t>
      </w:r>
      <w:r>
        <w:rPr>
          <w:rFonts w:hint="eastAsia" w:ascii="新宋体" w:hAnsi="新宋体" w:eastAsia="新宋体" w:cs="新宋体"/>
          <w:color w:val="auto"/>
          <w:sz w:val="24"/>
          <w:szCs w:val="24"/>
          <w:highlight w:val="none"/>
          <w:lang w:val="en-US" w:eastAsia="zh-CN"/>
        </w:rPr>
        <w:t>等</w:t>
      </w:r>
      <w:r>
        <w:rPr>
          <w:rFonts w:hint="eastAsia" w:ascii="新宋体" w:hAnsi="新宋体" w:eastAsia="新宋体" w:cs="新宋体"/>
          <w:color w:val="auto"/>
          <w:sz w:val="24"/>
          <w:szCs w:val="24"/>
          <w:highlight w:val="none"/>
        </w:rPr>
        <w:t>内容，</w:t>
      </w:r>
      <w:r>
        <w:rPr>
          <w:rFonts w:hint="eastAsia" w:ascii="新宋体" w:hAnsi="新宋体" w:eastAsia="新宋体" w:cs="新宋体"/>
          <w:color w:val="auto"/>
          <w:sz w:val="24"/>
          <w:szCs w:val="24"/>
          <w:highlight w:val="none"/>
          <w:lang w:val="en-US" w:eastAsia="zh-CN"/>
        </w:rPr>
        <w:t>进行综合评价。</w:t>
      </w:r>
    </w:p>
    <w:p w14:paraId="627A7792">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640"/>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3.绩效评价范围</w:t>
      </w:r>
    </w:p>
    <w:p w14:paraId="10EA99AC">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本次绩效评价主要围绕洛浦县202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耕地轮作</w:t>
      </w:r>
      <w:r>
        <w:rPr>
          <w:rFonts w:hint="eastAsia" w:ascii="新宋体" w:hAnsi="新宋体" w:eastAsia="新宋体" w:cs="新宋体"/>
          <w:color w:val="auto"/>
          <w:sz w:val="24"/>
          <w:szCs w:val="24"/>
          <w:highlight w:val="none"/>
        </w:rPr>
        <w:t>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新宋体" w:hAnsi="新宋体" w:eastAsia="新宋体" w:cs="新宋体"/>
          <w:color w:val="auto"/>
          <w:sz w:val="24"/>
          <w:szCs w:val="24"/>
          <w:highlight w:val="none"/>
          <w:lang w:eastAsia="zh-CN"/>
        </w:rPr>
        <w:t>，</w:t>
      </w:r>
      <w:r>
        <w:rPr>
          <w:rFonts w:hint="eastAsia" w:ascii="新宋体" w:hAnsi="新宋体" w:eastAsia="新宋体" w:cs="新宋体"/>
          <w:color w:val="auto"/>
          <w:sz w:val="24"/>
          <w:szCs w:val="24"/>
          <w:highlight w:val="none"/>
        </w:rPr>
        <w:t>覆盖预算资金支出项目的所有内容进行评价。</w:t>
      </w:r>
    </w:p>
    <w:p w14:paraId="724A8FE2">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（二）绩效评价原则、评价指标体系、评价方法评价标准</w:t>
      </w:r>
      <w:bookmarkEnd w:id="5"/>
    </w:p>
    <w:p w14:paraId="53866C48">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1.绩效评价原则</w:t>
      </w:r>
    </w:p>
    <w:p w14:paraId="6412A3EF">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52EBF103">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（1）科学公正。绩效评价应当运用科学合理的方法，按照规范的程序，对项目绩效进行客观、公正的反映。</w:t>
      </w:r>
    </w:p>
    <w:p w14:paraId="7B6A565E">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185F4D4A">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（3）激励约束。绩效评价结果应与预算安排、政策调整、改进管理实质性挂钩，有效要安排、低效要压减、无效要问责。</w:t>
      </w:r>
    </w:p>
    <w:p w14:paraId="6E95950C">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（4）公开透明。绩效评价结果应依法依规公开，并自觉接受社会监督。</w:t>
      </w:r>
    </w:p>
    <w:p w14:paraId="4AA9896E">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根据以上原则，绩效评价应遵循如下要求:</w:t>
      </w:r>
    </w:p>
    <w:p w14:paraId="75517BEF">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1）在数据采集时，采取客观数据，主管部门审查、</w:t>
      </w:r>
      <w:r>
        <w:rPr>
          <w:rFonts w:hint="eastAsia" w:ascii="新宋体" w:hAnsi="新宋体" w:eastAsia="新宋体" w:cs="新宋体"/>
          <w:color w:val="auto"/>
          <w:sz w:val="24"/>
          <w:szCs w:val="24"/>
          <w:highlight w:val="none"/>
          <w:lang w:val="en-US" w:eastAsia="zh-CN"/>
        </w:rPr>
        <w:t>乡镇核查、县级</w:t>
      </w:r>
      <w:r>
        <w:rPr>
          <w:rFonts w:hint="eastAsia" w:ascii="新宋体" w:hAnsi="新宋体" w:eastAsia="新宋体" w:cs="新宋体"/>
          <w:color w:val="auto"/>
          <w:sz w:val="24"/>
          <w:szCs w:val="24"/>
          <w:highlight w:val="none"/>
        </w:rPr>
        <w:t>复查，与问卷调查相结合的形式，以保证各项指标的真实性。</w:t>
      </w:r>
    </w:p>
    <w:p w14:paraId="472C4C91">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2）保证评价结果的真实性、公正性，提高评价报告的公信力。</w:t>
      </w:r>
    </w:p>
    <w:p w14:paraId="765B1C93">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3）绩</w:t>
      </w:r>
      <w:r>
        <w:rPr>
          <w:rFonts w:hint="eastAsia" w:ascii="新宋体" w:hAnsi="新宋体" w:eastAsia="新宋体" w:cs="新宋体"/>
          <w:color w:val="auto"/>
          <w:sz w:val="24"/>
          <w:szCs w:val="24"/>
          <w:highlight w:val="none"/>
          <w:lang w:val="en-US" w:eastAsia="zh-CN"/>
        </w:rPr>
        <w:t>效</w:t>
      </w:r>
      <w:r>
        <w:rPr>
          <w:rFonts w:hint="eastAsia" w:ascii="新宋体" w:hAnsi="新宋体" w:eastAsia="新宋体" w:cs="新宋体"/>
          <w:color w:val="auto"/>
          <w:sz w:val="24"/>
          <w:szCs w:val="24"/>
          <w:highlight w:val="none"/>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732319F8">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2.绩效评价指标体系</w:t>
      </w:r>
    </w:p>
    <w:p w14:paraId="12AC8D25">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新宋体" w:hAnsi="新宋体" w:eastAsia="新宋体" w:cs="新宋体"/>
          <w:color w:val="auto"/>
          <w:sz w:val="24"/>
          <w:szCs w:val="24"/>
          <w:highlight w:val="none"/>
          <w:lang w:val="en-US" w:eastAsia="zh-CN"/>
        </w:rPr>
        <w:t>2</w:t>
      </w:r>
      <w:r>
        <w:rPr>
          <w:rFonts w:hint="eastAsia" w:ascii="新宋体" w:hAnsi="新宋体" w:eastAsia="新宋体" w:cs="新宋体"/>
          <w:color w:val="auto"/>
          <w:sz w:val="24"/>
          <w:szCs w:val="24"/>
          <w:highlight w:val="none"/>
        </w:rPr>
        <w:t>个二级指标。项目绩效评价体系</w:t>
      </w:r>
      <w:r>
        <w:rPr>
          <w:rFonts w:hint="eastAsia" w:ascii="新宋体" w:hAnsi="新宋体" w:eastAsia="新宋体" w:cs="新宋体"/>
          <w:color w:val="auto"/>
          <w:sz w:val="24"/>
          <w:szCs w:val="24"/>
          <w:highlight w:val="none"/>
          <w:lang w:eastAsia="zh-CN"/>
        </w:rPr>
        <w:t>。</w:t>
      </w:r>
      <w:r>
        <w:rPr>
          <w:rFonts w:hint="eastAsia" w:ascii="新宋体" w:hAnsi="新宋体" w:eastAsia="新宋体" w:cs="新宋体"/>
          <w:color w:val="auto"/>
          <w:sz w:val="24"/>
          <w:szCs w:val="24"/>
          <w:highlight w:val="none"/>
        </w:rPr>
        <w:t>详细指标体系见“附件1：项目支出绩效评价体系”。</w:t>
      </w:r>
    </w:p>
    <w:p w14:paraId="7424BD9D">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3.绩效评价方法</w:t>
      </w:r>
    </w:p>
    <w:p w14:paraId="136DB73A">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11F9464">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lang w:val="en-US" w:eastAsia="zh-CN"/>
        </w:rPr>
        <w:t>具体</w:t>
      </w:r>
      <w:r>
        <w:rPr>
          <w:rFonts w:hint="eastAsia" w:ascii="新宋体" w:hAnsi="新宋体" w:eastAsia="新宋体" w:cs="新宋体"/>
          <w:color w:val="auto"/>
          <w:sz w:val="24"/>
          <w:szCs w:val="24"/>
          <w:highlight w:val="none"/>
        </w:rPr>
        <w:t>评价方法的应用如下:</w:t>
      </w:r>
    </w:p>
    <w:p w14:paraId="27A34499">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立项依据充分性：比较法、文献法，查找法律法规政策以及规划，对比实际执行内容和政策支持内容是否匹配。</w:t>
      </w:r>
    </w:p>
    <w:p w14:paraId="6E9200A5">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立项程序规范性：比较法、文献法，查找相关项目设立的政策和文件要求，对比分析实际执行程序是否按照政策及文件要求执行，分析立项程序的规范性。</w:t>
      </w:r>
    </w:p>
    <w:p w14:paraId="46C335CD">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绩效目标合理性：比较法，对比分析年初编制项目支出绩效目标表与项目内容的相关性、资金的匹配性等。</w:t>
      </w:r>
    </w:p>
    <w:p w14:paraId="251B8B77">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绩效指标明确性：比较法，比较分析年初编制项目支出绩效目标表是否符合双七原则，是否可衡量。</w:t>
      </w:r>
    </w:p>
    <w:p w14:paraId="1E2D020A">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预算编制科学性</w:t>
      </w:r>
      <w:r>
        <w:rPr>
          <w:rFonts w:hint="eastAsia" w:ascii="新宋体" w:hAnsi="新宋体" w:eastAsia="新宋体" w:cs="新宋体"/>
          <w:color w:val="auto"/>
          <w:sz w:val="24"/>
          <w:szCs w:val="24"/>
          <w:highlight w:val="none"/>
          <w:lang w:eastAsia="zh-CN"/>
        </w:rPr>
        <w:t>：</w:t>
      </w:r>
      <w:r>
        <w:rPr>
          <w:rFonts w:hint="eastAsia" w:ascii="新宋体" w:hAnsi="新宋体" w:eastAsia="新宋体" w:cs="新宋体"/>
          <w:color w:val="auto"/>
          <w:sz w:val="24"/>
          <w:szCs w:val="24"/>
          <w:highlight w:val="none"/>
        </w:rPr>
        <w:t>成本效益分析法</w:t>
      </w:r>
      <w:r>
        <w:rPr>
          <w:rFonts w:hint="eastAsia" w:ascii="新宋体" w:hAnsi="新宋体" w:eastAsia="新宋体" w:cs="新宋体"/>
          <w:color w:val="auto"/>
          <w:sz w:val="24"/>
          <w:szCs w:val="24"/>
          <w:highlight w:val="none"/>
          <w:lang w:eastAsia="zh-CN"/>
        </w:rPr>
        <w:t>，</w:t>
      </w:r>
      <w:r>
        <w:rPr>
          <w:rFonts w:hint="eastAsia" w:ascii="新宋体" w:hAnsi="新宋体" w:eastAsia="新宋体" w:cs="新宋体"/>
          <w:color w:val="auto"/>
          <w:sz w:val="24"/>
          <w:szCs w:val="24"/>
          <w:highlight w:val="none"/>
        </w:rPr>
        <w:t>分析在产出一定的情况下，成本取值是否有依据，是否经过询价，是否按照市场最低成本编制。</w:t>
      </w:r>
    </w:p>
    <w:p w14:paraId="36671A68">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lang w:eastAsia="zh-CN"/>
        </w:rPr>
      </w:pPr>
      <w:r>
        <w:rPr>
          <w:rFonts w:hint="eastAsia" w:ascii="新宋体" w:hAnsi="新宋体" w:eastAsia="新宋体" w:cs="新宋体"/>
          <w:color w:val="auto"/>
          <w:sz w:val="24"/>
          <w:szCs w:val="24"/>
          <w:highlight w:val="none"/>
        </w:rPr>
        <w:t>资金分配合理性：因素分析法，综合分析资金的分配依据是否充分，分配金额是否与项目实施单位需求金额一致</w:t>
      </w:r>
      <w:r>
        <w:rPr>
          <w:rFonts w:hint="eastAsia" w:ascii="新宋体" w:hAnsi="新宋体" w:eastAsia="新宋体" w:cs="新宋体"/>
          <w:color w:val="auto"/>
          <w:sz w:val="24"/>
          <w:szCs w:val="24"/>
          <w:highlight w:val="none"/>
          <w:lang w:eastAsia="zh-CN"/>
        </w:rPr>
        <w:t>。</w:t>
      </w:r>
    </w:p>
    <w:p w14:paraId="6FE31750">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资金到位率：比较法，资金到位率预期指标值应为100%，通过实际计算，分析实际完成值和预期指标值之间的差距和原因。</w:t>
      </w:r>
    </w:p>
    <w:p w14:paraId="289D2B65">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预算执行率：比较法，预算执行率预期指标值应为100%，通过实际计算，分析实际完成值和预期指标值之间的差距和原因。</w:t>
      </w:r>
    </w:p>
    <w:p w14:paraId="01C2B904">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资金使用合规性：文献法、实地勘察法，一是查找资金管理办法，包括专项资金管理办法和单位自有资金管理办法；二是通过查账了解具体开支情况，是否专用专用，是否按照标准支出。</w:t>
      </w:r>
    </w:p>
    <w:p w14:paraId="6A6624B8">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管理制度健全性：文献法、比较法，查阅项目实施人员提供的财务和业务管理制度，将已建立的制度与现行的法律法规和政策要求进行对比，分析项目制度的合法性、合规性、完整性。</w:t>
      </w:r>
    </w:p>
    <w:p w14:paraId="6C70E789">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制度执行有效性：比较法，结合项目实际实施过程性文件，根据已建设的财务管理制度和项目管理制度综合分析制度执行的有效性。</w:t>
      </w:r>
    </w:p>
    <w:p w14:paraId="57FA091A">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C781815">
      <w:pPr>
        <w:pStyle w:val="15"/>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定性指标：公众评判法，通过问卷及抽样调查等方式评价本项目实施后社会公众对于其实施效果的满意程度。</w:t>
      </w:r>
    </w:p>
    <w:p w14:paraId="01375041">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4.绩效评价标准</w:t>
      </w:r>
    </w:p>
    <w:p w14:paraId="5C7E3168">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新宋体" w:hAnsi="新宋体" w:eastAsia="新宋体" w:cs="新宋体"/>
          <w:color w:val="auto"/>
          <w:sz w:val="24"/>
          <w:szCs w:val="24"/>
          <w:highlight w:val="none"/>
          <w:lang w:val="en-US" w:eastAsia="zh-CN"/>
        </w:rPr>
      </w:pPr>
      <w:bookmarkStart w:id="6" w:name="_Toc68364663"/>
      <w:r>
        <w:rPr>
          <w:rFonts w:hint="eastAsia" w:ascii="新宋体" w:hAnsi="新宋体" w:eastAsia="新宋体" w:cs="新宋体"/>
          <w:color w:val="auto"/>
          <w:sz w:val="24"/>
          <w:szCs w:val="24"/>
          <w:highlight w:val="none"/>
        </w:rPr>
        <w:t>绩效评价标准通常包括计划标准、行业标准、历史标准等，用于对绩效指标完成情况进行比较、分析、评价。本次评价主要采用了行业标准</w:t>
      </w:r>
      <w:r>
        <w:rPr>
          <w:rFonts w:hint="eastAsia" w:ascii="新宋体" w:hAnsi="新宋体" w:eastAsia="新宋体" w:cs="新宋体"/>
          <w:color w:val="auto"/>
          <w:sz w:val="24"/>
          <w:szCs w:val="24"/>
          <w:highlight w:val="none"/>
          <w:lang w:eastAsia="zh-CN"/>
        </w:rPr>
        <w:t>，</w:t>
      </w:r>
      <w:bookmarkStart w:id="7" w:name="_Toc31464"/>
      <w:bookmarkStart w:id="8" w:name="_Toc17882"/>
      <w:r>
        <w:rPr>
          <w:rFonts w:hint="eastAsia" w:ascii="新宋体" w:hAnsi="新宋体" w:eastAsia="新宋体" w:cs="新宋体"/>
          <w:color w:val="auto"/>
          <w:sz w:val="24"/>
          <w:szCs w:val="24"/>
          <w:highlight w:val="none"/>
          <w:lang w:val="en-US" w:eastAsia="zh-CN"/>
        </w:rPr>
        <w:t>指参照国家公布的行业指标数据制定的评价标准。</w:t>
      </w:r>
      <w:bookmarkEnd w:id="7"/>
      <w:bookmarkEnd w:id="8"/>
    </w:p>
    <w:p w14:paraId="0F23E9D5">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（三）绩效评价工作过程</w:t>
      </w:r>
      <w:bookmarkEnd w:id="6"/>
    </w:p>
    <w:p w14:paraId="703FA071">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rPr>
      </w:pPr>
      <w:bookmarkStart w:id="9" w:name="_Toc68364664"/>
      <w:r>
        <w:rPr>
          <w:rFonts w:hint="eastAsia" w:ascii="新宋体" w:hAnsi="新宋体" w:eastAsia="新宋体" w:cs="新宋体"/>
          <w:b/>
          <w:bCs/>
          <w:color w:val="auto"/>
          <w:sz w:val="24"/>
          <w:szCs w:val="24"/>
          <w:highlight w:val="none"/>
        </w:rPr>
        <w:t>1.前期准备</w:t>
      </w:r>
    </w:p>
    <w:p w14:paraId="18DE597E">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我单位于</w:t>
      </w:r>
      <w:r>
        <w:rPr>
          <w:rFonts w:hint="eastAsia" w:ascii="新宋体" w:hAnsi="新宋体" w:eastAsia="新宋体" w:cs="新宋体"/>
          <w:color w:val="auto"/>
          <w:sz w:val="24"/>
          <w:szCs w:val="24"/>
          <w:highlight w:val="none"/>
          <w:lang w:eastAsia="zh-CN"/>
        </w:rPr>
        <w:t>202</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lang w:eastAsia="zh-CN"/>
        </w:rPr>
        <w:t>年</w:t>
      </w:r>
      <w:r>
        <w:rPr>
          <w:rFonts w:hint="eastAsia" w:ascii="新宋体" w:hAnsi="新宋体" w:eastAsia="新宋体" w:cs="新宋体"/>
          <w:color w:val="auto"/>
          <w:sz w:val="24"/>
          <w:szCs w:val="24"/>
          <w:highlight w:val="none"/>
          <w:lang w:val="en-US" w:eastAsia="zh-CN"/>
        </w:rPr>
        <w:t>1</w:t>
      </w:r>
      <w:r>
        <w:rPr>
          <w:rFonts w:hint="eastAsia" w:ascii="新宋体" w:hAnsi="新宋体" w:eastAsia="新宋体" w:cs="新宋体"/>
          <w:color w:val="auto"/>
          <w:sz w:val="24"/>
          <w:szCs w:val="24"/>
          <w:highlight w:val="none"/>
        </w:rPr>
        <w:t>月</w:t>
      </w:r>
      <w:r>
        <w:rPr>
          <w:rFonts w:hint="eastAsia" w:ascii="新宋体" w:hAnsi="新宋体" w:eastAsia="新宋体" w:cs="新宋体"/>
          <w:color w:val="auto"/>
          <w:sz w:val="24"/>
          <w:szCs w:val="24"/>
          <w:highlight w:val="none"/>
          <w:lang w:val="en-US" w:eastAsia="zh-CN"/>
        </w:rPr>
        <w:t>1</w:t>
      </w:r>
      <w:r>
        <w:rPr>
          <w:rFonts w:hint="eastAsia" w:ascii="新宋体" w:hAnsi="新宋体" w:eastAsia="新宋体" w:cs="新宋体"/>
          <w:color w:val="auto"/>
          <w:sz w:val="24"/>
          <w:szCs w:val="24"/>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16FA6AD">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lang w:val="en-US" w:eastAsia="zh-CN"/>
        </w:rPr>
        <w:t>阿卜杜克热木·热杰普</w:t>
      </w:r>
      <w:r>
        <w:rPr>
          <w:rFonts w:hint="eastAsia" w:ascii="新宋体" w:hAnsi="新宋体" w:eastAsia="新宋体" w:cs="新宋体"/>
          <w:color w:val="auto"/>
          <w:sz w:val="24"/>
          <w:szCs w:val="24"/>
          <w:highlight w:val="none"/>
        </w:rPr>
        <w:t>：主要负责</w:t>
      </w:r>
      <w:r>
        <w:rPr>
          <w:rFonts w:hint="eastAsia" w:ascii="新宋体" w:hAnsi="新宋体" w:eastAsia="新宋体" w:cs="新宋体"/>
          <w:color w:val="auto"/>
          <w:sz w:val="24"/>
          <w:szCs w:val="24"/>
          <w:highlight w:val="none"/>
          <w:lang w:val="en-US" w:eastAsia="zh-CN"/>
        </w:rPr>
        <w:t>绩效评价工作</w:t>
      </w:r>
      <w:r>
        <w:rPr>
          <w:rFonts w:hint="eastAsia" w:ascii="新宋体" w:hAnsi="新宋体" w:eastAsia="新宋体" w:cs="新宋体"/>
          <w:color w:val="auto"/>
          <w:sz w:val="24"/>
          <w:szCs w:val="24"/>
          <w:highlight w:val="none"/>
        </w:rPr>
        <w:t>;</w:t>
      </w:r>
    </w:p>
    <w:p w14:paraId="6487AC3C">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2.组织实施</w:t>
      </w:r>
    </w:p>
    <w:p w14:paraId="31AFD261">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lang w:eastAsia="zh-CN"/>
        </w:rPr>
        <w:t>202</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lang w:eastAsia="zh-CN"/>
        </w:rPr>
        <w:t>年</w:t>
      </w:r>
      <w:r>
        <w:rPr>
          <w:rFonts w:hint="eastAsia" w:ascii="新宋体" w:hAnsi="新宋体" w:eastAsia="新宋体" w:cs="新宋体"/>
          <w:color w:val="auto"/>
          <w:sz w:val="24"/>
          <w:szCs w:val="24"/>
          <w:highlight w:val="none"/>
          <w:lang w:val="en-US" w:eastAsia="zh-CN"/>
        </w:rPr>
        <w:t>1</w:t>
      </w:r>
      <w:r>
        <w:rPr>
          <w:rFonts w:hint="eastAsia" w:ascii="新宋体" w:hAnsi="新宋体" w:eastAsia="新宋体" w:cs="新宋体"/>
          <w:color w:val="auto"/>
          <w:sz w:val="24"/>
          <w:szCs w:val="24"/>
          <w:highlight w:val="none"/>
        </w:rPr>
        <w:t>月</w:t>
      </w:r>
      <w:r>
        <w:rPr>
          <w:rFonts w:hint="eastAsia" w:ascii="新宋体" w:hAnsi="新宋体" w:eastAsia="新宋体" w:cs="新宋体"/>
          <w:color w:val="auto"/>
          <w:sz w:val="24"/>
          <w:szCs w:val="24"/>
          <w:highlight w:val="none"/>
          <w:lang w:val="en-US" w:eastAsia="zh-CN"/>
        </w:rPr>
        <w:t>15</w:t>
      </w:r>
      <w:r>
        <w:rPr>
          <w:rFonts w:hint="eastAsia" w:ascii="新宋体" w:hAnsi="新宋体" w:eastAsia="新宋体" w:cs="新宋体"/>
          <w:color w:val="auto"/>
          <w:sz w:val="24"/>
          <w:szCs w:val="24"/>
          <w:highlight w:val="none"/>
        </w:rPr>
        <w:t>日-</w:t>
      </w:r>
      <w:r>
        <w:rPr>
          <w:rFonts w:hint="eastAsia" w:ascii="新宋体" w:hAnsi="新宋体" w:eastAsia="新宋体" w:cs="新宋体"/>
          <w:color w:val="auto"/>
          <w:sz w:val="24"/>
          <w:szCs w:val="24"/>
          <w:highlight w:val="none"/>
          <w:lang w:val="en-US" w:eastAsia="zh-CN"/>
        </w:rPr>
        <w:t>1</w:t>
      </w:r>
      <w:r>
        <w:rPr>
          <w:rFonts w:hint="eastAsia" w:ascii="新宋体" w:hAnsi="新宋体" w:eastAsia="新宋体" w:cs="新宋体"/>
          <w:color w:val="auto"/>
          <w:sz w:val="24"/>
          <w:szCs w:val="24"/>
          <w:highlight w:val="none"/>
        </w:rPr>
        <w:t>月</w:t>
      </w:r>
      <w:r>
        <w:rPr>
          <w:rFonts w:hint="eastAsia" w:ascii="新宋体" w:hAnsi="新宋体" w:eastAsia="新宋体" w:cs="新宋体"/>
          <w:color w:val="auto"/>
          <w:sz w:val="24"/>
          <w:szCs w:val="24"/>
          <w:highlight w:val="none"/>
          <w:lang w:val="en-US" w:eastAsia="zh-CN"/>
        </w:rPr>
        <w:t>31</w:t>
      </w:r>
      <w:r>
        <w:rPr>
          <w:rFonts w:hint="eastAsia" w:ascii="新宋体" w:hAnsi="新宋体" w:eastAsia="新宋体" w:cs="新宋体"/>
          <w:color w:val="auto"/>
          <w:sz w:val="24"/>
          <w:szCs w:val="24"/>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A4A45BA">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3.分析评价</w:t>
      </w:r>
    </w:p>
    <w:p w14:paraId="4E66762C">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lang w:eastAsia="zh-CN"/>
        </w:rPr>
        <w:t>202</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lang w:eastAsia="zh-CN"/>
        </w:rPr>
        <w:t>年</w:t>
      </w:r>
      <w:r>
        <w:rPr>
          <w:rFonts w:hint="eastAsia" w:ascii="新宋体" w:hAnsi="新宋体" w:eastAsia="新宋体" w:cs="新宋体"/>
          <w:color w:val="auto"/>
          <w:sz w:val="24"/>
          <w:szCs w:val="24"/>
          <w:highlight w:val="none"/>
          <w:lang w:val="en-US" w:eastAsia="zh-CN"/>
        </w:rPr>
        <w:t>2</w:t>
      </w:r>
      <w:r>
        <w:rPr>
          <w:rFonts w:hint="eastAsia" w:ascii="新宋体" w:hAnsi="新宋体" w:eastAsia="新宋体" w:cs="新宋体"/>
          <w:color w:val="auto"/>
          <w:sz w:val="24"/>
          <w:szCs w:val="24"/>
          <w:highlight w:val="none"/>
        </w:rPr>
        <w:t>月</w:t>
      </w:r>
      <w:r>
        <w:rPr>
          <w:rFonts w:hint="eastAsia" w:ascii="新宋体" w:hAnsi="新宋体" w:eastAsia="新宋体" w:cs="新宋体"/>
          <w:color w:val="auto"/>
          <w:sz w:val="24"/>
          <w:szCs w:val="24"/>
          <w:highlight w:val="none"/>
          <w:lang w:val="en-US" w:eastAsia="zh-CN"/>
        </w:rPr>
        <w:t>1</w:t>
      </w:r>
      <w:r>
        <w:rPr>
          <w:rFonts w:hint="eastAsia" w:ascii="新宋体" w:hAnsi="新宋体" w:eastAsia="新宋体" w:cs="新宋体"/>
          <w:color w:val="auto"/>
          <w:sz w:val="24"/>
          <w:szCs w:val="24"/>
          <w:highlight w:val="none"/>
        </w:rPr>
        <w:t>日-</w:t>
      </w:r>
      <w:r>
        <w:rPr>
          <w:rFonts w:hint="eastAsia" w:ascii="新宋体" w:hAnsi="新宋体" w:eastAsia="新宋体" w:cs="新宋体"/>
          <w:color w:val="auto"/>
          <w:sz w:val="24"/>
          <w:szCs w:val="24"/>
          <w:highlight w:val="none"/>
          <w:lang w:val="en-US" w:eastAsia="zh-CN"/>
        </w:rPr>
        <w:t>2</w:t>
      </w:r>
      <w:r>
        <w:rPr>
          <w:rFonts w:hint="eastAsia" w:ascii="新宋体" w:hAnsi="新宋体" w:eastAsia="新宋体" w:cs="新宋体"/>
          <w:color w:val="auto"/>
          <w:sz w:val="24"/>
          <w:szCs w:val="24"/>
          <w:highlight w:val="none"/>
        </w:rPr>
        <w:t>月</w:t>
      </w:r>
      <w:r>
        <w:rPr>
          <w:rFonts w:hint="eastAsia" w:ascii="新宋体" w:hAnsi="新宋体" w:eastAsia="新宋体" w:cs="新宋体"/>
          <w:color w:val="auto"/>
          <w:sz w:val="24"/>
          <w:szCs w:val="24"/>
          <w:highlight w:val="none"/>
          <w:lang w:val="en-US" w:eastAsia="zh-CN"/>
        </w:rPr>
        <w:t>28</w:t>
      </w:r>
      <w:r>
        <w:rPr>
          <w:rFonts w:hint="eastAsia" w:ascii="新宋体" w:hAnsi="新宋体" w:eastAsia="新宋体" w:cs="新宋体"/>
          <w:color w:val="auto"/>
          <w:sz w:val="24"/>
          <w:szCs w:val="24"/>
          <w:highlight w:val="none"/>
        </w:rPr>
        <w:t>日，评价小组按照绩效评价的原则和规范，对取得的资料进行审查核实，对采集的数据进行分析，按照绩效评价指标评分表逐项进行打分、分析、汇总各方评价结果。</w:t>
      </w:r>
    </w:p>
    <w:p w14:paraId="07C0DB99">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4.撰写与提交评价报告</w:t>
      </w:r>
    </w:p>
    <w:p w14:paraId="35D3E0C5">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lang w:eastAsia="zh-CN"/>
        </w:rPr>
        <w:t>202</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lang w:eastAsia="zh-CN"/>
        </w:rPr>
        <w:t>年</w:t>
      </w:r>
      <w:r>
        <w:rPr>
          <w:rFonts w:hint="eastAsia" w:ascii="新宋体" w:hAnsi="新宋体" w:eastAsia="新宋体" w:cs="新宋体"/>
          <w:color w:val="auto"/>
          <w:sz w:val="24"/>
          <w:szCs w:val="24"/>
          <w:highlight w:val="none"/>
          <w:lang w:val="en-US" w:eastAsia="zh-CN"/>
        </w:rPr>
        <w:t>3</w:t>
      </w:r>
      <w:r>
        <w:rPr>
          <w:rFonts w:hint="eastAsia" w:ascii="新宋体" w:hAnsi="新宋体" w:eastAsia="新宋体" w:cs="新宋体"/>
          <w:color w:val="auto"/>
          <w:sz w:val="24"/>
          <w:szCs w:val="24"/>
          <w:highlight w:val="none"/>
        </w:rPr>
        <w:t>月</w:t>
      </w:r>
      <w:r>
        <w:rPr>
          <w:rFonts w:hint="eastAsia" w:ascii="新宋体" w:hAnsi="新宋体" w:eastAsia="新宋体" w:cs="新宋体"/>
          <w:color w:val="auto"/>
          <w:sz w:val="24"/>
          <w:szCs w:val="24"/>
          <w:highlight w:val="none"/>
          <w:lang w:val="en-US" w:eastAsia="zh-CN"/>
        </w:rPr>
        <w:t>1</w:t>
      </w:r>
      <w:r>
        <w:rPr>
          <w:rFonts w:hint="eastAsia" w:ascii="新宋体" w:hAnsi="新宋体" w:eastAsia="新宋体" w:cs="新宋体"/>
          <w:color w:val="auto"/>
          <w:sz w:val="24"/>
          <w:szCs w:val="24"/>
          <w:highlight w:val="none"/>
        </w:rPr>
        <w:t>日</w:t>
      </w:r>
      <w:r>
        <w:rPr>
          <w:rFonts w:hint="eastAsia" w:ascii="新宋体" w:hAnsi="新宋体" w:eastAsia="新宋体" w:cs="新宋体"/>
          <w:color w:val="auto"/>
          <w:sz w:val="24"/>
          <w:szCs w:val="24"/>
          <w:highlight w:val="none"/>
          <w:lang w:eastAsia="zh-CN"/>
        </w:rPr>
        <w:t>—</w:t>
      </w:r>
      <w:r>
        <w:rPr>
          <w:rFonts w:hint="eastAsia" w:ascii="新宋体" w:hAnsi="新宋体" w:eastAsia="新宋体" w:cs="新宋体"/>
          <w:color w:val="auto"/>
          <w:sz w:val="24"/>
          <w:szCs w:val="24"/>
          <w:highlight w:val="none"/>
          <w:lang w:val="en-US" w:eastAsia="zh-CN"/>
        </w:rPr>
        <w:t>2025年3月31日，</w:t>
      </w:r>
      <w:r>
        <w:rPr>
          <w:rFonts w:hint="eastAsia" w:ascii="新宋体" w:hAnsi="新宋体" w:eastAsia="新宋体" w:cs="新宋体"/>
          <w:color w:val="auto"/>
          <w:sz w:val="24"/>
          <w:szCs w:val="24"/>
          <w:highlight w:val="none"/>
        </w:rPr>
        <w:t>撰写绩效评价报告，按照新疆</w:t>
      </w:r>
      <w:r>
        <w:rPr>
          <w:rFonts w:hint="eastAsia" w:ascii="新宋体" w:hAnsi="新宋体" w:eastAsia="新宋体" w:cs="新宋体"/>
          <w:color w:val="auto"/>
          <w:sz w:val="24"/>
          <w:szCs w:val="24"/>
          <w:highlight w:val="none"/>
          <w:lang w:eastAsia="zh-CN"/>
        </w:rPr>
        <w:t>维吾尔自治区财政绩效管理信息系统</w:t>
      </w:r>
      <w:r>
        <w:rPr>
          <w:rFonts w:hint="eastAsia" w:ascii="新宋体" w:hAnsi="新宋体" w:eastAsia="新宋体" w:cs="新宋体"/>
          <w:color w:val="auto"/>
          <w:sz w:val="24"/>
          <w:szCs w:val="24"/>
          <w:highlight w:val="none"/>
        </w:rPr>
        <w:t>绩效评价模块中统一格式和文本框架撰写绩效评价报告并提交审核。</w:t>
      </w:r>
    </w:p>
    <w:p w14:paraId="541F2C05">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5.问题整改</w:t>
      </w:r>
    </w:p>
    <w:p w14:paraId="27846D6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经审核通过后，由评价小组将报告推送至项目实施人员，由项目实施人员根据</w:t>
      </w:r>
      <w:bookmarkStart w:id="18" w:name="_GoBack"/>
      <w:bookmarkEnd w:id="18"/>
      <w:r>
        <w:rPr>
          <w:rFonts w:hint="eastAsia" w:ascii="宋体" w:hAnsi="宋体" w:eastAsia="宋体" w:cs="宋体"/>
          <w:color w:val="auto"/>
          <w:sz w:val="24"/>
          <w:szCs w:val="24"/>
        </w:rPr>
        <w:t>报告评价结论、存在的问题以及改进建议落实问题整改，并形成整改报告，由评价小组负责监督和核查整改落实情况，确保绩效评价落到实处。</w:t>
      </w:r>
    </w:p>
    <w:p w14:paraId="70F371A7">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6.档案整理</w:t>
      </w:r>
    </w:p>
    <w:p w14:paraId="420CA82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建立和落实档案管理制度，将项目相关资料存档，包括但不限于：评价项目基本情况和相关文件、评价实施方案、项目支付资料等相关档案。</w:t>
      </w:r>
    </w:p>
    <w:p w14:paraId="1C2D3C48">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p>
    <w:p w14:paraId="3E48F4B1">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color w:val="auto"/>
          <w:sz w:val="24"/>
          <w:szCs w:val="24"/>
          <w:highlight w:val="none"/>
        </w:rPr>
      </w:pPr>
      <w:r>
        <w:rPr>
          <w:rFonts w:hint="eastAsia" w:ascii="黑体" w:hAnsi="黑体" w:eastAsia="黑体" w:cs="黑体"/>
          <w:b/>
          <w:bCs/>
          <w:color w:val="auto"/>
          <w:sz w:val="24"/>
          <w:szCs w:val="24"/>
          <w:highlight w:val="none"/>
        </w:rPr>
        <w:t>三、综合评价情况及评价结论</w:t>
      </w:r>
      <w:bookmarkEnd w:id="9"/>
    </w:p>
    <w:p w14:paraId="055A7D88">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bookmarkStart w:id="10" w:name="_Toc68364665"/>
      <w:r>
        <w:rPr>
          <w:rFonts w:hint="eastAsia" w:ascii="新宋体" w:hAnsi="新宋体" w:eastAsia="新宋体" w:cs="新宋体"/>
          <w:color w:val="auto"/>
          <w:sz w:val="24"/>
          <w:szCs w:val="24"/>
          <w:highlight w:val="none"/>
        </w:rPr>
        <w:t>（一）综合评价情况</w:t>
      </w:r>
      <w:bookmarkEnd w:id="10"/>
    </w:p>
    <w:p w14:paraId="3E5CAB6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bookmarkStart w:id="11" w:name="_Toc68364666"/>
      <w:r>
        <w:rPr>
          <w:rFonts w:hint="eastAsia" w:ascii="新宋体" w:hAnsi="新宋体" w:eastAsia="新宋体" w:cs="新宋体"/>
          <w:color w:val="auto"/>
          <w:sz w:val="24"/>
          <w:szCs w:val="24"/>
          <w:highlight w:val="none"/>
        </w:rPr>
        <w:t>通过实施洛浦县202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耕地轮作</w:t>
      </w:r>
      <w:r>
        <w:rPr>
          <w:rFonts w:hint="eastAsia" w:ascii="新宋体" w:hAnsi="新宋体" w:eastAsia="新宋体" w:cs="新宋体"/>
          <w:color w:val="auto"/>
          <w:sz w:val="24"/>
          <w:szCs w:val="24"/>
          <w:highlight w:val="none"/>
        </w:rPr>
        <w:t>项目产生</w:t>
      </w:r>
      <w:r>
        <w:rPr>
          <w:rFonts w:hint="eastAsia" w:ascii="新宋体" w:hAnsi="新宋体" w:eastAsia="新宋体" w:cs="新宋体"/>
          <w:color w:val="auto"/>
          <w:sz w:val="24"/>
          <w:szCs w:val="24"/>
          <w:highlight w:val="none"/>
          <w:lang w:val="en-US" w:eastAsia="zh-CN"/>
        </w:rPr>
        <w:t>社会效益，项目的实施，可为该乡镇带来劳务收入，解决项目乡镇群众就业问题，使农民增收。使农业发展、农民增收，提高人民生活水平，对社会稳定和维护安定团结，起到积极的推动作用。</w:t>
      </w:r>
      <w:r>
        <w:rPr>
          <w:rFonts w:hint="eastAsia" w:ascii="新宋体" w:hAnsi="新宋体" w:eastAsia="新宋体" w:cs="新宋体"/>
          <w:color w:val="auto"/>
          <w:sz w:val="24"/>
          <w:szCs w:val="24"/>
          <w:highlight w:val="none"/>
        </w:rPr>
        <w:t>项目实施主要通过项目</w:t>
      </w:r>
      <w:r>
        <w:rPr>
          <w:rFonts w:hint="eastAsia" w:ascii="新宋体" w:hAnsi="新宋体" w:eastAsia="新宋体" w:cs="新宋体"/>
          <w:color w:val="auto"/>
          <w:sz w:val="24"/>
          <w:szCs w:val="24"/>
          <w:highlight w:val="none"/>
          <w:lang w:val="en-US" w:eastAsia="zh-CN"/>
        </w:rPr>
        <w:t>方案</w:t>
      </w:r>
      <w:r>
        <w:rPr>
          <w:rFonts w:hint="eastAsia" w:ascii="新宋体" w:hAnsi="新宋体" w:eastAsia="新宋体" w:cs="新宋体"/>
          <w:color w:val="auto"/>
          <w:sz w:val="24"/>
          <w:szCs w:val="24"/>
          <w:highlight w:val="none"/>
        </w:rPr>
        <w:t>、项目过程、项目产出以及项目效益等方面进行评价，其中：</w:t>
      </w:r>
    </w:p>
    <w:p w14:paraId="74CD4BB5">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项目</w:t>
      </w:r>
      <w:r>
        <w:rPr>
          <w:rFonts w:hint="eastAsia" w:ascii="新宋体" w:hAnsi="新宋体" w:eastAsia="新宋体" w:cs="新宋体"/>
          <w:color w:val="auto"/>
          <w:sz w:val="24"/>
          <w:szCs w:val="24"/>
          <w:highlight w:val="none"/>
          <w:lang w:val="en-US" w:eastAsia="zh-CN"/>
        </w:rPr>
        <w:t>方案</w:t>
      </w:r>
      <w:r>
        <w:rPr>
          <w:rFonts w:hint="eastAsia" w:ascii="新宋体" w:hAnsi="新宋体" w:eastAsia="新宋体" w:cs="新宋体"/>
          <w:color w:val="auto"/>
          <w:sz w:val="24"/>
          <w:szCs w:val="24"/>
          <w:highlight w:val="none"/>
        </w:rPr>
        <w:t>：该项目主要通过关于对洛浦县202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耕地轮作</w:t>
      </w:r>
      <w:r>
        <w:rPr>
          <w:rFonts w:hint="eastAsia" w:ascii="新宋体" w:hAnsi="新宋体" w:eastAsia="新宋体" w:cs="新宋体"/>
          <w:color w:val="auto"/>
          <w:sz w:val="24"/>
          <w:szCs w:val="24"/>
          <w:highlight w:val="none"/>
        </w:rPr>
        <w:t>项目初步设</w:t>
      </w:r>
      <w:r>
        <w:rPr>
          <w:rFonts w:hint="eastAsia" w:ascii="新宋体" w:hAnsi="新宋体" w:eastAsia="新宋体" w:cs="新宋体"/>
          <w:color w:val="auto"/>
          <w:sz w:val="24"/>
          <w:szCs w:val="24"/>
          <w:highlight w:val="none"/>
          <w:lang w:val="en-US" w:eastAsia="zh-CN"/>
        </w:rPr>
        <w:t>写作实施方案审批实施</w:t>
      </w:r>
      <w:r>
        <w:rPr>
          <w:rFonts w:hint="eastAsia" w:ascii="新宋体" w:hAnsi="新宋体" w:eastAsia="新宋体" w:cs="新宋体"/>
          <w:color w:val="auto"/>
          <w:sz w:val="24"/>
          <w:szCs w:val="24"/>
          <w:highlight w:val="none"/>
        </w:rPr>
        <w:t>，项目实施符合</w:t>
      </w:r>
      <w:r>
        <w:rPr>
          <w:rFonts w:hint="eastAsia" w:ascii="新宋体" w:hAnsi="新宋体" w:eastAsia="新宋体" w:cs="新宋体"/>
          <w:color w:val="auto"/>
          <w:sz w:val="24"/>
          <w:szCs w:val="24"/>
          <w:highlight w:val="none"/>
          <w:lang w:val="en-US" w:eastAsia="zh-CN"/>
        </w:rPr>
        <w:t>上级部门</w:t>
      </w:r>
      <w:r>
        <w:rPr>
          <w:rFonts w:hint="eastAsia" w:ascii="新宋体" w:hAnsi="新宋体" w:eastAsia="新宋体" w:cs="新宋体"/>
          <w:color w:val="auto"/>
          <w:sz w:val="24"/>
          <w:szCs w:val="24"/>
          <w:highlight w:val="none"/>
        </w:rPr>
        <w:t>要求，项目</w:t>
      </w:r>
      <w:r>
        <w:rPr>
          <w:rFonts w:hint="eastAsia" w:ascii="新宋体" w:hAnsi="新宋体" w:eastAsia="新宋体" w:cs="新宋体"/>
          <w:color w:val="auto"/>
          <w:sz w:val="24"/>
          <w:szCs w:val="24"/>
          <w:highlight w:val="none"/>
          <w:lang w:val="en-US" w:eastAsia="zh-CN"/>
        </w:rPr>
        <w:t>方案</w:t>
      </w:r>
      <w:r>
        <w:rPr>
          <w:rFonts w:hint="eastAsia" w:ascii="新宋体" w:hAnsi="新宋体" w:eastAsia="新宋体" w:cs="新宋体"/>
          <w:color w:val="auto"/>
          <w:sz w:val="24"/>
          <w:szCs w:val="24"/>
          <w:highlight w:val="none"/>
        </w:rPr>
        <w:t>依据充分，立项程序规范。</w:t>
      </w:r>
    </w:p>
    <w:p w14:paraId="0F25C3E1">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项目过程：洛浦县202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耕地轮作</w:t>
      </w:r>
      <w:r>
        <w:rPr>
          <w:rFonts w:hint="eastAsia" w:ascii="新宋体" w:hAnsi="新宋体" w:eastAsia="新宋体" w:cs="新宋体"/>
          <w:color w:val="auto"/>
          <w:sz w:val="24"/>
          <w:szCs w:val="24"/>
          <w:highlight w:val="none"/>
        </w:rPr>
        <w:t>项目预算安排</w:t>
      </w:r>
      <w:r>
        <w:rPr>
          <w:rFonts w:hint="eastAsia" w:ascii="新宋体" w:hAnsi="新宋体" w:eastAsia="新宋体" w:cs="新宋体"/>
          <w:b w:val="0"/>
          <w:color w:val="auto"/>
          <w:kern w:val="2"/>
          <w:sz w:val="24"/>
          <w:szCs w:val="24"/>
          <w:highlight w:val="none"/>
          <w:lang w:val="en-US" w:eastAsia="zh-CN" w:bidi="ar-SA"/>
        </w:rPr>
        <w:t>755</w:t>
      </w:r>
      <w:r>
        <w:rPr>
          <w:rFonts w:hint="eastAsia" w:ascii="新宋体" w:hAnsi="新宋体" w:eastAsia="新宋体" w:cs="新宋体"/>
          <w:color w:val="auto"/>
          <w:sz w:val="24"/>
          <w:szCs w:val="24"/>
          <w:highlight w:val="none"/>
        </w:rPr>
        <w:t>万元，实际支出</w:t>
      </w:r>
      <w:r>
        <w:rPr>
          <w:rStyle w:val="13"/>
          <w:rFonts w:hint="eastAsia" w:ascii="新宋体" w:hAnsi="新宋体" w:eastAsia="新宋体" w:cs="新宋体"/>
          <w:b w:val="0"/>
          <w:bCs w:val="0"/>
          <w:color w:val="auto"/>
          <w:spacing w:val="-4"/>
          <w:kern w:val="2"/>
          <w:sz w:val="24"/>
          <w:szCs w:val="24"/>
          <w:highlight w:val="none"/>
          <w:lang w:val="en-US" w:eastAsia="zh-CN" w:bidi="ar-SA"/>
        </w:rPr>
        <w:t>755</w:t>
      </w:r>
      <w:r>
        <w:rPr>
          <w:rFonts w:hint="eastAsia" w:ascii="新宋体" w:hAnsi="新宋体" w:eastAsia="新宋体" w:cs="新宋体"/>
          <w:color w:val="auto"/>
          <w:sz w:val="24"/>
          <w:szCs w:val="24"/>
          <w:highlight w:val="none"/>
        </w:rPr>
        <w:t>万元，预算执行率</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%。项目资金使用合规，项目财务管理制度健全，财务监控到位，所有资金支付均按照国库集中支付制度严格执行，现有项目管理制度执行情况良好。</w:t>
      </w:r>
    </w:p>
    <w:p w14:paraId="3A3DE01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color w:val="auto"/>
          <w:sz w:val="24"/>
          <w:szCs w:val="24"/>
          <w:highlight w:val="none"/>
        </w:rPr>
        <w:t>项目产出：</w:t>
      </w:r>
      <w:r>
        <w:rPr>
          <w:rFonts w:hint="eastAsia" w:ascii="新宋体" w:hAnsi="新宋体" w:eastAsia="新宋体" w:cs="新宋体"/>
          <w:color w:val="auto"/>
          <w:sz w:val="24"/>
          <w:szCs w:val="24"/>
          <w:highlight w:val="none"/>
          <w:lang w:eastAsia="zh-CN"/>
        </w:rPr>
        <w:t>该项目实际完成面积</w:t>
      </w:r>
      <w:r>
        <w:rPr>
          <w:rFonts w:hint="eastAsia" w:ascii="新宋体" w:hAnsi="新宋体" w:eastAsia="新宋体" w:cs="新宋体"/>
          <w:color w:val="auto"/>
          <w:sz w:val="24"/>
          <w:szCs w:val="24"/>
          <w:highlight w:val="none"/>
          <w:lang w:val="en-US" w:eastAsia="zh-CN"/>
        </w:rPr>
        <w:t>5.0333万</w:t>
      </w:r>
      <w:r>
        <w:rPr>
          <w:rFonts w:hint="eastAsia" w:ascii="新宋体" w:hAnsi="新宋体" w:eastAsia="新宋体" w:cs="新宋体"/>
          <w:color w:val="auto"/>
          <w:sz w:val="24"/>
          <w:szCs w:val="24"/>
          <w:highlight w:val="none"/>
          <w:lang w:eastAsia="zh-CN"/>
        </w:rPr>
        <w:t>亩，项目验收合规率</w:t>
      </w:r>
      <w:r>
        <w:rPr>
          <w:rFonts w:hint="eastAsia" w:ascii="新宋体" w:hAnsi="新宋体" w:eastAsia="新宋体" w:cs="新宋体"/>
          <w:color w:val="auto"/>
          <w:sz w:val="24"/>
          <w:szCs w:val="24"/>
          <w:highlight w:val="none"/>
          <w:lang w:val="en-US" w:eastAsia="zh-CN"/>
        </w:rPr>
        <w:t>100%，指标达到预算目标。</w:t>
      </w:r>
    </w:p>
    <w:p w14:paraId="5AC2174C">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color w:val="auto"/>
          <w:sz w:val="24"/>
          <w:szCs w:val="24"/>
          <w:highlight w:val="none"/>
        </w:rPr>
        <w:t>项目效益：通过</w:t>
      </w:r>
      <w:r>
        <w:rPr>
          <w:rFonts w:hint="eastAsia" w:ascii="新宋体" w:hAnsi="新宋体" w:eastAsia="新宋体" w:cs="新宋体"/>
          <w:color w:val="auto"/>
          <w:sz w:val="24"/>
          <w:szCs w:val="24"/>
          <w:highlight w:val="none"/>
          <w:lang w:val="en-US" w:eastAsia="zh-CN"/>
        </w:rPr>
        <w:t>实施此项目，</w:t>
      </w:r>
      <w:r>
        <w:rPr>
          <w:rFonts w:hint="eastAsia" w:ascii="新宋体" w:hAnsi="新宋体" w:eastAsia="新宋体" w:cs="新宋体"/>
          <w:color w:val="auto"/>
          <w:sz w:val="24"/>
          <w:szCs w:val="24"/>
          <w:highlight w:val="none"/>
        </w:rPr>
        <w:t>改善项目区</w:t>
      </w:r>
      <w:r>
        <w:rPr>
          <w:rFonts w:hint="eastAsia" w:ascii="新宋体" w:hAnsi="新宋体" w:eastAsia="新宋体" w:cs="新宋体"/>
          <w:color w:val="auto"/>
          <w:sz w:val="24"/>
          <w:szCs w:val="24"/>
          <w:highlight w:val="none"/>
          <w:lang w:val="en-US" w:eastAsia="zh-CN"/>
        </w:rPr>
        <w:t>耕地质量提升</w:t>
      </w:r>
      <w:r>
        <w:rPr>
          <w:rFonts w:hint="eastAsia" w:ascii="新宋体" w:hAnsi="新宋体" w:eastAsia="新宋体" w:cs="新宋体"/>
          <w:color w:val="auto"/>
          <w:sz w:val="24"/>
          <w:szCs w:val="24"/>
          <w:highlight w:val="none"/>
        </w:rPr>
        <w:t>，对推动节水灌溉的发展、促进高效农业的发展具有积极作用，提升耕地质量，提升粮食综合生产能力。</w:t>
      </w:r>
    </w:p>
    <w:p w14:paraId="1740DFCC">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（二）综合评价结论</w:t>
      </w:r>
    </w:p>
    <w:p w14:paraId="4CF87473">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b/>
          <w:bCs/>
          <w:color w:val="auto"/>
          <w:sz w:val="24"/>
          <w:szCs w:val="24"/>
          <w:highlight w:val="none"/>
        </w:rPr>
      </w:pPr>
      <w:r>
        <w:rPr>
          <w:rFonts w:hint="eastAsia" w:ascii="新宋体" w:hAnsi="新宋体" w:eastAsia="新宋体" w:cs="新宋体"/>
          <w:color w:val="auto"/>
          <w:sz w:val="24"/>
          <w:szCs w:val="24"/>
          <w:highlight w:val="none"/>
        </w:rPr>
        <w:t>依据《中共中央国务院关于全面实施预算绩效管理的意见》《项目支出绩效评价管理办法》（财预〔2020〕10号）文件，绩效评价总分设置为100分，划分为四档：90（含）-100分为“优”、80（含）-90分为“良”、70（含）-80分为“中”、70分以下为“差”。经对洛浦县2023年粮食产能提升工程杭桂镇片区田间建设项目进行客观评价，最终评分结果：评价总分</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分，绩效等级为“</w:t>
      </w:r>
      <w:r>
        <w:rPr>
          <w:rFonts w:hint="eastAsia" w:ascii="新宋体" w:hAnsi="新宋体" w:eastAsia="新宋体" w:cs="新宋体"/>
          <w:color w:val="auto"/>
          <w:sz w:val="24"/>
          <w:szCs w:val="24"/>
          <w:highlight w:val="none"/>
          <w:lang w:val="en-US" w:eastAsia="zh-CN"/>
        </w:rPr>
        <w:t>优</w:t>
      </w:r>
      <w:r>
        <w:rPr>
          <w:rFonts w:hint="eastAsia" w:ascii="新宋体" w:hAnsi="新宋体" w:eastAsia="新宋体" w:cs="新宋体"/>
          <w:color w:val="auto"/>
          <w:sz w:val="24"/>
          <w:szCs w:val="24"/>
          <w:highlight w:val="none"/>
        </w:rPr>
        <w:t>”。</w:t>
      </w:r>
      <w:bookmarkEnd w:id="11"/>
      <w:bookmarkStart w:id="12" w:name="_Toc68364667"/>
    </w:p>
    <w:p w14:paraId="4819A04A">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bCs/>
          <w:color w:val="auto"/>
          <w:sz w:val="24"/>
          <w:szCs w:val="24"/>
          <w:highlight w:val="none"/>
        </w:rPr>
      </w:pPr>
    </w:p>
    <w:p w14:paraId="34116BCD">
      <w:pPr>
        <w:pStyle w:val="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color w:val="auto"/>
          <w:sz w:val="24"/>
          <w:szCs w:val="24"/>
          <w:highlight w:val="none"/>
        </w:rPr>
      </w:pPr>
      <w:r>
        <w:rPr>
          <w:rFonts w:hint="eastAsia" w:ascii="黑体" w:hAnsi="黑体" w:eastAsia="黑体" w:cs="黑体"/>
          <w:b/>
          <w:bCs/>
          <w:color w:val="auto"/>
          <w:sz w:val="24"/>
          <w:szCs w:val="24"/>
          <w:highlight w:val="none"/>
        </w:rPr>
        <w:t>四、绩效评价指标分析</w:t>
      </w:r>
      <w:bookmarkEnd w:id="12"/>
      <w:bookmarkStart w:id="13" w:name="_Toc68364668"/>
    </w:p>
    <w:p w14:paraId="32EE5F75">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（一）项目决策情况</w:t>
      </w:r>
    </w:p>
    <w:p w14:paraId="67AA80F8">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contextualSpacing/>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项目</w:t>
      </w:r>
      <w:r>
        <w:rPr>
          <w:rFonts w:hint="eastAsia" w:ascii="新宋体" w:hAnsi="新宋体" w:eastAsia="新宋体" w:cs="新宋体"/>
          <w:color w:val="auto"/>
          <w:sz w:val="24"/>
          <w:szCs w:val="24"/>
          <w:highlight w:val="none"/>
          <w:lang w:val="en-US" w:eastAsia="zh-CN"/>
        </w:rPr>
        <w:t>方案</w:t>
      </w:r>
      <w:r>
        <w:rPr>
          <w:rFonts w:hint="eastAsia" w:ascii="新宋体" w:hAnsi="新宋体" w:eastAsia="新宋体" w:cs="新宋体"/>
          <w:color w:val="auto"/>
          <w:sz w:val="24"/>
          <w:szCs w:val="24"/>
          <w:highlight w:val="none"/>
        </w:rPr>
        <w:t>指标包括项目</w:t>
      </w:r>
      <w:r>
        <w:rPr>
          <w:rFonts w:hint="eastAsia" w:ascii="新宋体" w:hAnsi="新宋体" w:eastAsia="新宋体" w:cs="新宋体"/>
          <w:color w:val="auto"/>
          <w:sz w:val="24"/>
          <w:szCs w:val="24"/>
          <w:highlight w:val="none"/>
          <w:lang w:val="en-US" w:eastAsia="zh-CN"/>
        </w:rPr>
        <w:t>方案</w:t>
      </w:r>
      <w:r>
        <w:rPr>
          <w:rFonts w:hint="eastAsia" w:ascii="新宋体" w:hAnsi="新宋体" w:eastAsia="新宋体" w:cs="新宋体"/>
          <w:color w:val="auto"/>
          <w:sz w:val="24"/>
          <w:szCs w:val="24"/>
          <w:highlight w:val="none"/>
        </w:rPr>
        <w:t>、绩效目标和资金投入三方面的内容，由</w:t>
      </w:r>
      <w:r>
        <w:rPr>
          <w:rFonts w:hint="eastAsia" w:ascii="新宋体" w:hAnsi="新宋体" w:eastAsia="新宋体" w:cs="新宋体"/>
          <w:color w:val="auto"/>
          <w:sz w:val="24"/>
          <w:szCs w:val="24"/>
          <w:highlight w:val="none"/>
          <w:lang w:val="en-US" w:eastAsia="zh-CN"/>
        </w:rPr>
        <w:t>6</w:t>
      </w:r>
      <w:r>
        <w:rPr>
          <w:rFonts w:hint="eastAsia" w:ascii="新宋体" w:hAnsi="新宋体" w:eastAsia="新宋体" w:cs="新宋体"/>
          <w:color w:val="auto"/>
          <w:sz w:val="24"/>
          <w:szCs w:val="24"/>
          <w:highlight w:val="none"/>
        </w:rPr>
        <w:t>个三级指标构成，权重分为</w:t>
      </w:r>
      <w:r>
        <w:rPr>
          <w:rFonts w:hint="eastAsia" w:ascii="新宋体" w:hAnsi="新宋体" w:eastAsia="新宋体" w:cs="新宋体"/>
          <w:color w:val="auto"/>
          <w:sz w:val="24"/>
          <w:szCs w:val="24"/>
          <w:highlight w:val="none"/>
          <w:lang w:val="en-US" w:eastAsia="zh-CN"/>
        </w:rPr>
        <w:t>23</w:t>
      </w:r>
      <w:r>
        <w:rPr>
          <w:rFonts w:hint="eastAsia" w:ascii="新宋体" w:hAnsi="新宋体" w:eastAsia="新宋体" w:cs="新宋体"/>
          <w:color w:val="auto"/>
          <w:sz w:val="24"/>
          <w:szCs w:val="24"/>
          <w:highlight w:val="none"/>
        </w:rPr>
        <w:t>分，实际得分</w:t>
      </w:r>
      <w:r>
        <w:rPr>
          <w:rFonts w:hint="eastAsia" w:ascii="新宋体" w:hAnsi="新宋体" w:eastAsia="新宋体" w:cs="新宋体"/>
          <w:color w:val="auto"/>
          <w:sz w:val="24"/>
          <w:szCs w:val="24"/>
          <w:highlight w:val="none"/>
          <w:lang w:val="en-US" w:eastAsia="zh-CN"/>
        </w:rPr>
        <w:t>23</w:t>
      </w:r>
      <w:r>
        <w:rPr>
          <w:rFonts w:hint="eastAsia" w:ascii="新宋体" w:hAnsi="新宋体" w:eastAsia="新宋体" w:cs="新宋体"/>
          <w:color w:val="auto"/>
          <w:sz w:val="24"/>
          <w:szCs w:val="24"/>
          <w:highlight w:val="none"/>
        </w:rPr>
        <w:t>分，得分率为</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w:t>
      </w:r>
    </w:p>
    <w:p w14:paraId="3D57C2A5">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lang w:val="en-US" w:eastAsia="zh-CN"/>
        </w:rPr>
        <w:t>1.实施方案</w:t>
      </w:r>
      <w:r>
        <w:rPr>
          <w:rFonts w:hint="eastAsia" w:ascii="新宋体" w:hAnsi="新宋体" w:eastAsia="新宋体" w:cs="新宋体"/>
          <w:b/>
          <w:bCs/>
          <w:color w:val="auto"/>
          <w:sz w:val="24"/>
          <w:szCs w:val="24"/>
          <w:highlight w:val="none"/>
        </w:rPr>
        <w:t>依据充分性</w:t>
      </w:r>
    </w:p>
    <w:p w14:paraId="1B9986C8">
      <w:pPr>
        <w:keepNext w:val="0"/>
        <w:keepLines w:val="0"/>
        <w:pageBreakBefore w:val="0"/>
        <w:widowControl w:val="0"/>
        <w:numPr>
          <w:ilvl w:val="0"/>
          <w:numId w:val="0"/>
        </w:numPr>
        <w:kinsoku/>
        <w:wordWrap/>
        <w:topLinePunct w:val="0"/>
        <w:autoSpaceDE/>
        <w:autoSpaceDN/>
        <w:bidi w:val="0"/>
        <w:adjustRightInd/>
        <w:snapToGrid/>
        <w:spacing w:line="360" w:lineRule="auto"/>
        <w:ind w:left="0" w:leftChars="0" w:firstLine="480" w:firstLineChars="200"/>
        <w:textAlignment w:val="auto"/>
        <w:rPr>
          <w:rFonts w:hint="eastAsia" w:ascii="新宋体" w:hAnsi="新宋体" w:eastAsia="新宋体" w:cs="新宋体"/>
          <w:color w:val="auto"/>
          <w:sz w:val="24"/>
          <w:szCs w:val="24"/>
          <w:highlight w:val="none"/>
          <w:lang w:eastAsia="zh-CN"/>
        </w:rPr>
      </w:pPr>
      <w:r>
        <w:rPr>
          <w:rFonts w:hint="eastAsia" w:ascii="新宋体" w:hAnsi="新宋体" w:eastAsia="新宋体" w:cs="新宋体"/>
          <w:color w:val="auto"/>
          <w:sz w:val="24"/>
          <w:szCs w:val="24"/>
          <w:highlight w:val="none"/>
        </w:rPr>
        <w:t>本项目</w:t>
      </w:r>
      <w:r>
        <w:rPr>
          <w:rFonts w:hint="eastAsia" w:ascii="新宋体" w:hAnsi="新宋体" w:eastAsia="新宋体" w:cs="新宋体"/>
          <w:color w:val="auto"/>
          <w:sz w:val="24"/>
          <w:szCs w:val="24"/>
          <w:highlight w:val="none"/>
          <w:lang w:val="en-US" w:eastAsia="zh-CN"/>
        </w:rPr>
        <w:t>方案</w:t>
      </w:r>
      <w:r>
        <w:rPr>
          <w:rFonts w:hint="eastAsia" w:ascii="新宋体" w:hAnsi="新宋体" w:eastAsia="新宋体" w:cs="新宋体"/>
          <w:color w:val="auto"/>
          <w:sz w:val="24"/>
          <w:szCs w:val="24"/>
          <w:highlight w:val="none"/>
        </w:rPr>
        <w:t>符合根据《关于下达2023年土地指标跨省域调剂收入安排的支出预算（国家统筹补充耕地经费自治区统筹部分）的通知》（和地财综〔202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w:t>
      </w:r>
      <w:r>
        <w:rPr>
          <w:rFonts w:hint="eastAsia" w:ascii="新宋体" w:hAnsi="新宋体" w:eastAsia="新宋体" w:cs="新宋体"/>
          <w:color w:val="auto"/>
          <w:sz w:val="24"/>
          <w:szCs w:val="24"/>
          <w:highlight w:val="none"/>
          <w:lang w:val="en-US" w:eastAsia="zh-CN"/>
        </w:rPr>
        <w:t>13</w:t>
      </w:r>
      <w:r>
        <w:rPr>
          <w:rFonts w:hint="eastAsia" w:ascii="新宋体" w:hAnsi="新宋体" w:eastAsia="新宋体" w:cs="新宋体"/>
          <w:color w:val="auto"/>
          <w:sz w:val="24"/>
          <w:szCs w:val="24"/>
          <w:highlight w:val="none"/>
        </w:rPr>
        <w:t>号）文件；本项目立项符合《关于下达202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2024年中央耕地建设与利用资金预算的通知</w:t>
      </w:r>
      <w:r>
        <w:rPr>
          <w:rFonts w:hint="eastAsia" w:ascii="新宋体" w:hAnsi="新宋体" w:eastAsia="新宋体" w:cs="新宋体"/>
          <w:color w:val="auto"/>
          <w:sz w:val="24"/>
          <w:szCs w:val="24"/>
          <w:highlight w:val="none"/>
        </w:rPr>
        <w:t>（和地财</w:t>
      </w:r>
      <w:r>
        <w:rPr>
          <w:rFonts w:hint="eastAsia" w:ascii="新宋体" w:hAnsi="新宋体" w:eastAsia="新宋体" w:cs="新宋体"/>
          <w:color w:val="auto"/>
          <w:sz w:val="24"/>
          <w:szCs w:val="24"/>
          <w:highlight w:val="none"/>
          <w:lang w:val="en-US" w:eastAsia="zh-CN"/>
        </w:rPr>
        <w:t>农</w:t>
      </w:r>
      <w:r>
        <w:rPr>
          <w:rFonts w:hint="eastAsia" w:ascii="新宋体" w:hAnsi="新宋体" w:eastAsia="新宋体" w:cs="新宋体"/>
          <w:color w:val="auto"/>
          <w:sz w:val="24"/>
          <w:szCs w:val="24"/>
          <w:highlight w:val="none"/>
        </w:rPr>
        <w:t>〔202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w:t>
      </w:r>
      <w:r>
        <w:rPr>
          <w:rFonts w:hint="eastAsia" w:ascii="新宋体" w:hAnsi="新宋体" w:eastAsia="新宋体" w:cs="新宋体"/>
          <w:color w:val="auto"/>
          <w:sz w:val="24"/>
          <w:szCs w:val="24"/>
          <w:highlight w:val="none"/>
          <w:lang w:val="en-US" w:eastAsia="zh-CN"/>
        </w:rPr>
        <w:t>13</w:t>
      </w:r>
      <w:r>
        <w:rPr>
          <w:rFonts w:hint="eastAsia" w:ascii="新宋体" w:hAnsi="新宋体" w:eastAsia="新宋体" w:cs="新宋体"/>
          <w:color w:val="auto"/>
          <w:sz w:val="24"/>
          <w:szCs w:val="24"/>
          <w:highlight w:val="none"/>
        </w:rPr>
        <w:t>号）文件内容，符合行业发展规划和政策要求</w:t>
      </w:r>
      <w:r>
        <w:rPr>
          <w:rFonts w:hint="eastAsia" w:ascii="新宋体" w:hAnsi="新宋体" w:eastAsia="新宋体" w:cs="新宋体"/>
          <w:color w:val="auto"/>
          <w:sz w:val="24"/>
          <w:szCs w:val="24"/>
          <w:highlight w:val="none"/>
          <w:lang w:eastAsia="zh-CN"/>
        </w:rPr>
        <w:t>。</w:t>
      </w:r>
    </w:p>
    <w:p w14:paraId="4E9CCE40">
      <w:pPr>
        <w:keepNext w:val="0"/>
        <w:keepLines w:val="0"/>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新宋体" w:hAnsi="新宋体" w:eastAsia="新宋体" w:cs="新宋体"/>
          <w:b/>
          <w:bCs/>
          <w:color w:val="auto"/>
          <w:sz w:val="24"/>
          <w:szCs w:val="24"/>
          <w:highlight w:val="none"/>
        </w:rPr>
      </w:pPr>
      <w:r>
        <w:rPr>
          <w:rFonts w:hint="eastAsia" w:ascii="新宋体" w:hAnsi="新宋体" w:eastAsia="新宋体" w:cs="新宋体"/>
          <w:color w:val="auto"/>
          <w:sz w:val="24"/>
          <w:szCs w:val="24"/>
          <w:highlight w:val="none"/>
        </w:rPr>
        <w:t>综上所述，本指标满分为</w:t>
      </w:r>
      <w:r>
        <w:rPr>
          <w:rFonts w:hint="eastAsia" w:ascii="新宋体" w:hAnsi="新宋体" w:eastAsia="新宋体" w:cs="新宋体"/>
          <w:color w:val="auto"/>
          <w:sz w:val="24"/>
          <w:szCs w:val="24"/>
          <w:highlight w:val="none"/>
          <w:lang w:val="en-US" w:eastAsia="zh-CN"/>
        </w:rPr>
        <w:t>2</w:t>
      </w:r>
      <w:r>
        <w:rPr>
          <w:rFonts w:hint="eastAsia" w:ascii="新宋体" w:hAnsi="新宋体" w:eastAsia="新宋体" w:cs="新宋体"/>
          <w:color w:val="auto"/>
          <w:sz w:val="24"/>
          <w:szCs w:val="24"/>
          <w:highlight w:val="none"/>
        </w:rPr>
        <w:t>分，根据评分标准得</w:t>
      </w:r>
      <w:r>
        <w:rPr>
          <w:rFonts w:hint="eastAsia" w:ascii="新宋体" w:hAnsi="新宋体" w:eastAsia="新宋体" w:cs="新宋体"/>
          <w:color w:val="auto"/>
          <w:sz w:val="24"/>
          <w:szCs w:val="24"/>
          <w:highlight w:val="none"/>
          <w:lang w:val="en-US" w:eastAsia="zh-CN"/>
        </w:rPr>
        <w:t>2</w:t>
      </w:r>
      <w:r>
        <w:rPr>
          <w:rFonts w:hint="eastAsia" w:ascii="新宋体" w:hAnsi="新宋体" w:eastAsia="新宋体" w:cs="新宋体"/>
          <w:color w:val="auto"/>
          <w:sz w:val="24"/>
          <w:szCs w:val="24"/>
          <w:highlight w:val="none"/>
        </w:rPr>
        <w:t>分，本项目立项依据充分。</w:t>
      </w:r>
    </w:p>
    <w:p w14:paraId="12FEA324">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2.立项程序规范性</w:t>
      </w:r>
    </w:p>
    <w:p w14:paraId="6E254F41">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本项目按照规定的程序申请设立，项目立项过程中产生的文件均符合相关要求。项目预算金额为</w:t>
      </w:r>
      <w:r>
        <w:rPr>
          <w:rStyle w:val="13"/>
          <w:rFonts w:hint="eastAsia" w:ascii="新宋体" w:hAnsi="新宋体" w:eastAsia="新宋体" w:cs="新宋体"/>
          <w:b w:val="0"/>
          <w:bCs w:val="0"/>
          <w:color w:val="auto"/>
          <w:spacing w:val="-4"/>
          <w:kern w:val="2"/>
          <w:sz w:val="24"/>
          <w:szCs w:val="24"/>
          <w:highlight w:val="none"/>
          <w:lang w:val="en-US" w:eastAsia="zh-CN" w:bidi="ar-SA"/>
        </w:rPr>
        <w:t>755</w:t>
      </w:r>
      <w:r>
        <w:rPr>
          <w:rFonts w:hint="eastAsia" w:ascii="新宋体" w:hAnsi="新宋体" w:eastAsia="新宋体" w:cs="新宋体"/>
          <w:color w:val="auto"/>
          <w:sz w:val="24"/>
          <w:szCs w:val="24"/>
          <w:highlight w:val="none"/>
        </w:rPr>
        <w:t>万元。</w:t>
      </w:r>
    </w:p>
    <w:p w14:paraId="7F90DF30">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综上所述，本指标满分为</w:t>
      </w:r>
      <w:r>
        <w:rPr>
          <w:rFonts w:hint="eastAsia" w:ascii="新宋体" w:hAnsi="新宋体" w:eastAsia="新宋体" w:cs="新宋体"/>
          <w:color w:val="auto"/>
          <w:sz w:val="24"/>
          <w:szCs w:val="24"/>
          <w:highlight w:val="none"/>
          <w:lang w:val="en-US" w:eastAsia="zh-CN"/>
        </w:rPr>
        <w:t>3</w:t>
      </w:r>
      <w:r>
        <w:rPr>
          <w:rFonts w:hint="eastAsia" w:ascii="新宋体" w:hAnsi="新宋体" w:eastAsia="新宋体" w:cs="新宋体"/>
          <w:color w:val="auto"/>
          <w:sz w:val="24"/>
          <w:szCs w:val="24"/>
          <w:highlight w:val="none"/>
        </w:rPr>
        <w:t>分，根据评分标准得</w:t>
      </w:r>
      <w:r>
        <w:rPr>
          <w:rFonts w:hint="eastAsia" w:ascii="新宋体" w:hAnsi="新宋体" w:eastAsia="新宋体" w:cs="新宋体"/>
          <w:color w:val="auto"/>
          <w:sz w:val="24"/>
          <w:szCs w:val="24"/>
          <w:highlight w:val="none"/>
          <w:lang w:val="en-US" w:eastAsia="zh-CN"/>
        </w:rPr>
        <w:t>3</w:t>
      </w:r>
      <w:r>
        <w:rPr>
          <w:rFonts w:hint="eastAsia" w:ascii="新宋体" w:hAnsi="新宋体" w:eastAsia="新宋体" w:cs="新宋体"/>
          <w:color w:val="auto"/>
          <w:sz w:val="24"/>
          <w:szCs w:val="24"/>
          <w:highlight w:val="none"/>
        </w:rPr>
        <w:t>分，本项目立项程序合规。</w:t>
      </w:r>
    </w:p>
    <w:p w14:paraId="2F73BE94">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3.绩效目标合理性</w:t>
      </w:r>
    </w:p>
    <w:p w14:paraId="7D7FA1A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lang w:val="en-US" w:eastAsia="zh-CN"/>
        </w:rPr>
        <w:t>该项目年初设定绩效目标主要内容为：项目实施</w:t>
      </w:r>
      <w:r>
        <w:rPr>
          <w:rFonts w:hint="eastAsia" w:ascii="新宋体" w:hAnsi="新宋体" w:eastAsia="新宋体" w:cs="新宋体"/>
          <w:color w:val="auto"/>
          <w:sz w:val="24"/>
          <w:szCs w:val="24"/>
          <w:highlight w:val="none"/>
        </w:rPr>
        <w:t>面积</w:t>
      </w:r>
      <w:r>
        <w:rPr>
          <w:rFonts w:hint="eastAsia" w:ascii="新宋体" w:hAnsi="新宋体" w:eastAsia="新宋体" w:cs="新宋体"/>
          <w:color w:val="auto"/>
          <w:sz w:val="24"/>
          <w:szCs w:val="24"/>
          <w:highlight w:val="none"/>
          <w:lang w:val="en-US" w:eastAsia="zh-CN"/>
        </w:rPr>
        <w:t>5.0333万</w:t>
      </w:r>
      <w:r>
        <w:rPr>
          <w:rFonts w:hint="eastAsia" w:ascii="新宋体" w:hAnsi="新宋体" w:eastAsia="新宋体" w:cs="新宋体"/>
          <w:color w:val="auto"/>
          <w:sz w:val="24"/>
          <w:szCs w:val="24"/>
          <w:highlight w:val="none"/>
        </w:rPr>
        <w:t>亩，通过项目实施，</w:t>
      </w:r>
      <w:r>
        <w:rPr>
          <w:rFonts w:hint="eastAsia" w:ascii="新宋体" w:hAnsi="新宋体" w:eastAsia="新宋体" w:cs="新宋体"/>
          <w:color w:val="auto"/>
          <w:sz w:val="24"/>
          <w:szCs w:val="24"/>
          <w:highlight w:val="none"/>
          <w:lang w:val="en-US" w:eastAsia="zh-CN"/>
        </w:rPr>
        <w:t>完成</w:t>
      </w:r>
      <w:r>
        <w:rPr>
          <w:rFonts w:hint="eastAsia" w:ascii="新宋体" w:hAnsi="新宋体" w:eastAsia="新宋体" w:cs="新宋体"/>
          <w:color w:val="auto"/>
          <w:sz w:val="24"/>
          <w:szCs w:val="24"/>
          <w:highlight w:val="none"/>
        </w:rPr>
        <w:t>面积</w:t>
      </w:r>
      <w:r>
        <w:rPr>
          <w:rFonts w:hint="eastAsia" w:ascii="新宋体" w:hAnsi="新宋体" w:eastAsia="新宋体" w:cs="新宋体"/>
          <w:color w:val="auto"/>
          <w:sz w:val="24"/>
          <w:szCs w:val="24"/>
          <w:highlight w:val="none"/>
          <w:lang w:val="en-US" w:eastAsia="zh-CN"/>
        </w:rPr>
        <w:t>5.0333</w:t>
      </w:r>
      <w:r>
        <w:rPr>
          <w:rFonts w:hint="eastAsia" w:ascii="新宋体" w:hAnsi="新宋体" w:eastAsia="新宋体" w:cs="新宋体"/>
          <w:color w:val="auto"/>
          <w:sz w:val="24"/>
          <w:szCs w:val="24"/>
          <w:highlight w:val="none"/>
        </w:rPr>
        <w:t>亩，改善项目区生产条件，对推动</w:t>
      </w:r>
      <w:r>
        <w:rPr>
          <w:rFonts w:hint="eastAsia" w:ascii="新宋体" w:hAnsi="新宋体" w:eastAsia="新宋体" w:cs="新宋体"/>
          <w:color w:val="auto"/>
          <w:sz w:val="24"/>
          <w:szCs w:val="24"/>
          <w:highlight w:val="none"/>
          <w:lang w:val="en-US" w:eastAsia="zh-CN"/>
        </w:rPr>
        <w:t>农业生产</w:t>
      </w:r>
      <w:r>
        <w:rPr>
          <w:rFonts w:hint="eastAsia" w:ascii="新宋体" w:hAnsi="新宋体" w:eastAsia="新宋体" w:cs="新宋体"/>
          <w:color w:val="auto"/>
          <w:sz w:val="24"/>
          <w:szCs w:val="24"/>
          <w:highlight w:val="none"/>
        </w:rPr>
        <w:t>的发展、促进高效农业的发展具有积极作用，提升耕地质量，提升粮食综合生产能力。</w:t>
      </w:r>
    </w:p>
    <w:p w14:paraId="1CAB1981">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综上所述，本指标满分为</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rPr>
        <w:t>分，根据评分标准得</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rPr>
        <w:t>分，本项目</w:t>
      </w:r>
      <w:r>
        <w:rPr>
          <w:rFonts w:hint="eastAsia" w:ascii="新宋体" w:hAnsi="新宋体" w:eastAsia="新宋体" w:cs="新宋体"/>
          <w:color w:val="auto"/>
          <w:sz w:val="24"/>
          <w:szCs w:val="24"/>
          <w:highlight w:val="none"/>
          <w:lang w:val="en-US" w:eastAsia="zh-CN"/>
        </w:rPr>
        <w:t>绩效目标合理</w:t>
      </w:r>
      <w:r>
        <w:rPr>
          <w:rFonts w:hint="eastAsia" w:ascii="新宋体" w:hAnsi="新宋体" w:eastAsia="新宋体" w:cs="新宋体"/>
          <w:color w:val="auto"/>
          <w:sz w:val="24"/>
          <w:szCs w:val="24"/>
          <w:highlight w:val="none"/>
        </w:rPr>
        <w:t>。</w:t>
      </w:r>
    </w:p>
    <w:p w14:paraId="65A12FB3">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4.绩效指标明确性</w:t>
      </w:r>
    </w:p>
    <w:p w14:paraId="64A7014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lang w:val="en-US" w:eastAsia="zh-CN"/>
        </w:rPr>
      </w:pPr>
      <w:r>
        <w:rPr>
          <w:rFonts w:hint="eastAsia" w:ascii="新宋体" w:hAnsi="新宋体" w:eastAsia="新宋体" w:cs="新宋体"/>
          <w:color w:val="auto"/>
          <w:sz w:val="24"/>
          <w:szCs w:val="24"/>
          <w:highlight w:val="none"/>
          <w:lang w:val="en-US" w:eastAsia="zh-CN"/>
        </w:rPr>
        <w:t>经检查我单位年初设置的《洛浦县2024年耕地轮作项目支出绩效目标表》，得出如下结论：本项目已将年度绩效目标进行细化为绩效指标体系，共设置一级指标4个，二级指标6个，三级指标8个，定量指标4个，定性指4个，指标量化率为82.35%，量化率达70.0%以上，将项目绩效目标细化分解为具体的绩效指标。</w:t>
      </w:r>
    </w:p>
    <w:p w14:paraId="615B278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该《洛浦县202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耕地轮作</w:t>
      </w:r>
      <w:r>
        <w:rPr>
          <w:rFonts w:hint="eastAsia" w:ascii="新宋体" w:hAnsi="新宋体" w:eastAsia="新宋体" w:cs="新宋体"/>
          <w:color w:val="auto"/>
          <w:sz w:val="24"/>
          <w:szCs w:val="24"/>
          <w:highlight w:val="none"/>
        </w:rPr>
        <w:t>项目绩效目标申报表》中，数量指标指标值为</w:t>
      </w:r>
      <w:r>
        <w:rPr>
          <w:rFonts w:hint="eastAsia" w:ascii="新宋体" w:hAnsi="新宋体" w:eastAsia="新宋体" w:cs="新宋体"/>
          <w:color w:val="auto"/>
          <w:sz w:val="24"/>
          <w:szCs w:val="24"/>
          <w:highlight w:val="none"/>
          <w:lang w:val="en-US" w:eastAsia="zh-CN"/>
        </w:rPr>
        <w:t>耕地轮作面积、资金标准、完成率、项目对象满意度</w:t>
      </w:r>
      <w:r>
        <w:rPr>
          <w:rFonts w:hint="eastAsia" w:ascii="新宋体" w:hAnsi="新宋体" w:eastAsia="新宋体" w:cs="新宋体"/>
          <w:color w:val="auto"/>
          <w:sz w:val="24"/>
          <w:szCs w:val="24"/>
          <w:highlight w:val="none"/>
        </w:rPr>
        <w:t>，三级指标的年度指标值与年度绩效目标中任务数一致（或不完全一致），已设置时效指标“</w:t>
      </w:r>
      <w:r>
        <w:rPr>
          <w:rFonts w:hint="eastAsia" w:ascii="新宋体" w:hAnsi="新宋体" w:eastAsia="新宋体" w:cs="新宋体"/>
          <w:color w:val="auto"/>
          <w:sz w:val="24"/>
          <w:szCs w:val="24"/>
          <w:highlight w:val="none"/>
          <w:lang w:val="en-US" w:eastAsia="zh-CN"/>
        </w:rPr>
        <w:t>项目开始时间、项目完工时间、资金支付及时率</w:t>
      </w:r>
      <w:r>
        <w:rPr>
          <w:rFonts w:hint="eastAsia" w:ascii="新宋体" w:hAnsi="新宋体" w:eastAsia="新宋体" w:cs="新宋体"/>
          <w:color w:val="auto"/>
          <w:sz w:val="24"/>
          <w:szCs w:val="24"/>
          <w:highlight w:val="none"/>
        </w:rPr>
        <w:t>”。已设置的绩效目标具备明确性、可衡量性、可实现性、相关性、时限性。</w:t>
      </w:r>
    </w:p>
    <w:p w14:paraId="240293A0">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综上所述，本指标满分为</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rPr>
        <w:t>分，根据评分标准得</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rPr>
        <w:t>分，本项目</w:t>
      </w:r>
      <w:r>
        <w:rPr>
          <w:rFonts w:hint="eastAsia" w:ascii="新宋体" w:hAnsi="新宋体" w:eastAsia="新宋体" w:cs="新宋体"/>
          <w:color w:val="auto"/>
          <w:sz w:val="24"/>
          <w:szCs w:val="24"/>
          <w:highlight w:val="none"/>
          <w:lang w:val="en-US" w:eastAsia="zh-CN"/>
        </w:rPr>
        <w:t>绩效目标明确</w:t>
      </w:r>
      <w:r>
        <w:rPr>
          <w:rFonts w:hint="eastAsia" w:ascii="新宋体" w:hAnsi="新宋体" w:eastAsia="新宋体" w:cs="新宋体"/>
          <w:color w:val="auto"/>
          <w:sz w:val="24"/>
          <w:szCs w:val="24"/>
          <w:highlight w:val="none"/>
        </w:rPr>
        <w:t>。</w:t>
      </w:r>
    </w:p>
    <w:p w14:paraId="7D92B92F">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5.预算编制科学性</w:t>
      </w:r>
    </w:p>
    <w:p w14:paraId="16448281">
      <w:pPr>
        <w:pStyle w:val="5"/>
        <w:keepNext w:val="0"/>
        <w:keepLines w:val="0"/>
        <w:pageBreakBefore w:val="0"/>
        <w:kinsoku/>
        <w:wordWrap/>
        <w:overflowPunct/>
        <w:topLinePunct w:val="0"/>
        <w:autoSpaceDE/>
        <w:autoSpaceDN/>
        <w:bidi w:val="0"/>
        <w:spacing w:line="360" w:lineRule="auto"/>
        <w:ind w:firstLine="480" w:firstLineChars="200"/>
        <w:rPr>
          <w:rFonts w:hint="eastAsia" w:ascii="新宋体" w:hAnsi="新宋体" w:eastAsia="新宋体" w:cs="新宋体"/>
          <w:b w:val="0"/>
          <w:bCs w:val="0"/>
          <w:color w:val="auto"/>
          <w:sz w:val="24"/>
          <w:szCs w:val="24"/>
          <w:highlight w:val="none"/>
          <w:lang w:eastAsia="zh-CN"/>
        </w:rPr>
      </w:pPr>
      <w:r>
        <w:rPr>
          <w:rFonts w:hint="eastAsia" w:ascii="新宋体" w:hAnsi="新宋体" w:eastAsia="新宋体" w:cs="新宋体"/>
          <w:b w:val="0"/>
          <w:bCs w:val="0"/>
          <w:color w:val="auto"/>
          <w:sz w:val="24"/>
          <w:szCs w:val="24"/>
          <w:highlight w:val="none"/>
          <w:lang w:eastAsia="zh-CN"/>
        </w:rPr>
        <w:t>该</w:t>
      </w:r>
      <w:r>
        <w:rPr>
          <w:rFonts w:hint="eastAsia" w:ascii="新宋体" w:hAnsi="新宋体" w:eastAsia="新宋体" w:cs="新宋体"/>
          <w:b w:val="0"/>
          <w:bCs w:val="0"/>
          <w:color w:val="auto"/>
          <w:sz w:val="24"/>
          <w:szCs w:val="24"/>
          <w:highlight w:val="none"/>
        </w:rPr>
        <w:t>项目预算编制较科学且经过论证；预算申请内容为</w:t>
      </w:r>
      <w:r>
        <w:rPr>
          <w:rFonts w:hint="eastAsia" w:ascii="新宋体" w:hAnsi="新宋体" w:eastAsia="新宋体" w:cs="新宋体"/>
          <w:b w:val="0"/>
          <w:bCs w:val="0"/>
          <w:color w:val="auto"/>
          <w:sz w:val="24"/>
          <w:szCs w:val="24"/>
          <w:highlight w:val="none"/>
          <w:lang w:eastAsia="zh-CN"/>
        </w:rPr>
        <w:t>：</w:t>
      </w:r>
      <w:r>
        <w:rPr>
          <w:rFonts w:hint="eastAsia" w:ascii="新宋体" w:hAnsi="新宋体" w:eastAsia="新宋体" w:cs="新宋体"/>
          <w:b w:val="0"/>
          <w:bCs w:val="0"/>
          <w:color w:val="auto"/>
          <w:sz w:val="24"/>
          <w:szCs w:val="24"/>
          <w:highlight w:val="none"/>
        </w:rPr>
        <w:t>项目实际内容为</w:t>
      </w:r>
      <w:r>
        <w:rPr>
          <w:rFonts w:hint="eastAsia" w:ascii="新宋体" w:hAnsi="新宋体" w:eastAsia="新宋体" w:cs="新宋体"/>
          <w:b w:val="0"/>
          <w:bCs w:val="0"/>
          <w:color w:val="auto"/>
          <w:kern w:val="2"/>
          <w:sz w:val="24"/>
          <w:szCs w:val="24"/>
          <w:highlight w:val="none"/>
          <w:lang w:val="en-US" w:eastAsia="zh-CN" w:bidi="ar-SA"/>
        </w:rPr>
        <w:t>根据和田地区财政局下发《关于提前下达2024年中央耕地建设与利用资金预算的通知》（和地财农【2024】13号）文件要求，下达洛浦县（洛财农【2024】23号）文件的中央补助资金755万元。项目建设内容为：支持其它作物与正播玉米轮作，扩大正播玉米种植面积。同时，推行轮作其它作物与正播大豆、油菜、红花、花生、油葵等其他油料。耕地轮作休耕给予适当补助，补助标准轮作为150元/亩，用于补贴农户原有作物种植收益和土地管护投入，资金通过一卡通进行补贴</w:t>
      </w:r>
      <w:r>
        <w:rPr>
          <w:rFonts w:hint="eastAsia" w:ascii="新宋体" w:hAnsi="新宋体" w:eastAsia="新宋体" w:cs="新宋体"/>
          <w:color w:val="auto"/>
          <w:sz w:val="24"/>
          <w:szCs w:val="24"/>
          <w:highlight w:val="none"/>
          <w:lang w:eastAsia="zh-CN"/>
        </w:rPr>
        <w:t>。</w:t>
      </w:r>
      <w:r>
        <w:rPr>
          <w:rFonts w:hint="eastAsia" w:ascii="新宋体" w:hAnsi="新宋体" w:eastAsia="新宋体" w:cs="新宋体"/>
          <w:b w:val="0"/>
          <w:bCs w:val="0"/>
          <w:color w:val="auto"/>
          <w:sz w:val="24"/>
          <w:szCs w:val="24"/>
          <w:highlight w:val="none"/>
        </w:rPr>
        <w:t>本项目预算</w:t>
      </w:r>
      <w:r>
        <w:rPr>
          <w:rFonts w:hint="eastAsia" w:ascii="新宋体" w:hAnsi="新宋体" w:eastAsia="新宋体" w:cs="新宋体"/>
          <w:b w:val="0"/>
          <w:bCs w:val="0"/>
          <w:color w:val="auto"/>
          <w:sz w:val="24"/>
          <w:szCs w:val="24"/>
          <w:highlight w:val="none"/>
          <w:lang w:val="en-US" w:eastAsia="zh-CN"/>
        </w:rPr>
        <w:t>下达</w:t>
      </w:r>
      <w:r>
        <w:rPr>
          <w:rFonts w:hint="eastAsia" w:ascii="新宋体" w:hAnsi="新宋体" w:eastAsia="新宋体" w:cs="新宋体"/>
          <w:b w:val="0"/>
          <w:bCs w:val="0"/>
          <w:color w:val="auto"/>
          <w:sz w:val="24"/>
          <w:szCs w:val="24"/>
          <w:highlight w:val="none"/>
        </w:rPr>
        <w:t>资金</w:t>
      </w:r>
      <w:r>
        <w:rPr>
          <w:rFonts w:hint="eastAsia" w:ascii="新宋体" w:hAnsi="新宋体" w:eastAsia="新宋体" w:cs="新宋体"/>
          <w:b w:val="0"/>
          <w:bCs w:val="0"/>
          <w:color w:val="auto"/>
          <w:sz w:val="24"/>
          <w:szCs w:val="24"/>
          <w:highlight w:val="none"/>
          <w:lang w:val="en-US" w:eastAsia="zh-CN"/>
        </w:rPr>
        <w:t>755</w:t>
      </w:r>
      <w:r>
        <w:rPr>
          <w:rFonts w:hint="eastAsia" w:ascii="新宋体" w:hAnsi="新宋体" w:eastAsia="新宋体" w:cs="新宋体"/>
          <w:b w:val="0"/>
          <w:bCs w:val="0"/>
          <w:color w:val="auto"/>
          <w:sz w:val="24"/>
          <w:szCs w:val="24"/>
          <w:highlight w:val="none"/>
        </w:rPr>
        <w:t>万元，我单位按照项目实施内容及测算标准进行核算，其中：项目总投资</w:t>
      </w:r>
      <w:r>
        <w:rPr>
          <w:rFonts w:hint="eastAsia" w:ascii="新宋体" w:hAnsi="新宋体" w:eastAsia="新宋体" w:cs="新宋体"/>
          <w:b w:val="0"/>
          <w:bCs w:val="0"/>
          <w:color w:val="auto"/>
          <w:sz w:val="24"/>
          <w:szCs w:val="24"/>
          <w:highlight w:val="none"/>
          <w:lang w:val="en-US" w:eastAsia="zh-CN"/>
        </w:rPr>
        <w:t>755</w:t>
      </w:r>
      <w:r>
        <w:rPr>
          <w:rFonts w:hint="eastAsia" w:ascii="新宋体" w:hAnsi="新宋体" w:eastAsia="新宋体" w:cs="新宋体"/>
          <w:b w:val="0"/>
          <w:bCs w:val="0"/>
          <w:color w:val="auto"/>
          <w:sz w:val="24"/>
          <w:szCs w:val="24"/>
          <w:highlight w:val="none"/>
        </w:rPr>
        <w:t>万元。预算确定资金量与实际工作任务相匹配。本项目预算额度测算依据充分，严格按照标准编制，预算确定资金量与实际工作任务相匹配</w:t>
      </w:r>
      <w:r>
        <w:rPr>
          <w:rFonts w:hint="eastAsia" w:ascii="新宋体" w:hAnsi="新宋体" w:eastAsia="新宋体" w:cs="新宋体"/>
          <w:b w:val="0"/>
          <w:bCs w:val="0"/>
          <w:color w:val="auto"/>
          <w:sz w:val="24"/>
          <w:szCs w:val="24"/>
          <w:highlight w:val="none"/>
          <w:lang w:eastAsia="zh-CN"/>
        </w:rPr>
        <w:t>。</w:t>
      </w:r>
    </w:p>
    <w:p w14:paraId="314E1A7C">
      <w:pPr>
        <w:pStyle w:val="5"/>
        <w:keepNext w:val="0"/>
        <w:keepLines w:val="0"/>
        <w:pageBreakBefore w:val="0"/>
        <w:kinsoku/>
        <w:wordWrap/>
        <w:overflowPunct/>
        <w:topLinePunct w:val="0"/>
        <w:autoSpaceDE/>
        <w:autoSpaceDN/>
        <w:bidi w:val="0"/>
        <w:spacing w:line="360" w:lineRule="auto"/>
        <w:ind w:firstLine="480" w:firstLineChars="200"/>
        <w:rPr>
          <w:rFonts w:hint="eastAsia" w:ascii="新宋体" w:hAnsi="新宋体" w:eastAsia="新宋体" w:cs="新宋体"/>
          <w:b w:val="0"/>
          <w:bCs w:val="0"/>
          <w:color w:val="auto"/>
          <w:sz w:val="24"/>
          <w:szCs w:val="24"/>
          <w:highlight w:val="none"/>
        </w:rPr>
      </w:pPr>
      <w:r>
        <w:rPr>
          <w:rFonts w:hint="eastAsia" w:ascii="新宋体" w:hAnsi="新宋体" w:eastAsia="新宋体" w:cs="新宋体"/>
          <w:b w:val="0"/>
          <w:bCs w:val="0"/>
          <w:color w:val="auto"/>
          <w:sz w:val="24"/>
          <w:szCs w:val="24"/>
          <w:highlight w:val="none"/>
        </w:rPr>
        <w:t>综上所述，本指标满分为</w:t>
      </w:r>
      <w:r>
        <w:rPr>
          <w:rFonts w:hint="eastAsia" w:ascii="新宋体" w:hAnsi="新宋体" w:eastAsia="新宋体" w:cs="新宋体"/>
          <w:b w:val="0"/>
          <w:bCs w:val="0"/>
          <w:color w:val="auto"/>
          <w:sz w:val="24"/>
          <w:szCs w:val="24"/>
          <w:highlight w:val="none"/>
          <w:lang w:val="en-US" w:eastAsia="zh-CN"/>
        </w:rPr>
        <w:t>4</w:t>
      </w:r>
      <w:r>
        <w:rPr>
          <w:rFonts w:hint="eastAsia" w:ascii="新宋体" w:hAnsi="新宋体" w:eastAsia="新宋体" w:cs="新宋体"/>
          <w:b w:val="0"/>
          <w:bCs w:val="0"/>
          <w:color w:val="auto"/>
          <w:sz w:val="24"/>
          <w:szCs w:val="24"/>
          <w:highlight w:val="none"/>
        </w:rPr>
        <w:t>分，根据评分标准得</w:t>
      </w:r>
      <w:r>
        <w:rPr>
          <w:rFonts w:hint="eastAsia" w:ascii="新宋体" w:hAnsi="新宋体" w:eastAsia="新宋体" w:cs="新宋体"/>
          <w:b w:val="0"/>
          <w:bCs w:val="0"/>
          <w:color w:val="auto"/>
          <w:sz w:val="24"/>
          <w:szCs w:val="24"/>
          <w:highlight w:val="none"/>
          <w:lang w:val="en-US" w:eastAsia="zh-CN"/>
        </w:rPr>
        <w:t>4</w:t>
      </w:r>
      <w:r>
        <w:rPr>
          <w:rFonts w:hint="eastAsia" w:ascii="新宋体" w:hAnsi="新宋体" w:eastAsia="新宋体" w:cs="新宋体"/>
          <w:b w:val="0"/>
          <w:bCs w:val="0"/>
          <w:color w:val="auto"/>
          <w:sz w:val="24"/>
          <w:szCs w:val="24"/>
          <w:highlight w:val="none"/>
        </w:rPr>
        <w:t>分，本项目</w:t>
      </w:r>
      <w:r>
        <w:rPr>
          <w:rFonts w:hint="eastAsia" w:ascii="新宋体" w:hAnsi="新宋体" w:eastAsia="新宋体" w:cs="新宋体"/>
          <w:b w:val="0"/>
          <w:bCs w:val="0"/>
          <w:color w:val="auto"/>
          <w:sz w:val="24"/>
          <w:szCs w:val="24"/>
          <w:highlight w:val="none"/>
          <w:lang w:val="en-US" w:eastAsia="zh-CN"/>
        </w:rPr>
        <w:t>预算编制科学</w:t>
      </w:r>
      <w:r>
        <w:rPr>
          <w:rFonts w:hint="eastAsia" w:ascii="新宋体" w:hAnsi="新宋体" w:eastAsia="新宋体" w:cs="新宋体"/>
          <w:b w:val="0"/>
          <w:bCs w:val="0"/>
          <w:color w:val="auto"/>
          <w:sz w:val="24"/>
          <w:szCs w:val="24"/>
          <w:highlight w:val="none"/>
        </w:rPr>
        <w:t>。</w:t>
      </w:r>
    </w:p>
    <w:p w14:paraId="23B08D3D">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6.资金分配合理性</w:t>
      </w:r>
    </w:p>
    <w:p w14:paraId="09C402F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lang w:eastAsia="zh-CN"/>
        </w:rPr>
      </w:pPr>
      <w:r>
        <w:rPr>
          <w:rFonts w:hint="eastAsia" w:ascii="新宋体" w:hAnsi="新宋体" w:eastAsia="新宋体" w:cs="新宋体"/>
          <w:color w:val="auto"/>
          <w:sz w:val="24"/>
          <w:szCs w:val="24"/>
          <w:highlight w:val="none"/>
        </w:rPr>
        <w:t>本项目实际分配资金以《关于申请洛浦县202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耕地轮作</w:t>
      </w:r>
      <w:r>
        <w:rPr>
          <w:rFonts w:hint="eastAsia" w:ascii="新宋体" w:hAnsi="新宋体" w:eastAsia="新宋体" w:cs="新宋体"/>
          <w:color w:val="auto"/>
          <w:sz w:val="24"/>
          <w:szCs w:val="24"/>
          <w:highlight w:val="none"/>
        </w:rPr>
        <w:t>项目资金的请示》和《洛浦县202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年</w:t>
      </w:r>
      <w:r>
        <w:rPr>
          <w:rFonts w:hint="eastAsia" w:ascii="新宋体" w:hAnsi="新宋体" w:eastAsia="新宋体" w:cs="新宋体"/>
          <w:color w:val="auto"/>
          <w:sz w:val="24"/>
          <w:szCs w:val="24"/>
          <w:highlight w:val="none"/>
          <w:lang w:val="en-US" w:eastAsia="zh-CN"/>
        </w:rPr>
        <w:t>耕地轮作</w:t>
      </w:r>
      <w:r>
        <w:rPr>
          <w:rFonts w:hint="eastAsia" w:ascii="新宋体" w:hAnsi="新宋体" w:eastAsia="新宋体" w:cs="新宋体"/>
          <w:color w:val="auto"/>
          <w:sz w:val="24"/>
          <w:szCs w:val="24"/>
          <w:highlight w:val="none"/>
        </w:rPr>
        <w:t>项目实施方案》为依据进行资金分配，预算资金分配依据充分。根据《关于下达202</w:t>
      </w:r>
      <w:r>
        <w:rPr>
          <w:rFonts w:hint="eastAsia" w:ascii="新宋体" w:hAnsi="新宋体" w:eastAsia="新宋体" w:cs="新宋体"/>
          <w:color w:val="auto"/>
          <w:sz w:val="24"/>
          <w:szCs w:val="24"/>
          <w:highlight w:val="none"/>
          <w:lang w:val="en-US" w:eastAsia="zh-CN"/>
        </w:rPr>
        <w:t>4年中央耕地建设与利用资金预算</w:t>
      </w:r>
      <w:r>
        <w:rPr>
          <w:rFonts w:hint="eastAsia" w:ascii="新宋体" w:hAnsi="新宋体" w:eastAsia="新宋体" w:cs="新宋体"/>
          <w:color w:val="auto"/>
          <w:sz w:val="24"/>
          <w:szCs w:val="24"/>
          <w:highlight w:val="none"/>
        </w:rPr>
        <w:t>的通知》（和地财</w:t>
      </w:r>
      <w:r>
        <w:rPr>
          <w:rFonts w:hint="eastAsia" w:ascii="新宋体" w:hAnsi="新宋体" w:eastAsia="新宋体" w:cs="新宋体"/>
          <w:color w:val="auto"/>
          <w:sz w:val="24"/>
          <w:szCs w:val="24"/>
          <w:highlight w:val="none"/>
          <w:lang w:val="en-US" w:eastAsia="zh-CN"/>
        </w:rPr>
        <w:t>农</w:t>
      </w:r>
      <w:r>
        <w:rPr>
          <w:rFonts w:hint="eastAsia" w:ascii="新宋体" w:hAnsi="新宋体" w:eastAsia="新宋体" w:cs="新宋体"/>
          <w:color w:val="auto"/>
          <w:sz w:val="24"/>
          <w:szCs w:val="24"/>
          <w:highlight w:val="none"/>
        </w:rPr>
        <w:t>〔202</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w:t>
      </w:r>
      <w:r>
        <w:rPr>
          <w:rFonts w:hint="eastAsia" w:ascii="新宋体" w:hAnsi="新宋体" w:eastAsia="新宋体" w:cs="新宋体"/>
          <w:color w:val="auto"/>
          <w:sz w:val="24"/>
          <w:szCs w:val="24"/>
          <w:highlight w:val="none"/>
          <w:lang w:val="en-US" w:eastAsia="zh-CN"/>
        </w:rPr>
        <w:t>13</w:t>
      </w:r>
      <w:r>
        <w:rPr>
          <w:rFonts w:hint="eastAsia" w:ascii="新宋体" w:hAnsi="新宋体" w:eastAsia="新宋体" w:cs="新宋体"/>
          <w:color w:val="auto"/>
          <w:sz w:val="24"/>
          <w:szCs w:val="24"/>
          <w:highlight w:val="none"/>
        </w:rPr>
        <w:t>号）文件，本项目实际到位资金</w:t>
      </w:r>
      <w:r>
        <w:rPr>
          <w:rFonts w:hint="eastAsia" w:ascii="新宋体" w:hAnsi="新宋体" w:eastAsia="新宋体" w:cs="新宋体"/>
          <w:color w:val="auto"/>
          <w:sz w:val="24"/>
          <w:szCs w:val="24"/>
          <w:highlight w:val="none"/>
          <w:lang w:val="en-US" w:eastAsia="zh-CN"/>
        </w:rPr>
        <w:t>755</w:t>
      </w:r>
      <w:r>
        <w:rPr>
          <w:rFonts w:hint="eastAsia" w:ascii="新宋体" w:hAnsi="新宋体" w:eastAsia="新宋体" w:cs="新宋体"/>
          <w:color w:val="auto"/>
          <w:sz w:val="24"/>
          <w:szCs w:val="24"/>
          <w:highlight w:val="none"/>
        </w:rPr>
        <w:t>万元，资金分配额度合理，与我单位实际需求相适应。资金分配与实际相适应</w:t>
      </w:r>
      <w:r>
        <w:rPr>
          <w:rFonts w:hint="eastAsia" w:ascii="新宋体" w:hAnsi="新宋体" w:eastAsia="新宋体" w:cs="新宋体"/>
          <w:color w:val="auto"/>
          <w:sz w:val="24"/>
          <w:szCs w:val="24"/>
          <w:highlight w:val="none"/>
          <w:lang w:eastAsia="zh-CN"/>
        </w:rPr>
        <w:t>。</w:t>
      </w:r>
    </w:p>
    <w:p w14:paraId="7760FF0F">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综上所述，本指标满分为</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分，根据评分标准得</w:t>
      </w:r>
      <w:r>
        <w:rPr>
          <w:rFonts w:hint="eastAsia" w:ascii="新宋体" w:hAnsi="新宋体" w:eastAsia="新宋体" w:cs="新宋体"/>
          <w:color w:val="auto"/>
          <w:sz w:val="24"/>
          <w:szCs w:val="24"/>
          <w:highlight w:val="none"/>
          <w:lang w:val="en-US" w:eastAsia="zh-CN"/>
        </w:rPr>
        <w:t>4</w:t>
      </w:r>
      <w:r>
        <w:rPr>
          <w:rFonts w:hint="eastAsia" w:ascii="新宋体" w:hAnsi="新宋体" w:eastAsia="新宋体" w:cs="新宋体"/>
          <w:color w:val="auto"/>
          <w:sz w:val="24"/>
          <w:szCs w:val="24"/>
          <w:highlight w:val="none"/>
        </w:rPr>
        <w:t>分，本项目</w:t>
      </w:r>
      <w:r>
        <w:rPr>
          <w:rFonts w:hint="eastAsia" w:ascii="新宋体" w:hAnsi="新宋体" w:eastAsia="新宋体" w:cs="新宋体"/>
          <w:color w:val="auto"/>
          <w:sz w:val="24"/>
          <w:szCs w:val="24"/>
          <w:highlight w:val="none"/>
          <w:lang w:val="en-US" w:eastAsia="zh-CN"/>
        </w:rPr>
        <w:t>资金分配合理</w:t>
      </w:r>
      <w:r>
        <w:rPr>
          <w:rFonts w:hint="eastAsia" w:ascii="新宋体" w:hAnsi="新宋体" w:eastAsia="新宋体" w:cs="新宋体"/>
          <w:color w:val="auto"/>
          <w:sz w:val="24"/>
          <w:szCs w:val="24"/>
          <w:highlight w:val="none"/>
        </w:rPr>
        <w:t>。</w:t>
      </w:r>
    </w:p>
    <w:p w14:paraId="70866083">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（二）项目过程情况</w:t>
      </w:r>
    </w:p>
    <w:p w14:paraId="63AAB13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项目过程类指标包括资金管理和组织实施两方面的内容，由</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rPr>
        <w:t>个三级指标构成，权重分为</w:t>
      </w:r>
      <w:r>
        <w:rPr>
          <w:rFonts w:hint="eastAsia" w:ascii="新宋体" w:hAnsi="新宋体" w:eastAsia="新宋体" w:cs="新宋体"/>
          <w:color w:val="auto"/>
          <w:sz w:val="24"/>
          <w:szCs w:val="24"/>
          <w:highlight w:val="none"/>
          <w:lang w:val="en-US" w:eastAsia="zh-CN"/>
        </w:rPr>
        <w:t>12</w:t>
      </w:r>
      <w:r>
        <w:rPr>
          <w:rFonts w:hint="eastAsia" w:ascii="新宋体" w:hAnsi="新宋体" w:eastAsia="新宋体" w:cs="新宋体"/>
          <w:color w:val="auto"/>
          <w:sz w:val="24"/>
          <w:szCs w:val="24"/>
          <w:highlight w:val="none"/>
        </w:rPr>
        <w:t>分，实际得分</w:t>
      </w:r>
      <w:r>
        <w:rPr>
          <w:rFonts w:hint="eastAsia" w:ascii="新宋体" w:hAnsi="新宋体" w:eastAsia="新宋体" w:cs="新宋体"/>
          <w:color w:val="auto"/>
          <w:sz w:val="24"/>
          <w:szCs w:val="24"/>
          <w:highlight w:val="none"/>
          <w:lang w:val="en-US" w:eastAsia="zh-CN"/>
        </w:rPr>
        <w:t>12</w:t>
      </w:r>
      <w:r>
        <w:rPr>
          <w:rFonts w:hint="eastAsia" w:ascii="新宋体" w:hAnsi="新宋体" w:eastAsia="新宋体" w:cs="新宋体"/>
          <w:color w:val="auto"/>
          <w:sz w:val="24"/>
          <w:szCs w:val="24"/>
          <w:highlight w:val="none"/>
        </w:rPr>
        <w:t>分，得分率为</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w:t>
      </w:r>
    </w:p>
    <w:p w14:paraId="3AFF6949">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1.资金到位率：</w:t>
      </w:r>
    </w:p>
    <w:p w14:paraId="5D73A34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lang w:eastAsia="zh-CN"/>
        </w:rPr>
      </w:pPr>
      <w:r>
        <w:rPr>
          <w:rFonts w:hint="eastAsia" w:ascii="新宋体" w:hAnsi="新宋体" w:eastAsia="新宋体" w:cs="新宋体"/>
          <w:color w:val="auto"/>
          <w:sz w:val="24"/>
          <w:szCs w:val="24"/>
          <w:highlight w:val="none"/>
        </w:rPr>
        <w:t>本项目预算资金为</w:t>
      </w:r>
      <w:r>
        <w:rPr>
          <w:rFonts w:hint="eastAsia" w:ascii="新宋体" w:hAnsi="新宋体" w:eastAsia="新宋体" w:cs="新宋体"/>
          <w:color w:val="auto"/>
          <w:sz w:val="24"/>
          <w:szCs w:val="24"/>
          <w:highlight w:val="none"/>
          <w:lang w:val="en-US" w:eastAsia="zh-CN"/>
        </w:rPr>
        <w:t>755</w:t>
      </w:r>
      <w:r>
        <w:rPr>
          <w:rFonts w:hint="eastAsia" w:ascii="新宋体" w:hAnsi="新宋体" w:eastAsia="新宋体" w:cs="新宋体"/>
          <w:color w:val="auto"/>
          <w:sz w:val="24"/>
          <w:szCs w:val="24"/>
          <w:highlight w:val="none"/>
        </w:rPr>
        <w:t>万元，其中：财政安排资金</w:t>
      </w:r>
      <w:r>
        <w:rPr>
          <w:rFonts w:hint="eastAsia" w:ascii="新宋体" w:hAnsi="新宋体" w:eastAsia="新宋体" w:cs="新宋体"/>
          <w:color w:val="auto"/>
          <w:sz w:val="24"/>
          <w:szCs w:val="24"/>
          <w:highlight w:val="none"/>
          <w:lang w:val="en-US" w:eastAsia="zh-CN"/>
        </w:rPr>
        <w:t>755</w:t>
      </w:r>
      <w:r>
        <w:rPr>
          <w:rFonts w:hint="eastAsia" w:ascii="新宋体" w:hAnsi="新宋体" w:eastAsia="新宋体" w:cs="新宋体"/>
          <w:color w:val="auto"/>
          <w:sz w:val="24"/>
          <w:szCs w:val="24"/>
          <w:highlight w:val="none"/>
        </w:rPr>
        <w:t>万元，其他资金</w:t>
      </w:r>
      <w:r>
        <w:rPr>
          <w:rFonts w:hint="eastAsia" w:ascii="新宋体" w:hAnsi="新宋体" w:eastAsia="新宋体" w:cs="新宋体"/>
          <w:color w:val="auto"/>
          <w:sz w:val="24"/>
          <w:szCs w:val="24"/>
          <w:highlight w:val="none"/>
          <w:lang w:val="en-US" w:eastAsia="zh-CN"/>
        </w:rPr>
        <w:t>0</w:t>
      </w:r>
      <w:r>
        <w:rPr>
          <w:rFonts w:hint="eastAsia" w:ascii="新宋体" w:hAnsi="新宋体" w:eastAsia="新宋体" w:cs="新宋体"/>
          <w:color w:val="auto"/>
          <w:sz w:val="24"/>
          <w:szCs w:val="24"/>
          <w:highlight w:val="none"/>
        </w:rPr>
        <w:t>万元，实际到位资金</w:t>
      </w:r>
      <w:r>
        <w:rPr>
          <w:rFonts w:hint="eastAsia" w:ascii="新宋体" w:hAnsi="新宋体" w:eastAsia="新宋体" w:cs="新宋体"/>
          <w:color w:val="auto"/>
          <w:sz w:val="24"/>
          <w:szCs w:val="24"/>
          <w:highlight w:val="none"/>
          <w:lang w:val="en-US" w:eastAsia="zh-CN"/>
        </w:rPr>
        <w:t>755</w:t>
      </w:r>
      <w:r>
        <w:rPr>
          <w:rFonts w:hint="eastAsia" w:ascii="新宋体" w:hAnsi="新宋体" w:eastAsia="新宋体" w:cs="新宋体"/>
          <w:color w:val="auto"/>
          <w:sz w:val="24"/>
          <w:szCs w:val="24"/>
          <w:highlight w:val="none"/>
        </w:rPr>
        <w:t>万元，资金到位率</w:t>
      </w:r>
      <w:r>
        <w:rPr>
          <w:rFonts w:hint="eastAsia" w:ascii="新宋体" w:hAnsi="新宋体" w:eastAsia="新宋体" w:cs="新宋体"/>
          <w:color w:val="auto"/>
          <w:sz w:val="24"/>
          <w:szCs w:val="24"/>
          <w:highlight w:val="none"/>
          <w:lang w:val="en-US" w:eastAsia="zh-CN"/>
        </w:rPr>
        <w:t>100%。通过分析可知，该项目</w:t>
      </w:r>
      <w:r>
        <w:rPr>
          <w:rFonts w:hint="eastAsia" w:ascii="新宋体" w:hAnsi="新宋体" w:eastAsia="新宋体" w:cs="新宋体"/>
          <w:color w:val="auto"/>
          <w:sz w:val="24"/>
          <w:szCs w:val="24"/>
          <w:highlight w:val="none"/>
        </w:rPr>
        <w:t>财政资金足额拨付到位，能够及时足额</w:t>
      </w:r>
      <w:r>
        <w:rPr>
          <w:rFonts w:hint="eastAsia" w:ascii="新宋体" w:hAnsi="新宋体" w:eastAsia="新宋体" w:cs="新宋体"/>
          <w:color w:val="auto"/>
          <w:sz w:val="24"/>
          <w:szCs w:val="24"/>
          <w:highlight w:val="none"/>
          <w:lang w:val="en-US" w:eastAsia="zh-CN"/>
        </w:rPr>
        <w:t>支付</w:t>
      </w:r>
      <w:r>
        <w:rPr>
          <w:rFonts w:hint="eastAsia" w:ascii="新宋体" w:hAnsi="新宋体" w:eastAsia="新宋体" w:cs="新宋体"/>
          <w:color w:val="auto"/>
          <w:sz w:val="24"/>
          <w:szCs w:val="24"/>
          <w:highlight w:val="none"/>
        </w:rPr>
        <w:t>给</w:t>
      </w:r>
      <w:r>
        <w:rPr>
          <w:rFonts w:hint="eastAsia" w:ascii="新宋体" w:hAnsi="新宋体" w:eastAsia="新宋体" w:cs="新宋体"/>
          <w:color w:val="auto"/>
          <w:sz w:val="24"/>
          <w:szCs w:val="24"/>
          <w:highlight w:val="none"/>
          <w:lang w:val="en-US" w:eastAsia="zh-CN"/>
        </w:rPr>
        <w:t>实施</w:t>
      </w:r>
      <w:r>
        <w:rPr>
          <w:rFonts w:hint="eastAsia" w:ascii="新宋体" w:hAnsi="新宋体" w:eastAsia="新宋体" w:cs="新宋体"/>
          <w:color w:val="auto"/>
          <w:sz w:val="24"/>
          <w:szCs w:val="24"/>
          <w:highlight w:val="none"/>
        </w:rPr>
        <w:t>单位</w:t>
      </w:r>
      <w:r>
        <w:rPr>
          <w:rFonts w:hint="eastAsia" w:ascii="新宋体" w:hAnsi="新宋体" w:eastAsia="新宋体" w:cs="新宋体"/>
          <w:color w:val="auto"/>
          <w:sz w:val="24"/>
          <w:szCs w:val="24"/>
          <w:highlight w:val="none"/>
          <w:lang w:eastAsia="zh-CN"/>
        </w:rPr>
        <w:t>。</w:t>
      </w:r>
    </w:p>
    <w:p w14:paraId="080E86E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lang w:eastAsia="zh-CN"/>
        </w:rPr>
      </w:pPr>
      <w:r>
        <w:rPr>
          <w:rFonts w:hint="eastAsia" w:ascii="新宋体" w:hAnsi="新宋体" w:eastAsia="新宋体" w:cs="新宋体"/>
          <w:color w:val="auto"/>
          <w:sz w:val="24"/>
          <w:szCs w:val="24"/>
          <w:highlight w:val="none"/>
        </w:rPr>
        <w:t>根据评分标准，该指标不扣分，得</w:t>
      </w:r>
      <w:r>
        <w:rPr>
          <w:rFonts w:hint="eastAsia" w:ascii="新宋体" w:hAnsi="新宋体" w:eastAsia="新宋体" w:cs="新宋体"/>
          <w:color w:val="auto"/>
          <w:sz w:val="24"/>
          <w:szCs w:val="24"/>
          <w:highlight w:val="none"/>
          <w:lang w:val="en-US" w:eastAsia="zh-CN"/>
        </w:rPr>
        <w:t>1</w:t>
      </w:r>
      <w:r>
        <w:rPr>
          <w:rFonts w:hint="eastAsia" w:ascii="新宋体" w:hAnsi="新宋体" w:eastAsia="新宋体" w:cs="新宋体"/>
          <w:color w:val="auto"/>
          <w:sz w:val="24"/>
          <w:szCs w:val="24"/>
          <w:highlight w:val="none"/>
        </w:rPr>
        <w:t>分。</w:t>
      </w:r>
    </w:p>
    <w:p w14:paraId="14E8ABE2">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2.预算执行率：</w:t>
      </w:r>
    </w:p>
    <w:p w14:paraId="450DECE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lang w:eastAsia="zh-CN"/>
        </w:rPr>
      </w:pPr>
      <w:r>
        <w:rPr>
          <w:rFonts w:hint="eastAsia" w:ascii="新宋体" w:hAnsi="新宋体" w:eastAsia="新宋体" w:cs="新宋体"/>
          <w:b w:val="0"/>
          <w:bCs w:val="0"/>
          <w:color w:val="auto"/>
          <w:sz w:val="24"/>
          <w:szCs w:val="24"/>
          <w:highlight w:val="none"/>
          <w:lang w:eastAsia="zh-CN"/>
        </w:rPr>
        <w:t>该</w:t>
      </w:r>
      <w:r>
        <w:rPr>
          <w:rFonts w:hint="eastAsia" w:ascii="新宋体" w:hAnsi="新宋体" w:eastAsia="新宋体" w:cs="新宋体"/>
          <w:color w:val="auto"/>
          <w:sz w:val="24"/>
          <w:szCs w:val="24"/>
          <w:highlight w:val="none"/>
        </w:rPr>
        <w:t>项目</w:t>
      </w:r>
      <w:r>
        <w:rPr>
          <w:rFonts w:hint="eastAsia" w:ascii="新宋体" w:hAnsi="新宋体" w:eastAsia="新宋体" w:cs="新宋体"/>
          <w:color w:val="auto"/>
          <w:sz w:val="24"/>
          <w:szCs w:val="24"/>
          <w:highlight w:val="none"/>
          <w:lang w:eastAsia="zh-CN"/>
        </w:rPr>
        <w:t>于</w:t>
      </w:r>
      <w:r>
        <w:rPr>
          <w:rFonts w:hint="eastAsia" w:ascii="新宋体" w:hAnsi="新宋体" w:eastAsia="新宋体" w:cs="新宋体"/>
          <w:color w:val="auto"/>
          <w:sz w:val="24"/>
          <w:szCs w:val="24"/>
          <w:highlight w:val="none"/>
          <w:lang w:val="en-US" w:eastAsia="zh-CN"/>
        </w:rPr>
        <w:t>2024年6月开始，2024年12月结束，该项目全年安排预算资金755万元，</w:t>
      </w:r>
      <w:r>
        <w:rPr>
          <w:rFonts w:hint="eastAsia" w:ascii="新宋体" w:hAnsi="新宋体" w:eastAsia="新宋体" w:cs="新宋体"/>
          <w:color w:val="auto"/>
          <w:sz w:val="24"/>
          <w:szCs w:val="24"/>
          <w:highlight w:val="none"/>
        </w:rPr>
        <w:t>实际支出资金</w:t>
      </w:r>
      <w:r>
        <w:rPr>
          <w:rFonts w:hint="eastAsia" w:ascii="新宋体" w:hAnsi="新宋体" w:eastAsia="新宋体" w:cs="新宋体"/>
          <w:color w:val="auto"/>
          <w:sz w:val="24"/>
          <w:szCs w:val="24"/>
          <w:highlight w:val="none"/>
          <w:lang w:val="en-US" w:eastAsia="zh-CN"/>
        </w:rPr>
        <w:t>755</w:t>
      </w:r>
      <w:r>
        <w:rPr>
          <w:rFonts w:hint="eastAsia" w:ascii="新宋体" w:hAnsi="新宋体" w:eastAsia="新宋体" w:cs="新宋体"/>
          <w:color w:val="auto"/>
          <w:sz w:val="24"/>
          <w:szCs w:val="24"/>
          <w:highlight w:val="none"/>
        </w:rPr>
        <w:t>万元，预算编制较为详细，项目资金支出总体能够按照预算执行，</w:t>
      </w:r>
      <w:r>
        <w:rPr>
          <w:rFonts w:hint="eastAsia" w:ascii="新宋体" w:hAnsi="新宋体" w:eastAsia="新宋体" w:cs="新宋体"/>
          <w:color w:val="auto"/>
          <w:sz w:val="24"/>
          <w:szCs w:val="24"/>
          <w:highlight w:val="none"/>
          <w:lang w:eastAsia="zh-CN"/>
        </w:rPr>
        <w:t>预算执行率达到</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lang w:eastAsia="zh-CN"/>
        </w:rPr>
        <w:t>。</w:t>
      </w:r>
    </w:p>
    <w:p w14:paraId="3E177EA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根据评分标准，该指标不扣分，得</w:t>
      </w:r>
      <w:r>
        <w:rPr>
          <w:rFonts w:hint="eastAsia" w:ascii="新宋体" w:hAnsi="新宋体" w:eastAsia="新宋体" w:cs="新宋体"/>
          <w:color w:val="auto"/>
          <w:sz w:val="24"/>
          <w:szCs w:val="24"/>
          <w:highlight w:val="none"/>
          <w:lang w:val="en-US" w:eastAsia="zh-CN"/>
        </w:rPr>
        <w:t>2</w:t>
      </w:r>
      <w:r>
        <w:rPr>
          <w:rFonts w:hint="eastAsia" w:ascii="新宋体" w:hAnsi="新宋体" w:eastAsia="新宋体" w:cs="新宋体"/>
          <w:color w:val="auto"/>
          <w:sz w:val="24"/>
          <w:szCs w:val="24"/>
          <w:highlight w:val="none"/>
        </w:rPr>
        <w:t>分。</w:t>
      </w:r>
    </w:p>
    <w:p w14:paraId="35A91C42">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3.资金使用合规性：</w:t>
      </w:r>
    </w:p>
    <w:p w14:paraId="0453E87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b w:val="0"/>
          <w:bCs w:val="0"/>
          <w:color w:val="auto"/>
          <w:sz w:val="24"/>
          <w:szCs w:val="24"/>
          <w:highlight w:val="none"/>
          <w:lang w:eastAsia="zh-CN"/>
        </w:rPr>
      </w:pPr>
      <w:r>
        <w:rPr>
          <w:rFonts w:hint="eastAsia" w:ascii="新宋体" w:hAnsi="新宋体" w:eastAsia="新宋体" w:cs="新宋体"/>
          <w:color w:val="auto"/>
          <w:sz w:val="24"/>
          <w:szCs w:val="24"/>
          <w:highlight w:val="none"/>
          <w:lang w:eastAsia="zh-CN"/>
        </w:rPr>
        <w:t>由该</w:t>
      </w:r>
      <w:r>
        <w:rPr>
          <w:rFonts w:hint="eastAsia" w:ascii="新宋体" w:hAnsi="新宋体" w:eastAsia="新宋体" w:cs="新宋体"/>
          <w:color w:val="auto"/>
          <w:sz w:val="24"/>
          <w:szCs w:val="24"/>
          <w:highlight w:val="none"/>
        </w:rPr>
        <w:t>项目资金</w:t>
      </w:r>
      <w:r>
        <w:rPr>
          <w:rFonts w:hint="eastAsia" w:ascii="新宋体" w:hAnsi="新宋体" w:eastAsia="新宋体" w:cs="新宋体"/>
          <w:color w:val="auto"/>
          <w:sz w:val="24"/>
          <w:szCs w:val="24"/>
          <w:highlight w:val="none"/>
          <w:lang w:val="en-US" w:eastAsia="zh-CN"/>
        </w:rPr>
        <w:t>实施方案</w:t>
      </w:r>
      <w:r>
        <w:rPr>
          <w:rFonts w:hint="eastAsia" w:ascii="新宋体" w:hAnsi="新宋体" w:eastAsia="新宋体" w:cs="新宋体"/>
          <w:color w:val="auto"/>
          <w:sz w:val="24"/>
          <w:szCs w:val="24"/>
          <w:highlight w:val="none"/>
        </w:rPr>
        <w:t>文件、</w:t>
      </w:r>
      <w:r>
        <w:rPr>
          <w:rFonts w:hint="eastAsia" w:ascii="新宋体" w:hAnsi="新宋体" w:eastAsia="新宋体" w:cs="新宋体"/>
          <w:color w:val="auto"/>
          <w:sz w:val="24"/>
          <w:szCs w:val="24"/>
          <w:highlight w:val="none"/>
          <w:lang w:val="en-US" w:eastAsia="zh-CN"/>
        </w:rPr>
        <w:t>国库支付凭证</w:t>
      </w:r>
      <w:r>
        <w:rPr>
          <w:rFonts w:hint="eastAsia" w:ascii="新宋体" w:hAnsi="新宋体" w:eastAsia="新宋体" w:cs="新宋体"/>
          <w:color w:val="auto"/>
          <w:sz w:val="24"/>
          <w:szCs w:val="24"/>
          <w:highlight w:val="none"/>
        </w:rPr>
        <w:t>等财务</w:t>
      </w:r>
      <w:r>
        <w:rPr>
          <w:rFonts w:hint="eastAsia" w:ascii="新宋体" w:hAnsi="新宋体" w:eastAsia="新宋体" w:cs="新宋体"/>
          <w:color w:val="auto"/>
          <w:sz w:val="24"/>
          <w:szCs w:val="24"/>
          <w:highlight w:val="none"/>
          <w:lang w:val="en-US" w:eastAsia="zh-CN"/>
        </w:rPr>
        <w:t>资料</w:t>
      </w:r>
      <w:r>
        <w:rPr>
          <w:rFonts w:hint="eastAsia" w:ascii="新宋体" w:hAnsi="新宋体" w:eastAsia="新宋体" w:cs="新宋体"/>
          <w:color w:val="auto"/>
          <w:sz w:val="24"/>
          <w:szCs w:val="24"/>
          <w:highlight w:val="none"/>
        </w:rPr>
        <w:t>，</w:t>
      </w:r>
      <w:r>
        <w:rPr>
          <w:rFonts w:hint="eastAsia" w:ascii="新宋体" w:hAnsi="新宋体" w:eastAsia="新宋体" w:cs="新宋体"/>
          <w:color w:val="auto"/>
          <w:sz w:val="24"/>
          <w:szCs w:val="24"/>
          <w:highlight w:val="none"/>
          <w:lang w:eastAsia="zh-CN"/>
        </w:rPr>
        <w:t>均</w:t>
      </w:r>
      <w:r>
        <w:rPr>
          <w:rFonts w:hint="eastAsia" w:ascii="新宋体" w:hAnsi="新宋体" w:eastAsia="新宋体" w:cs="新宋体"/>
          <w:color w:val="auto"/>
          <w:sz w:val="24"/>
          <w:szCs w:val="24"/>
          <w:highlight w:val="none"/>
        </w:rPr>
        <w:t>符合国家财经法规、《政府会计制度》《</w:t>
      </w:r>
      <w:r>
        <w:rPr>
          <w:rFonts w:hint="eastAsia" w:ascii="新宋体" w:hAnsi="新宋体" w:eastAsia="新宋体" w:cs="新宋体"/>
          <w:color w:val="auto"/>
          <w:sz w:val="24"/>
          <w:szCs w:val="24"/>
          <w:highlight w:val="none"/>
          <w:lang w:eastAsia="zh-CN"/>
        </w:rPr>
        <w:t>洛浦县农业技术推广中心</w:t>
      </w:r>
      <w:r>
        <w:rPr>
          <w:rFonts w:hint="eastAsia" w:ascii="新宋体" w:hAnsi="新宋体" w:eastAsia="新宋体" w:cs="新宋体"/>
          <w:color w:val="auto"/>
          <w:sz w:val="24"/>
          <w:szCs w:val="24"/>
          <w:highlight w:val="none"/>
        </w:rPr>
        <w:t>单位资金管理办法》《</w:t>
      </w:r>
      <w:r>
        <w:rPr>
          <w:rFonts w:hint="eastAsia" w:ascii="新宋体" w:hAnsi="新宋体" w:eastAsia="新宋体" w:cs="新宋体"/>
          <w:color w:val="auto"/>
          <w:sz w:val="24"/>
          <w:szCs w:val="24"/>
          <w:highlight w:val="none"/>
          <w:lang w:eastAsia="zh-CN"/>
        </w:rPr>
        <w:t>洛浦县农业技术推广中心</w:t>
      </w:r>
      <w:r>
        <w:rPr>
          <w:rFonts w:hint="eastAsia" w:ascii="新宋体" w:hAnsi="新宋体" w:eastAsia="新宋体" w:cs="新宋体"/>
          <w:color w:val="auto"/>
          <w:sz w:val="24"/>
          <w:szCs w:val="24"/>
          <w:highlight w:val="none"/>
        </w:rPr>
        <w:t>专项资金管理办法》</w:t>
      </w:r>
      <w:r>
        <w:rPr>
          <w:rFonts w:hint="eastAsia" w:ascii="新宋体" w:hAnsi="新宋体" w:eastAsia="新宋体" w:cs="新宋体"/>
          <w:color w:val="auto"/>
          <w:sz w:val="24"/>
          <w:szCs w:val="24"/>
          <w:highlight w:val="none"/>
          <w:lang w:eastAsia="zh-CN"/>
        </w:rPr>
        <w:t>规定；项目</w:t>
      </w:r>
      <w:r>
        <w:rPr>
          <w:rFonts w:hint="eastAsia" w:ascii="新宋体" w:hAnsi="新宋体" w:eastAsia="新宋体" w:cs="新宋体"/>
          <w:color w:val="auto"/>
          <w:sz w:val="24"/>
          <w:szCs w:val="24"/>
          <w:highlight w:val="none"/>
        </w:rPr>
        <w:t>资金</w:t>
      </w:r>
      <w:r>
        <w:rPr>
          <w:rFonts w:hint="eastAsia" w:ascii="新宋体" w:hAnsi="新宋体" w:eastAsia="新宋体" w:cs="新宋体"/>
          <w:color w:val="auto"/>
          <w:sz w:val="24"/>
          <w:szCs w:val="24"/>
          <w:highlight w:val="none"/>
          <w:lang w:eastAsia="zh-CN"/>
        </w:rPr>
        <w:t>严格按照财政相关相求进行申报，</w:t>
      </w:r>
      <w:r>
        <w:rPr>
          <w:rFonts w:hint="eastAsia" w:ascii="新宋体" w:hAnsi="新宋体" w:eastAsia="新宋体" w:cs="新宋体"/>
          <w:color w:val="auto"/>
          <w:sz w:val="24"/>
          <w:szCs w:val="24"/>
          <w:highlight w:val="none"/>
        </w:rPr>
        <w:t>有完整的审批程序和手续</w:t>
      </w:r>
      <w:r>
        <w:rPr>
          <w:rFonts w:hint="eastAsia" w:ascii="新宋体" w:hAnsi="新宋体" w:eastAsia="新宋体" w:cs="新宋体"/>
          <w:color w:val="auto"/>
          <w:sz w:val="24"/>
          <w:szCs w:val="24"/>
          <w:highlight w:val="none"/>
          <w:lang w:eastAsia="zh-CN"/>
        </w:rPr>
        <w:t>；按照年初制定《</w:t>
      </w:r>
      <w:r>
        <w:rPr>
          <w:rFonts w:hint="eastAsia" w:ascii="新宋体" w:hAnsi="新宋体" w:eastAsia="新宋体" w:cs="新宋体"/>
          <w:color w:val="auto"/>
          <w:sz w:val="24"/>
          <w:szCs w:val="24"/>
          <w:highlight w:val="none"/>
          <w:lang w:val="en-US" w:eastAsia="zh-CN"/>
        </w:rPr>
        <w:t>洛浦县2024年中央耕地建设与利用资金</w:t>
      </w:r>
      <w:r>
        <w:rPr>
          <w:rFonts w:hint="eastAsia" w:ascii="新宋体" w:hAnsi="新宋体" w:eastAsia="新宋体" w:cs="新宋体"/>
          <w:color w:val="auto"/>
          <w:sz w:val="24"/>
          <w:szCs w:val="24"/>
          <w:highlight w:val="none"/>
          <w:lang w:eastAsia="zh-CN"/>
        </w:rPr>
        <w:t>》落实资金使用，</w:t>
      </w:r>
      <w:r>
        <w:rPr>
          <w:rFonts w:hint="eastAsia" w:ascii="新宋体" w:hAnsi="新宋体" w:eastAsia="新宋体" w:cs="新宋体"/>
          <w:color w:val="auto"/>
          <w:sz w:val="24"/>
          <w:szCs w:val="24"/>
          <w:highlight w:val="none"/>
        </w:rPr>
        <w:t>资金实际使用方向与预算批复用途一致</w:t>
      </w:r>
      <w:r>
        <w:rPr>
          <w:rFonts w:hint="eastAsia" w:ascii="新宋体" w:hAnsi="新宋体" w:eastAsia="新宋体" w:cs="新宋体"/>
          <w:color w:val="auto"/>
          <w:sz w:val="24"/>
          <w:szCs w:val="24"/>
          <w:highlight w:val="none"/>
          <w:lang w:eastAsia="zh-CN"/>
        </w:rPr>
        <w:t>；</w:t>
      </w:r>
      <w:r>
        <w:rPr>
          <w:rFonts w:hint="eastAsia" w:ascii="新宋体" w:hAnsi="新宋体" w:eastAsia="新宋体" w:cs="新宋体"/>
          <w:color w:val="auto"/>
          <w:sz w:val="24"/>
          <w:szCs w:val="24"/>
          <w:highlight w:val="none"/>
        </w:rPr>
        <w:t>不存在截留、挤占、挪用、虚列支出的情况</w:t>
      </w:r>
      <w:r>
        <w:rPr>
          <w:rFonts w:hint="eastAsia" w:ascii="新宋体" w:hAnsi="新宋体" w:eastAsia="新宋体" w:cs="新宋体"/>
          <w:b w:val="0"/>
          <w:bCs w:val="0"/>
          <w:color w:val="auto"/>
          <w:sz w:val="24"/>
          <w:szCs w:val="24"/>
          <w:highlight w:val="none"/>
          <w:lang w:eastAsia="zh-CN"/>
        </w:rPr>
        <w:t>。</w:t>
      </w:r>
    </w:p>
    <w:p w14:paraId="72B6648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b w:val="0"/>
          <w:bCs w:val="0"/>
          <w:color w:val="auto"/>
          <w:sz w:val="24"/>
          <w:szCs w:val="24"/>
          <w:highlight w:val="none"/>
          <w:lang w:eastAsia="zh-CN"/>
        </w:rPr>
      </w:pPr>
      <w:r>
        <w:rPr>
          <w:rFonts w:hint="eastAsia" w:ascii="新宋体" w:hAnsi="新宋体" w:eastAsia="新宋体" w:cs="新宋体"/>
          <w:b w:val="0"/>
          <w:bCs w:val="0"/>
          <w:color w:val="auto"/>
          <w:sz w:val="24"/>
          <w:szCs w:val="24"/>
          <w:highlight w:val="none"/>
          <w:lang w:eastAsia="zh-CN"/>
        </w:rPr>
        <w:t>根据评分标准，该指标不扣分，得</w:t>
      </w:r>
      <w:r>
        <w:rPr>
          <w:rFonts w:hint="eastAsia" w:ascii="新宋体" w:hAnsi="新宋体" w:eastAsia="新宋体" w:cs="新宋体"/>
          <w:b w:val="0"/>
          <w:bCs w:val="0"/>
          <w:color w:val="auto"/>
          <w:sz w:val="24"/>
          <w:szCs w:val="24"/>
          <w:highlight w:val="none"/>
          <w:lang w:val="en-US" w:eastAsia="zh-CN"/>
        </w:rPr>
        <w:t>3</w:t>
      </w:r>
      <w:r>
        <w:rPr>
          <w:rFonts w:hint="eastAsia" w:ascii="新宋体" w:hAnsi="新宋体" w:eastAsia="新宋体" w:cs="新宋体"/>
          <w:b w:val="0"/>
          <w:bCs w:val="0"/>
          <w:color w:val="auto"/>
          <w:sz w:val="24"/>
          <w:szCs w:val="24"/>
          <w:highlight w:val="none"/>
          <w:lang w:eastAsia="zh-CN"/>
        </w:rPr>
        <w:t>分。</w:t>
      </w:r>
    </w:p>
    <w:p w14:paraId="0F835410">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4.管理制度健全性：</w:t>
      </w:r>
    </w:p>
    <w:p w14:paraId="2D2E0F5A">
      <w:pPr>
        <w:pageBreakBefore w:val="0"/>
        <w:widowControl w:val="0"/>
        <w:numPr>
          <w:ilvl w:val="0"/>
          <w:numId w:val="0"/>
        </w:numPr>
        <w:kinsoku/>
        <w:wordWrap/>
        <w:topLinePunct w:val="0"/>
        <w:autoSpaceDE/>
        <w:autoSpaceDN/>
        <w:bidi w:val="0"/>
        <w:adjustRightInd/>
        <w:snapToGrid/>
        <w:spacing w:line="360" w:lineRule="auto"/>
        <w:ind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b w:val="0"/>
          <w:bCs w:val="0"/>
          <w:color w:val="auto"/>
          <w:sz w:val="24"/>
          <w:szCs w:val="24"/>
          <w:highlight w:val="none"/>
          <w:lang w:val="en-US" w:eastAsia="zh-CN"/>
        </w:rPr>
        <w:t>我</w:t>
      </w:r>
      <w:r>
        <w:rPr>
          <w:rFonts w:hint="eastAsia" w:ascii="新宋体" w:hAnsi="新宋体" w:eastAsia="新宋体" w:cs="新宋体"/>
          <w:b w:val="0"/>
          <w:bCs w:val="0"/>
          <w:color w:val="auto"/>
          <w:sz w:val="24"/>
          <w:szCs w:val="24"/>
          <w:highlight w:val="none"/>
        </w:rPr>
        <w:t>单位已制定《</w:t>
      </w:r>
      <w:r>
        <w:rPr>
          <w:rFonts w:hint="eastAsia" w:ascii="新宋体" w:hAnsi="新宋体" w:eastAsia="新宋体" w:cs="新宋体"/>
          <w:b w:val="0"/>
          <w:bCs w:val="0"/>
          <w:color w:val="auto"/>
          <w:sz w:val="24"/>
          <w:szCs w:val="24"/>
          <w:highlight w:val="none"/>
          <w:lang w:eastAsia="zh-CN"/>
        </w:rPr>
        <w:t>洛浦县农业技术推广中心</w:t>
      </w:r>
      <w:r>
        <w:rPr>
          <w:rFonts w:hint="eastAsia" w:ascii="新宋体" w:hAnsi="新宋体" w:eastAsia="新宋体" w:cs="新宋体"/>
          <w:b w:val="0"/>
          <w:bCs w:val="0"/>
          <w:color w:val="auto"/>
          <w:sz w:val="24"/>
          <w:szCs w:val="24"/>
          <w:highlight w:val="none"/>
        </w:rPr>
        <w:t>资金管理办法》《</w:t>
      </w:r>
      <w:r>
        <w:rPr>
          <w:rFonts w:hint="eastAsia" w:ascii="新宋体" w:hAnsi="新宋体" w:eastAsia="新宋体" w:cs="新宋体"/>
          <w:b w:val="0"/>
          <w:bCs w:val="0"/>
          <w:color w:val="auto"/>
          <w:sz w:val="24"/>
          <w:szCs w:val="24"/>
          <w:highlight w:val="none"/>
          <w:lang w:eastAsia="zh-CN"/>
        </w:rPr>
        <w:t>洛浦县农业技术推广中心</w:t>
      </w:r>
      <w:r>
        <w:rPr>
          <w:rFonts w:hint="eastAsia" w:ascii="新宋体" w:hAnsi="新宋体" w:eastAsia="新宋体" w:cs="新宋体"/>
          <w:b w:val="0"/>
          <w:bCs w:val="0"/>
          <w:color w:val="auto"/>
          <w:sz w:val="24"/>
          <w:szCs w:val="24"/>
          <w:highlight w:val="none"/>
        </w:rPr>
        <w:t>收支业务管理制度》《</w:t>
      </w:r>
      <w:r>
        <w:rPr>
          <w:rFonts w:hint="eastAsia" w:ascii="新宋体" w:hAnsi="新宋体" w:eastAsia="新宋体" w:cs="新宋体"/>
          <w:b w:val="0"/>
          <w:bCs w:val="0"/>
          <w:color w:val="auto"/>
          <w:sz w:val="24"/>
          <w:szCs w:val="24"/>
          <w:highlight w:val="none"/>
          <w:lang w:eastAsia="zh-CN"/>
        </w:rPr>
        <w:t>洛浦县农业技术推广中心</w:t>
      </w:r>
      <w:r>
        <w:rPr>
          <w:rFonts w:hint="eastAsia" w:ascii="新宋体" w:hAnsi="新宋体" w:eastAsia="新宋体" w:cs="新宋体"/>
          <w:b w:val="0"/>
          <w:bCs w:val="0"/>
          <w:color w:val="auto"/>
          <w:sz w:val="24"/>
          <w:szCs w:val="24"/>
          <w:highlight w:val="none"/>
        </w:rPr>
        <w:t>政府采购业务管理制度》《</w:t>
      </w:r>
      <w:r>
        <w:rPr>
          <w:rFonts w:hint="eastAsia" w:ascii="新宋体" w:hAnsi="新宋体" w:eastAsia="新宋体" w:cs="新宋体"/>
          <w:b w:val="0"/>
          <w:bCs w:val="0"/>
          <w:color w:val="auto"/>
          <w:sz w:val="24"/>
          <w:szCs w:val="24"/>
          <w:highlight w:val="none"/>
          <w:lang w:eastAsia="zh-CN"/>
        </w:rPr>
        <w:t>洛浦县农业技术推广中心</w:t>
      </w:r>
      <w:r>
        <w:rPr>
          <w:rFonts w:hint="eastAsia" w:ascii="新宋体" w:hAnsi="新宋体" w:eastAsia="新宋体" w:cs="新宋体"/>
          <w:b w:val="0"/>
          <w:bCs w:val="0"/>
          <w:color w:val="auto"/>
          <w:sz w:val="24"/>
          <w:szCs w:val="24"/>
          <w:highlight w:val="none"/>
        </w:rPr>
        <w:t>合同管理制度》，</w:t>
      </w:r>
      <w:r>
        <w:rPr>
          <w:rFonts w:hint="eastAsia" w:ascii="新宋体" w:hAnsi="新宋体" w:eastAsia="新宋体" w:cs="新宋体"/>
          <w:b w:val="0"/>
          <w:bCs w:val="0"/>
          <w:color w:val="auto"/>
          <w:sz w:val="24"/>
          <w:szCs w:val="24"/>
          <w:highlight w:val="none"/>
          <w:lang w:val="en-US" w:eastAsia="zh-CN"/>
        </w:rPr>
        <w:t>相关</w:t>
      </w:r>
      <w:r>
        <w:rPr>
          <w:rFonts w:hint="eastAsia" w:ascii="新宋体" w:hAnsi="新宋体" w:eastAsia="新宋体" w:cs="新宋体"/>
          <w:b w:val="0"/>
          <w:bCs w:val="0"/>
          <w:color w:val="auto"/>
          <w:sz w:val="24"/>
          <w:szCs w:val="24"/>
          <w:highlight w:val="none"/>
        </w:rPr>
        <w:t>制度均符合行政事业单位内控管理要求，财务和业务管理制度合法、合规、完整</w:t>
      </w:r>
      <w:r>
        <w:rPr>
          <w:rFonts w:hint="eastAsia" w:ascii="新宋体" w:hAnsi="新宋体" w:eastAsia="新宋体" w:cs="新宋体"/>
          <w:color w:val="auto"/>
          <w:sz w:val="24"/>
          <w:szCs w:val="24"/>
          <w:highlight w:val="none"/>
        </w:rPr>
        <w:t>。</w:t>
      </w:r>
    </w:p>
    <w:p w14:paraId="2166E9E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根据评分标准，该指标不扣分，得</w:t>
      </w:r>
      <w:r>
        <w:rPr>
          <w:rFonts w:hint="eastAsia" w:ascii="新宋体" w:hAnsi="新宋体" w:eastAsia="新宋体" w:cs="新宋体"/>
          <w:color w:val="auto"/>
          <w:sz w:val="24"/>
          <w:szCs w:val="24"/>
          <w:highlight w:val="none"/>
          <w:lang w:val="en-US" w:eastAsia="zh-CN"/>
        </w:rPr>
        <w:t>3</w:t>
      </w:r>
      <w:r>
        <w:rPr>
          <w:rFonts w:hint="eastAsia" w:ascii="新宋体" w:hAnsi="新宋体" w:eastAsia="新宋体" w:cs="新宋体"/>
          <w:color w:val="auto"/>
          <w:sz w:val="24"/>
          <w:szCs w:val="24"/>
          <w:highlight w:val="none"/>
        </w:rPr>
        <w:t>分。</w:t>
      </w:r>
    </w:p>
    <w:p w14:paraId="70EF9978">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5.制度执行有效性：</w:t>
      </w:r>
    </w:p>
    <w:p w14:paraId="28496DD5">
      <w:pPr>
        <w:pageBreakBefore w:val="0"/>
        <w:widowControl w:val="0"/>
        <w:numPr>
          <w:ilvl w:val="0"/>
          <w:numId w:val="0"/>
        </w:numPr>
        <w:kinsoku/>
        <w:wordWrap/>
        <w:topLinePunct w:val="0"/>
        <w:autoSpaceDE/>
        <w:autoSpaceDN/>
        <w:bidi w:val="0"/>
        <w:adjustRightInd/>
        <w:snapToGrid/>
        <w:spacing w:line="360" w:lineRule="auto"/>
        <w:ind w:firstLine="480" w:firstLineChars="200"/>
        <w:jc w:val="both"/>
        <w:textAlignment w:val="auto"/>
        <w:rPr>
          <w:rFonts w:hint="eastAsia" w:ascii="新宋体" w:hAnsi="新宋体" w:eastAsia="新宋体" w:cs="新宋体"/>
          <w:b w:val="0"/>
          <w:bCs w:val="0"/>
          <w:color w:val="auto"/>
          <w:sz w:val="24"/>
          <w:szCs w:val="24"/>
          <w:highlight w:val="none"/>
          <w:lang w:eastAsia="zh-CN"/>
        </w:rPr>
      </w:pPr>
      <w:r>
        <w:rPr>
          <w:rFonts w:hint="eastAsia" w:ascii="新宋体" w:hAnsi="新宋体" w:eastAsia="新宋体" w:cs="新宋体"/>
          <w:color w:val="auto"/>
          <w:sz w:val="24"/>
          <w:szCs w:val="24"/>
          <w:highlight w:val="none"/>
        </w:rPr>
        <w:t>该项目的实施符合《</w:t>
      </w:r>
      <w:r>
        <w:rPr>
          <w:rFonts w:hint="eastAsia" w:ascii="新宋体" w:hAnsi="新宋体" w:eastAsia="新宋体" w:cs="新宋体"/>
          <w:color w:val="auto"/>
          <w:sz w:val="24"/>
          <w:szCs w:val="24"/>
          <w:highlight w:val="none"/>
          <w:lang w:eastAsia="zh-CN"/>
        </w:rPr>
        <w:t>洛浦县农业技术推广中心</w:t>
      </w:r>
      <w:r>
        <w:rPr>
          <w:rFonts w:hint="eastAsia" w:ascii="新宋体" w:hAnsi="新宋体" w:eastAsia="新宋体" w:cs="新宋体"/>
          <w:color w:val="auto"/>
          <w:sz w:val="24"/>
          <w:szCs w:val="24"/>
          <w:highlight w:val="none"/>
        </w:rPr>
        <w:t>资金管理办法》《</w:t>
      </w:r>
      <w:r>
        <w:rPr>
          <w:rFonts w:hint="eastAsia" w:ascii="新宋体" w:hAnsi="新宋体" w:eastAsia="新宋体" w:cs="新宋体"/>
          <w:color w:val="auto"/>
          <w:sz w:val="24"/>
          <w:szCs w:val="24"/>
          <w:highlight w:val="none"/>
          <w:lang w:eastAsia="zh-CN"/>
        </w:rPr>
        <w:t>洛浦县农业技术推广中心</w:t>
      </w:r>
      <w:r>
        <w:rPr>
          <w:rFonts w:hint="eastAsia" w:ascii="新宋体" w:hAnsi="新宋体" w:eastAsia="新宋体" w:cs="新宋体"/>
          <w:color w:val="auto"/>
          <w:sz w:val="24"/>
          <w:szCs w:val="24"/>
          <w:highlight w:val="none"/>
        </w:rPr>
        <w:t>管理制度》《</w:t>
      </w:r>
      <w:r>
        <w:rPr>
          <w:rFonts w:hint="eastAsia" w:ascii="新宋体" w:hAnsi="新宋体" w:eastAsia="新宋体" w:cs="新宋体"/>
          <w:color w:val="auto"/>
          <w:sz w:val="24"/>
          <w:szCs w:val="24"/>
          <w:highlight w:val="none"/>
          <w:lang w:eastAsia="zh-CN"/>
        </w:rPr>
        <w:t>洛浦县农业技术推广中心</w:t>
      </w:r>
      <w:r>
        <w:rPr>
          <w:rFonts w:hint="eastAsia" w:ascii="新宋体" w:hAnsi="新宋体" w:eastAsia="新宋体" w:cs="新宋体"/>
          <w:color w:val="auto"/>
          <w:sz w:val="24"/>
          <w:szCs w:val="24"/>
          <w:highlight w:val="none"/>
        </w:rPr>
        <w:t>采购业务管理制度》《</w:t>
      </w:r>
      <w:r>
        <w:rPr>
          <w:rFonts w:hint="eastAsia" w:ascii="新宋体" w:hAnsi="新宋体" w:eastAsia="新宋体" w:cs="新宋体"/>
          <w:color w:val="auto"/>
          <w:sz w:val="24"/>
          <w:szCs w:val="24"/>
          <w:highlight w:val="none"/>
          <w:lang w:eastAsia="zh-CN"/>
        </w:rPr>
        <w:t>洛浦县农业技术推广中心</w:t>
      </w:r>
      <w:r>
        <w:rPr>
          <w:rFonts w:hint="eastAsia" w:ascii="新宋体" w:hAnsi="新宋体" w:eastAsia="新宋体" w:cs="新宋体"/>
          <w:color w:val="auto"/>
          <w:sz w:val="24"/>
          <w:szCs w:val="24"/>
          <w:highlight w:val="none"/>
        </w:rPr>
        <w:t>合同管理制度》等相关法律法规及管理规定，项目具备完整规范的立项程序；项目采购、实施、验收等过程均按照采购管理办法和合同管理办法等相关制度执行，该项目实施过程中不存在调整事项</w:t>
      </w:r>
      <w:r>
        <w:rPr>
          <w:rFonts w:hint="eastAsia" w:ascii="新宋体" w:hAnsi="新宋体" w:eastAsia="新宋体" w:cs="新宋体"/>
          <w:color w:val="auto"/>
          <w:sz w:val="24"/>
          <w:szCs w:val="24"/>
          <w:highlight w:val="none"/>
          <w:lang w:val="en-US" w:eastAsia="zh-CN"/>
        </w:rPr>
        <w:t>；2024年12月项目结束，各类</w:t>
      </w:r>
      <w:r>
        <w:rPr>
          <w:rFonts w:hint="eastAsia" w:ascii="新宋体" w:hAnsi="新宋体" w:eastAsia="新宋体" w:cs="新宋体"/>
          <w:color w:val="auto"/>
          <w:sz w:val="24"/>
          <w:szCs w:val="24"/>
          <w:highlight w:val="none"/>
        </w:rPr>
        <w:t>会议纪要、项目资金支付审批表、</w:t>
      </w:r>
      <w:r>
        <w:rPr>
          <w:rFonts w:hint="eastAsia" w:ascii="新宋体" w:hAnsi="新宋体" w:eastAsia="新宋体" w:cs="新宋体"/>
          <w:color w:val="auto"/>
          <w:sz w:val="24"/>
          <w:szCs w:val="24"/>
          <w:highlight w:val="none"/>
          <w:lang w:eastAsia="zh-CN"/>
        </w:rPr>
        <w:t>合同、验收单、</w:t>
      </w:r>
      <w:r>
        <w:rPr>
          <w:rFonts w:hint="eastAsia" w:ascii="新宋体" w:hAnsi="新宋体" w:eastAsia="新宋体" w:cs="新宋体"/>
          <w:color w:val="auto"/>
          <w:sz w:val="24"/>
          <w:szCs w:val="24"/>
          <w:highlight w:val="none"/>
        </w:rPr>
        <w:t>记账凭证等</w:t>
      </w:r>
      <w:r>
        <w:rPr>
          <w:rFonts w:hint="eastAsia" w:ascii="新宋体" w:hAnsi="新宋体" w:eastAsia="新宋体" w:cs="新宋体"/>
          <w:color w:val="auto"/>
          <w:sz w:val="24"/>
          <w:szCs w:val="24"/>
          <w:highlight w:val="none"/>
          <w:lang w:eastAsia="zh-CN"/>
        </w:rPr>
        <w:t>财务</w:t>
      </w:r>
      <w:r>
        <w:rPr>
          <w:rFonts w:hint="eastAsia" w:ascii="新宋体" w:hAnsi="新宋体" w:eastAsia="新宋体" w:cs="新宋体"/>
          <w:color w:val="auto"/>
          <w:sz w:val="24"/>
          <w:szCs w:val="24"/>
          <w:highlight w:val="none"/>
        </w:rPr>
        <w:t>资料齐全并及时归档</w:t>
      </w:r>
      <w:r>
        <w:rPr>
          <w:rFonts w:hint="eastAsia" w:ascii="新宋体" w:hAnsi="新宋体" w:eastAsia="新宋体" w:cs="新宋体"/>
          <w:b w:val="0"/>
          <w:bCs w:val="0"/>
          <w:color w:val="auto"/>
          <w:sz w:val="24"/>
          <w:szCs w:val="24"/>
          <w:highlight w:val="none"/>
          <w:lang w:eastAsia="zh-CN"/>
        </w:rPr>
        <w:t>。</w:t>
      </w:r>
    </w:p>
    <w:p w14:paraId="7F21610C">
      <w:pPr>
        <w:pageBreakBefore w:val="0"/>
        <w:widowControl w:val="0"/>
        <w:numPr>
          <w:ilvl w:val="0"/>
          <w:numId w:val="0"/>
        </w:numPr>
        <w:kinsoku/>
        <w:wordWrap/>
        <w:topLinePunct w:val="0"/>
        <w:autoSpaceDE/>
        <w:autoSpaceDN/>
        <w:bidi w:val="0"/>
        <w:adjustRightInd/>
        <w:snapToGrid/>
        <w:spacing w:line="360" w:lineRule="auto"/>
        <w:ind w:firstLine="480" w:firstLineChars="200"/>
        <w:jc w:val="both"/>
        <w:textAlignment w:val="auto"/>
        <w:rPr>
          <w:rFonts w:hint="eastAsia" w:ascii="新宋体" w:hAnsi="新宋体" w:eastAsia="新宋体" w:cs="新宋体"/>
          <w:b w:val="0"/>
          <w:bCs w:val="0"/>
          <w:color w:val="auto"/>
          <w:sz w:val="24"/>
          <w:szCs w:val="24"/>
          <w:highlight w:val="none"/>
          <w:lang w:eastAsia="zh-CN"/>
        </w:rPr>
      </w:pPr>
      <w:r>
        <w:rPr>
          <w:rFonts w:hint="eastAsia" w:ascii="新宋体" w:hAnsi="新宋体" w:eastAsia="新宋体" w:cs="新宋体"/>
          <w:b w:val="0"/>
          <w:bCs w:val="0"/>
          <w:color w:val="auto"/>
          <w:sz w:val="24"/>
          <w:szCs w:val="24"/>
          <w:highlight w:val="none"/>
          <w:lang w:eastAsia="zh-CN"/>
        </w:rPr>
        <w:t>根据评分标准，该指标不扣分，得</w:t>
      </w:r>
      <w:r>
        <w:rPr>
          <w:rFonts w:hint="eastAsia" w:ascii="新宋体" w:hAnsi="新宋体" w:eastAsia="新宋体" w:cs="新宋体"/>
          <w:b w:val="0"/>
          <w:bCs w:val="0"/>
          <w:color w:val="auto"/>
          <w:sz w:val="24"/>
          <w:szCs w:val="24"/>
          <w:highlight w:val="none"/>
          <w:lang w:val="en-US" w:eastAsia="zh-CN"/>
        </w:rPr>
        <w:t>3</w:t>
      </w:r>
      <w:r>
        <w:rPr>
          <w:rFonts w:hint="eastAsia" w:ascii="新宋体" w:hAnsi="新宋体" w:eastAsia="新宋体" w:cs="新宋体"/>
          <w:b w:val="0"/>
          <w:bCs w:val="0"/>
          <w:color w:val="auto"/>
          <w:sz w:val="24"/>
          <w:szCs w:val="24"/>
          <w:highlight w:val="none"/>
          <w:lang w:eastAsia="zh-CN"/>
        </w:rPr>
        <w:t>分。</w:t>
      </w:r>
    </w:p>
    <w:p w14:paraId="5961831B">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（三）项目产出情况</w:t>
      </w:r>
    </w:p>
    <w:p w14:paraId="794591F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项目产出类指标包括产出数量、产出质量、产出时效、产出成本四方面的内容，由</w:t>
      </w:r>
      <w:r>
        <w:rPr>
          <w:rFonts w:hint="eastAsia" w:ascii="新宋体" w:hAnsi="新宋体" w:eastAsia="新宋体" w:cs="新宋体"/>
          <w:color w:val="auto"/>
          <w:sz w:val="24"/>
          <w:szCs w:val="24"/>
          <w:highlight w:val="none"/>
          <w:lang w:val="en-US" w:eastAsia="zh-CN"/>
        </w:rPr>
        <w:t>8</w:t>
      </w:r>
      <w:r>
        <w:rPr>
          <w:rFonts w:hint="eastAsia" w:ascii="新宋体" w:hAnsi="新宋体" w:eastAsia="新宋体" w:cs="新宋体"/>
          <w:color w:val="auto"/>
          <w:sz w:val="24"/>
          <w:szCs w:val="24"/>
          <w:highlight w:val="none"/>
        </w:rPr>
        <w:t>个三级指标构成，权重分为</w:t>
      </w:r>
      <w:r>
        <w:rPr>
          <w:rFonts w:hint="eastAsia" w:ascii="新宋体" w:hAnsi="新宋体" w:eastAsia="新宋体" w:cs="新宋体"/>
          <w:color w:val="auto"/>
          <w:sz w:val="24"/>
          <w:szCs w:val="24"/>
          <w:highlight w:val="none"/>
          <w:lang w:val="en-US" w:eastAsia="zh-CN"/>
        </w:rPr>
        <w:t>40</w:t>
      </w:r>
      <w:r>
        <w:rPr>
          <w:rFonts w:hint="eastAsia" w:ascii="新宋体" w:hAnsi="新宋体" w:eastAsia="新宋体" w:cs="新宋体"/>
          <w:color w:val="auto"/>
          <w:sz w:val="24"/>
          <w:szCs w:val="24"/>
          <w:highlight w:val="none"/>
        </w:rPr>
        <w:t>分，实际得分</w:t>
      </w:r>
      <w:r>
        <w:rPr>
          <w:rFonts w:hint="eastAsia" w:ascii="新宋体" w:hAnsi="新宋体" w:eastAsia="新宋体" w:cs="新宋体"/>
          <w:color w:val="auto"/>
          <w:sz w:val="24"/>
          <w:szCs w:val="24"/>
          <w:highlight w:val="none"/>
          <w:lang w:val="en-US" w:eastAsia="zh-CN"/>
        </w:rPr>
        <w:t>40</w:t>
      </w:r>
      <w:r>
        <w:rPr>
          <w:rFonts w:hint="eastAsia" w:ascii="新宋体" w:hAnsi="新宋体" w:eastAsia="新宋体" w:cs="新宋体"/>
          <w:color w:val="auto"/>
          <w:sz w:val="24"/>
          <w:szCs w:val="24"/>
          <w:highlight w:val="none"/>
        </w:rPr>
        <w:t>分，得分率为</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w:t>
      </w:r>
    </w:p>
    <w:p w14:paraId="35E0556C">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1.对于“产出数量”</w:t>
      </w:r>
    </w:p>
    <w:p w14:paraId="2682371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default" w:ascii="新宋体" w:hAnsi="新宋体" w:eastAsia="新宋体" w:cs="新宋体"/>
          <w:color w:val="auto"/>
          <w:sz w:val="24"/>
          <w:szCs w:val="24"/>
          <w:highlight w:val="none"/>
          <w:lang w:val="en-US" w:eastAsia="zh-CN"/>
        </w:rPr>
      </w:pPr>
      <w:r>
        <w:rPr>
          <w:rFonts w:hint="eastAsia" w:ascii="新宋体" w:hAnsi="新宋体" w:eastAsia="新宋体" w:cs="新宋体"/>
          <w:color w:val="auto"/>
          <w:sz w:val="24"/>
          <w:szCs w:val="24"/>
          <w:highlight w:val="none"/>
        </w:rPr>
        <w:t>补贴发放人数</w:t>
      </w:r>
      <w:r>
        <w:rPr>
          <w:rFonts w:hint="eastAsia" w:ascii="新宋体" w:hAnsi="新宋体" w:eastAsia="新宋体" w:cs="新宋体"/>
          <w:color w:val="auto"/>
          <w:sz w:val="24"/>
          <w:szCs w:val="24"/>
          <w:highlight w:val="none"/>
          <w:lang w:eastAsia="zh-CN"/>
        </w:rPr>
        <w:t>，</w:t>
      </w:r>
      <w:r>
        <w:rPr>
          <w:rFonts w:hint="eastAsia" w:ascii="新宋体" w:hAnsi="新宋体" w:eastAsia="新宋体" w:cs="新宋体"/>
          <w:color w:val="auto"/>
          <w:sz w:val="24"/>
          <w:szCs w:val="24"/>
          <w:highlight w:val="none"/>
          <w:lang w:val="en-US" w:eastAsia="zh-CN"/>
        </w:rPr>
        <w:t>预期指标值≥15505户，实际完成值15505户，指标完成率100%，</w:t>
      </w:r>
      <w:r>
        <w:rPr>
          <w:rFonts w:hint="eastAsia" w:ascii="新宋体" w:hAnsi="新宋体" w:eastAsia="新宋体" w:cs="新宋体"/>
          <w:color w:val="auto"/>
          <w:sz w:val="24"/>
          <w:szCs w:val="24"/>
          <w:highlight w:val="none"/>
        </w:rPr>
        <w:t>与预期目标一致，根据评分标准，该指标不扣分，</w:t>
      </w:r>
      <w:r>
        <w:rPr>
          <w:rFonts w:hint="eastAsia" w:ascii="新宋体" w:hAnsi="新宋体" w:eastAsia="新宋体" w:cs="新宋体"/>
          <w:color w:val="auto"/>
          <w:sz w:val="24"/>
          <w:szCs w:val="24"/>
          <w:highlight w:val="none"/>
          <w:lang w:val="en-US" w:eastAsia="zh-CN"/>
        </w:rPr>
        <w:t>得5分。</w:t>
      </w:r>
    </w:p>
    <w:p w14:paraId="75755D8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补助亩数，预期指标值</w:t>
      </w:r>
      <w:r>
        <w:rPr>
          <w:rFonts w:hint="eastAsia" w:ascii="新宋体" w:hAnsi="新宋体" w:eastAsia="新宋体" w:cs="新宋体"/>
          <w:color w:val="auto"/>
          <w:sz w:val="24"/>
          <w:szCs w:val="24"/>
          <w:highlight w:val="none"/>
          <w:lang w:val="en-US" w:eastAsia="zh-CN"/>
        </w:rPr>
        <w:t>≥5万亩</w:t>
      </w:r>
      <w:r>
        <w:rPr>
          <w:rFonts w:hint="eastAsia" w:ascii="新宋体" w:hAnsi="新宋体" w:eastAsia="新宋体" w:cs="新宋体"/>
          <w:color w:val="auto"/>
          <w:sz w:val="24"/>
          <w:szCs w:val="24"/>
          <w:highlight w:val="none"/>
        </w:rPr>
        <w:t>，实际完成值</w:t>
      </w:r>
      <w:r>
        <w:rPr>
          <w:rFonts w:hint="eastAsia" w:ascii="新宋体" w:hAnsi="新宋体" w:eastAsia="新宋体" w:cs="新宋体"/>
          <w:color w:val="auto"/>
          <w:sz w:val="24"/>
          <w:szCs w:val="24"/>
          <w:highlight w:val="none"/>
          <w:lang w:val="en-US" w:eastAsia="zh-CN"/>
        </w:rPr>
        <w:t>5万亩</w:t>
      </w:r>
      <w:r>
        <w:rPr>
          <w:rFonts w:hint="eastAsia" w:ascii="新宋体" w:hAnsi="新宋体" w:eastAsia="新宋体" w:cs="新宋体"/>
          <w:color w:val="auto"/>
          <w:sz w:val="24"/>
          <w:szCs w:val="24"/>
          <w:highlight w:val="none"/>
        </w:rPr>
        <w:t>，指标完成率为</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，与预期目标一致，根据评分标准，该指标不扣分，得</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rPr>
        <w:t>分。</w:t>
      </w:r>
    </w:p>
    <w:p w14:paraId="456B4AE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合计得</w:t>
      </w:r>
      <w:r>
        <w:rPr>
          <w:rFonts w:hint="eastAsia" w:ascii="新宋体" w:hAnsi="新宋体" w:eastAsia="新宋体" w:cs="新宋体"/>
          <w:color w:val="auto"/>
          <w:sz w:val="24"/>
          <w:szCs w:val="24"/>
          <w:highlight w:val="none"/>
          <w:lang w:val="en-US" w:eastAsia="zh-CN"/>
        </w:rPr>
        <w:t>10</w:t>
      </w:r>
      <w:r>
        <w:rPr>
          <w:rFonts w:hint="eastAsia" w:ascii="新宋体" w:hAnsi="新宋体" w:eastAsia="新宋体" w:cs="新宋体"/>
          <w:color w:val="auto"/>
          <w:sz w:val="24"/>
          <w:szCs w:val="24"/>
          <w:highlight w:val="none"/>
        </w:rPr>
        <w:t>分。</w:t>
      </w:r>
    </w:p>
    <w:p w14:paraId="5302CD09">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2.对于“产出质量”</w:t>
      </w:r>
    </w:p>
    <w:p w14:paraId="0B3BBF3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lang w:eastAsia="zh-CN"/>
        </w:rPr>
      </w:pPr>
      <w:r>
        <w:rPr>
          <w:rFonts w:hint="eastAsia" w:ascii="新宋体" w:hAnsi="新宋体" w:eastAsia="新宋体" w:cs="新宋体"/>
          <w:color w:val="auto"/>
          <w:sz w:val="24"/>
          <w:szCs w:val="24"/>
          <w:highlight w:val="none"/>
        </w:rPr>
        <w:t>补贴资金覆盖率，预期指标值</w:t>
      </w:r>
      <w:r>
        <w:rPr>
          <w:rFonts w:hint="eastAsia" w:ascii="新宋体" w:hAnsi="新宋体" w:eastAsia="新宋体" w:cs="新宋体"/>
          <w:color w:val="auto"/>
          <w:sz w:val="24"/>
          <w:szCs w:val="24"/>
          <w:highlight w:val="none"/>
          <w:lang w:val="en-US" w:eastAsia="zh-CN"/>
        </w:rPr>
        <w:t>等于100%</w:t>
      </w:r>
      <w:r>
        <w:rPr>
          <w:rFonts w:hint="eastAsia" w:ascii="新宋体" w:hAnsi="新宋体" w:eastAsia="新宋体" w:cs="新宋体"/>
          <w:color w:val="auto"/>
          <w:sz w:val="24"/>
          <w:szCs w:val="24"/>
          <w:highlight w:val="none"/>
        </w:rPr>
        <w:t>，实际完成值</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，指标完成率为</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，与预期目标一致，根据评分标准，该指标不扣分，得</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rPr>
        <w:t>分</w:t>
      </w:r>
      <w:r>
        <w:rPr>
          <w:rFonts w:hint="eastAsia" w:ascii="新宋体" w:hAnsi="新宋体" w:eastAsia="新宋体" w:cs="新宋体"/>
          <w:color w:val="auto"/>
          <w:sz w:val="24"/>
          <w:szCs w:val="24"/>
          <w:highlight w:val="none"/>
          <w:lang w:eastAsia="zh-CN"/>
        </w:rPr>
        <w:t>。</w:t>
      </w:r>
    </w:p>
    <w:p w14:paraId="350794A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补贴资金准确率，预期指标值</w:t>
      </w:r>
      <w:r>
        <w:rPr>
          <w:rFonts w:hint="eastAsia" w:ascii="新宋体" w:hAnsi="新宋体" w:eastAsia="新宋体" w:cs="新宋体"/>
          <w:color w:val="auto"/>
          <w:sz w:val="24"/>
          <w:szCs w:val="24"/>
          <w:highlight w:val="none"/>
          <w:lang w:val="en-US" w:eastAsia="zh-CN"/>
        </w:rPr>
        <w:t>等于100%</w:t>
      </w:r>
      <w:r>
        <w:rPr>
          <w:rFonts w:hint="eastAsia" w:ascii="新宋体" w:hAnsi="新宋体" w:eastAsia="新宋体" w:cs="新宋体"/>
          <w:color w:val="auto"/>
          <w:sz w:val="24"/>
          <w:szCs w:val="24"/>
          <w:highlight w:val="none"/>
        </w:rPr>
        <w:t>，实际完成值</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，指标完成率为</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，与预期目标一致，根据评分标准，该指标不扣分，得</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rPr>
        <w:t>分。</w:t>
      </w:r>
    </w:p>
    <w:p w14:paraId="7E4464F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合计得</w:t>
      </w:r>
      <w:r>
        <w:rPr>
          <w:rFonts w:hint="eastAsia" w:ascii="新宋体" w:hAnsi="新宋体" w:eastAsia="新宋体" w:cs="新宋体"/>
          <w:color w:val="auto"/>
          <w:sz w:val="24"/>
          <w:szCs w:val="24"/>
          <w:highlight w:val="none"/>
          <w:lang w:val="en-US" w:eastAsia="zh-CN"/>
        </w:rPr>
        <w:t>10</w:t>
      </w:r>
      <w:r>
        <w:rPr>
          <w:rFonts w:hint="eastAsia" w:ascii="新宋体" w:hAnsi="新宋体" w:eastAsia="新宋体" w:cs="新宋体"/>
          <w:color w:val="auto"/>
          <w:sz w:val="24"/>
          <w:szCs w:val="24"/>
          <w:highlight w:val="none"/>
        </w:rPr>
        <w:t>分。</w:t>
      </w:r>
    </w:p>
    <w:p w14:paraId="4E1CD7D9">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3.对于“产出时效”</w:t>
      </w:r>
    </w:p>
    <w:p w14:paraId="4D496B91">
      <w:pPr>
        <w:pStyle w:val="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val="0"/>
          <w:color w:val="auto"/>
          <w:sz w:val="24"/>
          <w:szCs w:val="24"/>
          <w:highlight w:val="none"/>
        </w:rPr>
      </w:pPr>
      <w:r>
        <w:rPr>
          <w:rFonts w:hint="eastAsia" w:ascii="新宋体" w:hAnsi="新宋体" w:eastAsia="新宋体" w:cs="新宋体"/>
          <w:b w:val="0"/>
          <w:color w:val="auto"/>
          <w:sz w:val="24"/>
          <w:szCs w:val="24"/>
          <w:highlight w:val="none"/>
        </w:rPr>
        <w:t>项目开始时间，预期指标值202</w:t>
      </w:r>
      <w:r>
        <w:rPr>
          <w:rFonts w:hint="eastAsia" w:ascii="新宋体" w:hAnsi="新宋体" w:eastAsia="新宋体" w:cs="新宋体"/>
          <w:b w:val="0"/>
          <w:color w:val="auto"/>
          <w:sz w:val="24"/>
          <w:szCs w:val="24"/>
          <w:highlight w:val="none"/>
          <w:lang w:val="en-US" w:eastAsia="zh-CN"/>
        </w:rPr>
        <w:t>4</w:t>
      </w:r>
      <w:r>
        <w:rPr>
          <w:rFonts w:hint="eastAsia" w:ascii="新宋体" w:hAnsi="新宋体" w:eastAsia="新宋体" w:cs="新宋体"/>
          <w:b w:val="0"/>
          <w:color w:val="auto"/>
          <w:sz w:val="24"/>
          <w:szCs w:val="24"/>
          <w:highlight w:val="none"/>
        </w:rPr>
        <w:t>年</w:t>
      </w:r>
      <w:r>
        <w:rPr>
          <w:rFonts w:hint="eastAsia" w:ascii="新宋体" w:hAnsi="新宋体" w:eastAsia="新宋体" w:cs="新宋体"/>
          <w:b w:val="0"/>
          <w:color w:val="auto"/>
          <w:sz w:val="24"/>
          <w:szCs w:val="24"/>
          <w:highlight w:val="none"/>
          <w:lang w:val="en-US" w:eastAsia="zh-CN"/>
        </w:rPr>
        <w:t>12</w:t>
      </w:r>
      <w:r>
        <w:rPr>
          <w:rFonts w:hint="eastAsia" w:ascii="新宋体" w:hAnsi="新宋体" w:eastAsia="新宋体" w:cs="新宋体"/>
          <w:b w:val="0"/>
          <w:color w:val="auto"/>
          <w:sz w:val="24"/>
          <w:szCs w:val="24"/>
          <w:highlight w:val="none"/>
        </w:rPr>
        <w:t>月，实际完成值202</w:t>
      </w:r>
      <w:r>
        <w:rPr>
          <w:rFonts w:hint="eastAsia" w:ascii="新宋体" w:hAnsi="新宋体" w:eastAsia="新宋体" w:cs="新宋体"/>
          <w:b w:val="0"/>
          <w:color w:val="auto"/>
          <w:sz w:val="24"/>
          <w:szCs w:val="24"/>
          <w:highlight w:val="none"/>
          <w:lang w:val="en-US" w:eastAsia="zh-CN"/>
        </w:rPr>
        <w:t>4</w:t>
      </w:r>
      <w:r>
        <w:rPr>
          <w:rFonts w:hint="eastAsia" w:ascii="新宋体" w:hAnsi="新宋体" w:eastAsia="新宋体" w:cs="新宋体"/>
          <w:b w:val="0"/>
          <w:color w:val="auto"/>
          <w:sz w:val="24"/>
          <w:szCs w:val="24"/>
          <w:highlight w:val="none"/>
        </w:rPr>
        <w:t>年</w:t>
      </w:r>
      <w:r>
        <w:rPr>
          <w:rFonts w:hint="eastAsia" w:ascii="新宋体" w:hAnsi="新宋体" w:eastAsia="新宋体" w:cs="新宋体"/>
          <w:b w:val="0"/>
          <w:color w:val="auto"/>
          <w:sz w:val="24"/>
          <w:szCs w:val="24"/>
          <w:highlight w:val="none"/>
          <w:lang w:val="en-US" w:eastAsia="zh-CN"/>
        </w:rPr>
        <w:t>12</w:t>
      </w:r>
      <w:r>
        <w:rPr>
          <w:rFonts w:hint="eastAsia" w:ascii="新宋体" w:hAnsi="新宋体" w:eastAsia="新宋体" w:cs="新宋体"/>
          <w:b w:val="0"/>
          <w:color w:val="auto"/>
          <w:sz w:val="24"/>
          <w:szCs w:val="24"/>
          <w:highlight w:val="none"/>
        </w:rPr>
        <w:t>月，指标完成率为</w:t>
      </w:r>
      <w:r>
        <w:rPr>
          <w:rFonts w:hint="eastAsia" w:ascii="新宋体" w:hAnsi="新宋体" w:eastAsia="新宋体" w:cs="新宋体"/>
          <w:b w:val="0"/>
          <w:color w:val="auto"/>
          <w:sz w:val="24"/>
          <w:szCs w:val="24"/>
          <w:highlight w:val="none"/>
          <w:lang w:val="en-US" w:eastAsia="zh-CN"/>
        </w:rPr>
        <w:t>100%</w:t>
      </w:r>
      <w:r>
        <w:rPr>
          <w:rFonts w:hint="eastAsia" w:ascii="新宋体" w:hAnsi="新宋体" w:eastAsia="新宋体" w:cs="新宋体"/>
          <w:b w:val="0"/>
          <w:color w:val="auto"/>
          <w:sz w:val="24"/>
          <w:szCs w:val="24"/>
          <w:highlight w:val="none"/>
        </w:rPr>
        <w:t>，与预期目标一致，根据评分标准，该指标不扣分，</w:t>
      </w:r>
      <w:r>
        <w:rPr>
          <w:rFonts w:hint="eastAsia" w:ascii="新宋体" w:hAnsi="新宋体" w:eastAsia="新宋体" w:cs="新宋体"/>
          <w:b w:val="0"/>
          <w:bCs/>
          <w:color w:val="auto"/>
          <w:sz w:val="24"/>
          <w:szCs w:val="24"/>
          <w:highlight w:val="none"/>
        </w:rPr>
        <w:t>得</w:t>
      </w:r>
      <w:r>
        <w:rPr>
          <w:rFonts w:hint="eastAsia" w:ascii="新宋体" w:hAnsi="新宋体" w:eastAsia="新宋体" w:cs="新宋体"/>
          <w:b w:val="0"/>
          <w:bCs/>
          <w:color w:val="auto"/>
          <w:sz w:val="24"/>
          <w:szCs w:val="24"/>
          <w:highlight w:val="none"/>
          <w:lang w:val="en-US" w:eastAsia="zh-CN"/>
        </w:rPr>
        <w:t>5</w:t>
      </w:r>
      <w:r>
        <w:rPr>
          <w:rFonts w:hint="eastAsia" w:ascii="新宋体" w:hAnsi="新宋体" w:eastAsia="新宋体" w:cs="新宋体"/>
          <w:b w:val="0"/>
          <w:bCs/>
          <w:color w:val="auto"/>
          <w:sz w:val="24"/>
          <w:szCs w:val="24"/>
          <w:highlight w:val="none"/>
        </w:rPr>
        <w:t>分</w:t>
      </w:r>
      <w:r>
        <w:rPr>
          <w:rFonts w:hint="eastAsia" w:ascii="新宋体" w:hAnsi="新宋体" w:eastAsia="新宋体" w:cs="新宋体"/>
          <w:b w:val="0"/>
          <w:color w:val="auto"/>
          <w:sz w:val="24"/>
          <w:szCs w:val="24"/>
          <w:highlight w:val="none"/>
        </w:rPr>
        <w:t>。</w:t>
      </w:r>
    </w:p>
    <w:p w14:paraId="2BF49B9F">
      <w:pPr>
        <w:pStyle w:val="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val="0"/>
          <w:color w:val="auto"/>
          <w:sz w:val="24"/>
          <w:szCs w:val="24"/>
          <w:highlight w:val="none"/>
        </w:rPr>
      </w:pPr>
      <w:r>
        <w:rPr>
          <w:rFonts w:hint="eastAsia" w:ascii="新宋体" w:hAnsi="新宋体" w:eastAsia="新宋体" w:cs="新宋体"/>
          <w:b w:val="0"/>
          <w:color w:val="auto"/>
          <w:sz w:val="24"/>
          <w:szCs w:val="24"/>
          <w:highlight w:val="none"/>
        </w:rPr>
        <w:t>补贴资金发放及时率，预期指标值</w:t>
      </w:r>
      <w:r>
        <w:rPr>
          <w:rFonts w:hint="eastAsia" w:ascii="新宋体" w:hAnsi="新宋体" w:eastAsia="新宋体" w:cs="新宋体"/>
          <w:b w:val="0"/>
          <w:color w:val="auto"/>
          <w:sz w:val="24"/>
          <w:szCs w:val="24"/>
          <w:highlight w:val="none"/>
          <w:lang w:val="en-US" w:eastAsia="zh-CN"/>
        </w:rPr>
        <w:t>等于</w:t>
      </w:r>
      <w:r>
        <w:rPr>
          <w:rFonts w:hint="eastAsia" w:ascii="新宋体" w:hAnsi="新宋体" w:eastAsia="新宋体" w:cs="新宋体"/>
          <w:b w:val="0"/>
          <w:color w:val="auto"/>
          <w:sz w:val="24"/>
          <w:szCs w:val="24"/>
          <w:highlight w:val="none"/>
        </w:rPr>
        <w:t>100</w:t>
      </w:r>
      <w:r>
        <w:rPr>
          <w:rFonts w:hint="eastAsia" w:ascii="新宋体" w:hAnsi="新宋体" w:eastAsia="新宋体" w:cs="新宋体"/>
          <w:b w:val="0"/>
          <w:color w:val="auto"/>
          <w:sz w:val="24"/>
          <w:szCs w:val="24"/>
          <w:highlight w:val="none"/>
          <w:lang w:val="en-US" w:eastAsia="zh-CN"/>
        </w:rPr>
        <w:t>%</w:t>
      </w:r>
      <w:r>
        <w:rPr>
          <w:rFonts w:hint="eastAsia" w:ascii="新宋体" w:hAnsi="新宋体" w:eastAsia="新宋体" w:cs="新宋体"/>
          <w:b w:val="0"/>
          <w:color w:val="auto"/>
          <w:sz w:val="24"/>
          <w:szCs w:val="24"/>
          <w:highlight w:val="none"/>
        </w:rPr>
        <w:t>，实际完成值100</w:t>
      </w:r>
      <w:r>
        <w:rPr>
          <w:rFonts w:hint="eastAsia" w:ascii="新宋体" w:hAnsi="新宋体" w:eastAsia="新宋体" w:cs="新宋体"/>
          <w:b w:val="0"/>
          <w:color w:val="auto"/>
          <w:sz w:val="24"/>
          <w:szCs w:val="24"/>
          <w:highlight w:val="none"/>
          <w:lang w:val="en-US" w:eastAsia="zh-CN"/>
        </w:rPr>
        <w:t>%</w:t>
      </w:r>
      <w:r>
        <w:rPr>
          <w:rFonts w:hint="eastAsia" w:ascii="新宋体" w:hAnsi="新宋体" w:eastAsia="新宋体" w:cs="新宋体"/>
          <w:b w:val="0"/>
          <w:color w:val="auto"/>
          <w:sz w:val="24"/>
          <w:szCs w:val="24"/>
          <w:highlight w:val="none"/>
        </w:rPr>
        <w:t>，指标完成率100</w:t>
      </w:r>
      <w:r>
        <w:rPr>
          <w:rFonts w:hint="eastAsia" w:ascii="新宋体" w:hAnsi="新宋体" w:eastAsia="新宋体" w:cs="新宋体"/>
          <w:b w:val="0"/>
          <w:color w:val="auto"/>
          <w:sz w:val="24"/>
          <w:szCs w:val="24"/>
          <w:highlight w:val="none"/>
          <w:lang w:val="en-US" w:eastAsia="zh-CN"/>
        </w:rPr>
        <w:t>%</w:t>
      </w:r>
      <w:r>
        <w:rPr>
          <w:rFonts w:hint="eastAsia" w:ascii="新宋体" w:hAnsi="新宋体" w:eastAsia="新宋体" w:cs="新宋体"/>
          <w:b w:val="0"/>
          <w:color w:val="auto"/>
          <w:sz w:val="24"/>
          <w:szCs w:val="24"/>
          <w:highlight w:val="none"/>
        </w:rPr>
        <w:t>，与预期目标一致，根据评分标准，该指标不扣分，</w:t>
      </w:r>
      <w:r>
        <w:rPr>
          <w:rFonts w:hint="eastAsia" w:ascii="新宋体" w:hAnsi="新宋体" w:eastAsia="新宋体" w:cs="新宋体"/>
          <w:b w:val="0"/>
          <w:bCs/>
          <w:color w:val="auto"/>
          <w:sz w:val="24"/>
          <w:szCs w:val="24"/>
          <w:highlight w:val="none"/>
        </w:rPr>
        <w:t>得</w:t>
      </w:r>
      <w:r>
        <w:rPr>
          <w:rFonts w:hint="eastAsia" w:ascii="新宋体" w:hAnsi="新宋体" w:eastAsia="新宋体" w:cs="新宋体"/>
          <w:b w:val="0"/>
          <w:bCs/>
          <w:color w:val="auto"/>
          <w:sz w:val="24"/>
          <w:szCs w:val="24"/>
          <w:highlight w:val="none"/>
          <w:lang w:val="en-US" w:eastAsia="zh-CN"/>
        </w:rPr>
        <w:t>5</w:t>
      </w:r>
      <w:r>
        <w:rPr>
          <w:rFonts w:hint="eastAsia" w:ascii="新宋体" w:hAnsi="新宋体" w:eastAsia="新宋体" w:cs="新宋体"/>
          <w:b w:val="0"/>
          <w:bCs/>
          <w:color w:val="auto"/>
          <w:sz w:val="24"/>
          <w:szCs w:val="24"/>
          <w:highlight w:val="none"/>
        </w:rPr>
        <w:t>分</w:t>
      </w:r>
      <w:r>
        <w:rPr>
          <w:rFonts w:hint="eastAsia" w:ascii="新宋体" w:hAnsi="新宋体" w:eastAsia="新宋体" w:cs="新宋体"/>
          <w:b w:val="0"/>
          <w:color w:val="auto"/>
          <w:sz w:val="24"/>
          <w:szCs w:val="24"/>
          <w:highlight w:val="none"/>
        </w:rPr>
        <w:t>。</w:t>
      </w:r>
    </w:p>
    <w:p w14:paraId="0533A6EC">
      <w:pPr>
        <w:pStyle w:val="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val="0"/>
          <w:bCs/>
          <w:color w:val="auto"/>
          <w:sz w:val="24"/>
          <w:szCs w:val="24"/>
          <w:highlight w:val="none"/>
        </w:rPr>
      </w:pPr>
      <w:r>
        <w:rPr>
          <w:rFonts w:hint="eastAsia" w:ascii="新宋体" w:hAnsi="新宋体" w:eastAsia="新宋体" w:cs="新宋体"/>
          <w:b w:val="0"/>
          <w:bCs/>
          <w:color w:val="auto"/>
          <w:sz w:val="24"/>
          <w:szCs w:val="24"/>
          <w:highlight w:val="none"/>
        </w:rPr>
        <w:t>合计得10分。</w:t>
      </w:r>
    </w:p>
    <w:p w14:paraId="13585810">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4.对于“产出成本”</w:t>
      </w:r>
    </w:p>
    <w:p w14:paraId="5B08B0A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补助标准，预期指标值</w:t>
      </w:r>
      <w:r>
        <w:rPr>
          <w:rFonts w:hint="eastAsia" w:ascii="新宋体" w:hAnsi="新宋体" w:eastAsia="新宋体" w:cs="新宋体"/>
          <w:color w:val="auto"/>
          <w:sz w:val="24"/>
          <w:szCs w:val="24"/>
          <w:highlight w:val="none"/>
          <w:lang w:val="en-US" w:eastAsia="zh-CN"/>
        </w:rPr>
        <w:t>≤150元/亩</w:t>
      </w:r>
      <w:r>
        <w:rPr>
          <w:rFonts w:hint="eastAsia" w:ascii="新宋体" w:hAnsi="新宋体" w:eastAsia="新宋体" w:cs="新宋体"/>
          <w:color w:val="auto"/>
          <w:sz w:val="24"/>
          <w:szCs w:val="24"/>
          <w:highlight w:val="none"/>
        </w:rPr>
        <w:t>，实际完成值</w:t>
      </w:r>
      <w:r>
        <w:rPr>
          <w:rFonts w:hint="eastAsia" w:ascii="新宋体" w:hAnsi="新宋体" w:eastAsia="新宋体" w:cs="新宋体"/>
          <w:color w:val="auto"/>
          <w:sz w:val="24"/>
          <w:szCs w:val="24"/>
          <w:highlight w:val="none"/>
          <w:lang w:val="en-US" w:eastAsia="zh-CN"/>
        </w:rPr>
        <w:t>150元/亩</w:t>
      </w:r>
      <w:r>
        <w:rPr>
          <w:rFonts w:hint="eastAsia" w:ascii="新宋体" w:hAnsi="新宋体" w:eastAsia="新宋体" w:cs="新宋体"/>
          <w:color w:val="auto"/>
          <w:sz w:val="24"/>
          <w:szCs w:val="24"/>
          <w:highlight w:val="none"/>
        </w:rPr>
        <w:t>，指标完成率</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b w:val="0"/>
          <w:color w:val="auto"/>
          <w:sz w:val="24"/>
          <w:szCs w:val="24"/>
          <w:highlight w:val="none"/>
        </w:rPr>
        <w:t>与预期目标一致，根据评分标准，该指标不扣分</w:t>
      </w:r>
      <w:r>
        <w:rPr>
          <w:rFonts w:hint="eastAsia" w:ascii="新宋体" w:hAnsi="新宋体" w:eastAsia="新宋体" w:cs="新宋体"/>
          <w:color w:val="auto"/>
          <w:sz w:val="24"/>
          <w:szCs w:val="24"/>
          <w:highlight w:val="none"/>
        </w:rPr>
        <w:t>，得</w:t>
      </w:r>
      <w:r>
        <w:rPr>
          <w:rFonts w:hint="eastAsia" w:ascii="新宋体" w:hAnsi="新宋体" w:eastAsia="新宋体" w:cs="新宋体"/>
          <w:color w:val="auto"/>
          <w:sz w:val="24"/>
          <w:szCs w:val="24"/>
          <w:highlight w:val="none"/>
          <w:lang w:val="en-US" w:eastAsia="zh-CN"/>
        </w:rPr>
        <w:t>10</w:t>
      </w:r>
      <w:r>
        <w:rPr>
          <w:rFonts w:hint="eastAsia" w:ascii="新宋体" w:hAnsi="新宋体" w:eastAsia="新宋体" w:cs="新宋体"/>
          <w:color w:val="auto"/>
          <w:sz w:val="24"/>
          <w:szCs w:val="24"/>
          <w:highlight w:val="none"/>
        </w:rPr>
        <w:t>分。</w:t>
      </w:r>
    </w:p>
    <w:p w14:paraId="44E41F15">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bCs/>
          <w:color w:val="auto"/>
          <w:sz w:val="24"/>
          <w:szCs w:val="24"/>
          <w:highlight w:val="none"/>
        </w:rPr>
      </w:pPr>
      <w:r>
        <w:rPr>
          <w:rFonts w:hint="eastAsia" w:ascii="新宋体" w:hAnsi="新宋体" w:eastAsia="新宋体" w:cs="新宋体"/>
          <w:b/>
          <w:bCs/>
          <w:color w:val="auto"/>
          <w:sz w:val="24"/>
          <w:szCs w:val="24"/>
          <w:highlight w:val="none"/>
        </w:rPr>
        <w:t>（四）项目效益情况</w:t>
      </w:r>
    </w:p>
    <w:p w14:paraId="6617D77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项目效益类指标包括项目效益1个方面的内容，由2个三级指标构成，权重分为2</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rPr>
        <w:t>分，实际得分2</w:t>
      </w:r>
      <w:r>
        <w:rPr>
          <w:rFonts w:hint="eastAsia" w:ascii="新宋体" w:hAnsi="新宋体" w:eastAsia="新宋体" w:cs="新宋体"/>
          <w:color w:val="auto"/>
          <w:sz w:val="24"/>
          <w:szCs w:val="24"/>
          <w:highlight w:val="none"/>
          <w:lang w:val="en-US" w:eastAsia="zh-CN"/>
        </w:rPr>
        <w:t>5</w:t>
      </w:r>
      <w:r>
        <w:rPr>
          <w:rFonts w:hint="eastAsia" w:ascii="新宋体" w:hAnsi="新宋体" w:eastAsia="新宋体" w:cs="新宋体"/>
          <w:color w:val="auto"/>
          <w:sz w:val="24"/>
          <w:szCs w:val="24"/>
          <w:highlight w:val="none"/>
        </w:rPr>
        <w:t>分，得分率为100%。</w:t>
      </w:r>
    </w:p>
    <w:p w14:paraId="1C8F83AC">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1.对于“社会效益指标”</w:t>
      </w:r>
    </w:p>
    <w:p w14:paraId="2A107759">
      <w:pPr>
        <w:pStyle w:val="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val="0"/>
          <w:color w:val="auto"/>
          <w:sz w:val="24"/>
          <w:szCs w:val="24"/>
          <w:highlight w:val="none"/>
        </w:rPr>
      </w:pPr>
      <w:r>
        <w:rPr>
          <w:rFonts w:hint="eastAsia" w:ascii="新宋体" w:hAnsi="新宋体" w:eastAsia="新宋体" w:cs="新宋体"/>
          <w:b w:val="0"/>
          <w:bCs w:val="0"/>
          <w:color w:val="auto"/>
          <w:sz w:val="24"/>
          <w:szCs w:val="24"/>
          <w:highlight w:val="none"/>
        </w:rPr>
        <w:t>保障农民安全生产和粮食增收，预期指标值</w:t>
      </w:r>
      <w:r>
        <w:rPr>
          <w:rFonts w:hint="eastAsia" w:ascii="新宋体" w:hAnsi="新宋体" w:eastAsia="新宋体" w:cs="新宋体"/>
          <w:b w:val="0"/>
          <w:bCs w:val="0"/>
          <w:color w:val="auto"/>
          <w:sz w:val="24"/>
          <w:szCs w:val="24"/>
          <w:highlight w:val="none"/>
          <w:lang w:val="en-US" w:eastAsia="zh-CN"/>
        </w:rPr>
        <w:t>有效保障</w:t>
      </w:r>
      <w:r>
        <w:rPr>
          <w:rFonts w:hint="eastAsia" w:ascii="新宋体" w:hAnsi="新宋体" w:eastAsia="新宋体" w:cs="新宋体"/>
          <w:b w:val="0"/>
          <w:bCs w:val="0"/>
          <w:color w:val="auto"/>
          <w:sz w:val="24"/>
          <w:szCs w:val="24"/>
          <w:highlight w:val="none"/>
        </w:rPr>
        <w:t>，实际完成值为</w:t>
      </w:r>
      <w:r>
        <w:rPr>
          <w:rFonts w:hint="eastAsia" w:ascii="新宋体" w:hAnsi="新宋体" w:eastAsia="新宋体" w:cs="新宋体"/>
          <w:b w:val="0"/>
          <w:bCs w:val="0"/>
          <w:color w:val="auto"/>
          <w:sz w:val="24"/>
          <w:szCs w:val="24"/>
          <w:highlight w:val="none"/>
          <w:lang w:val="en-US" w:eastAsia="zh-CN"/>
        </w:rPr>
        <w:t>有效保障</w:t>
      </w:r>
      <w:r>
        <w:rPr>
          <w:rFonts w:hint="eastAsia" w:ascii="新宋体" w:hAnsi="新宋体" w:eastAsia="新宋体" w:cs="新宋体"/>
          <w:b w:val="0"/>
          <w:bCs w:val="0"/>
          <w:color w:val="auto"/>
          <w:sz w:val="24"/>
          <w:szCs w:val="24"/>
          <w:highlight w:val="none"/>
        </w:rPr>
        <w:t>，指标完成率为</w:t>
      </w:r>
      <w:r>
        <w:rPr>
          <w:rFonts w:hint="eastAsia" w:ascii="新宋体" w:hAnsi="新宋体" w:eastAsia="新宋体" w:cs="新宋体"/>
          <w:b w:val="0"/>
          <w:bCs w:val="0"/>
          <w:color w:val="auto"/>
          <w:sz w:val="24"/>
          <w:szCs w:val="24"/>
          <w:highlight w:val="none"/>
          <w:lang w:val="en-US" w:eastAsia="zh-CN"/>
        </w:rPr>
        <w:t>100%</w:t>
      </w:r>
      <w:r>
        <w:rPr>
          <w:rFonts w:hint="eastAsia" w:ascii="新宋体" w:hAnsi="新宋体" w:eastAsia="新宋体" w:cs="新宋体"/>
          <w:b w:val="0"/>
          <w:bCs w:val="0"/>
          <w:color w:val="auto"/>
          <w:sz w:val="24"/>
          <w:szCs w:val="24"/>
          <w:highlight w:val="none"/>
        </w:rPr>
        <w:t>，与预期指标一致，根据</w:t>
      </w:r>
      <w:r>
        <w:rPr>
          <w:rFonts w:hint="eastAsia" w:ascii="新宋体" w:hAnsi="新宋体" w:eastAsia="新宋体" w:cs="新宋体"/>
          <w:b w:val="0"/>
          <w:bCs w:val="0"/>
          <w:color w:val="auto"/>
          <w:sz w:val="24"/>
          <w:szCs w:val="24"/>
          <w:highlight w:val="none"/>
          <w:lang w:val="en-US" w:eastAsia="zh-CN"/>
        </w:rPr>
        <w:t>·</w:t>
      </w:r>
      <w:r>
        <w:rPr>
          <w:rFonts w:hint="eastAsia" w:ascii="新宋体" w:hAnsi="新宋体" w:eastAsia="新宋体" w:cs="新宋体"/>
          <w:b w:val="0"/>
          <w:bCs w:val="0"/>
          <w:color w:val="auto"/>
          <w:sz w:val="24"/>
          <w:szCs w:val="24"/>
          <w:highlight w:val="none"/>
        </w:rPr>
        <w:t>评分标准，该指标不扣分，得</w:t>
      </w:r>
      <w:r>
        <w:rPr>
          <w:rFonts w:hint="eastAsia" w:ascii="新宋体" w:hAnsi="新宋体" w:eastAsia="新宋体" w:cs="新宋体"/>
          <w:b w:val="0"/>
          <w:bCs w:val="0"/>
          <w:color w:val="auto"/>
          <w:sz w:val="24"/>
          <w:szCs w:val="24"/>
          <w:highlight w:val="none"/>
          <w:lang w:val="en-US" w:eastAsia="zh-CN"/>
        </w:rPr>
        <w:t>15</w:t>
      </w:r>
      <w:r>
        <w:rPr>
          <w:rFonts w:hint="eastAsia" w:ascii="新宋体" w:hAnsi="新宋体" w:eastAsia="新宋体" w:cs="新宋体"/>
          <w:b w:val="0"/>
          <w:bCs w:val="0"/>
          <w:color w:val="auto"/>
          <w:sz w:val="24"/>
          <w:szCs w:val="24"/>
          <w:highlight w:val="none"/>
        </w:rPr>
        <w:t>分。</w:t>
      </w:r>
    </w:p>
    <w:p w14:paraId="7F8CFFCC">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2.对于“经济效益指标”</w:t>
      </w:r>
    </w:p>
    <w:p w14:paraId="02A421C3">
      <w:pPr>
        <w:pStyle w:val="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val="0"/>
          <w:bCs w:val="0"/>
          <w:color w:val="auto"/>
          <w:sz w:val="24"/>
          <w:szCs w:val="24"/>
          <w:highlight w:val="none"/>
        </w:rPr>
      </w:pPr>
      <w:r>
        <w:rPr>
          <w:rFonts w:hint="eastAsia" w:ascii="新宋体" w:hAnsi="新宋体" w:eastAsia="新宋体" w:cs="新宋体"/>
          <w:b w:val="0"/>
          <w:bCs w:val="0"/>
          <w:color w:val="auto"/>
          <w:sz w:val="24"/>
          <w:szCs w:val="24"/>
          <w:highlight w:val="none"/>
          <w:lang w:val="en-US" w:eastAsia="zh-CN"/>
        </w:rPr>
        <w:t>该项目不涉及</w:t>
      </w:r>
      <w:r>
        <w:rPr>
          <w:rFonts w:hint="eastAsia" w:ascii="新宋体" w:hAnsi="新宋体" w:eastAsia="新宋体" w:cs="新宋体"/>
          <w:b w:val="0"/>
          <w:bCs w:val="0"/>
          <w:color w:val="auto"/>
          <w:sz w:val="24"/>
          <w:szCs w:val="24"/>
          <w:highlight w:val="none"/>
        </w:rPr>
        <w:t>经济效益指标</w:t>
      </w:r>
      <w:r>
        <w:rPr>
          <w:rFonts w:hint="eastAsia" w:ascii="新宋体" w:hAnsi="新宋体" w:eastAsia="新宋体" w:cs="新宋体"/>
          <w:b w:val="0"/>
          <w:bCs w:val="0"/>
          <w:color w:val="auto"/>
          <w:sz w:val="24"/>
          <w:szCs w:val="24"/>
          <w:highlight w:val="none"/>
          <w:lang w:val="en-US" w:eastAsia="zh-CN"/>
        </w:rPr>
        <w:t>。</w:t>
      </w:r>
    </w:p>
    <w:p w14:paraId="6A56A7F9">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3.对于“生态效益指标”</w:t>
      </w:r>
    </w:p>
    <w:p w14:paraId="362C3E95">
      <w:pPr>
        <w:pStyle w:val="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val="0"/>
          <w:bCs w:val="0"/>
          <w:color w:val="auto"/>
          <w:sz w:val="24"/>
          <w:szCs w:val="24"/>
          <w:highlight w:val="none"/>
          <w:lang w:val="en-US" w:eastAsia="zh-CN"/>
        </w:rPr>
      </w:pPr>
      <w:r>
        <w:rPr>
          <w:rFonts w:hint="eastAsia" w:ascii="新宋体" w:hAnsi="新宋体" w:eastAsia="新宋体" w:cs="新宋体"/>
          <w:b w:val="0"/>
          <w:bCs w:val="0"/>
          <w:color w:val="auto"/>
          <w:sz w:val="24"/>
          <w:szCs w:val="24"/>
          <w:highlight w:val="none"/>
          <w:lang w:val="en-US" w:eastAsia="zh-CN"/>
        </w:rPr>
        <w:t>该项目不涉及生态效益指标。</w:t>
      </w:r>
    </w:p>
    <w:p w14:paraId="282AF44D">
      <w:pPr>
        <w:pStyle w:val="1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lang w:val="en-US" w:eastAsia="zh-CN"/>
        </w:rPr>
        <w:t>4.满意度指标分析</w:t>
      </w:r>
    </w:p>
    <w:p w14:paraId="0888BA04">
      <w:pPr>
        <w:pStyle w:val="1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lang w:val="en-US" w:eastAsia="zh-CN"/>
        </w:rPr>
        <w:t>受益群众满意度</w:t>
      </w:r>
      <w:r>
        <w:rPr>
          <w:rFonts w:hint="eastAsia" w:ascii="新宋体" w:hAnsi="新宋体" w:eastAsia="新宋体" w:cs="新宋体"/>
          <w:color w:val="auto"/>
          <w:sz w:val="24"/>
          <w:szCs w:val="24"/>
          <w:highlight w:val="none"/>
        </w:rPr>
        <w:t>，预期指标值</w:t>
      </w:r>
      <w:r>
        <w:rPr>
          <w:rFonts w:hint="eastAsia" w:ascii="新宋体" w:hAnsi="新宋体" w:eastAsia="新宋体" w:cs="新宋体"/>
          <w:color w:val="auto"/>
          <w:sz w:val="24"/>
          <w:szCs w:val="24"/>
          <w:highlight w:val="none"/>
          <w:lang w:val="en-US" w:eastAsia="zh-CN"/>
        </w:rPr>
        <w:t>大于等于95%</w:t>
      </w:r>
      <w:r>
        <w:rPr>
          <w:rFonts w:hint="eastAsia" w:ascii="新宋体" w:hAnsi="新宋体" w:eastAsia="新宋体" w:cs="新宋体"/>
          <w:color w:val="auto"/>
          <w:sz w:val="24"/>
          <w:szCs w:val="24"/>
          <w:highlight w:val="none"/>
        </w:rPr>
        <w:t>，实际完成值</w:t>
      </w:r>
      <w:r>
        <w:rPr>
          <w:rFonts w:hint="eastAsia" w:ascii="新宋体" w:hAnsi="新宋体" w:eastAsia="新宋体" w:cs="新宋体"/>
          <w:color w:val="auto"/>
          <w:sz w:val="24"/>
          <w:szCs w:val="24"/>
          <w:highlight w:val="none"/>
          <w:lang w:val="en-US" w:eastAsia="zh-CN"/>
        </w:rPr>
        <w:t>95%</w:t>
      </w:r>
      <w:r>
        <w:rPr>
          <w:rFonts w:hint="eastAsia" w:ascii="新宋体" w:hAnsi="新宋体" w:eastAsia="新宋体" w:cs="新宋体"/>
          <w:color w:val="auto"/>
          <w:sz w:val="24"/>
          <w:szCs w:val="24"/>
          <w:highlight w:val="none"/>
        </w:rPr>
        <w:t>，指标完成率为</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，与预期目标一致，根据评分标准，该指标不扣分,得10分。</w:t>
      </w:r>
      <w:bookmarkEnd w:id="13"/>
    </w:p>
    <w:p w14:paraId="5A76D81B">
      <w:pPr>
        <w:pStyle w:val="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b w:val="0"/>
          <w:bCs/>
          <w:color w:val="auto"/>
          <w:sz w:val="24"/>
          <w:szCs w:val="24"/>
          <w:highlight w:val="none"/>
        </w:rPr>
        <w:t>合计得</w:t>
      </w:r>
      <w:r>
        <w:rPr>
          <w:rFonts w:hint="eastAsia" w:ascii="新宋体" w:hAnsi="新宋体" w:eastAsia="新宋体" w:cs="新宋体"/>
          <w:b w:val="0"/>
          <w:bCs/>
          <w:color w:val="auto"/>
          <w:sz w:val="24"/>
          <w:szCs w:val="24"/>
          <w:highlight w:val="none"/>
          <w:lang w:val="en-US" w:eastAsia="zh-CN"/>
        </w:rPr>
        <w:t>25</w:t>
      </w:r>
      <w:r>
        <w:rPr>
          <w:rFonts w:hint="eastAsia" w:ascii="新宋体" w:hAnsi="新宋体" w:eastAsia="新宋体" w:cs="新宋体"/>
          <w:b w:val="0"/>
          <w:bCs/>
          <w:color w:val="auto"/>
          <w:sz w:val="24"/>
          <w:szCs w:val="24"/>
          <w:highlight w:val="none"/>
        </w:rPr>
        <w:t>分。</w:t>
      </w:r>
    </w:p>
    <w:p w14:paraId="354045B9">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p>
    <w:p w14:paraId="6D4089EC">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五、预算执行进度与绩效指标偏差情况</w:t>
      </w:r>
    </w:p>
    <w:p w14:paraId="4F47C92F">
      <w:pPr>
        <w:pStyle w:val="1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本项目预算</w:t>
      </w:r>
      <w:r>
        <w:rPr>
          <w:rFonts w:hint="eastAsia" w:ascii="新宋体" w:hAnsi="新宋体" w:eastAsia="新宋体" w:cs="新宋体"/>
          <w:color w:val="auto"/>
          <w:sz w:val="24"/>
          <w:szCs w:val="24"/>
          <w:highlight w:val="none"/>
          <w:lang w:val="en-US" w:eastAsia="zh-CN"/>
        </w:rPr>
        <w:t>下达</w:t>
      </w:r>
      <w:r>
        <w:rPr>
          <w:rFonts w:hint="eastAsia" w:ascii="新宋体" w:hAnsi="新宋体" w:eastAsia="新宋体" w:cs="新宋体"/>
          <w:color w:val="auto"/>
          <w:sz w:val="24"/>
          <w:szCs w:val="24"/>
          <w:highlight w:val="none"/>
        </w:rPr>
        <w:t>资金总额为</w:t>
      </w:r>
      <w:r>
        <w:rPr>
          <w:rFonts w:hint="eastAsia" w:ascii="新宋体" w:hAnsi="新宋体" w:eastAsia="新宋体" w:cs="新宋体"/>
          <w:color w:val="auto"/>
          <w:sz w:val="24"/>
          <w:szCs w:val="24"/>
          <w:highlight w:val="none"/>
          <w:lang w:val="en-US" w:eastAsia="zh-CN"/>
        </w:rPr>
        <w:t>755</w:t>
      </w:r>
      <w:r>
        <w:rPr>
          <w:rFonts w:hint="eastAsia" w:ascii="新宋体" w:hAnsi="新宋体" w:eastAsia="新宋体" w:cs="新宋体"/>
          <w:color w:val="auto"/>
          <w:sz w:val="24"/>
          <w:szCs w:val="24"/>
          <w:highlight w:val="none"/>
        </w:rPr>
        <w:t>万元，全年预算数为</w:t>
      </w:r>
      <w:r>
        <w:rPr>
          <w:rFonts w:hint="eastAsia" w:ascii="新宋体" w:hAnsi="新宋体" w:eastAsia="新宋体" w:cs="新宋体"/>
          <w:color w:val="auto"/>
          <w:sz w:val="24"/>
          <w:szCs w:val="24"/>
          <w:highlight w:val="none"/>
          <w:lang w:val="en-US" w:eastAsia="zh-CN"/>
        </w:rPr>
        <w:t>755</w:t>
      </w:r>
      <w:r>
        <w:rPr>
          <w:rFonts w:hint="eastAsia" w:ascii="新宋体" w:hAnsi="新宋体" w:eastAsia="新宋体" w:cs="新宋体"/>
          <w:color w:val="auto"/>
          <w:sz w:val="24"/>
          <w:szCs w:val="24"/>
          <w:highlight w:val="none"/>
        </w:rPr>
        <w:t>万元，全年执行数为</w:t>
      </w:r>
      <w:r>
        <w:rPr>
          <w:rFonts w:hint="eastAsia" w:ascii="新宋体" w:hAnsi="新宋体" w:eastAsia="新宋体" w:cs="新宋体"/>
          <w:color w:val="auto"/>
          <w:sz w:val="24"/>
          <w:szCs w:val="24"/>
          <w:highlight w:val="none"/>
          <w:lang w:val="en-US" w:eastAsia="zh-CN"/>
        </w:rPr>
        <w:t>755</w:t>
      </w:r>
      <w:r>
        <w:rPr>
          <w:rFonts w:hint="eastAsia" w:ascii="新宋体" w:hAnsi="新宋体" w:eastAsia="新宋体" w:cs="新宋体"/>
          <w:color w:val="auto"/>
          <w:sz w:val="24"/>
          <w:szCs w:val="24"/>
          <w:highlight w:val="none"/>
        </w:rPr>
        <w:t>万元，预算执行率为</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w:t>
      </w:r>
    </w:p>
    <w:p w14:paraId="02F2FD6E">
      <w:pPr>
        <w:pStyle w:val="1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本项目共设置三级指标数量</w:t>
      </w:r>
      <w:r>
        <w:rPr>
          <w:rFonts w:hint="eastAsia" w:ascii="新宋体" w:hAnsi="新宋体" w:eastAsia="新宋体" w:cs="新宋体"/>
          <w:color w:val="auto"/>
          <w:sz w:val="24"/>
          <w:szCs w:val="24"/>
          <w:highlight w:val="none"/>
          <w:lang w:val="en-US" w:eastAsia="zh-CN"/>
        </w:rPr>
        <w:t>8</w:t>
      </w:r>
      <w:r>
        <w:rPr>
          <w:rFonts w:hint="eastAsia" w:ascii="新宋体" w:hAnsi="新宋体" w:eastAsia="新宋体" w:cs="新宋体"/>
          <w:color w:val="auto"/>
          <w:sz w:val="24"/>
          <w:szCs w:val="24"/>
          <w:highlight w:val="none"/>
        </w:rPr>
        <w:t>个，满分指标数量</w:t>
      </w:r>
      <w:r>
        <w:rPr>
          <w:rFonts w:hint="eastAsia" w:ascii="新宋体" w:hAnsi="新宋体" w:eastAsia="新宋体" w:cs="新宋体"/>
          <w:color w:val="auto"/>
          <w:sz w:val="24"/>
          <w:szCs w:val="24"/>
          <w:highlight w:val="none"/>
          <w:lang w:val="en-US" w:eastAsia="zh-CN"/>
        </w:rPr>
        <w:t>8</w:t>
      </w:r>
      <w:r>
        <w:rPr>
          <w:rFonts w:hint="eastAsia" w:ascii="新宋体" w:hAnsi="新宋体" w:eastAsia="新宋体" w:cs="新宋体"/>
          <w:color w:val="auto"/>
          <w:sz w:val="24"/>
          <w:szCs w:val="24"/>
          <w:highlight w:val="none"/>
        </w:rPr>
        <w:t>个，扣分指标数量</w:t>
      </w:r>
      <w:r>
        <w:rPr>
          <w:rFonts w:hint="eastAsia" w:ascii="新宋体" w:hAnsi="新宋体" w:eastAsia="新宋体" w:cs="新宋体"/>
          <w:color w:val="auto"/>
          <w:sz w:val="24"/>
          <w:szCs w:val="24"/>
          <w:highlight w:val="none"/>
          <w:lang w:val="en-US" w:eastAsia="zh-CN"/>
        </w:rPr>
        <w:t>无</w:t>
      </w:r>
      <w:r>
        <w:rPr>
          <w:rFonts w:hint="eastAsia" w:ascii="新宋体" w:hAnsi="新宋体" w:eastAsia="新宋体" w:cs="新宋体"/>
          <w:color w:val="auto"/>
          <w:sz w:val="24"/>
          <w:szCs w:val="24"/>
          <w:highlight w:val="none"/>
        </w:rPr>
        <w:t>个，经分析计算所有三级指标完成率得出，本项目总体完成率为</w:t>
      </w:r>
      <w:r>
        <w:rPr>
          <w:rFonts w:hint="eastAsia" w:ascii="新宋体" w:hAnsi="新宋体" w:eastAsia="新宋体" w:cs="新宋体"/>
          <w:color w:val="auto"/>
          <w:sz w:val="24"/>
          <w:szCs w:val="24"/>
          <w:highlight w:val="none"/>
          <w:lang w:val="en-US" w:eastAsia="zh-CN"/>
        </w:rPr>
        <w:t>100</w:t>
      </w:r>
      <w:r>
        <w:rPr>
          <w:rFonts w:hint="eastAsia" w:ascii="新宋体" w:hAnsi="新宋体" w:eastAsia="新宋体" w:cs="新宋体"/>
          <w:color w:val="auto"/>
          <w:sz w:val="24"/>
          <w:szCs w:val="24"/>
          <w:highlight w:val="none"/>
        </w:rPr>
        <w:t>%。</w:t>
      </w:r>
    </w:p>
    <w:p w14:paraId="3259CACB">
      <w:pPr>
        <w:pStyle w:val="1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color w:val="auto"/>
          <w:sz w:val="24"/>
          <w:szCs w:val="24"/>
          <w:highlight w:val="none"/>
        </w:rPr>
        <w:t>综上所述本项目预算执行率与总体完成率之间的偏差为</w:t>
      </w:r>
      <w:r>
        <w:rPr>
          <w:rFonts w:hint="eastAsia" w:ascii="新宋体" w:hAnsi="新宋体" w:eastAsia="新宋体" w:cs="新宋体"/>
          <w:color w:val="auto"/>
          <w:sz w:val="24"/>
          <w:szCs w:val="24"/>
          <w:highlight w:val="none"/>
          <w:lang w:val="en-US" w:eastAsia="zh-CN"/>
        </w:rPr>
        <w:t>0</w:t>
      </w:r>
      <w:r>
        <w:rPr>
          <w:rFonts w:hint="eastAsia" w:ascii="新宋体" w:hAnsi="新宋体" w:eastAsia="新宋体" w:cs="新宋体"/>
          <w:color w:val="auto"/>
          <w:sz w:val="24"/>
          <w:szCs w:val="24"/>
          <w:highlight w:val="none"/>
        </w:rPr>
        <w:t>%。</w:t>
      </w:r>
      <w:bookmarkStart w:id="14" w:name="_Toc68364673"/>
    </w:p>
    <w:p w14:paraId="4FE3BC2B">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bCs/>
          <w:color w:val="auto"/>
          <w:sz w:val="24"/>
          <w:szCs w:val="24"/>
          <w:highlight w:val="none"/>
        </w:rPr>
      </w:pPr>
    </w:p>
    <w:p w14:paraId="62A036B1">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color w:val="auto"/>
          <w:sz w:val="24"/>
          <w:szCs w:val="24"/>
          <w:highlight w:val="none"/>
        </w:rPr>
      </w:pPr>
      <w:r>
        <w:rPr>
          <w:rFonts w:hint="eastAsia" w:ascii="黑体" w:hAnsi="黑体" w:eastAsia="黑体" w:cs="黑体"/>
          <w:b/>
          <w:bCs/>
          <w:color w:val="auto"/>
          <w:sz w:val="24"/>
          <w:szCs w:val="24"/>
          <w:highlight w:val="none"/>
        </w:rPr>
        <w:t>六、主要经验及做法、存在的问题及原因分析</w:t>
      </w:r>
    </w:p>
    <w:p w14:paraId="66700B39">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bCs/>
          <w:color w:val="auto"/>
          <w:sz w:val="24"/>
          <w:szCs w:val="24"/>
          <w:highlight w:val="none"/>
          <w:lang w:val="en-US" w:eastAsia="zh-CN"/>
        </w:rPr>
      </w:pPr>
      <w:r>
        <w:rPr>
          <w:rFonts w:hint="eastAsia" w:ascii="新宋体" w:hAnsi="新宋体" w:eastAsia="新宋体" w:cs="新宋体"/>
          <w:b/>
          <w:bCs/>
          <w:color w:val="auto"/>
          <w:sz w:val="24"/>
          <w:szCs w:val="24"/>
          <w:highlight w:val="none"/>
        </w:rPr>
        <w:t>（一）主要经验及做法</w:t>
      </w:r>
      <w:bookmarkEnd w:id="14"/>
    </w:p>
    <w:p w14:paraId="1D994EE8">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b w:val="0"/>
          <w:bCs w:val="0"/>
          <w:color w:val="auto"/>
          <w:sz w:val="24"/>
          <w:szCs w:val="24"/>
          <w:highlight w:val="none"/>
          <w:lang w:val="en-US" w:eastAsia="zh-CN"/>
        </w:rPr>
      </w:pPr>
      <w:r>
        <w:rPr>
          <w:rFonts w:hint="eastAsia" w:ascii="新宋体" w:hAnsi="新宋体" w:eastAsia="新宋体" w:cs="新宋体"/>
          <w:b w:val="0"/>
          <w:bCs w:val="0"/>
          <w:color w:val="auto"/>
          <w:sz w:val="24"/>
          <w:szCs w:val="24"/>
          <w:highlight w:val="none"/>
          <w:lang w:val="en-US" w:eastAsia="zh-CN"/>
        </w:rPr>
        <w:t>1.项目实施后，将有效控制提升耕地质量，为建立和完善可持续发展的生态环境奠定基础。</w:t>
      </w:r>
    </w:p>
    <w:p w14:paraId="2875C3B6">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b w:val="0"/>
          <w:bCs w:val="0"/>
          <w:color w:val="auto"/>
          <w:sz w:val="24"/>
          <w:szCs w:val="24"/>
          <w:highlight w:val="none"/>
          <w:lang w:val="en-US" w:eastAsia="zh-CN"/>
        </w:rPr>
      </w:pPr>
      <w:r>
        <w:rPr>
          <w:rFonts w:hint="eastAsia" w:ascii="新宋体" w:hAnsi="新宋体" w:eastAsia="新宋体" w:cs="新宋体"/>
          <w:b w:val="0"/>
          <w:bCs w:val="0"/>
          <w:color w:val="auto"/>
          <w:sz w:val="24"/>
          <w:szCs w:val="24"/>
          <w:highlight w:val="none"/>
          <w:lang w:val="en-US" w:eastAsia="zh-CN"/>
        </w:rPr>
        <w:t>2.增产增收，项目区将实现“增产、增收”，为当地农业发展注入新活力。</w:t>
      </w:r>
    </w:p>
    <w:p w14:paraId="391FEDE2">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b w:val="0"/>
          <w:bCs w:val="0"/>
          <w:color w:val="auto"/>
          <w:sz w:val="24"/>
          <w:szCs w:val="24"/>
          <w:highlight w:val="none"/>
          <w:lang w:val="en-US" w:eastAsia="zh-CN"/>
        </w:rPr>
      </w:pPr>
      <w:r>
        <w:rPr>
          <w:rFonts w:hint="eastAsia" w:ascii="新宋体" w:hAnsi="新宋体" w:eastAsia="新宋体" w:cs="新宋体"/>
          <w:b w:val="0"/>
          <w:bCs w:val="0"/>
          <w:color w:val="auto"/>
          <w:sz w:val="24"/>
          <w:szCs w:val="24"/>
          <w:highlight w:val="none"/>
          <w:lang w:val="en-US" w:eastAsia="zh-CN"/>
        </w:rPr>
        <w:t>3.社会效益、生态效益和环境效益显著，项目在提高农业产出的同时，注重生态保护和环境建设，具有显著的社会、生态和环境效益。</w:t>
      </w:r>
    </w:p>
    <w:p w14:paraId="3FBDBD10">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b w:val="0"/>
          <w:bCs w:val="0"/>
          <w:color w:val="auto"/>
          <w:sz w:val="24"/>
          <w:szCs w:val="24"/>
          <w:highlight w:val="none"/>
          <w:lang w:val="en-US" w:eastAsia="zh-CN"/>
        </w:rPr>
      </w:pPr>
      <w:r>
        <w:rPr>
          <w:rFonts w:hint="eastAsia" w:ascii="新宋体" w:hAnsi="新宋体" w:eastAsia="新宋体" w:cs="新宋体"/>
          <w:b w:val="0"/>
          <w:bCs w:val="0"/>
          <w:color w:val="auto"/>
          <w:sz w:val="24"/>
          <w:szCs w:val="24"/>
          <w:highlight w:val="none"/>
          <w:lang w:val="en-US" w:eastAsia="zh-CN"/>
        </w:rPr>
        <w:t>精心规划，确保项目布局合理、高效运作；严格选材，确保建设质量；强化监管，确保项目进度与质量；注重技术创新，推动农业现代化进程。</w:t>
      </w:r>
    </w:p>
    <w:p w14:paraId="07D9AFB9">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rPr>
      </w:pPr>
      <w:r>
        <w:rPr>
          <w:rFonts w:hint="eastAsia" w:ascii="新宋体" w:hAnsi="新宋体" w:eastAsia="新宋体" w:cs="新宋体"/>
          <w:b w:val="0"/>
          <w:bCs w:val="0"/>
          <w:color w:val="auto"/>
          <w:sz w:val="24"/>
          <w:szCs w:val="24"/>
          <w:highlight w:val="none"/>
          <w:lang w:val="en-US" w:eastAsia="zh-CN"/>
        </w:rPr>
        <w:t>通过本项目的实施，为我国农业发展贡献一份力量，助力乡村振兴。</w:t>
      </w:r>
    </w:p>
    <w:p w14:paraId="63E3E0C4">
      <w:pPr>
        <w:pStyle w:val="14"/>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val="0"/>
          <w:bCs w:val="0"/>
          <w:color w:val="auto"/>
          <w:sz w:val="24"/>
          <w:szCs w:val="24"/>
          <w:highlight w:val="none"/>
        </w:rPr>
      </w:pPr>
      <w:bookmarkStart w:id="15" w:name="_Toc68364674"/>
      <w:r>
        <w:rPr>
          <w:rFonts w:hint="eastAsia" w:ascii="新宋体" w:hAnsi="新宋体" w:eastAsia="新宋体" w:cs="新宋体"/>
          <w:b/>
          <w:bCs/>
          <w:color w:val="auto"/>
          <w:sz w:val="24"/>
          <w:szCs w:val="24"/>
          <w:highlight w:val="none"/>
        </w:rPr>
        <w:t>（二）存在问题及原因分析</w:t>
      </w:r>
      <w:bookmarkEnd w:id="15"/>
    </w:p>
    <w:p w14:paraId="3F4130C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新宋体" w:hAnsi="新宋体" w:eastAsia="新宋体" w:cs="新宋体"/>
          <w:color w:val="auto"/>
          <w:sz w:val="24"/>
          <w:szCs w:val="24"/>
        </w:rPr>
      </w:pPr>
      <w:bookmarkStart w:id="16" w:name="_Toc68364675"/>
      <w:r>
        <w:rPr>
          <w:rFonts w:hint="eastAsia" w:ascii="新宋体" w:hAnsi="新宋体" w:eastAsia="新宋体" w:cs="新宋体"/>
          <w:color w:val="auto"/>
          <w:sz w:val="24"/>
          <w:szCs w:val="24"/>
        </w:rPr>
        <w:t>1、轮作物面积确定比较难。因我县分配任务</w:t>
      </w:r>
      <w:r>
        <w:rPr>
          <w:rFonts w:hint="eastAsia" w:ascii="新宋体" w:hAnsi="新宋体" w:eastAsia="新宋体" w:cs="新宋体"/>
          <w:color w:val="auto"/>
          <w:sz w:val="24"/>
          <w:szCs w:val="24"/>
          <w:lang w:val="en-US" w:eastAsia="zh-CN"/>
        </w:rPr>
        <w:t>5.0333</w:t>
      </w:r>
      <w:r>
        <w:rPr>
          <w:rFonts w:hint="eastAsia" w:ascii="新宋体" w:hAnsi="新宋体" w:eastAsia="新宋体" w:cs="新宋体"/>
          <w:color w:val="auto"/>
          <w:sz w:val="24"/>
          <w:szCs w:val="24"/>
        </w:rPr>
        <w:t>万亩， 但是全县轮作分配农作物种植面积合计大于或小于这个面积， 因资金不能结余，导致部分农作物无法发放补贴。</w:t>
      </w:r>
    </w:p>
    <w:p w14:paraId="5309C11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新宋体" w:hAnsi="新宋体" w:eastAsia="新宋体" w:cs="新宋体"/>
          <w:color w:val="auto"/>
          <w:sz w:val="24"/>
          <w:szCs w:val="24"/>
        </w:rPr>
      </w:pPr>
      <w:r>
        <w:rPr>
          <w:rFonts w:hint="eastAsia" w:ascii="新宋体" w:hAnsi="新宋体" w:eastAsia="新宋体" w:cs="新宋体"/>
          <w:color w:val="auto"/>
          <w:sz w:val="24"/>
          <w:szCs w:val="24"/>
        </w:rPr>
        <w:t>2、部门职责不明确，应完善相关制度。 由农业农村部  门负责核查种植面积、乡镇确认申报种植面积及农户、县财 政部门与乡镇农经部门负责补助资金的发放、审核；县乡纪 检部门对补助资金发放过程中识别不准、虚报漏报的给予严肃的处理。</w:t>
      </w:r>
    </w:p>
    <w:p w14:paraId="30DF2C26">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新宋体" w:hAnsi="新宋体" w:eastAsia="新宋体" w:cs="新宋体"/>
          <w:b w:val="0"/>
          <w:bCs w:val="0"/>
          <w:color w:val="auto"/>
          <w:sz w:val="24"/>
          <w:szCs w:val="24"/>
          <w:lang w:eastAsia="zh-CN"/>
        </w:rPr>
      </w:pPr>
      <w:r>
        <w:rPr>
          <w:rFonts w:hint="eastAsia" w:ascii="新宋体" w:hAnsi="新宋体" w:eastAsia="新宋体" w:cs="新宋体"/>
          <w:b w:val="0"/>
          <w:bCs w:val="0"/>
          <w:color w:val="auto"/>
          <w:sz w:val="24"/>
          <w:szCs w:val="24"/>
        </w:rPr>
        <w:t>3、面积核实工具不到位。因没有面积核实工具，实地核实农作物面积、抽查核实面积等遇到困难，望农业农村厅匹配 GPS、航测无人机等实测工具，提高工作效率</w:t>
      </w:r>
      <w:r>
        <w:rPr>
          <w:rFonts w:hint="eastAsia" w:ascii="新宋体" w:hAnsi="新宋体" w:eastAsia="新宋体" w:cs="新宋体"/>
          <w:b w:val="0"/>
          <w:bCs w:val="0"/>
          <w:color w:val="auto"/>
          <w:sz w:val="24"/>
          <w:szCs w:val="24"/>
          <w:lang w:eastAsia="zh-CN"/>
        </w:rPr>
        <w:t>。</w:t>
      </w:r>
      <w:bookmarkEnd w:id="16"/>
    </w:p>
    <w:p w14:paraId="6E532BDE">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val="0"/>
          <w:bCs w:val="0"/>
          <w:color w:val="auto"/>
          <w:sz w:val="24"/>
          <w:szCs w:val="24"/>
        </w:rPr>
      </w:pPr>
      <w:r>
        <w:rPr>
          <w:rFonts w:hint="eastAsia" w:ascii="黑体" w:hAnsi="黑体" w:eastAsia="黑体" w:cs="黑体"/>
          <w:color w:val="auto"/>
          <w:sz w:val="24"/>
          <w:szCs w:val="24"/>
        </w:rPr>
        <w:t>七、有关建议</w:t>
      </w:r>
    </w:p>
    <w:p w14:paraId="200ABBB7">
      <w:pPr>
        <w:pStyle w:val="20"/>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b w:val="0"/>
          <w:color w:val="auto"/>
          <w:kern w:val="2"/>
          <w:sz w:val="24"/>
          <w:szCs w:val="24"/>
        </w:rPr>
      </w:pPr>
      <w:r>
        <w:rPr>
          <w:rFonts w:hint="eastAsia" w:ascii="宋体" w:hAnsi="宋体" w:eastAsia="宋体" w:cs="宋体"/>
          <w:b w:val="0"/>
          <w:color w:val="auto"/>
          <w:kern w:val="2"/>
          <w:sz w:val="24"/>
          <w:szCs w:val="24"/>
        </w:rPr>
        <w:t>预算编制工作，认真做好预算的编制。全面编制预算项目，优先保障固定性的、相对刚性的费用支出项目，尽量压缩变动性的、有控制空间的费用项目，进一步提高预算编制的科学性、严谨性和可控性。</w:t>
      </w:r>
    </w:p>
    <w:p w14:paraId="5E89D962">
      <w:pPr>
        <w:pStyle w:val="16"/>
        <w:keepNext w:val="0"/>
        <w:keepLines w:val="0"/>
        <w:pageBreakBefore w:val="0"/>
        <w:widowControl w:val="0"/>
        <w:kinsoku/>
        <w:wordWrap/>
        <w:overflowPunct/>
        <w:topLinePunct w:val="0"/>
        <w:autoSpaceDE/>
        <w:autoSpaceDN/>
        <w:bidi w:val="0"/>
        <w:adjustRightInd/>
        <w:snapToGrid/>
        <w:spacing w:line="360" w:lineRule="auto"/>
        <w:ind w:left="0" w:leftChars="0" w:right="0" w:firstLine="480" w:firstLineChars="200"/>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开展进度的跟踪，确保项目绩效目标的完成。规范程序，严格把关。进一步完善项目申报、审核、公示、审批等程序，严格审核切实做好项目信息公开，公开内容要及时、完整、真实，确保项目公平、公开、公正。</w:t>
      </w:r>
    </w:p>
    <w:p w14:paraId="74F2428A">
      <w:pPr>
        <w:pStyle w:val="20"/>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b w:val="0"/>
          <w:bCs w:val="0"/>
          <w:color w:val="auto"/>
          <w:kern w:val="2"/>
          <w:sz w:val="24"/>
          <w:szCs w:val="24"/>
          <w:lang w:val="en-US" w:eastAsia="zh-CN" w:bidi="ar-SA"/>
        </w:rPr>
        <w:t>健全制度，加强督促。针对项目实施中存在的问题，进一步完善相关制度，加强督促检查，确保质量安全和建设进度；同时及时完善资料。</w:t>
      </w:r>
      <w:bookmarkStart w:id="17" w:name="_Toc68364676"/>
    </w:p>
    <w:p w14:paraId="37527C79">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p>
    <w:p w14:paraId="6E060EB1">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八、其他需要说明的问题</w:t>
      </w:r>
      <w:bookmarkEnd w:id="17"/>
    </w:p>
    <w:p w14:paraId="6B29FF36">
      <w:pPr>
        <w:pStyle w:val="1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我单位对上述项目支出绩效评价报告内反映内容的真实性、完整性负责，</w:t>
      </w:r>
      <w:r>
        <w:rPr>
          <w:rFonts w:hint="eastAsia" w:ascii="宋体" w:hAnsi="宋体" w:eastAsia="宋体" w:cs="宋体"/>
          <w:color w:val="auto"/>
          <w:sz w:val="24"/>
          <w:szCs w:val="24"/>
          <w:lang w:val="en-US" w:eastAsia="zh-CN"/>
        </w:rPr>
        <w:t>愿</w:t>
      </w:r>
      <w:r>
        <w:rPr>
          <w:rFonts w:hint="eastAsia" w:ascii="宋体" w:hAnsi="宋体" w:eastAsia="宋体" w:cs="宋体"/>
          <w:color w:val="auto"/>
          <w:sz w:val="24"/>
          <w:szCs w:val="24"/>
        </w:rPr>
        <w:t>接受上级部门及社会公众监督。</w:t>
      </w:r>
    </w:p>
    <w:p w14:paraId="4142A30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新宋体" w:hAnsi="新宋体" w:eastAsia="新宋体" w:cs="新宋体"/>
          <w:color w:val="auto"/>
          <w:sz w:val="24"/>
          <w:szCs w:val="24"/>
          <w:highlight w:val="none"/>
          <w:lang w:val="en-US" w:eastAsia="zh-CN"/>
        </w:rPr>
      </w:pPr>
    </w:p>
    <w:p w14:paraId="643FBAEF">
      <w:pPr>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附件1：2024年洛浦县耕地轮作补贴项目绩效评价指标体系</w:t>
      </w:r>
    </w:p>
    <w:p w14:paraId="2F8641A3">
      <w:pPr>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附件2：2024年洛浦县耕地轮作补贴项目综合得分表</w:t>
      </w:r>
    </w:p>
    <w:p w14:paraId="23C7EBA3">
      <w:pPr>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附件3：2024年洛浦县耕地轮作补贴项目满意度调查问卷分析报告</w:t>
      </w:r>
    </w:p>
    <w:p w14:paraId="65477F7C">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425937C5">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52352AA7">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5F7BC3CA">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4A514058">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784ABFC2">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4FEF12A3">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1360CBFF">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169BE7F4">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64BA338C">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498A31D2">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4081641B">
      <w:pPr>
        <w:pStyle w:val="7"/>
        <w:pageBreakBefore w:val="0"/>
        <w:widowControl w:val="0"/>
        <w:kinsoku/>
        <w:wordWrap/>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color w:val="auto"/>
          <w:sz w:val="24"/>
          <w:szCs w:val="24"/>
          <w:highlight w:val="none"/>
        </w:rPr>
      </w:pPr>
    </w:p>
    <w:p w14:paraId="2BC84F58">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sectPr>
          <w:footerReference r:id="rId7" w:type="default"/>
          <w:pgSz w:w="11906" w:h="16838"/>
          <w:pgMar w:top="1985" w:right="1531" w:bottom="1701" w:left="1531" w:header="851" w:footer="992" w:gutter="0"/>
          <w:pgNumType w:fmt="decimal" w:start="1"/>
          <w:cols w:space="720" w:num="1"/>
          <w:docGrid w:type="linesAndChars" w:linePitch="386"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15"/>
        <w:gridCol w:w="553"/>
        <w:gridCol w:w="829"/>
        <w:gridCol w:w="567"/>
        <w:gridCol w:w="1142"/>
        <w:gridCol w:w="647"/>
        <w:gridCol w:w="1759"/>
        <w:gridCol w:w="925"/>
        <w:gridCol w:w="4393"/>
        <w:gridCol w:w="853"/>
        <w:gridCol w:w="885"/>
      </w:tblGrid>
      <w:tr w14:paraId="4F45B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11"/>
            <w:tcBorders>
              <w:top w:val="nil"/>
              <w:left w:val="nil"/>
              <w:bottom w:val="nil"/>
              <w:right w:val="nil"/>
            </w:tcBorders>
            <w:noWrap w:val="0"/>
            <w:vAlign w:val="center"/>
          </w:tcPr>
          <w:p w14:paraId="74A31E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附件1：</w:t>
            </w:r>
          </w:p>
        </w:tc>
      </w:tr>
      <w:tr w14:paraId="54FE1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5000" w:type="pct"/>
            <w:gridSpan w:val="11"/>
            <w:tcBorders>
              <w:top w:val="nil"/>
              <w:left w:val="nil"/>
              <w:bottom w:val="nil"/>
              <w:right w:val="nil"/>
            </w:tcBorders>
            <w:noWrap w:val="0"/>
            <w:vAlign w:val="center"/>
          </w:tcPr>
          <w:p w14:paraId="6C241B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Style w:val="21"/>
                <w:rFonts w:hint="eastAsia" w:ascii="宋体" w:hAnsi="宋体" w:eastAsia="宋体" w:cs="宋体"/>
                <w:color w:val="auto"/>
                <w:sz w:val="24"/>
                <w:szCs w:val="24"/>
                <w:highlight w:val="none"/>
                <w:lang w:val="en-US" w:eastAsia="zh-CN"/>
              </w:rPr>
              <w:t>2024年洛浦县耕地轮作补贴项目绩效评价指标体系综合评分表</w:t>
            </w:r>
          </w:p>
        </w:tc>
      </w:tr>
      <w:tr w14:paraId="78C88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05" w:type="pct"/>
            <w:tcBorders>
              <w:top w:val="single" w:color="auto" w:sz="8" w:space="0"/>
              <w:left w:val="single" w:color="auto" w:sz="8" w:space="0"/>
              <w:bottom w:val="single" w:color="auto" w:sz="8" w:space="0"/>
              <w:right w:val="single" w:color="auto" w:sz="8" w:space="0"/>
            </w:tcBorders>
            <w:noWrap w:val="0"/>
            <w:vAlign w:val="center"/>
          </w:tcPr>
          <w:p w14:paraId="308651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一级指标</w:t>
            </w:r>
          </w:p>
        </w:tc>
        <w:tc>
          <w:tcPr>
            <w:tcW w:w="207" w:type="pct"/>
            <w:tcBorders>
              <w:top w:val="single" w:color="auto" w:sz="8" w:space="0"/>
              <w:left w:val="nil"/>
              <w:bottom w:val="single" w:color="auto" w:sz="8" w:space="0"/>
              <w:right w:val="single" w:color="auto" w:sz="8" w:space="0"/>
            </w:tcBorders>
            <w:noWrap w:val="0"/>
            <w:vAlign w:val="center"/>
          </w:tcPr>
          <w:p w14:paraId="63ACA4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分值</w:t>
            </w:r>
          </w:p>
        </w:tc>
        <w:tc>
          <w:tcPr>
            <w:tcW w:w="310" w:type="pct"/>
            <w:tcBorders>
              <w:top w:val="single" w:color="auto" w:sz="8" w:space="0"/>
              <w:left w:val="nil"/>
              <w:bottom w:val="single" w:color="auto" w:sz="8" w:space="0"/>
              <w:right w:val="single" w:color="auto" w:sz="8" w:space="0"/>
            </w:tcBorders>
            <w:noWrap w:val="0"/>
            <w:vAlign w:val="center"/>
          </w:tcPr>
          <w:p w14:paraId="5E631D2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二级指标</w:t>
            </w:r>
          </w:p>
        </w:tc>
        <w:tc>
          <w:tcPr>
            <w:tcW w:w="212" w:type="pct"/>
            <w:tcBorders>
              <w:top w:val="single" w:color="auto" w:sz="8" w:space="0"/>
              <w:left w:val="nil"/>
              <w:bottom w:val="single" w:color="auto" w:sz="8" w:space="0"/>
              <w:right w:val="single" w:color="auto" w:sz="8" w:space="0"/>
            </w:tcBorders>
            <w:noWrap w:val="0"/>
            <w:vAlign w:val="center"/>
          </w:tcPr>
          <w:p w14:paraId="381B2E9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分值</w:t>
            </w:r>
          </w:p>
        </w:tc>
        <w:tc>
          <w:tcPr>
            <w:tcW w:w="427" w:type="pct"/>
            <w:tcBorders>
              <w:top w:val="single" w:color="auto" w:sz="8" w:space="0"/>
              <w:left w:val="nil"/>
              <w:bottom w:val="single" w:color="auto" w:sz="8" w:space="0"/>
              <w:right w:val="single" w:color="auto" w:sz="8" w:space="0"/>
            </w:tcBorders>
            <w:noWrap w:val="0"/>
            <w:vAlign w:val="center"/>
          </w:tcPr>
          <w:p w14:paraId="608E5D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三级指标</w:t>
            </w:r>
          </w:p>
        </w:tc>
        <w:tc>
          <w:tcPr>
            <w:tcW w:w="242" w:type="pct"/>
            <w:tcBorders>
              <w:top w:val="single" w:color="auto" w:sz="8" w:space="0"/>
              <w:left w:val="nil"/>
              <w:bottom w:val="single" w:color="auto" w:sz="8" w:space="0"/>
              <w:right w:val="single" w:color="auto" w:sz="8" w:space="0"/>
            </w:tcBorders>
            <w:noWrap w:val="0"/>
            <w:vAlign w:val="center"/>
          </w:tcPr>
          <w:p w14:paraId="09F48FB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分值</w:t>
            </w:r>
          </w:p>
        </w:tc>
        <w:tc>
          <w:tcPr>
            <w:tcW w:w="658" w:type="pct"/>
            <w:tcBorders>
              <w:top w:val="single" w:color="auto" w:sz="8" w:space="0"/>
              <w:left w:val="nil"/>
              <w:bottom w:val="single" w:color="auto" w:sz="8" w:space="0"/>
              <w:right w:val="single" w:color="auto" w:sz="8" w:space="0"/>
            </w:tcBorders>
            <w:noWrap w:val="0"/>
            <w:vAlign w:val="center"/>
          </w:tcPr>
          <w:p w14:paraId="7BD3D25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指标解释</w:t>
            </w:r>
          </w:p>
        </w:tc>
        <w:tc>
          <w:tcPr>
            <w:tcW w:w="346" w:type="pct"/>
            <w:tcBorders>
              <w:top w:val="single" w:color="auto" w:sz="8" w:space="0"/>
              <w:left w:val="nil"/>
              <w:bottom w:val="single" w:color="auto" w:sz="8" w:space="0"/>
              <w:right w:val="single" w:color="auto" w:sz="8" w:space="0"/>
            </w:tcBorders>
            <w:noWrap w:val="0"/>
            <w:vAlign w:val="center"/>
          </w:tcPr>
          <w:p w14:paraId="486DDBB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标杆值</w:t>
            </w:r>
          </w:p>
        </w:tc>
        <w:tc>
          <w:tcPr>
            <w:tcW w:w="1643" w:type="pct"/>
            <w:tcBorders>
              <w:top w:val="single" w:color="auto" w:sz="8" w:space="0"/>
              <w:left w:val="nil"/>
              <w:bottom w:val="single" w:color="auto" w:sz="8" w:space="0"/>
              <w:right w:val="single" w:color="auto" w:sz="8" w:space="0"/>
            </w:tcBorders>
            <w:noWrap w:val="0"/>
            <w:vAlign w:val="center"/>
          </w:tcPr>
          <w:p w14:paraId="1C7903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评分标准</w:t>
            </w:r>
          </w:p>
        </w:tc>
        <w:tc>
          <w:tcPr>
            <w:tcW w:w="319" w:type="pct"/>
            <w:tcBorders>
              <w:top w:val="single" w:color="auto" w:sz="8" w:space="0"/>
              <w:left w:val="nil"/>
              <w:bottom w:val="single" w:color="auto" w:sz="8" w:space="0"/>
              <w:right w:val="single" w:color="auto" w:sz="8" w:space="0"/>
            </w:tcBorders>
            <w:noWrap w:val="0"/>
            <w:vAlign w:val="center"/>
          </w:tcPr>
          <w:p w14:paraId="093EB4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完成值</w:t>
            </w:r>
          </w:p>
        </w:tc>
        <w:tc>
          <w:tcPr>
            <w:tcW w:w="326" w:type="pct"/>
            <w:tcBorders>
              <w:top w:val="single" w:color="auto" w:sz="8" w:space="0"/>
              <w:left w:val="nil"/>
              <w:bottom w:val="single" w:color="auto" w:sz="8" w:space="0"/>
              <w:right w:val="single" w:color="auto" w:sz="8" w:space="0"/>
            </w:tcBorders>
            <w:noWrap w:val="0"/>
            <w:vAlign w:val="center"/>
          </w:tcPr>
          <w:p w14:paraId="6F3750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得分</w:t>
            </w:r>
          </w:p>
        </w:tc>
      </w:tr>
      <w:tr w14:paraId="7D54B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4" w:hRule="atLeast"/>
        </w:trPr>
        <w:tc>
          <w:tcPr>
            <w:tcW w:w="305" w:type="pct"/>
            <w:vMerge w:val="restart"/>
            <w:tcBorders>
              <w:top w:val="nil"/>
              <w:left w:val="single" w:color="auto" w:sz="4" w:space="0"/>
              <w:bottom w:val="single" w:color="auto" w:sz="8" w:space="0"/>
              <w:right w:val="single" w:color="auto" w:sz="8" w:space="0"/>
            </w:tcBorders>
            <w:noWrap w:val="0"/>
            <w:vAlign w:val="center"/>
          </w:tcPr>
          <w:p w14:paraId="58DD6A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项目决策</w:t>
            </w:r>
          </w:p>
        </w:tc>
        <w:tc>
          <w:tcPr>
            <w:tcW w:w="207" w:type="pct"/>
            <w:vMerge w:val="restart"/>
            <w:tcBorders>
              <w:top w:val="nil"/>
              <w:left w:val="nil"/>
              <w:bottom w:val="single" w:color="auto" w:sz="8" w:space="0"/>
              <w:right w:val="single" w:color="auto" w:sz="8" w:space="0"/>
            </w:tcBorders>
            <w:noWrap w:val="0"/>
            <w:vAlign w:val="center"/>
          </w:tcPr>
          <w:p w14:paraId="694D22A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23</w:t>
            </w:r>
          </w:p>
        </w:tc>
        <w:tc>
          <w:tcPr>
            <w:tcW w:w="310" w:type="pct"/>
            <w:vMerge w:val="restart"/>
            <w:tcBorders>
              <w:top w:val="nil"/>
              <w:left w:val="nil"/>
              <w:bottom w:val="single" w:color="auto" w:sz="8" w:space="0"/>
              <w:right w:val="single" w:color="auto" w:sz="8" w:space="0"/>
            </w:tcBorders>
            <w:noWrap w:val="0"/>
            <w:vAlign w:val="center"/>
          </w:tcPr>
          <w:p w14:paraId="2507AC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项目立项</w:t>
            </w:r>
          </w:p>
        </w:tc>
        <w:tc>
          <w:tcPr>
            <w:tcW w:w="212" w:type="pct"/>
            <w:vMerge w:val="restart"/>
            <w:tcBorders>
              <w:top w:val="nil"/>
              <w:left w:val="nil"/>
              <w:bottom w:val="single" w:color="auto" w:sz="8" w:space="0"/>
              <w:right w:val="single" w:color="auto" w:sz="8" w:space="0"/>
            </w:tcBorders>
            <w:noWrap w:val="0"/>
            <w:vAlign w:val="center"/>
          </w:tcPr>
          <w:p w14:paraId="70945CB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5</w:t>
            </w:r>
          </w:p>
        </w:tc>
        <w:tc>
          <w:tcPr>
            <w:tcW w:w="427" w:type="pct"/>
            <w:tcBorders>
              <w:top w:val="nil"/>
              <w:left w:val="nil"/>
              <w:bottom w:val="single" w:color="auto" w:sz="8" w:space="0"/>
              <w:right w:val="single" w:color="auto" w:sz="8" w:space="0"/>
            </w:tcBorders>
            <w:noWrap w:val="0"/>
            <w:vAlign w:val="center"/>
          </w:tcPr>
          <w:p w14:paraId="0704C6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立项依据充分性</w:t>
            </w:r>
          </w:p>
        </w:tc>
        <w:tc>
          <w:tcPr>
            <w:tcW w:w="242" w:type="pct"/>
            <w:tcBorders>
              <w:top w:val="nil"/>
              <w:left w:val="nil"/>
              <w:bottom w:val="single" w:color="auto" w:sz="8" w:space="0"/>
              <w:right w:val="single" w:color="auto" w:sz="8" w:space="0"/>
            </w:tcBorders>
            <w:noWrap w:val="0"/>
            <w:vAlign w:val="center"/>
          </w:tcPr>
          <w:p w14:paraId="110101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2</w:t>
            </w:r>
          </w:p>
        </w:tc>
        <w:tc>
          <w:tcPr>
            <w:tcW w:w="658" w:type="pct"/>
            <w:tcBorders>
              <w:top w:val="nil"/>
              <w:left w:val="nil"/>
              <w:bottom w:val="single" w:color="auto" w:sz="8" w:space="0"/>
              <w:right w:val="single" w:color="auto" w:sz="8" w:space="0"/>
            </w:tcBorders>
            <w:noWrap w:val="0"/>
            <w:vAlign w:val="center"/>
          </w:tcPr>
          <w:p w14:paraId="236DC78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项目立项是否符合法律法规、相关政策、发展规划以及部门职责，用以反映和考核项目立项依据情况。</w:t>
            </w:r>
          </w:p>
        </w:tc>
        <w:tc>
          <w:tcPr>
            <w:tcW w:w="346" w:type="pct"/>
            <w:tcBorders>
              <w:top w:val="nil"/>
              <w:left w:val="nil"/>
              <w:bottom w:val="single" w:color="auto" w:sz="8" w:space="0"/>
              <w:right w:val="single" w:color="auto" w:sz="8" w:space="0"/>
            </w:tcBorders>
            <w:noWrap w:val="0"/>
            <w:vAlign w:val="center"/>
          </w:tcPr>
          <w:p w14:paraId="372E63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充分</w:t>
            </w:r>
          </w:p>
        </w:tc>
        <w:tc>
          <w:tcPr>
            <w:tcW w:w="1643" w:type="pct"/>
            <w:tcBorders>
              <w:top w:val="nil"/>
              <w:left w:val="nil"/>
              <w:bottom w:val="single" w:color="auto" w:sz="8" w:space="0"/>
              <w:right w:val="single" w:color="auto" w:sz="8" w:space="0"/>
            </w:tcBorders>
            <w:noWrap w:val="0"/>
            <w:vAlign w:val="center"/>
          </w:tcPr>
          <w:p w14:paraId="44C63A1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①项目立项是否符合国家法律法规、国民经济发展规划和相关政策；</w:t>
            </w:r>
          </w:p>
          <w:p w14:paraId="532F0E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②项目立项是否符合行业发展规划和政策要求；</w:t>
            </w:r>
          </w:p>
          <w:p w14:paraId="0813A20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③项目立项是否与部门职责范围相符，属于部门履职所需；</w:t>
            </w:r>
          </w:p>
          <w:p w14:paraId="3A9893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④项目是否属于公共财政支持范围，是否符合中央、地方事权支出责任划分原则；</w:t>
            </w:r>
          </w:p>
          <w:p w14:paraId="446657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⑤项目是否与相关部门同类项目或部门内部相关项目重复。</w:t>
            </w:r>
          </w:p>
          <w:p w14:paraId="1C455A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以上每条要素占权重分的20%，每有一条不符合，扣除对应权重分，扣完为止。</w:t>
            </w:r>
          </w:p>
        </w:tc>
        <w:tc>
          <w:tcPr>
            <w:tcW w:w="319" w:type="pct"/>
            <w:tcBorders>
              <w:top w:val="nil"/>
              <w:left w:val="nil"/>
              <w:bottom w:val="single" w:color="auto" w:sz="8" w:space="0"/>
              <w:right w:val="single" w:color="auto" w:sz="8" w:space="0"/>
            </w:tcBorders>
            <w:noWrap w:val="0"/>
            <w:vAlign w:val="center"/>
          </w:tcPr>
          <w:p w14:paraId="55D94FE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充分</w:t>
            </w:r>
          </w:p>
        </w:tc>
        <w:tc>
          <w:tcPr>
            <w:tcW w:w="326" w:type="pct"/>
            <w:tcBorders>
              <w:top w:val="nil"/>
              <w:left w:val="nil"/>
              <w:bottom w:val="single" w:color="auto" w:sz="8" w:space="0"/>
              <w:right w:val="single" w:color="auto" w:sz="8" w:space="0"/>
            </w:tcBorders>
            <w:noWrap w:val="0"/>
            <w:vAlign w:val="center"/>
          </w:tcPr>
          <w:p w14:paraId="6F1329B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2</w:t>
            </w:r>
          </w:p>
        </w:tc>
      </w:tr>
      <w:tr w14:paraId="5C24E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trPr>
        <w:tc>
          <w:tcPr>
            <w:tcW w:w="305" w:type="pct"/>
            <w:vMerge w:val="continue"/>
            <w:tcBorders>
              <w:top w:val="nil"/>
              <w:left w:val="single" w:color="auto" w:sz="4" w:space="0"/>
              <w:bottom w:val="single" w:color="auto" w:sz="8" w:space="0"/>
              <w:right w:val="single" w:color="auto" w:sz="8" w:space="0"/>
            </w:tcBorders>
            <w:noWrap w:val="0"/>
            <w:vAlign w:val="center"/>
          </w:tcPr>
          <w:p w14:paraId="11A5AB7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nil"/>
              <w:left w:val="nil"/>
              <w:bottom w:val="single" w:color="auto" w:sz="8" w:space="0"/>
              <w:right w:val="single" w:color="auto" w:sz="8" w:space="0"/>
            </w:tcBorders>
            <w:noWrap w:val="0"/>
            <w:vAlign w:val="center"/>
          </w:tcPr>
          <w:p w14:paraId="691C055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continue"/>
            <w:tcBorders>
              <w:top w:val="nil"/>
              <w:left w:val="nil"/>
              <w:bottom w:val="single" w:color="auto" w:sz="8" w:space="0"/>
              <w:right w:val="single" w:color="auto" w:sz="8" w:space="0"/>
            </w:tcBorders>
            <w:noWrap w:val="0"/>
            <w:vAlign w:val="center"/>
          </w:tcPr>
          <w:p w14:paraId="68AD3B6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12" w:type="pct"/>
            <w:vMerge w:val="continue"/>
            <w:tcBorders>
              <w:top w:val="nil"/>
              <w:left w:val="nil"/>
              <w:bottom w:val="single" w:color="auto" w:sz="8" w:space="0"/>
              <w:right w:val="single" w:color="auto" w:sz="8" w:space="0"/>
            </w:tcBorders>
            <w:noWrap w:val="0"/>
            <w:vAlign w:val="center"/>
          </w:tcPr>
          <w:p w14:paraId="4D3BF38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427" w:type="pct"/>
            <w:tcBorders>
              <w:top w:val="nil"/>
              <w:left w:val="nil"/>
              <w:bottom w:val="single" w:color="auto" w:sz="8" w:space="0"/>
              <w:right w:val="single" w:color="auto" w:sz="8" w:space="0"/>
            </w:tcBorders>
            <w:noWrap w:val="0"/>
            <w:vAlign w:val="center"/>
          </w:tcPr>
          <w:p w14:paraId="523E9D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立项程序规范性</w:t>
            </w:r>
          </w:p>
        </w:tc>
        <w:tc>
          <w:tcPr>
            <w:tcW w:w="242" w:type="pct"/>
            <w:tcBorders>
              <w:top w:val="nil"/>
              <w:left w:val="nil"/>
              <w:bottom w:val="single" w:color="auto" w:sz="8" w:space="0"/>
              <w:right w:val="single" w:color="auto" w:sz="8" w:space="0"/>
            </w:tcBorders>
            <w:noWrap w:val="0"/>
            <w:vAlign w:val="center"/>
          </w:tcPr>
          <w:p w14:paraId="7405DE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3</w:t>
            </w:r>
          </w:p>
        </w:tc>
        <w:tc>
          <w:tcPr>
            <w:tcW w:w="658" w:type="pct"/>
            <w:tcBorders>
              <w:top w:val="nil"/>
              <w:left w:val="nil"/>
              <w:bottom w:val="single" w:color="auto" w:sz="8" w:space="0"/>
              <w:right w:val="single" w:color="auto" w:sz="8" w:space="0"/>
            </w:tcBorders>
            <w:noWrap w:val="0"/>
            <w:vAlign w:val="center"/>
          </w:tcPr>
          <w:p w14:paraId="2EE797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项目申请、设立过程是否符合相关要求，用以反映和考核项目立项的规范情况。</w:t>
            </w:r>
          </w:p>
        </w:tc>
        <w:tc>
          <w:tcPr>
            <w:tcW w:w="346" w:type="pct"/>
            <w:tcBorders>
              <w:top w:val="nil"/>
              <w:left w:val="nil"/>
              <w:bottom w:val="single" w:color="auto" w:sz="8" w:space="0"/>
              <w:right w:val="single" w:color="auto" w:sz="8" w:space="0"/>
            </w:tcBorders>
            <w:noWrap w:val="0"/>
            <w:vAlign w:val="center"/>
          </w:tcPr>
          <w:p w14:paraId="1C5943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规范</w:t>
            </w:r>
          </w:p>
        </w:tc>
        <w:tc>
          <w:tcPr>
            <w:tcW w:w="1643" w:type="pct"/>
            <w:tcBorders>
              <w:top w:val="nil"/>
              <w:left w:val="nil"/>
              <w:bottom w:val="single" w:color="auto" w:sz="8" w:space="0"/>
              <w:right w:val="single" w:color="auto" w:sz="8" w:space="0"/>
            </w:tcBorders>
            <w:noWrap w:val="0"/>
            <w:vAlign w:val="center"/>
          </w:tcPr>
          <w:p w14:paraId="17FA25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①项目是否按照规定的程序申请设立；</w:t>
            </w:r>
          </w:p>
          <w:p w14:paraId="297BD8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②审批文件、材料是否符合相关要求；</w:t>
            </w:r>
          </w:p>
          <w:p w14:paraId="137FF9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③事前是否已经过必要的可行性研究、专家论证、风险评估、绩效评估、集体决策。</w:t>
            </w:r>
          </w:p>
          <w:p w14:paraId="102FB0E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①②③齐全得权重分的100%，缺①扣权重分的40%，缺②扣权重分的30%，缺③扣权重分的30%。</w:t>
            </w:r>
          </w:p>
        </w:tc>
        <w:tc>
          <w:tcPr>
            <w:tcW w:w="319" w:type="pct"/>
            <w:tcBorders>
              <w:top w:val="nil"/>
              <w:left w:val="nil"/>
              <w:bottom w:val="single" w:color="auto" w:sz="8" w:space="0"/>
              <w:right w:val="single" w:color="auto" w:sz="8" w:space="0"/>
            </w:tcBorders>
            <w:noWrap w:val="0"/>
            <w:vAlign w:val="center"/>
          </w:tcPr>
          <w:p w14:paraId="007938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规范</w:t>
            </w:r>
          </w:p>
        </w:tc>
        <w:tc>
          <w:tcPr>
            <w:tcW w:w="326" w:type="pct"/>
            <w:tcBorders>
              <w:top w:val="nil"/>
              <w:left w:val="nil"/>
              <w:bottom w:val="single" w:color="auto" w:sz="8" w:space="0"/>
              <w:right w:val="single" w:color="auto" w:sz="8" w:space="0"/>
            </w:tcBorders>
            <w:noWrap w:val="0"/>
            <w:vAlign w:val="center"/>
          </w:tcPr>
          <w:p w14:paraId="596ABFB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3</w:t>
            </w:r>
          </w:p>
        </w:tc>
      </w:tr>
      <w:tr w14:paraId="19331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305" w:type="pct"/>
            <w:vMerge w:val="continue"/>
            <w:tcBorders>
              <w:top w:val="nil"/>
              <w:left w:val="single" w:color="auto" w:sz="4" w:space="0"/>
              <w:bottom w:val="single" w:color="auto" w:sz="4" w:space="0"/>
              <w:right w:val="single" w:color="auto" w:sz="8" w:space="0"/>
            </w:tcBorders>
            <w:noWrap w:val="0"/>
            <w:vAlign w:val="center"/>
          </w:tcPr>
          <w:p w14:paraId="64AAA9A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nil"/>
              <w:left w:val="nil"/>
              <w:bottom w:val="single" w:color="auto" w:sz="4" w:space="0"/>
              <w:right w:val="single" w:color="auto" w:sz="8" w:space="0"/>
            </w:tcBorders>
            <w:noWrap w:val="0"/>
            <w:vAlign w:val="center"/>
          </w:tcPr>
          <w:p w14:paraId="3520BDE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restart"/>
            <w:tcBorders>
              <w:top w:val="nil"/>
              <w:left w:val="nil"/>
              <w:bottom w:val="single" w:color="auto" w:sz="4" w:space="0"/>
              <w:right w:val="single" w:color="auto" w:sz="8" w:space="0"/>
            </w:tcBorders>
            <w:noWrap w:val="0"/>
            <w:vAlign w:val="center"/>
          </w:tcPr>
          <w:p w14:paraId="2406CA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绩效目标</w:t>
            </w:r>
          </w:p>
        </w:tc>
        <w:tc>
          <w:tcPr>
            <w:tcW w:w="212" w:type="pct"/>
            <w:vMerge w:val="restart"/>
            <w:tcBorders>
              <w:top w:val="nil"/>
              <w:left w:val="nil"/>
              <w:bottom w:val="single" w:color="auto" w:sz="4" w:space="0"/>
              <w:right w:val="single" w:color="auto" w:sz="8" w:space="0"/>
            </w:tcBorders>
            <w:noWrap w:val="0"/>
            <w:vAlign w:val="center"/>
          </w:tcPr>
          <w:p w14:paraId="7442AC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w:t>
            </w:r>
          </w:p>
        </w:tc>
        <w:tc>
          <w:tcPr>
            <w:tcW w:w="427" w:type="pct"/>
            <w:tcBorders>
              <w:top w:val="nil"/>
              <w:left w:val="nil"/>
              <w:bottom w:val="single" w:color="auto" w:sz="4" w:space="0"/>
              <w:right w:val="single" w:color="auto" w:sz="8" w:space="0"/>
            </w:tcBorders>
            <w:noWrap w:val="0"/>
            <w:vAlign w:val="center"/>
          </w:tcPr>
          <w:p w14:paraId="7802CF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绩效目标合理性</w:t>
            </w:r>
          </w:p>
        </w:tc>
        <w:tc>
          <w:tcPr>
            <w:tcW w:w="242" w:type="pct"/>
            <w:tcBorders>
              <w:top w:val="nil"/>
              <w:left w:val="nil"/>
              <w:bottom w:val="single" w:color="auto" w:sz="4" w:space="0"/>
              <w:right w:val="single" w:color="auto" w:sz="8" w:space="0"/>
            </w:tcBorders>
            <w:noWrap w:val="0"/>
            <w:vAlign w:val="center"/>
          </w:tcPr>
          <w:p w14:paraId="7F73F3E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5</w:t>
            </w:r>
          </w:p>
        </w:tc>
        <w:tc>
          <w:tcPr>
            <w:tcW w:w="658" w:type="pct"/>
            <w:tcBorders>
              <w:top w:val="nil"/>
              <w:left w:val="nil"/>
              <w:bottom w:val="single" w:color="auto" w:sz="4" w:space="0"/>
              <w:right w:val="single" w:color="auto" w:sz="8" w:space="0"/>
            </w:tcBorders>
            <w:noWrap w:val="0"/>
            <w:vAlign w:val="center"/>
          </w:tcPr>
          <w:p w14:paraId="091D908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项目所设定的绩效目标是否依据充分，是否符合客观实际，用以反映和考核项目绩效目标与项目实施的相符情况。</w:t>
            </w:r>
          </w:p>
        </w:tc>
        <w:tc>
          <w:tcPr>
            <w:tcW w:w="346" w:type="pct"/>
            <w:tcBorders>
              <w:top w:val="nil"/>
              <w:left w:val="nil"/>
              <w:bottom w:val="single" w:color="auto" w:sz="4" w:space="0"/>
              <w:right w:val="single" w:color="auto" w:sz="8" w:space="0"/>
            </w:tcBorders>
            <w:noWrap w:val="0"/>
            <w:vAlign w:val="center"/>
          </w:tcPr>
          <w:p w14:paraId="47B5D4C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合理</w:t>
            </w:r>
          </w:p>
        </w:tc>
        <w:tc>
          <w:tcPr>
            <w:tcW w:w="1643" w:type="pct"/>
            <w:tcBorders>
              <w:top w:val="nil"/>
              <w:left w:val="nil"/>
              <w:bottom w:val="single" w:color="auto" w:sz="4" w:space="0"/>
              <w:right w:val="single" w:color="auto" w:sz="8" w:space="0"/>
            </w:tcBorders>
            <w:noWrap w:val="0"/>
            <w:vAlign w:val="center"/>
          </w:tcPr>
          <w:p w14:paraId="232832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①项目是否有绩效目标；</w:t>
            </w:r>
          </w:p>
          <w:p w14:paraId="12E2BB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②项目绩效目标与实际工作内容是否具有相关性；</w:t>
            </w:r>
          </w:p>
          <w:p w14:paraId="44677F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③项目预期产出效益和效果是否符合正常的业绩水平；</w:t>
            </w:r>
          </w:p>
          <w:p w14:paraId="5A0A62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④是否与预算确定的项目投资额或资金量相匹配。</w:t>
            </w:r>
          </w:p>
          <w:p w14:paraId="3F1B95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以上每条要素各占权重的25%，每有一条不符合，扣除对应的权重分，扣完为止。</w:t>
            </w:r>
          </w:p>
        </w:tc>
        <w:tc>
          <w:tcPr>
            <w:tcW w:w="319" w:type="pct"/>
            <w:tcBorders>
              <w:top w:val="nil"/>
              <w:left w:val="nil"/>
              <w:bottom w:val="single" w:color="auto" w:sz="4" w:space="0"/>
              <w:right w:val="single" w:color="auto" w:sz="8" w:space="0"/>
            </w:tcBorders>
            <w:noWrap w:val="0"/>
            <w:vAlign w:val="center"/>
          </w:tcPr>
          <w:p w14:paraId="48CD01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合理</w:t>
            </w:r>
          </w:p>
        </w:tc>
        <w:tc>
          <w:tcPr>
            <w:tcW w:w="326" w:type="pct"/>
            <w:tcBorders>
              <w:top w:val="nil"/>
              <w:left w:val="nil"/>
              <w:bottom w:val="single" w:color="auto" w:sz="4" w:space="0"/>
              <w:right w:val="single" w:color="auto" w:sz="8" w:space="0"/>
            </w:tcBorders>
            <w:noWrap w:val="0"/>
            <w:vAlign w:val="center"/>
          </w:tcPr>
          <w:p w14:paraId="4435925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5</w:t>
            </w:r>
          </w:p>
        </w:tc>
      </w:tr>
      <w:tr w14:paraId="3F252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9" w:hRule="atLeast"/>
        </w:trPr>
        <w:tc>
          <w:tcPr>
            <w:tcW w:w="305" w:type="pct"/>
            <w:vMerge w:val="continue"/>
            <w:tcBorders>
              <w:top w:val="single" w:color="auto" w:sz="4" w:space="0"/>
              <w:left w:val="single" w:color="auto" w:sz="4" w:space="0"/>
              <w:bottom w:val="single" w:color="auto" w:sz="4" w:space="0"/>
              <w:right w:val="single" w:color="auto" w:sz="8" w:space="0"/>
            </w:tcBorders>
            <w:noWrap w:val="0"/>
            <w:vAlign w:val="center"/>
          </w:tcPr>
          <w:p w14:paraId="5A8EC48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single" w:color="auto" w:sz="4" w:space="0"/>
              <w:left w:val="nil"/>
              <w:bottom w:val="single" w:color="auto" w:sz="4" w:space="0"/>
              <w:right w:val="single" w:color="auto" w:sz="8" w:space="0"/>
            </w:tcBorders>
            <w:noWrap w:val="0"/>
            <w:vAlign w:val="center"/>
          </w:tcPr>
          <w:p w14:paraId="2ADDDD5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continue"/>
            <w:tcBorders>
              <w:top w:val="single" w:color="auto" w:sz="4" w:space="0"/>
              <w:left w:val="nil"/>
              <w:bottom w:val="single" w:color="auto" w:sz="4" w:space="0"/>
              <w:right w:val="single" w:color="auto" w:sz="8" w:space="0"/>
            </w:tcBorders>
            <w:noWrap w:val="0"/>
            <w:vAlign w:val="center"/>
          </w:tcPr>
          <w:p w14:paraId="33767B2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12" w:type="pct"/>
            <w:vMerge w:val="continue"/>
            <w:tcBorders>
              <w:top w:val="single" w:color="auto" w:sz="4" w:space="0"/>
              <w:left w:val="nil"/>
              <w:bottom w:val="single" w:color="auto" w:sz="4" w:space="0"/>
              <w:right w:val="single" w:color="auto" w:sz="8" w:space="0"/>
            </w:tcBorders>
            <w:noWrap w:val="0"/>
            <w:vAlign w:val="center"/>
          </w:tcPr>
          <w:p w14:paraId="41021D5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427" w:type="pct"/>
            <w:tcBorders>
              <w:top w:val="single" w:color="auto" w:sz="4" w:space="0"/>
              <w:left w:val="nil"/>
              <w:bottom w:val="single" w:color="auto" w:sz="4" w:space="0"/>
              <w:right w:val="single" w:color="auto" w:sz="8" w:space="0"/>
            </w:tcBorders>
            <w:noWrap w:val="0"/>
            <w:vAlign w:val="center"/>
          </w:tcPr>
          <w:p w14:paraId="3DE34CA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绩效指标明确性</w:t>
            </w:r>
          </w:p>
        </w:tc>
        <w:tc>
          <w:tcPr>
            <w:tcW w:w="242" w:type="pct"/>
            <w:tcBorders>
              <w:top w:val="single" w:color="auto" w:sz="4" w:space="0"/>
              <w:left w:val="nil"/>
              <w:bottom w:val="single" w:color="auto" w:sz="4" w:space="0"/>
              <w:right w:val="single" w:color="auto" w:sz="8" w:space="0"/>
            </w:tcBorders>
            <w:noWrap w:val="0"/>
            <w:vAlign w:val="center"/>
          </w:tcPr>
          <w:p w14:paraId="13955C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5</w:t>
            </w:r>
          </w:p>
        </w:tc>
        <w:tc>
          <w:tcPr>
            <w:tcW w:w="658" w:type="pct"/>
            <w:tcBorders>
              <w:top w:val="single" w:color="auto" w:sz="4" w:space="0"/>
              <w:left w:val="nil"/>
              <w:bottom w:val="single" w:color="auto" w:sz="4" w:space="0"/>
              <w:right w:val="single" w:color="auto" w:sz="8" w:space="0"/>
            </w:tcBorders>
            <w:noWrap w:val="0"/>
            <w:vAlign w:val="center"/>
          </w:tcPr>
          <w:p w14:paraId="76CE4FB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依据绩效目标设定的绩效指标是否清晰、细化、可衡量等，用以反映和考核项目绩效目标的明细化情况。</w:t>
            </w:r>
          </w:p>
        </w:tc>
        <w:tc>
          <w:tcPr>
            <w:tcW w:w="346" w:type="pct"/>
            <w:tcBorders>
              <w:top w:val="single" w:color="auto" w:sz="4" w:space="0"/>
              <w:left w:val="nil"/>
              <w:bottom w:val="single" w:color="auto" w:sz="4" w:space="0"/>
              <w:right w:val="single" w:color="auto" w:sz="8" w:space="0"/>
            </w:tcBorders>
            <w:noWrap w:val="0"/>
            <w:vAlign w:val="center"/>
          </w:tcPr>
          <w:p w14:paraId="6DB174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明确</w:t>
            </w:r>
          </w:p>
        </w:tc>
        <w:tc>
          <w:tcPr>
            <w:tcW w:w="1643" w:type="pct"/>
            <w:tcBorders>
              <w:top w:val="single" w:color="auto" w:sz="4" w:space="0"/>
              <w:left w:val="nil"/>
              <w:bottom w:val="single" w:color="auto" w:sz="4" w:space="0"/>
              <w:right w:val="single" w:color="auto" w:sz="8" w:space="0"/>
            </w:tcBorders>
            <w:noWrap w:val="0"/>
            <w:vAlign w:val="center"/>
          </w:tcPr>
          <w:p w14:paraId="0C528F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①是否将项目绩效目标细化分解为具体的绩效指标；</w:t>
            </w:r>
          </w:p>
          <w:p w14:paraId="3EF1DCA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②是否通过清晰、可衡量的指标值予以体现；</w:t>
            </w:r>
          </w:p>
          <w:p w14:paraId="5FA974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③是否与项目目标任务数或计划数相对应。</w:t>
            </w:r>
          </w:p>
          <w:p w14:paraId="3239F04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①②③齐全得权重分的100%，缺①扣权重分的20%，缺②扣权重分的50%，缺③扣权重分的30%。</w:t>
            </w:r>
          </w:p>
        </w:tc>
        <w:tc>
          <w:tcPr>
            <w:tcW w:w="319" w:type="pct"/>
            <w:tcBorders>
              <w:top w:val="single" w:color="auto" w:sz="4" w:space="0"/>
              <w:left w:val="nil"/>
              <w:bottom w:val="single" w:color="auto" w:sz="4" w:space="0"/>
              <w:right w:val="single" w:color="auto" w:sz="8" w:space="0"/>
            </w:tcBorders>
            <w:noWrap w:val="0"/>
            <w:vAlign w:val="center"/>
          </w:tcPr>
          <w:p w14:paraId="77013A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明确</w:t>
            </w:r>
          </w:p>
        </w:tc>
        <w:tc>
          <w:tcPr>
            <w:tcW w:w="326" w:type="pct"/>
            <w:tcBorders>
              <w:top w:val="single" w:color="auto" w:sz="4" w:space="0"/>
              <w:left w:val="nil"/>
              <w:bottom w:val="single" w:color="auto" w:sz="4" w:space="0"/>
              <w:right w:val="single" w:color="auto" w:sz="4" w:space="0"/>
            </w:tcBorders>
            <w:noWrap w:val="0"/>
            <w:vAlign w:val="center"/>
          </w:tcPr>
          <w:p w14:paraId="5013C65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5</w:t>
            </w:r>
          </w:p>
        </w:tc>
      </w:tr>
      <w:tr w14:paraId="6968D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6" w:hRule="atLeast"/>
        </w:trPr>
        <w:tc>
          <w:tcPr>
            <w:tcW w:w="305" w:type="pct"/>
            <w:vMerge w:val="continue"/>
            <w:tcBorders>
              <w:top w:val="single" w:color="auto" w:sz="4" w:space="0"/>
              <w:left w:val="single" w:color="auto" w:sz="4" w:space="0"/>
              <w:bottom w:val="single" w:color="auto" w:sz="8" w:space="0"/>
              <w:right w:val="single" w:color="auto" w:sz="8" w:space="0"/>
            </w:tcBorders>
            <w:noWrap w:val="0"/>
            <w:vAlign w:val="center"/>
          </w:tcPr>
          <w:p w14:paraId="4C3A4E4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single" w:color="auto" w:sz="4" w:space="0"/>
              <w:left w:val="nil"/>
              <w:bottom w:val="single" w:color="auto" w:sz="8" w:space="0"/>
              <w:right w:val="single" w:color="auto" w:sz="8" w:space="0"/>
            </w:tcBorders>
            <w:noWrap w:val="0"/>
            <w:vAlign w:val="center"/>
          </w:tcPr>
          <w:p w14:paraId="54754DD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restart"/>
            <w:tcBorders>
              <w:top w:val="single" w:color="auto" w:sz="4" w:space="0"/>
              <w:left w:val="nil"/>
              <w:bottom w:val="single" w:color="auto" w:sz="8" w:space="0"/>
              <w:right w:val="single" w:color="auto" w:sz="8" w:space="0"/>
            </w:tcBorders>
            <w:noWrap w:val="0"/>
            <w:vAlign w:val="center"/>
          </w:tcPr>
          <w:p w14:paraId="57855C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资金投入</w:t>
            </w:r>
          </w:p>
        </w:tc>
        <w:tc>
          <w:tcPr>
            <w:tcW w:w="212" w:type="pct"/>
            <w:vMerge w:val="restart"/>
            <w:tcBorders>
              <w:top w:val="single" w:color="auto" w:sz="4" w:space="0"/>
              <w:left w:val="nil"/>
              <w:bottom w:val="single" w:color="auto" w:sz="8" w:space="0"/>
              <w:right w:val="single" w:color="auto" w:sz="8" w:space="0"/>
            </w:tcBorders>
            <w:noWrap w:val="0"/>
            <w:vAlign w:val="center"/>
          </w:tcPr>
          <w:p w14:paraId="179FCC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8</w:t>
            </w:r>
          </w:p>
        </w:tc>
        <w:tc>
          <w:tcPr>
            <w:tcW w:w="427" w:type="pct"/>
            <w:tcBorders>
              <w:top w:val="single" w:color="auto" w:sz="4" w:space="0"/>
              <w:left w:val="nil"/>
              <w:bottom w:val="single" w:color="auto" w:sz="8" w:space="0"/>
              <w:right w:val="single" w:color="auto" w:sz="8" w:space="0"/>
            </w:tcBorders>
            <w:noWrap w:val="0"/>
            <w:vAlign w:val="center"/>
          </w:tcPr>
          <w:p w14:paraId="19B530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预算编制科学性</w:t>
            </w:r>
          </w:p>
        </w:tc>
        <w:tc>
          <w:tcPr>
            <w:tcW w:w="242" w:type="pct"/>
            <w:tcBorders>
              <w:top w:val="single" w:color="auto" w:sz="4" w:space="0"/>
              <w:left w:val="nil"/>
              <w:bottom w:val="single" w:color="auto" w:sz="8" w:space="0"/>
              <w:right w:val="single" w:color="auto" w:sz="8" w:space="0"/>
            </w:tcBorders>
            <w:noWrap w:val="0"/>
            <w:vAlign w:val="center"/>
          </w:tcPr>
          <w:p w14:paraId="043BC0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4</w:t>
            </w:r>
          </w:p>
        </w:tc>
        <w:tc>
          <w:tcPr>
            <w:tcW w:w="658" w:type="pct"/>
            <w:tcBorders>
              <w:top w:val="single" w:color="auto" w:sz="4" w:space="0"/>
              <w:left w:val="nil"/>
              <w:bottom w:val="single" w:color="auto" w:sz="8" w:space="0"/>
              <w:right w:val="single" w:color="auto" w:sz="8" w:space="0"/>
            </w:tcBorders>
            <w:noWrap w:val="0"/>
            <w:vAlign w:val="center"/>
          </w:tcPr>
          <w:p w14:paraId="4D00B01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项目预算编制是否经过科学论证、有明确标准，资金额度与年度目标是否相适应，用以反映和考核项目预算编制的科学性、合理性情况。</w:t>
            </w:r>
          </w:p>
        </w:tc>
        <w:tc>
          <w:tcPr>
            <w:tcW w:w="346" w:type="pct"/>
            <w:tcBorders>
              <w:top w:val="single" w:color="auto" w:sz="4" w:space="0"/>
              <w:left w:val="nil"/>
              <w:bottom w:val="single" w:color="auto" w:sz="8" w:space="0"/>
              <w:right w:val="single" w:color="auto" w:sz="8" w:space="0"/>
            </w:tcBorders>
            <w:noWrap w:val="0"/>
            <w:vAlign w:val="center"/>
          </w:tcPr>
          <w:p w14:paraId="6A206F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科学</w:t>
            </w:r>
          </w:p>
        </w:tc>
        <w:tc>
          <w:tcPr>
            <w:tcW w:w="1643" w:type="pct"/>
            <w:tcBorders>
              <w:top w:val="single" w:color="auto" w:sz="4" w:space="0"/>
              <w:left w:val="nil"/>
              <w:bottom w:val="single" w:color="auto" w:sz="8" w:space="0"/>
              <w:right w:val="single" w:color="auto" w:sz="8" w:space="0"/>
            </w:tcBorders>
            <w:noWrap w:val="0"/>
            <w:vAlign w:val="center"/>
          </w:tcPr>
          <w:p w14:paraId="67E555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①预算编制是否经过科学论证；</w:t>
            </w:r>
          </w:p>
          <w:p w14:paraId="6F6EAF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②预算内容与项目内容是否匹配；</w:t>
            </w:r>
          </w:p>
          <w:p w14:paraId="65BA42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③预算额度测算依据是否充分，是否按照标准编制；</w:t>
            </w:r>
          </w:p>
          <w:p w14:paraId="5B5C64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④预算确定的项目投资额或资金量是否与工作任务相匹配。</w:t>
            </w:r>
          </w:p>
          <w:p w14:paraId="4781959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以上每条要素各占权重的25%，每有一条不符合，扣除对应的权重分，扣完为止。</w:t>
            </w:r>
          </w:p>
        </w:tc>
        <w:tc>
          <w:tcPr>
            <w:tcW w:w="319" w:type="pct"/>
            <w:tcBorders>
              <w:top w:val="single" w:color="auto" w:sz="4" w:space="0"/>
              <w:left w:val="nil"/>
              <w:bottom w:val="single" w:color="auto" w:sz="8" w:space="0"/>
              <w:right w:val="single" w:color="auto" w:sz="8" w:space="0"/>
            </w:tcBorders>
            <w:noWrap w:val="0"/>
            <w:vAlign w:val="center"/>
          </w:tcPr>
          <w:p w14:paraId="44EA3D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科学</w:t>
            </w:r>
          </w:p>
        </w:tc>
        <w:tc>
          <w:tcPr>
            <w:tcW w:w="326" w:type="pct"/>
            <w:tcBorders>
              <w:top w:val="single" w:color="auto" w:sz="4" w:space="0"/>
              <w:left w:val="nil"/>
              <w:bottom w:val="single" w:color="auto" w:sz="8" w:space="0"/>
              <w:right w:val="single" w:color="auto" w:sz="8" w:space="0"/>
            </w:tcBorders>
            <w:noWrap w:val="0"/>
            <w:vAlign w:val="center"/>
          </w:tcPr>
          <w:p w14:paraId="5AD585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4</w:t>
            </w:r>
          </w:p>
        </w:tc>
      </w:tr>
      <w:tr w14:paraId="3715D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50" w:hRule="atLeast"/>
        </w:trPr>
        <w:tc>
          <w:tcPr>
            <w:tcW w:w="305" w:type="pct"/>
            <w:vMerge w:val="continue"/>
            <w:tcBorders>
              <w:top w:val="nil"/>
              <w:left w:val="single" w:color="auto" w:sz="4" w:space="0"/>
              <w:bottom w:val="single" w:color="auto" w:sz="8" w:space="0"/>
              <w:right w:val="single" w:color="auto" w:sz="8" w:space="0"/>
            </w:tcBorders>
            <w:noWrap w:val="0"/>
            <w:vAlign w:val="center"/>
          </w:tcPr>
          <w:p w14:paraId="443E4A4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nil"/>
              <w:left w:val="nil"/>
              <w:bottom w:val="single" w:color="auto" w:sz="8" w:space="0"/>
              <w:right w:val="single" w:color="auto" w:sz="8" w:space="0"/>
            </w:tcBorders>
            <w:noWrap w:val="0"/>
            <w:vAlign w:val="center"/>
          </w:tcPr>
          <w:p w14:paraId="47C2803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continue"/>
            <w:tcBorders>
              <w:top w:val="nil"/>
              <w:left w:val="nil"/>
              <w:bottom w:val="single" w:color="auto" w:sz="8" w:space="0"/>
              <w:right w:val="single" w:color="auto" w:sz="8" w:space="0"/>
            </w:tcBorders>
            <w:noWrap w:val="0"/>
            <w:vAlign w:val="center"/>
          </w:tcPr>
          <w:p w14:paraId="5AF6C91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12" w:type="pct"/>
            <w:vMerge w:val="continue"/>
            <w:tcBorders>
              <w:top w:val="nil"/>
              <w:left w:val="nil"/>
              <w:bottom w:val="single" w:color="auto" w:sz="8" w:space="0"/>
              <w:right w:val="single" w:color="auto" w:sz="8" w:space="0"/>
            </w:tcBorders>
            <w:noWrap w:val="0"/>
            <w:vAlign w:val="center"/>
          </w:tcPr>
          <w:p w14:paraId="54FA251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427" w:type="pct"/>
            <w:tcBorders>
              <w:top w:val="nil"/>
              <w:left w:val="nil"/>
              <w:bottom w:val="single" w:color="auto" w:sz="8" w:space="0"/>
              <w:right w:val="single" w:color="auto" w:sz="8" w:space="0"/>
            </w:tcBorders>
            <w:noWrap w:val="0"/>
            <w:vAlign w:val="center"/>
          </w:tcPr>
          <w:p w14:paraId="5092DC6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资金分配合理性</w:t>
            </w:r>
          </w:p>
        </w:tc>
        <w:tc>
          <w:tcPr>
            <w:tcW w:w="242" w:type="pct"/>
            <w:tcBorders>
              <w:top w:val="nil"/>
              <w:left w:val="nil"/>
              <w:bottom w:val="single" w:color="auto" w:sz="8" w:space="0"/>
              <w:right w:val="single" w:color="auto" w:sz="8" w:space="0"/>
            </w:tcBorders>
            <w:noWrap w:val="0"/>
            <w:vAlign w:val="center"/>
          </w:tcPr>
          <w:p w14:paraId="63C9E90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4</w:t>
            </w:r>
          </w:p>
        </w:tc>
        <w:tc>
          <w:tcPr>
            <w:tcW w:w="658" w:type="pct"/>
            <w:tcBorders>
              <w:top w:val="nil"/>
              <w:left w:val="nil"/>
              <w:bottom w:val="single" w:color="auto" w:sz="8" w:space="0"/>
              <w:right w:val="single" w:color="auto" w:sz="8" w:space="0"/>
            </w:tcBorders>
            <w:noWrap w:val="0"/>
            <w:vAlign w:val="center"/>
          </w:tcPr>
          <w:p w14:paraId="7DBA7A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项目预算资金分配是否有测算依据，与补助单位或地方实际是否相适应，用以反映和考核项目预算资金分配的科学性、合理性情况。</w:t>
            </w:r>
          </w:p>
        </w:tc>
        <w:tc>
          <w:tcPr>
            <w:tcW w:w="346" w:type="pct"/>
            <w:tcBorders>
              <w:top w:val="nil"/>
              <w:left w:val="nil"/>
              <w:bottom w:val="single" w:color="auto" w:sz="8" w:space="0"/>
              <w:right w:val="single" w:color="auto" w:sz="8" w:space="0"/>
            </w:tcBorders>
            <w:noWrap w:val="0"/>
            <w:vAlign w:val="center"/>
          </w:tcPr>
          <w:p w14:paraId="5803E2F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合理</w:t>
            </w:r>
          </w:p>
        </w:tc>
        <w:tc>
          <w:tcPr>
            <w:tcW w:w="1643" w:type="pct"/>
            <w:tcBorders>
              <w:top w:val="nil"/>
              <w:left w:val="nil"/>
              <w:bottom w:val="single" w:color="auto" w:sz="8" w:space="0"/>
              <w:right w:val="single" w:color="auto" w:sz="8" w:space="0"/>
            </w:tcBorders>
            <w:noWrap w:val="0"/>
            <w:vAlign w:val="center"/>
          </w:tcPr>
          <w:p w14:paraId="7D4570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①预算资金分配依据是否充分；</w:t>
            </w:r>
          </w:p>
          <w:p w14:paraId="27E099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②资金分配额度是否合理，与项目单位或地方实际是否相适应。</w:t>
            </w:r>
          </w:p>
          <w:p w14:paraId="43A6B6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以上每条要素各占权重的50%，每有一条不符合，扣除对应的权重分，扣完为止。</w:t>
            </w:r>
          </w:p>
        </w:tc>
        <w:tc>
          <w:tcPr>
            <w:tcW w:w="319" w:type="pct"/>
            <w:tcBorders>
              <w:top w:val="nil"/>
              <w:left w:val="nil"/>
              <w:bottom w:val="single" w:color="auto" w:sz="8" w:space="0"/>
              <w:right w:val="single" w:color="auto" w:sz="8" w:space="0"/>
            </w:tcBorders>
            <w:noWrap w:val="0"/>
            <w:vAlign w:val="center"/>
          </w:tcPr>
          <w:p w14:paraId="7E654A7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合理</w:t>
            </w:r>
          </w:p>
        </w:tc>
        <w:tc>
          <w:tcPr>
            <w:tcW w:w="326" w:type="pct"/>
            <w:tcBorders>
              <w:top w:val="nil"/>
              <w:left w:val="nil"/>
              <w:bottom w:val="single" w:color="auto" w:sz="8" w:space="0"/>
              <w:right w:val="single" w:color="auto" w:sz="8" w:space="0"/>
            </w:tcBorders>
            <w:noWrap w:val="0"/>
            <w:vAlign w:val="center"/>
          </w:tcPr>
          <w:p w14:paraId="48AB20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4</w:t>
            </w:r>
          </w:p>
        </w:tc>
      </w:tr>
      <w:tr w14:paraId="0BA4D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0" w:hRule="atLeast"/>
        </w:trPr>
        <w:tc>
          <w:tcPr>
            <w:tcW w:w="305" w:type="pct"/>
            <w:vMerge w:val="restart"/>
            <w:tcBorders>
              <w:top w:val="nil"/>
              <w:left w:val="single" w:color="auto" w:sz="4" w:space="0"/>
              <w:bottom w:val="single" w:color="auto" w:sz="8" w:space="0"/>
              <w:right w:val="single" w:color="auto" w:sz="8" w:space="0"/>
            </w:tcBorders>
            <w:noWrap w:val="0"/>
            <w:vAlign w:val="center"/>
          </w:tcPr>
          <w:p w14:paraId="4695ACD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项目过程</w:t>
            </w:r>
          </w:p>
        </w:tc>
        <w:tc>
          <w:tcPr>
            <w:tcW w:w="207" w:type="pct"/>
            <w:vMerge w:val="restart"/>
            <w:tcBorders>
              <w:top w:val="nil"/>
              <w:left w:val="nil"/>
              <w:bottom w:val="single" w:color="auto" w:sz="8" w:space="0"/>
              <w:right w:val="single" w:color="auto" w:sz="8" w:space="0"/>
            </w:tcBorders>
            <w:noWrap w:val="0"/>
            <w:vAlign w:val="center"/>
          </w:tcPr>
          <w:p w14:paraId="3272C3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12</w:t>
            </w:r>
          </w:p>
        </w:tc>
        <w:tc>
          <w:tcPr>
            <w:tcW w:w="310" w:type="pct"/>
            <w:vMerge w:val="restart"/>
            <w:tcBorders>
              <w:top w:val="nil"/>
              <w:left w:val="nil"/>
              <w:bottom w:val="single" w:color="auto" w:sz="8" w:space="0"/>
              <w:right w:val="single" w:color="auto" w:sz="8" w:space="0"/>
            </w:tcBorders>
            <w:noWrap w:val="0"/>
            <w:vAlign w:val="center"/>
          </w:tcPr>
          <w:p w14:paraId="74AB642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资金管理</w:t>
            </w:r>
          </w:p>
        </w:tc>
        <w:tc>
          <w:tcPr>
            <w:tcW w:w="212" w:type="pct"/>
            <w:vMerge w:val="restart"/>
            <w:tcBorders>
              <w:top w:val="nil"/>
              <w:left w:val="nil"/>
              <w:bottom w:val="single" w:color="auto" w:sz="8" w:space="0"/>
              <w:right w:val="single" w:color="auto" w:sz="8" w:space="0"/>
            </w:tcBorders>
            <w:noWrap w:val="0"/>
            <w:vAlign w:val="center"/>
          </w:tcPr>
          <w:p w14:paraId="4484D4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6</w:t>
            </w:r>
          </w:p>
        </w:tc>
        <w:tc>
          <w:tcPr>
            <w:tcW w:w="427" w:type="pct"/>
            <w:tcBorders>
              <w:top w:val="nil"/>
              <w:left w:val="nil"/>
              <w:bottom w:val="single" w:color="auto" w:sz="8" w:space="0"/>
              <w:right w:val="single" w:color="auto" w:sz="8" w:space="0"/>
            </w:tcBorders>
            <w:noWrap w:val="0"/>
            <w:vAlign w:val="center"/>
          </w:tcPr>
          <w:p w14:paraId="1137565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资金到位率</w:t>
            </w:r>
          </w:p>
        </w:tc>
        <w:tc>
          <w:tcPr>
            <w:tcW w:w="242" w:type="pct"/>
            <w:tcBorders>
              <w:top w:val="nil"/>
              <w:left w:val="nil"/>
              <w:bottom w:val="single" w:color="auto" w:sz="8" w:space="0"/>
              <w:right w:val="single" w:color="auto" w:sz="8" w:space="0"/>
            </w:tcBorders>
            <w:noWrap w:val="0"/>
            <w:vAlign w:val="center"/>
          </w:tcPr>
          <w:p w14:paraId="6ECBBE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w:t>
            </w:r>
          </w:p>
        </w:tc>
        <w:tc>
          <w:tcPr>
            <w:tcW w:w="658" w:type="pct"/>
            <w:tcBorders>
              <w:top w:val="nil"/>
              <w:left w:val="nil"/>
              <w:bottom w:val="single" w:color="auto" w:sz="8" w:space="0"/>
              <w:right w:val="single" w:color="auto" w:sz="8" w:space="0"/>
            </w:tcBorders>
            <w:noWrap w:val="0"/>
            <w:vAlign w:val="center"/>
          </w:tcPr>
          <w:p w14:paraId="3040B51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实际到位资金与预算资金的比率，用以反映和考核资金落实情况对项目实施的总体保障程度。</w:t>
            </w:r>
          </w:p>
        </w:tc>
        <w:tc>
          <w:tcPr>
            <w:tcW w:w="346" w:type="pct"/>
            <w:tcBorders>
              <w:top w:val="nil"/>
              <w:left w:val="nil"/>
              <w:bottom w:val="single" w:color="auto" w:sz="8" w:space="0"/>
              <w:right w:val="single" w:color="auto" w:sz="8" w:space="0"/>
            </w:tcBorders>
            <w:noWrap w:val="0"/>
            <w:vAlign w:val="center"/>
          </w:tcPr>
          <w:p w14:paraId="0310046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1643" w:type="pct"/>
            <w:tcBorders>
              <w:top w:val="nil"/>
              <w:left w:val="nil"/>
              <w:bottom w:val="single" w:color="auto" w:sz="8" w:space="0"/>
              <w:right w:val="single" w:color="auto" w:sz="8" w:space="0"/>
            </w:tcBorders>
            <w:noWrap w:val="0"/>
            <w:vAlign w:val="center"/>
          </w:tcPr>
          <w:p w14:paraId="436A958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资金到位率=（实际到位资金/预算资金）×100%。</w:t>
            </w:r>
          </w:p>
          <w:p w14:paraId="399B0F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资金到位率=100%，得权重分满分，每降低1%，扣除5%权重分，扣完为止。</w:t>
            </w:r>
          </w:p>
        </w:tc>
        <w:tc>
          <w:tcPr>
            <w:tcW w:w="319" w:type="pct"/>
            <w:tcBorders>
              <w:top w:val="nil"/>
              <w:left w:val="nil"/>
              <w:bottom w:val="single" w:color="auto" w:sz="8" w:space="0"/>
              <w:right w:val="single" w:color="auto" w:sz="8" w:space="0"/>
            </w:tcBorders>
            <w:noWrap w:val="0"/>
            <w:vAlign w:val="center"/>
          </w:tcPr>
          <w:p w14:paraId="551615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326" w:type="pct"/>
            <w:tcBorders>
              <w:top w:val="nil"/>
              <w:left w:val="nil"/>
              <w:bottom w:val="single" w:color="auto" w:sz="8" w:space="0"/>
              <w:right w:val="single" w:color="auto" w:sz="8" w:space="0"/>
            </w:tcBorders>
            <w:noWrap w:val="0"/>
            <w:vAlign w:val="center"/>
          </w:tcPr>
          <w:p w14:paraId="266E11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w:t>
            </w:r>
          </w:p>
        </w:tc>
      </w:tr>
      <w:tr w14:paraId="37B76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305" w:type="pct"/>
            <w:vMerge w:val="continue"/>
            <w:tcBorders>
              <w:top w:val="nil"/>
              <w:left w:val="single" w:color="auto" w:sz="4" w:space="0"/>
              <w:bottom w:val="single" w:color="auto" w:sz="4" w:space="0"/>
              <w:right w:val="single" w:color="auto" w:sz="8" w:space="0"/>
            </w:tcBorders>
            <w:noWrap w:val="0"/>
            <w:vAlign w:val="center"/>
          </w:tcPr>
          <w:p w14:paraId="6BD8B17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nil"/>
              <w:left w:val="nil"/>
              <w:bottom w:val="single" w:color="auto" w:sz="4" w:space="0"/>
              <w:right w:val="single" w:color="auto" w:sz="8" w:space="0"/>
            </w:tcBorders>
            <w:noWrap w:val="0"/>
            <w:vAlign w:val="center"/>
          </w:tcPr>
          <w:p w14:paraId="30B4CDF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continue"/>
            <w:tcBorders>
              <w:top w:val="nil"/>
              <w:left w:val="nil"/>
              <w:bottom w:val="single" w:color="auto" w:sz="4" w:space="0"/>
              <w:right w:val="single" w:color="auto" w:sz="8" w:space="0"/>
            </w:tcBorders>
            <w:noWrap w:val="0"/>
            <w:vAlign w:val="center"/>
          </w:tcPr>
          <w:p w14:paraId="4B6D516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12" w:type="pct"/>
            <w:vMerge w:val="continue"/>
            <w:tcBorders>
              <w:top w:val="nil"/>
              <w:left w:val="nil"/>
              <w:bottom w:val="single" w:color="auto" w:sz="4" w:space="0"/>
              <w:right w:val="single" w:color="auto" w:sz="8" w:space="0"/>
            </w:tcBorders>
            <w:noWrap w:val="0"/>
            <w:vAlign w:val="center"/>
          </w:tcPr>
          <w:p w14:paraId="57C089B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427" w:type="pct"/>
            <w:tcBorders>
              <w:top w:val="nil"/>
              <w:left w:val="nil"/>
              <w:bottom w:val="single" w:color="auto" w:sz="4" w:space="0"/>
              <w:right w:val="single" w:color="auto" w:sz="8" w:space="0"/>
            </w:tcBorders>
            <w:noWrap w:val="0"/>
            <w:vAlign w:val="center"/>
          </w:tcPr>
          <w:p w14:paraId="0ECAA30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预算执行率</w:t>
            </w:r>
          </w:p>
        </w:tc>
        <w:tc>
          <w:tcPr>
            <w:tcW w:w="242" w:type="pct"/>
            <w:tcBorders>
              <w:top w:val="nil"/>
              <w:left w:val="nil"/>
              <w:bottom w:val="single" w:color="auto" w:sz="4" w:space="0"/>
              <w:right w:val="single" w:color="auto" w:sz="8" w:space="0"/>
            </w:tcBorders>
            <w:noWrap w:val="0"/>
            <w:vAlign w:val="center"/>
          </w:tcPr>
          <w:p w14:paraId="7E0A61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2</w:t>
            </w:r>
          </w:p>
        </w:tc>
        <w:tc>
          <w:tcPr>
            <w:tcW w:w="658" w:type="pct"/>
            <w:tcBorders>
              <w:top w:val="nil"/>
              <w:left w:val="nil"/>
              <w:bottom w:val="single" w:color="auto" w:sz="4" w:space="0"/>
              <w:right w:val="single" w:color="auto" w:sz="8" w:space="0"/>
            </w:tcBorders>
            <w:noWrap w:val="0"/>
            <w:vAlign w:val="center"/>
          </w:tcPr>
          <w:p w14:paraId="19019D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项目预算资金是否按照计划执行，用以反映或考核项目预算执行情况。</w:t>
            </w:r>
          </w:p>
        </w:tc>
        <w:tc>
          <w:tcPr>
            <w:tcW w:w="346" w:type="pct"/>
            <w:tcBorders>
              <w:top w:val="nil"/>
              <w:left w:val="nil"/>
              <w:bottom w:val="single" w:color="auto" w:sz="4" w:space="0"/>
              <w:right w:val="single" w:color="auto" w:sz="8" w:space="0"/>
            </w:tcBorders>
            <w:noWrap w:val="0"/>
            <w:vAlign w:val="center"/>
          </w:tcPr>
          <w:p w14:paraId="553F12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1643" w:type="pct"/>
            <w:tcBorders>
              <w:top w:val="nil"/>
              <w:left w:val="nil"/>
              <w:bottom w:val="single" w:color="auto" w:sz="4" w:space="0"/>
              <w:right w:val="single" w:color="auto" w:sz="8" w:space="0"/>
            </w:tcBorders>
            <w:noWrap w:val="0"/>
            <w:vAlign w:val="center"/>
          </w:tcPr>
          <w:p w14:paraId="48ACFF2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预算执行率=（实际支出资金/实际到位资金）×100%。</w:t>
            </w:r>
          </w:p>
          <w:p w14:paraId="7A0918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预算执行率=100%，得权重分满分；若预算执行率＜100%，得分=预算执行率*分值；若执行率≤60%，则不得分。</w:t>
            </w:r>
          </w:p>
        </w:tc>
        <w:tc>
          <w:tcPr>
            <w:tcW w:w="319" w:type="pct"/>
            <w:tcBorders>
              <w:top w:val="nil"/>
              <w:left w:val="nil"/>
              <w:bottom w:val="single" w:color="auto" w:sz="4" w:space="0"/>
              <w:right w:val="single" w:color="auto" w:sz="8" w:space="0"/>
            </w:tcBorders>
            <w:noWrap w:val="0"/>
            <w:vAlign w:val="center"/>
          </w:tcPr>
          <w:p w14:paraId="19131A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rPr>
              <w:t>100%</w:t>
            </w:r>
          </w:p>
        </w:tc>
        <w:tc>
          <w:tcPr>
            <w:tcW w:w="326" w:type="pct"/>
            <w:tcBorders>
              <w:top w:val="nil"/>
              <w:left w:val="nil"/>
              <w:bottom w:val="single" w:color="auto" w:sz="4" w:space="0"/>
              <w:right w:val="single" w:color="auto" w:sz="8" w:space="0"/>
            </w:tcBorders>
            <w:noWrap w:val="0"/>
            <w:vAlign w:val="center"/>
          </w:tcPr>
          <w:p w14:paraId="57B208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2</w:t>
            </w:r>
          </w:p>
        </w:tc>
      </w:tr>
      <w:tr w14:paraId="622FC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0" w:hRule="atLeast"/>
        </w:trPr>
        <w:tc>
          <w:tcPr>
            <w:tcW w:w="305" w:type="pct"/>
            <w:vMerge w:val="continue"/>
            <w:tcBorders>
              <w:top w:val="single" w:color="auto" w:sz="4" w:space="0"/>
              <w:left w:val="single" w:color="auto" w:sz="4" w:space="0"/>
              <w:bottom w:val="single" w:color="auto" w:sz="4" w:space="0"/>
              <w:right w:val="single" w:color="auto" w:sz="8" w:space="0"/>
            </w:tcBorders>
            <w:noWrap w:val="0"/>
            <w:vAlign w:val="center"/>
          </w:tcPr>
          <w:p w14:paraId="20A35AD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single" w:color="auto" w:sz="4" w:space="0"/>
              <w:left w:val="nil"/>
              <w:bottom w:val="single" w:color="auto" w:sz="4" w:space="0"/>
              <w:right w:val="single" w:color="auto" w:sz="8" w:space="0"/>
            </w:tcBorders>
            <w:noWrap w:val="0"/>
            <w:vAlign w:val="center"/>
          </w:tcPr>
          <w:p w14:paraId="4D58A51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continue"/>
            <w:tcBorders>
              <w:top w:val="single" w:color="auto" w:sz="4" w:space="0"/>
              <w:left w:val="nil"/>
              <w:bottom w:val="single" w:color="auto" w:sz="4" w:space="0"/>
              <w:right w:val="single" w:color="auto" w:sz="8" w:space="0"/>
            </w:tcBorders>
            <w:noWrap w:val="0"/>
            <w:vAlign w:val="center"/>
          </w:tcPr>
          <w:p w14:paraId="7F840AA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12" w:type="pct"/>
            <w:vMerge w:val="continue"/>
            <w:tcBorders>
              <w:top w:val="single" w:color="auto" w:sz="4" w:space="0"/>
              <w:left w:val="nil"/>
              <w:bottom w:val="single" w:color="auto" w:sz="4" w:space="0"/>
              <w:right w:val="single" w:color="auto" w:sz="8" w:space="0"/>
            </w:tcBorders>
            <w:noWrap w:val="0"/>
            <w:vAlign w:val="center"/>
          </w:tcPr>
          <w:p w14:paraId="4D6900E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427" w:type="pct"/>
            <w:tcBorders>
              <w:top w:val="single" w:color="auto" w:sz="4" w:space="0"/>
              <w:left w:val="nil"/>
              <w:bottom w:val="single" w:color="auto" w:sz="4" w:space="0"/>
              <w:right w:val="single" w:color="auto" w:sz="8" w:space="0"/>
            </w:tcBorders>
            <w:noWrap w:val="0"/>
            <w:vAlign w:val="center"/>
          </w:tcPr>
          <w:p w14:paraId="276772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资金使用合规性</w:t>
            </w:r>
          </w:p>
        </w:tc>
        <w:tc>
          <w:tcPr>
            <w:tcW w:w="242" w:type="pct"/>
            <w:tcBorders>
              <w:top w:val="single" w:color="auto" w:sz="4" w:space="0"/>
              <w:left w:val="nil"/>
              <w:bottom w:val="single" w:color="auto" w:sz="4" w:space="0"/>
              <w:right w:val="single" w:color="auto" w:sz="8" w:space="0"/>
            </w:tcBorders>
            <w:noWrap w:val="0"/>
            <w:vAlign w:val="center"/>
          </w:tcPr>
          <w:p w14:paraId="20B580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3</w:t>
            </w:r>
          </w:p>
        </w:tc>
        <w:tc>
          <w:tcPr>
            <w:tcW w:w="658" w:type="pct"/>
            <w:tcBorders>
              <w:top w:val="single" w:color="auto" w:sz="4" w:space="0"/>
              <w:left w:val="nil"/>
              <w:bottom w:val="single" w:color="auto" w:sz="4" w:space="0"/>
              <w:right w:val="single" w:color="auto" w:sz="8" w:space="0"/>
            </w:tcBorders>
            <w:noWrap w:val="0"/>
            <w:vAlign w:val="center"/>
          </w:tcPr>
          <w:p w14:paraId="4ED1CA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项目资金使用是否符合相关的财务管理制度规定，用以反映和考核项目资金的规范运行情况。</w:t>
            </w:r>
          </w:p>
        </w:tc>
        <w:tc>
          <w:tcPr>
            <w:tcW w:w="346" w:type="pct"/>
            <w:tcBorders>
              <w:top w:val="single" w:color="auto" w:sz="4" w:space="0"/>
              <w:left w:val="nil"/>
              <w:bottom w:val="single" w:color="auto" w:sz="4" w:space="0"/>
              <w:right w:val="single" w:color="auto" w:sz="8" w:space="0"/>
            </w:tcBorders>
            <w:noWrap w:val="0"/>
            <w:vAlign w:val="center"/>
          </w:tcPr>
          <w:p w14:paraId="35F004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合规</w:t>
            </w:r>
          </w:p>
        </w:tc>
        <w:tc>
          <w:tcPr>
            <w:tcW w:w="1643" w:type="pct"/>
            <w:tcBorders>
              <w:top w:val="single" w:color="auto" w:sz="4" w:space="0"/>
              <w:left w:val="nil"/>
              <w:bottom w:val="single" w:color="auto" w:sz="4" w:space="0"/>
              <w:right w:val="single" w:color="auto" w:sz="8" w:space="0"/>
            </w:tcBorders>
            <w:noWrap w:val="0"/>
            <w:vAlign w:val="center"/>
          </w:tcPr>
          <w:p w14:paraId="00ED0CE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①否符合国家财经法规和财务管理制度以及有关专项资金管理办法的规定；</w:t>
            </w:r>
          </w:p>
          <w:p w14:paraId="5A26CA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②资金的拨付是否有完整的审批程序和手续；</w:t>
            </w:r>
          </w:p>
          <w:p w14:paraId="6A7691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③是否符合项目预算批复或合同规定的用途；</w:t>
            </w:r>
          </w:p>
          <w:p w14:paraId="555F70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④是否存在截留、挤占、挪用、虚列支出等情况。</w:t>
            </w:r>
          </w:p>
          <w:p w14:paraId="792FCA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以上每条指标各占权重分的25%，要素①②不符合，扣除对应权重分；要素③④不符合属于重大违纪，该指标不得分。</w:t>
            </w:r>
          </w:p>
        </w:tc>
        <w:tc>
          <w:tcPr>
            <w:tcW w:w="319" w:type="pct"/>
            <w:tcBorders>
              <w:top w:val="single" w:color="auto" w:sz="4" w:space="0"/>
              <w:left w:val="nil"/>
              <w:bottom w:val="single" w:color="auto" w:sz="4" w:space="0"/>
              <w:right w:val="single" w:color="auto" w:sz="8" w:space="0"/>
            </w:tcBorders>
            <w:noWrap w:val="0"/>
            <w:vAlign w:val="center"/>
          </w:tcPr>
          <w:p w14:paraId="7312EAA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合规</w:t>
            </w:r>
          </w:p>
        </w:tc>
        <w:tc>
          <w:tcPr>
            <w:tcW w:w="326" w:type="pct"/>
            <w:tcBorders>
              <w:top w:val="single" w:color="auto" w:sz="4" w:space="0"/>
              <w:left w:val="nil"/>
              <w:bottom w:val="single" w:color="auto" w:sz="4" w:space="0"/>
              <w:right w:val="single" w:color="auto" w:sz="4" w:space="0"/>
            </w:tcBorders>
            <w:noWrap w:val="0"/>
            <w:vAlign w:val="center"/>
          </w:tcPr>
          <w:p w14:paraId="6EAA94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3</w:t>
            </w:r>
          </w:p>
        </w:tc>
      </w:tr>
      <w:tr w14:paraId="7604B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trPr>
        <w:tc>
          <w:tcPr>
            <w:tcW w:w="305" w:type="pct"/>
            <w:vMerge w:val="continue"/>
            <w:tcBorders>
              <w:top w:val="single" w:color="auto" w:sz="4" w:space="0"/>
              <w:left w:val="single" w:color="auto" w:sz="4" w:space="0"/>
              <w:bottom w:val="single" w:color="auto" w:sz="8" w:space="0"/>
              <w:right w:val="single" w:color="auto" w:sz="8" w:space="0"/>
            </w:tcBorders>
            <w:noWrap w:val="0"/>
            <w:vAlign w:val="center"/>
          </w:tcPr>
          <w:p w14:paraId="49CF52E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single" w:color="auto" w:sz="4" w:space="0"/>
              <w:left w:val="nil"/>
              <w:bottom w:val="single" w:color="auto" w:sz="8" w:space="0"/>
              <w:right w:val="single" w:color="auto" w:sz="8" w:space="0"/>
            </w:tcBorders>
            <w:noWrap w:val="0"/>
            <w:vAlign w:val="center"/>
          </w:tcPr>
          <w:p w14:paraId="43EE988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restart"/>
            <w:tcBorders>
              <w:top w:val="single" w:color="auto" w:sz="4" w:space="0"/>
              <w:left w:val="nil"/>
              <w:bottom w:val="single" w:color="auto" w:sz="8" w:space="0"/>
              <w:right w:val="single" w:color="auto" w:sz="8" w:space="0"/>
            </w:tcBorders>
            <w:noWrap w:val="0"/>
            <w:vAlign w:val="center"/>
          </w:tcPr>
          <w:p w14:paraId="47FC89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组织实施</w:t>
            </w:r>
          </w:p>
        </w:tc>
        <w:tc>
          <w:tcPr>
            <w:tcW w:w="212" w:type="pct"/>
            <w:vMerge w:val="restart"/>
            <w:tcBorders>
              <w:top w:val="single" w:color="auto" w:sz="4" w:space="0"/>
              <w:left w:val="nil"/>
              <w:bottom w:val="single" w:color="auto" w:sz="8" w:space="0"/>
              <w:right w:val="single" w:color="auto" w:sz="8" w:space="0"/>
            </w:tcBorders>
            <w:noWrap w:val="0"/>
            <w:vAlign w:val="center"/>
          </w:tcPr>
          <w:p w14:paraId="2EB579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6</w:t>
            </w:r>
          </w:p>
        </w:tc>
        <w:tc>
          <w:tcPr>
            <w:tcW w:w="427" w:type="pct"/>
            <w:tcBorders>
              <w:top w:val="single" w:color="auto" w:sz="4" w:space="0"/>
              <w:left w:val="nil"/>
              <w:bottom w:val="single" w:color="auto" w:sz="8" w:space="0"/>
              <w:right w:val="single" w:color="auto" w:sz="8" w:space="0"/>
            </w:tcBorders>
            <w:noWrap w:val="0"/>
            <w:vAlign w:val="center"/>
          </w:tcPr>
          <w:p w14:paraId="4531AD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管理制度健全性</w:t>
            </w:r>
          </w:p>
        </w:tc>
        <w:tc>
          <w:tcPr>
            <w:tcW w:w="242" w:type="pct"/>
            <w:tcBorders>
              <w:top w:val="single" w:color="auto" w:sz="4" w:space="0"/>
              <w:left w:val="nil"/>
              <w:bottom w:val="single" w:color="auto" w:sz="8" w:space="0"/>
              <w:right w:val="single" w:color="auto" w:sz="8" w:space="0"/>
            </w:tcBorders>
            <w:noWrap w:val="0"/>
            <w:vAlign w:val="center"/>
          </w:tcPr>
          <w:p w14:paraId="4AA5D3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3</w:t>
            </w:r>
          </w:p>
        </w:tc>
        <w:tc>
          <w:tcPr>
            <w:tcW w:w="658" w:type="pct"/>
            <w:tcBorders>
              <w:top w:val="single" w:color="auto" w:sz="4" w:space="0"/>
              <w:left w:val="nil"/>
              <w:bottom w:val="single" w:color="auto" w:sz="8" w:space="0"/>
              <w:right w:val="single" w:color="auto" w:sz="8" w:space="0"/>
            </w:tcBorders>
            <w:noWrap w:val="0"/>
            <w:vAlign w:val="center"/>
          </w:tcPr>
          <w:p w14:paraId="0005AA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项目实施单位的财务和业务管理制度是否健全，用以反映和考核财务和业务管理制度对项目顺利实施的保障情况。</w:t>
            </w:r>
          </w:p>
        </w:tc>
        <w:tc>
          <w:tcPr>
            <w:tcW w:w="346" w:type="pct"/>
            <w:tcBorders>
              <w:top w:val="single" w:color="auto" w:sz="4" w:space="0"/>
              <w:left w:val="nil"/>
              <w:bottom w:val="single" w:color="auto" w:sz="8" w:space="0"/>
              <w:right w:val="single" w:color="auto" w:sz="8" w:space="0"/>
            </w:tcBorders>
            <w:noWrap w:val="0"/>
            <w:vAlign w:val="center"/>
          </w:tcPr>
          <w:p w14:paraId="422B3F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健全</w:t>
            </w:r>
          </w:p>
        </w:tc>
        <w:tc>
          <w:tcPr>
            <w:tcW w:w="1643" w:type="pct"/>
            <w:tcBorders>
              <w:top w:val="single" w:color="auto" w:sz="4" w:space="0"/>
              <w:left w:val="nil"/>
              <w:bottom w:val="single" w:color="auto" w:sz="4" w:space="0"/>
              <w:right w:val="single" w:color="auto" w:sz="8" w:space="0"/>
            </w:tcBorders>
            <w:noWrap w:val="0"/>
            <w:vAlign w:val="center"/>
          </w:tcPr>
          <w:p w14:paraId="397FCCF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①是否已制定或具有相应的财务和业务管理制度；</w:t>
            </w:r>
          </w:p>
          <w:p w14:paraId="364A59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②财务和业务管理制度是否合法、合规、完整。</w:t>
            </w:r>
          </w:p>
          <w:p w14:paraId="4CA6B1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以上每条要素各占权重的50%，每有一条不符合，扣除对应的权重分，扣完为止。</w:t>
            </w:r>
          </w:p>
        </w:tc>
        <w:tc>
          <w:tcPr>
            <w:tcW w:w="319" w:type="pct"/>
            <w:tcBorders>
              <w:top w:val="single" w:color="auto" w:sz="4" w:space="0"/>
              <w:left w:val="nil"/>
              <w:bottom w:val="single" w:color="auto" w:sz="8" w:space="0"/>
              <w:right w:val="single" w:color="auto" w:sz="8" w:space="0"/>
            </w:tcBorders>
            <w:noWrap w:val="0"/>
            <w:vAlign w:val="center"/>
          </w:tcPr>
          <w:p w14:paraId="523D0BF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健全</w:t>
            </w:r>
          </w:p>
        </w:tc>
        <w:tc>
          <w:tcPr>
            <w:tcW w:w="326" w:type="pct"/>
            <w:tcBorders>
              <w:top w:val="single" w:color="auto" w:sz="4" w:space="0"/>
              <w:left w:val="nil"/>
              <w:bottom w:val="single" w:color="auto" w:sz="8" w:space="0"/>
              <w:right w:val="single" w:color="auto" w:sz="8" w:space="0"/>
            </w:tcBorders>
            <w:noWrap w:val="0"/>
            <w:vAlign w:val="center"/>
          </w:tcPr>
          <w:p w14:paraId="72CDD5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3</w:t>
            </w:r>
          </w:p>
        </w:tc>
      </w:tr>
      <w:tr w14:paraId="26CAA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9" w:hRule="atLeast"/>
        </w:trPr>
        <w:tc>
          <w:tcPr>
            <w:tcW w:w="305" w:type="pct"/>
            <w:vMerge w:val="continue"/>
            <w:tcBorders>
              <w:top w:val="nil"/>
              <w:left w:val="single" w:color="auto" w:sz="4" w:space="0"/>
              <w:bottom w:val="single" w:color="auto" w:sz="8" w:space="0"/>
              <w:right w:val="single" w:color="auto" w:sz="8" w:space="0"/>
            </w:tcBorders>
            <w:noWrap w:val="0"/>
            <w:vAlign w:val="center"/>
          </w:tcPr>
          <w:p w14:paraId="649799A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nil"/>
              <w:left w:val="nil"/>
              <w:bottom w:val="single" w:color="auto" w:sz="8" w:space="0"/>
              <w:right w:val="single" w:color="auto" w:sz="8" w:space="0"/>
            </w:tcBorders>
            <w:noWrap w:val="0"/>
            <w:vAlign w:val="center"/>
          </w:tcPr>
          <w:p w14:paraId="17D2D8F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continue"/>
            <w:tcBorders>
              <w:top w:val="nil"/>
              <w:left w:val="nil"/>
              <w:bottom w:val="single" w:color="auto" w:sz="8" w:space="0"/>
              <w:right w:val="single" w:color="auto" w:sz="8" w:space="0"/>
            </w:tcBorders>
            <w:noWrap w:val="0"/>
            <w:vAlign w:val="center"/>
          </w:tcPr>
          <w:p w14:paraId="5704FEA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12" w:type="pct"/>
            <w:vMerge w:val="continue"/>
            <w:tcBorders>
              <w:top w:val="nil"/>
              <w:left w:val="nil"/>
              <w:bottom w:val="single" w:color="auto" w:sz="8" w:space="0"/>
              <w:right w:val="single" w:color="auto" w:sz="8" w:space="0"/>
            </w:tcBorders>
            <w:noWrap w:val="0"/>
            <w:vAlign w:val="center"/>
          </w:tcPr>
          <w:p w14:paraId="6AAF5F3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427" w:type="pct"/>
            <w:tcBorders>
              <w:top w:val="nil"/>
              <w:left w:val="nil"/>
              <w:bottom w:val="single" w:color="auto" w:sz="8" w:space="0"/>
              <w:right w:val="single" w:color="auto" w:sz="8" w:space="0"/>
            </w:tcBorders>
            <w:noWrap w:val="0"/>
            <w:vAlign w:val="center"/>
          </w:tcPr>
          <w:p w14:paraId="50E6A78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制度执行有效性</w:t>
            </w:r>
          </w:p>
        </w:tc>
        <w:tc>
          <w:tcPr>
            <w:tcW w:w="242" w:type="pct"/>
            <w:tcBorders>
              <w:top w:val="nil"/>
              <w:left w:val="nil"/>
              <w:bottom w:val="single" w:color="auto" w:sz="8" w:space="0"/>
              <w:right w:val="single" w:color="auto" w:sz="8" w:space="0"/>
            </w:tcBorders>
            <w:noWrap w:val="0"/>
            <w:vAlign w:val="center"/>
          </w:tcPr>
          <w:p w14:paraId="16265D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3</w:t>
            </w:r>
          </w:p>
        </w:tc>
        <w:tc>
          <w:tcPr>
            <w:tcW w:w="658" w:type="pct"/>
            <w:tcBorders>
              <w:top w:val="nil"/>
              <w:left w:val="nil"/>
              <w:bottom w:val="single" w:color="auto" w:sz="8" w:space="0"/>
              <w:right w:val="single" w:color="auto" w:sz="8" w:space="0"/>
            </w:tcBorders>
            <w:noWrap w:val="0"/>
            <w:vAlign w:val="center"/>
          </w:tcPr>
          <w:p w14:paraId="21C5A2F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项目实施是否符合相关管理规定，用以反映和考核相关管理制度的有效执行情况。</w:t>
            </w:r>
          </w:p>
        </w:tc>
        <w:tc>
          <w:tcPr>
            <w:tcW w:w="346" w:type="pct"/>
            <w:tcBorders>
              <w:top w:val="nil"/>
              <w:left w:val="nil"/>
              <w:bottom w:val="single" w:color="auto" w:sz="8" w:space="0"/>
              <w:right w:val="single" w:color="auto" w:sz="4" w:space="0"/>
            </w:tcBorders>
            <w:noWrap w:val="0"/>
            <w:vAlign w:val="center"/>
          </w:tcPr>
          <w:p w14:paraId="083D02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有效</w:t>
            </w:r>
          </w:p>
        </w:tc>
        <w:tc>
          <w:tcPr>
            <w:tcW w:w="1643" w:type="pct"/>
            <w:tcBorders>
              <w:top w:val="single" w:color="auto" w:sz="4" w:space="0"/>
              <w:left w:val="single" w:color="auto" w:sz="4" w:space="0"/>
              <w:bottom w:val="single" w:color="auto" w:sz="4" w:space="0"/>
              <w:right w:val="single" w:color="auto" w:sz="4" w:space="0"/>
            </w:tcBorders>
            <w:noWrap w:val="0"/>
            <w:vAlign w:val="center"/>
          </w:tcPr>
          <w:p w14:paraId="09FE01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①否遵守相关法律法规和相关管理规定；</w:t>
            </w:r>
          </w:p>
          <w:p w14:paraId="34600F8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②项目调整及支出调整手续是否完备；</w:t>
            </w:r>
          </w:p>
          <w:p w14:paraId="349344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③项目资料是否齐全并及时归档。</w:t>
            </w:r>
          </w:p>
          <w:p w14:paraId="2348872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①②③齐全得权重分的100%，缺①扣权重分的30%，缺②扣权重分的40%，缺③扣权重分的30%。</w:t>
            </w:r>
          </w:p>
        </w:tc>
        <w:tc>
          <w:tcPr>
            <w:tcW w:w="319" w:type="pct"/>
            <w:tcBorders>
              <w:top w:val="nil"/>
              <w:left w:val="single" w:color="auto" w:sz="4" w:space="0"/>
              <w:bottom w:val="single" w:color="auto" w:sz="8" w:space="0"/>
              <w:right w:val="single" w:color="auto" w:sz="8" w:space="0"/>
            </w:tcBorders>
            <w:noWrap w:val="0"/>
            <w:vAlign w:val="center"/>
          </w:tcPr>
          <w:p w14:paraId="3C97A6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有效</w:t>
            </w:r>
          </w:p>
        </w:tc>
        <w:tc>
          <w:tcPr>
            <w:tcW w:w="326" w:type="pct"/>
            <w:tcBorders>
              <w:top w:val="nil"/>
              <w:left w:val="nil"/>
              <w:bottom w:val="single" w:color="auto" w:sz="8" w:space="0"/>
              <w:right w:val="single" w:color="auto" w:sz="8" w:space="0"/>
            </w:tcBorders>
            <w:noWrap w:val="0"/>
            <w:vAlign w:val="center"/>
          </w:tcPr>
          <w:p w14:paraId="035949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3</w:t>
            </w:r>
          </w:p>
        </w:tc>
      </w:tr>
      <w:tr w14:paraId="7780A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0" w:hRule="atLeast"/>
        </w:trPr>
        <w:tc>
          <w:tcPr>
            <w:tcW w:w="305" w:type="pct"/>
            <w:vMerge w:val="restart"/>
            <w:tcBorders>
              <w:top w:val="nil"/>
              <w:left w:val="single" w:color="auto" w:sz="4" w:space="0"/>
              <w:bottom w:val="single" w:color="auto" w:sz="8" w:space="0"/>
              <w:right w:val="single" w:color="auto" w:sz="8" w:space="0"/>
            </w:tcBorders>
            <w:noWrap w:val="0"/>
            <w:vAlign w:val="center"/>
          </w:tcPr>
          <w:p w14:paraId="1EC72D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项目产出</w:t>
            </w:r>
          </w:p>
        </w:tc>
        <w:tc>
          <w:tcPr>
            <w:tcW w:w="207" w:type="pct"/>
            <w:vMerge w:val="restart"/>
            <w:tcBorders>
              <w:top w:val="nil"/>
              <w:left w:val="nil"/>
              <w:bottom w:val="single" w:color="auto" w:sz="8" w:space="0"/>
              <w:right w:val="single" w:color="auto" w:sz="8" w:space="0"/>
            </w:tcBorders>
            <w:noWrap w:val="0"/>
            <w:vAlign w:val="center"/>
          </w:tcPr>
          <w:p w14:paraId="20E4DE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40</w:t>
            </w:r>
          </w:p>
        </w:tc>
        <w:tc>
          <w:tcPr>
            <w:tcW w:w="310" w:type="pct"/>
            <w:vMerge w:val="restart"/>
            <w:tcBorders>
              <w:top w:val="nil"/>
              <w:left w:val="nil"/>
              <w:right w:val="single" w:color="auto" w:sz="8" w:space="0"/>
            </w:tcBorders>
            <w:noWrap w:val="0"/>
            <w:vAlign w:val="center"/>
          </w:tcPr>
          <w:p w14:paraId="15B1931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产出数量</w:t>
            </w:r>
          </w:p>
        </w:tc>
        <w:tc>
          <w:tcPr>
            <w:tcW w:w="212" w:type="pct"/>
            <w:vMerge w:val="restart"/>
            <w:tcBorders>
              <w:top w:val="nil"/>
              <w:left w:val="nil"/>
              <w:right w:val="single" w:color="auto" w:sz="8" w:space="0"/>
            </w:tcBorders>
            <w:noWrap w:val="0"/>
            <w:vAlign w:val="center"/>
          </w:tcPr>
          <w:p w14:paraId="03EB118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w:t>
            </w:r>
          </w:p>
        </w:tc>
        <w:tc>
          <w:tcPr>
            <w:tcW w:w="427" w:type="pct"/>
            <w:vMerge w:val="restart"/>
            <w:tcBorders>
              <w:top w:val="nil"/>
              <w:left w:val="nil"/>
              <w:right w:val="single" w:color="auto" w:sz="8" w:space="0"/>
            </w:tcBorders>
            <w:noWrap w:val="0"/>
            <w:vAlign w:val="center"/>
          </w:tcPr>
          <w:p w14:paraId="5CCDE2B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实际完成率</w:t>
            </w:r>
          </w:p>
        </w:tc>
        <w:tc>
          <w:tcPr>
            <w:tcW w:w="242" w:type="pct"/>
            <w:tcBorders>
              <w:top w:val="nil"/>
              <w:left w:val="nil"/>
              <w:bottom w:val="single" w:color="auto" w:sz="8" w:space="0"/>
              <w:right w:val="single" w:color="auto" w:sz="8" w:space="0"/>
            </w:tcBorders>
            <w:noWrap w:val="0"/>
            <w:vAlign w:val="center"/>
          </w:tcPr>
          <w:p w14:paraId="3AAD11A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c>
          <w:tcPr>
            <w:tcW w:w="658" w:type="pct"/>
            <w:tcBorders>
              <w:top w:val="nil"/>
              <w:left w:val="nil"/>
              <w:bottom w:val="single" w:color="auto" w:sz="8" w:space="0"/>
              <w:right w:val="single" w:color="auto" w:sz="8" w:space="0"/>
            </w:tcBorders>
            <w:noWrap w:val="0"/>
            <w:vAlign w:val="center"/>
          </w:tcPr>
          <w:p w14:paraId="42F3C685">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补贴发放人数</w:t>
            </w:r>
          </w:p>
        </w:tc>
        <w:tc>
          <w:tcPr>
            <w:tcW w:w="346" w:type="pct"/>
            <w:tcBorders>
              <w:top w:val="nil"/>
              <w:left w:val="nil"/>
              <w:bottom w:val="single" w:color="auto" w:sz="8" w:space="0"/>
              <w:right w:val="single" w:color="auto" w:sz="4" w:space="0"/>
            </w:tcBorders>
            <w:noWrap w:val="0"/>
            <w:vAlign w:val="center"/>
          </w:tcPr>
          <w:p w14:paraId="5F2904F2">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&gt;=15505户</w:t>
            </w:r>
          </w:p>
        </w:tc>
        <w:tc>
          <w:tcPr>
            <w:tcW w:w="1643" w:type="pct"/>
            <w:vMerge w:val="restart"/>
            <w:tcBorders>
              <w:top w:val="single" w:color="auto" w:sz="4" w:space="0"/>
              <w:left w:val="single" w:color="auto" w:sz="4" w:space="0"/>
              <w:right w:val="single" w:color="auto" w:sz="4" w:space="0"/>
            </w:tcBorders>
            <w:noWrap w:val="0"/>
            <w:vAlign w:val="center"/>
          </w:tcPr>
          <w:p w14:paraId="2C1586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实际完成率=（实际完成/预期完成）×100%。</w:t>
            </w:r>
          </w:p>
          <w:p w14:paraId="19938D4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①实际完成率≥100%，且偏离程度＜20%，得满分；</w:t>
            </w:r>
          </w:p>
          <w:p w14:paraId="6B71A1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②实际完成率≥100%，偏离程度≥20%，得0分；</w:t>
            </w:r>
          </w:p>
          <w:p w14:paraId="26DB0E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③实际完成率×100%＜100%，得分=实际完成率×指标分值。</w:t>
            </w:r>
          </w:p>
        </w:tc>
        <w:tc>
          <w:tcPr>
            <w:tcW w:w="319" w:type="pct"/>
            <w:tcBorders>
              <w:top w:val="nil"/>
              <w:left w:val="single" w:color="auto" w:sz="4" w:space="0"/>
              <w:bottom w:val="single" w:color="auto" w:sz="8" w:space="0"/>
              <w:right w:val="single" w:color="auto" w:sz="8" w:space="0"/>
            </w:tcBorders>
            <w:noWrap w:val="0"/>
            <w:vAlign w:val="center"/>
          </w:tcPr>
          <w:p w14:paraId="6DEEDC65">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15505户</w:t>
            </w:r>
          </w:p>
        </w:tc>
        <w:tc>
          <w:tcPr>
            <w:tcW w:w="326" w:type="pct"/>
            <w:tcBorders>
              <w:top w:val="nil"/>
              <w:left w:val="nil"/>
              <w:bottom w:val="single" w:color="auto" w:sz="8" w:space="0"/>
              <w:right w:val="single" w:color="auto" w:sz="8" w:space="0"/>
            </w:tcBorders>
            <w:noWrap w:val="0"/>
            <w:vAlign w:val="center"/>
          </w:tcPr>
          <w:p w14:paraId="3ED196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r>
      <w:tr w14:paraId="6A81B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05" w:type="pct"/>
            <w:vMerge w:val="continue"/>
            <w:tcBorders>
              <w:top w:val="nil"/>
              <w:left w:val="single" w:color="auto" w:sz="4" w:space="0"/>
              <w:bottom w:val="single" w:color="auto" w:sz="4" w:space="0"/>
              <w:right w:val="single" w:color="auto" w:sz="8" w:space="0"/>
            </w:tcBorders>
            <w:noWrap w:val="0"/>
            <w:vAlign w:val="center"/>
          </w:tcPr>
          <w:p w14:paraId="27076B5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nil"/>
              <w:left w:val="nil"/>
              <w:bottom w:val="single" w:color="auto" w:sz="4" w:space="0"/>
              <w:right w:val="single" w:color="auto" w:sz="8" w:space="0"/>
            </w:tcBorders>
            <w:noWrap w:val="0"/>
            <w:vAlign w:val="center"/>
          </w:tcPr>
          <w:p w14:paraId="45F5836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continue"/>
            <w:tcBorders>
              <w:left w:val="nil"/>
              <w:bottom w:val="single" w:color="auto" w:sz="4" w:space="0"/>
              <w:right w:val="single" w:color="auto" w:sz="8" w:space="0"/>
            </w:tcBorders>
            <w:noWrap w:val="0"/>
            <w:vAlign w:val="center"/>
          </w:tcPr>
          <w:p w14:paraId="2B46E8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p>
        </w:tc>
        <w:tc>
          <w:tcPr>
            <w:tcW w:w="212" w:type="pct"/>
            <w:vMerge w:val="continue"/>
            <w:tcBorders>
              <w:left w:val="nil"/>
              <w:bottom w:val="single" w:color="auto" w:sz="4" w:space="0"/>
              <w:right w:val="single" w:color="auto" w:sz="8" w:space="0"/>
            </w:tcBorders>
            <w:noWrap w:val="0"/>
            <w:vAlign w:val="center"/>
          </w:tcPr>
          <w:p w14:paraId="4BC429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p>
        </w:tc>
        <w:tc>
          <w:tcPr>
            <w:tcW w:w="427" w:type="pct"/>
            <w:vMerge w:val="continue"/>
            <w:tcBorders>
              <w:left w:val="nil"/>
              <w:bottom w:val="single" w:color="auto" w:sz="4" w:space="0"/>
              <w:right w:val="single" w:color="auto" w:sz="8" w:space="0"/>
            </w:tcBorders>
            <w:noWrap w:val="0"/>
            <w:vAlign w:val="center"/>
          </w:tcPr>
          <w:p w14:paraId="71CAC9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p>
        </w:tc>
        <w:tc>
          <w:tcPr>
            <w:tcW w:w="242" w:type="pct"/>
            <w:tcBorders>
              <w:top w:val="nil"/>
              <w:left w:val="nil"/>
              <w:bottom w:val="single" w:color="auto" w:sz="4" w:space="0"/>
              <w:right w:val="single" w:color="auto" w:sz="8" w:space="0"/>
            </w:tcBorders>
            <w:noWrap w:val="0"/>
            <w:vAlign w:val="center"/>
          </w:tcPr>
          <w:p w14:paraId="32D1C0A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c>
          <w:tcPr>
            <w:tcW w:w="658" w:type="pct"/>
            <w:tcBorders>
              <w:top w:val="nil"/>
              <w:left w:val="nil"/>
              <w:bottom w:val="single" w:color="auto" w:sz="4" w:space="0"/>
              <w:right w:val="single" w:color="auto" w:sz="8" w:space="0"/>
            </w:tcBorders>
            <w:noWrap w:val="0"/>
            <w:vAlign w:val="center"/>
          </w:tcPr>
          <w:p w14:paraId="0404F692">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补助亩数</w:t>
            </w:r>
          </w:p>
        </w:tc>
        <w:tc>
          <w:tcPr>
            <w:tcW w:w="346" w:type="pct"/>
            <w:tcBorders>
              <w:top w:val="nil"/>
              <w:left w:val="nil"/>
              <w:bottom w:val="single" w:color="auto" w:sz="4" w:space="0"/>
              <w:right w:val="single" w:color="auto" w:sz="4" w:space="0"/>
            </w:tcBorders>
            <w:noWrap w:val="0"/>
            <w:vAlign w:val="center"/>
          </w:tcPr>
          <w:p w14:paraId="236A6E2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&gt;=5万亩</w:t>
            </w:r>
          </w:p>
        </w:tc>
        <w:tc>
          <w:tcPr>
            <w:tcW w:w="1643" w:type="pct"/>
            <w:vMerge w:val="continue"/>
            <w:tcBorders>
              <w:left w:val="single" w:color="auto" w:sz="4" w:space="0"/>
              <w:bottom w:val="single" w:color="auto" w:sz="4" w:space="0"/>
              <w:right w:val="single" w:color="auto" w:sz="4" w:space="0"/>
            </w:tcBorders>
            <w:noWrap w:val="0"/>
            <w:vAlign w:val="center"/>
          </w:tcPr>
          <w:p w14:paraId="756853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p>
        </w:tc>
        <w:tc>
          <w:tcPr>
            <w:tcW w:w="319" w:type="pct"/>
            <w:tcBorders>
              <w:top w:val="nil"/>
              <w:left w:val="single" w:color="auto" w:sz="4" w:space="0"/>
              <w:bottom w:val="single" w:color="auto" w:sz="4" w:space="0"/>
              <w:right w:val="single" w:color="auto" w:sz="8" w:space="0"/>
            </w:tcBorders>
            <w:noWrap w:val="0"/>
            <w:vAlign w:val="center"/>
          </w:tcPr>
          <w:p w14:paraId="6AD0F8D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5万亩</w:t>
            </w:r>
          </w:p>
        </w:tc>
        <w:tc>
          <w:tcPr>
            <w:tcW w:w="326" w:type="pct"/>
            <w:tcBorders>
              <w:top w:val="nil"/>
              <w:left w:val="nil"/>
              <w:bottom w:val="single" w:color="auto" w:sz="4" w:space="0"/>
              <w:right w:val="single" w:color="auto" w:sz="8" w:space="0"/>
            </w:tcBorders>
            <w:noWrap w:val="0"/>
            <w:vAlign w:val="center"/>
          </w:tcPr>
          <w:p w14:paraId="6B9AD2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5</w:t>
            </w:r>
          </w:p>
        </w:tc>
      </w:tr>
      <w:tr w14:paraId="215B8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05" w:type="pct"/>
            <w:vMerge w:val="continue"/>
            <w:tcBorders>
              <w:top w:val="nil"/>
              <w:left w:val="single" w:color="auto" w:sz="4" w:space="0"/>
              <w:bottom w:val="single" w:color="auto" w:sz="4" w:space="0"/>
              <w:right w:val="single" w:color="auto" w:sz="8" w:space="0"/>
            </w:tcBorders>
            <w:noWrap w:val="0"/>
            <w:vAlign w:val="center"/>
          </w:tcPr>
          <w:p w14:paraId="5D75F2F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nil"/>
              <w:left w:val="nil"/>
              <w:bottom w:val="single" w:color="auto" w:sz="4" w:space="0"/>
              <w:right w:val="single" w:color="auto" w:sz="8" w:space="0"/>
            </w:tcBorders>
            <w:noWrap w:val="0"/>
            <w:vAlign w:val="center"/>
          </w:tcPr>
          <w:p w14:paraId="5794F02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restart"/>
            <w:tcBorders>
              <w:top w:val="nil"/>
              <w:left w:val="nil"/>
              <w:right w:val="single" w:color="auto" w:sz="8" w:space="0"/>
            </w:tcBorders>
            <w:noWrap w:val="0"/>
            <w:vAlign w:val="center"/>
          </w:tcPr>
          <w:p w14:paraId="229259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产出质量</w:t>
            </w:r>
          </w:p>
        </w:tc>
        <w:tc>
          <w:tcPr>
            <w:tcW w:w="212" w:type="pct"/>
            <w:vMerge w:val="restart"/>
            <w:tcBorders>
              <w:top w:val="nil"/>
              <w:left w:val="nil"/>
              <w:right w:val="single" w:color="auto" w:sz="8" w:space="0"/>
            </w:tcBorders>
            <w:noWrap w:val="0"/>
            <w:vAlign w:val="center"/>
          </w:tcPr>
          <w:p w14:paraId="7F68D3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w:t>
            </w:r>
          </w:p>
        </w:tc>
        <w:tc>
          <w:tcPr>
            <w:tcW w:w="427" w:type="pct"/>
            <w:vMerge w:val="restart"/>
            <w:tcBorders>
              <w:top w:val="nil"/>
              <w:left w:val="nil"/>
              <w:right w:val="single" w:color="auto" w:sz="8" w:space="0"/>
            </w:tcBorders>
            <w:noWrap w:val="0"/>
            <w:vAlign w:val="center"/>
          </w:tcPr>
          <w:p w14:paraId="29DC5C0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质量达标率</w:t>
            </w:r>
          </w:p>
        </w:tc>
        <w:tc>
          <w:tcPr>
            <w:tcW w:w="242" w:type="pct"/>
            <w:tcBorders>
              <w:top w:val="nil"/>
              <w:left w:val="nil"/>
              <w:bottom w:val="single" w:color="auto" w:sz="4" w:space="0"/>
              <w:right w:val="single" w:color="auto" w:sz="8" w:space="0"/>
            </w:tcBorders>
            <w:noWrap w:val="0"/>
            <w:vAlign w:val="center"/>
          </w:tcPr>
          <w:p w14:paraId="2568B42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c>
          <w:tcPr>
            <w:tcW w:w="658" w:type="pct"/>
            <w:tcBorders>
              <w:top w:val="nil"/>
              <w:left w:val="nil"/>
              <w:bottom w:val="single" w:color="auto" w:sz="4" w:space="0"/>
              <w:right w:val="single" w:color="auto" w:sz="8" w:space="0"/>
            </w:tcBorders>
            <w:noWrap w:val="0"/>
            <w:vAlign w:val="center"/>
          </w:tcPr>
          <w:p w14:paraId="4EEF1BB0">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补贴资金覆盖率</w:t>
            </w:r>
          </w:p>
        </w:tc>
        <w:tc>
          <w:tcPr>
            <w:tcW w:w="346" w:type="pct"/>
            <w:tcBorders>
              <w:top w:val="nil"/>
              <w:left w:val="nil"/>
              <w:bottom w:val="single" w:color="auto" w:sz="4" w:space="0"/>
              <w:right w:val="single" w:color="auto" w:sz="4" w:space="0"/>
            </w:tcBorders>
            <w:noWrap w:val="0"/>
            <w:vAlign w:val="center"/>
          </w:tcPr>
          <w:p w14:paraId="2AD1E82A">
            <w:pPr>
              <w:keepNext w:val="0"/>
              <w:keepLines w:val="0"/>
              <w:widowControl/>
              <w:suppressLineNumbers w:val="0"/>
              <w:ind w:firstLine="480" w:firstLineChars="20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1643" w:type="pct"/>
            <w:vMerge w:val="restart"/>
            <w:tcBorders>
              <w:top w:val="single" w:color="auto" w:sz="4" w:space="0"/>
              <w:left w:val="single" w:color="auto" w:sz="4" w:space="0"/>
              <w:bottom w:val="single" w:color="auto" w:sz="4" w:space="0"/>
              <w:right w:val="single" w:color="auto" w:sz="4" w:space="0"/>
            </w:tcBorders>
            <w:noWrap w:val="0"/>
            <w:vAlign w:val="center"/>
          </w:tcPr>
          <w:p w14:paraId="326169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若指标达到标杆值，则得100%权重分；否则，得分=（实际完成/预期完成）×100%×指标分值。</w:t>
            </w:r>
          </w:p>
          <w:p w14:paraId="0F2289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若指标完成值达到标杆值，则得100%权重分；否则，不得分。</w:t>
            </w:r>
          </w:p>
          <w:p w14:paraId="305E83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若指标完成值达到标杆值，则得100%权重分；否则，得分=（实际完成/预期完成）×100%×指标分值。</w:t>
            </w:r>
          </w:p>
        </w:tc>
        <w:tc>
          <w:tcPr>
            <w:tcW w:w="319" w:type="pct"/>
            <w:tcBorders>
              <w:top w:val="nil"/>
              <w:left w:val="single" w:color="auto" w:sz="4" w:space="0"/>
              <w:bottom w:val="single" w:color="auto" w:sz="4" w:space="0"/>
              <w:right w:val="single" w:color="auto" w:sz="8" w:space="0"/>
            </w:tcBorders>
            <w:noWrap w:val="0"/>
            <w:vAlign w:val="center"/>
          </w:tcPr>
          <w:p w14:paraId="51BC866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326" w:type="pct"/>
            <w:tcBorders>
              <w:top w:val="nil"/>
              <w:left w:val="nil"/>
              <w:bottom w:val="single" w:color="auto" w:sz="4" w:space="0"/>
              <w:right w:val="single" w:color="auto" w:sz="8" w:space="0"/>
            </w:tcBorders>
            <w:noWrap w:val="0"/>
            <w:vAlign w:val="center"/>
          </w:tcPr>
          <w:p w14:paraId="11B6D8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r>
      <w:tr w14:paraId="0AD6A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05" w:type="pct"/>
            <w:vMerge w:val="continue"/>
            <w:tcBorders>
              <w:top w:val="nil"/>
              <w:left w:val="single" w:color="auto" w:sz="4" w:space="0"/>
              <w:bottom w:val="single" w:color="auto" w:sz="4" w:space="0"/>
              <w:right w:val="single" w:color="auto" w:sz="8" w:space="0"/>
            </w:tcBorders>
            <w:noWrap w:val="0"/>
            <w:vAlign w:val="center"/>
          </w:tcPr>
          <w:p w14:paraId="03BE1EE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nil"/>
              <w:left w:val="nil"/>
              <w:bottom w:val="single" w:color="auto" w:sz="4" w:space="0"/>
              <w:right w:val="single" w:color="auto" w:sz="8" w:space="0"/>
            </w:tcBorders>
            <w:noWrap w:val="0"/>
            <w:vAlign w:val="center"/>
          </w:tcPr>
          <w:p w14:paraId="72041C8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continue"/>
            <w:tcBorders>
              <w:left w:val="nil"/>
              <w:bottom w:val="single" w:color="auto" w:sz="4" w:space="0"/>
              <w:right w:val="single" w:color="auto" w:sz="8" w:space="0"/>
            </w:tcBorders>
            <w:noWrap w:val="0"/>
            <w:vAlign w:val="center"/>
          </w:tcPr>
          <w:p w14:paraId="6547BF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p>
        </w:tc>
        <w:tc>
          <w:tcPr>
            <w:tcW w:w="212" w:type="pct"/>
            <w:vMerge w:val="continue"/>
            <w:tcBorders>
              <w:left w:val="nil"/>
              <w:bottom w:val="single" w:color="auto" w:sz="4" w:space="0"/>
              <w:right w:val="single" w:color="auto" w:sz="8" w:space="0"/>
            </w:tcBorders>
            <w:noWrap w:val="0"/>
            <w:vAlign w:val="center"/>
          </w:tcPr>
          <w:p w14:paraId="61C172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p>
        </w:tc>
        <w:tc>
          <w:tcPr>
            <w:tcW w:w="427" w:type="pct"/>
            <w:vMerge w:val="continue"/>
            <w:tcBorders>
              <w:left w:val="nil"/>
              <w:bottom w:val="single" w:color="auto" w:sz="4" w:space="0"/>
              <w:right w:val="single" w:color="auto" w:sz="8" w:space="0"/>
            </w:tcBorders>
            <w:noWrap w:val="0"/>
            <w:vAlign w:val="center"/>
          </w:tcPr>
          <w:p w14:paraId="7D0483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p>
        </w:tc>
        <w:tc>
          <w:tcPr>
            <w:tcW w:w="242" w:type="pct"/>
            <w:tcBorders>
              <w:top w:val="nil"/>
              <w:left w:val="nil"/>
              <w:bottom w:val="single" w:color="auto" w:sz="4" w:space="0"/>
              <w:right w:val="single" w:color="auto" w:sz="8" w:space="0"/>
            </w:tcBorders>
            <w:noWrap w:val="0"/>
            <w:vAlign w:val="center"/>
          </w:tcPr>
          <w:p w14:paraId="44F918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5</w:t>
            </w:r>
          </w:p>
        </w:tc>
        <w:tc>
          <w:tcPr>
            <w:tcW w:w="658" w:type="pct"/>
            <w:tcBorders>
              <w:top w:val="nil"/>
              <w:left w:val="nil"/>
              <w:bottom w:val="single" w:color="auto" w:sz="4" w:space="0"/>
              <w:right w:val="single" w:color="auto" w:sz="8" w:space="0"/>
            </w:tcBorders>
            <w:noWrap w:val="0"/>
            <w:vAlign w:val="center"/>
          </w:tcPr>
          <w:p w14:paraId="28AB0A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补贴资金准确率</w:t>
            </w:r>
          </w:p>
        </w:tc>
        <w:tc>
          <w:tcPr>
            <w:tcW w:w="346" w:type="pct"/>
            <w:tcBorders>
              <w:top w:val="nil"/>
              <w:left w:val="nil"/>
              <w:bottom w:val="single" w:color="auto" w:sz="4" w:space="0"/>
              <w:right w:val="single" w:color="auto" w:sz="4" w:space="0"/>
            </w:tcBorders>
            <w:noWrap w:val="0"/>
            <w:vAlign w:val="center"/>
          </w:tcPr>
          <w:p w14:paraId="02C9B2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=100%</w:t>
            </w:r>
          </w:p>
        </w:tc>
        <w:tc>
          <w:tcPr>
            <w:tcW w:w="1643" w:type="pct"/>
            <w:vMerge w:val="continue"/>
            <w:tcBorders>
              <w:left w:val="single" w:color="auto" w:sz="4" w:space="0"/>
              <w:right w:val="single" w:color="auto" w:sz="4" w:space="0"/>
            </w:tcBorders>
            <w:noWrap w:val="0"/>
            <w:vAlign w:val="center"/>
          </w:tcPr>
          <w:p w14:paraId="33FFDE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p>
        </w:tc>
        <w:tc>
          <w:tcPr>
            <w:tcW w:w="319" w:type="pct"/>
            <w:tcBorders>
              <w:top w:val="nil"/>
              <w:left w:val="single" w:color="auto" w:sz="4" w:space="0"/>
              <w:bottom w:val="single" w:color="auto" w:sz="4" w:space="0"/>
              <w:right w:val="single" w:color="auto" w:sz="8" w:space="0"/>
            </w:tcBorders>
            <w:noWrap w:val="0"/>
            <w:vAlign w:val="center"/>
          </w:tcPr>
          <w:p w14:paraId="6699C4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100%</w:t>
            </w:r>
          </w:p>
        </w:tc>
        <w:tc>
          <w:tcPr>
            <w:tcW w:w="326" w:type="pct"/>
            <w:tcBorders>
              <w:top w:val="nil"/>
              <w:left w:val="nil"/>
              <w:bottom w:val="single" w:color="auto" w:sz="4" w:space="0"/>
              <w:right w:val="single" w:color="auto" w:sz="8" w:space="0"/>
            </w:tcBorders>
            <w:noWrap w:val="0"/>
            <w:vAlign w:val="center"/>
          </w:tcPr>
          <w:p w14:paraId="752134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5</w:t>
            </w:r>
          </w:p>
        </w:tc>
      </w:tr>
      <w:tr w14:paraId="49D78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305" w:type="pct"/>
            <w:vMerge w:val="continue"/>
            <w:tcBorders>
              <w:top w:val="single" w:color="auto" w:sz="4" w:space="0"/>
              <w:left w:val="single" w:color="auto" w:sz="4" w:space="0"/>
              <w:bottom w:val="single" w:color="auto" w:sz="8" w:space="0"/>
              <w:right w:val="single" w:color="auto" w:sz="8" w:space="0"/>
            </w:tcBorders>
            <w:noWrap w:val="0"/>
            <w:vAlign w:val="center"/>
          </w:tcPr>
          <w:p w14:paraId="5244154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single" w:color="auto" w:sz="4" w:space="0"/>
              <w:left w:val="nil"/>
              <w:bottom w:val="single" w:color="auto" w:sz="8" w:space="0"/>
              <w:right w:val="single" w:color="auto" w:sz="8" w:space="0"/>
            </w:tcBorders>
            <w:noWrap w:val="0"/>
            <w:vAlign w:val="center"/>
          </w:tcPr>
          <w:p w14:paraId="36C5581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restart"/>
            <w:tcBorders>
              <w:top w:val="single" w:color="auto" w:sz="4" w:space="0"/>
              <w:left w:val="nil"/>
              <w:right w:val="single" w:color="auto" w:sz="8" w:space="0"/>
            </w:tcBorders>
            <w:noWrap w:val="0"/>
            <w:vAlign w:val="center"/>
          </w:tcPr>
          <w:p w14:paraId="3B23B83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产出时效</w:t>
            </w:r>
          </w:p>
        </w:tc>
        <w:tc>
          <w:tcPr>
            <w:tcW w:w="212" w:type="pct"/>
            <w:vMerge w:val="restart"/>
            <w:tcBorders>
              <w:top w:val="single" w:color="auto" w:sz="4" w:space="0"/>
              <w:left w:val="nil"/>
              <w:right w:val="single" w:color="auto" w:sz="8" w:space="0"/>
            </w:tcBorders>
            <w:noWrap w:val="0"/>
            <w:vAlign w:val="center"/>
          </w:tcPr>
          <w:p w14:paraId="4D04D1B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10</w:t>
            </w:r>
          </w:p>
        </w:tc>
        <w:tc>
          <w:tcPr>
            <w:tcW w:w="427" w:type="pct"/>
            <w:vMerge w:val="restart"/>
            <w:tcBorders>
              <w:top w:val="single" w:color="auto" w:sz="4" w:space="0"/>
              <w:left w:val="nil"/>
              <w:right w:val="single" w:color="auto" w:sz="8" w:space="0"/>
            </w:tcBorders>
            <w:noWrap w:val="0"/>
            <w:vAlign w:val="center"/>
          </w:tcPr>
          <w:p w14:paraId="737B046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iCs/>
                <w:color w:val="auto"/>
                <w:kern w:val="0"/>
                <w:sz w:val="24"/>
                <w:szCs w:val="24"/>
                <w:highlight w:val="none"/>
                <w:u w:val="none"/>
                <w:lang w:val="en-US" w:eastAsia="zh-CN"/>
              </w:rPr>
            </w:pPr>
            <w:r>
              <w:rPr>
                <w:rFonts w:hint="eastAsia" w:ascii="宋体" w:hAnsi="宋体" w:eastAsia="宋体" w:cs="宋体"/>
                <w:i/>
                <w:iCs/>
                <w:color w:val="auto"/>
                <w:kern w:val="0"/>
                <w:sz w:val="24"/>
                <w:szCs w:val="24"/>
                <w:highlight w:val="none"/>
                <w:u w:val="none"/>
                <w:lang w:val="en-US" w:eastAsia="zh-CN"/>
              </w:rPr>
              <w:t>完成及时率</w:t>
            </w:r>
          </w:p>
        </w:tc>
        <w:tc>
          <w:tcPr>
            <w:tcW w:w="242" w:type="pct"/>
            <w:tcBorders>
              <w:top w:val="single" w:color="auto" w:sz="4" w:space="0"/>
              <w:left w:val="nil"/>
              <w:bottom w:val="single" w:color="auto" w:sz="8" w:space="0"/>
              <w:right w:val="single" w:color="auto" w:sz="8" w:space="0"/>
            </w:tcBorders>
            <w:noWrap w:val="0"/>
            <w:vAlign w:val="center"/>
          </w:tcPr>
          <w:p w14:paraId="309D820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c>
          <w:tcPr>
            <w:tcW w:w="658" w:type="pct"/>
            <w:tcBorders>
              <w:top w:val="single" w:color="auto" w:sz="4" w:space="0"/>
              <w:left w:val="nil"/>
              <w:bottom w:val="single" w:color="auto" w:sz="8" w:space="0"/>
              <w:right w:val="single" w:color="auto" w:sz="8" w:space="0"/>
            </w:tcBorders>
            <w:shd w:val="clear" w:color="auto" w:fill="auto"/>
            <w:noWrap w:val="0"/>
            <w:vAlign w:val="center"/>
          </w:tcPr>
          <w:p w14:paraId="40AB221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sz w:val="24"/>
                <w:szCs w:val="24"/>
                <w:highlight w:val="none"/>
                <w:u w:val="none"/>
                <w:lang w:val="en-US" w:eastAsia="zh-CN"/>
              </w:rPr>
              <w:t>项目完成时间</w:t>
            </w:r>
          </w:p>
        </w:tc>
        <w:tc>
          <w:tcPr>
            <w:tcW w:w="346" w:type="pct"/>
            <w:tcBorders>
              <w:top w:val="single" w:color="auto" w:sz="4" w:space="0"/>
              <w:left w:val="nil"/>
              <w:bottom w:val="single" w:color="auto" w:sz="8" w:space="0"/>
              <w:right w:val="single" w:color="auto" w:sz="8" w:space="0"/>
            </w:tcBorders>
            <w:shd w:val="clear" w:color="auto" w:fill="auto"/>
            <w:noWrap w:val="0"/>
            <w:vAlign w:val="center"/>
          </w:tcPr>
          <w:p w14:paraId="32503BD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sz w:val="24"/>
                <w:szCs w:val="24"/>
                <w:highlight w:val="none"/>
                <w:u w:val="none"/>
                <w:lang w:val="en-US" w:eastAsia="zh-CN"/>
              </w:rPr>
              <w:t>2024年12月</w:t>
            </w:r>
          </w:p>
        </w:tc>
        <w:tc>
          <w:tcPr>
            <w:tcW w:w="1643" w:type="pct"/>
            <w:vMerge w:val="restart"/>
            <w:tcBorders>
              <w:top w:val="single" w:color="auto" w:sz="4" w:space="0"/>
              <w:left w:val="nil"/>
              <w:right w:val="single" w:color="auto" w:sz="8" w:space="0"/>
            </w:tcBorders>
            <w:shd w:val="clear" w:color="auto" w:fill="auto"/>
            <w:noWrap w:val="0"/>
            <w:vAlign w:val="center"/>
          </w:tcPr>
          <w:p w14:paraId="1676B2B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sz w:val="24"/>
                <w:szCs w:val="24"/>
                <w:highlight w:val="none"/>
                <w:u w:val="none"/>
                <w:lang w:val="en-US" w:eastAsia="zh-CN"/>
              </w:rPr>
              <w:t>若在规定时间内完成，得100%权重分；若未在规定的时间内完成，得分=（1-未在规定时间内完成工作数/实际完成工作总数）×分值。</w:t>
            </w:r>
          </w:p>
        </w:tc>
        <w:tc>
          <w:tcPr>
            <w:tcW w:w="319" w:type="pct"/>
            <w:tcBorders>
              <w:top w:val="single" w:color="auto" w:sz="4" w:space="0"/>
              <w:left w:val="nil"/>
              <w:bottom w:val="single" w:color="auto" w:sz="8" w:space="0"/>
              <w:right w:val="single" w:color="auto" w:sz="8" w:space="0"/>
            </w:tcBorders>
            <w:shd w:val="clear" w:color="auto" w:fill="auto"/>
            <w:noWrap w:val="0"/>
            <w:vAlign w:val="center"/>
          </w:tcPr>
          <w:p w14:paraId="6BBE9C7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sz w:val="24"/>
                <w:szCs w:val="24"/>
                <w:highlight w:val="none"/>
                <w:u w:val="none"/>
                <w:lang w:val="en-US" w:eastAsia="zh-CN"/>
              </w:rPr>
              <w:t>2024年12月</w:t>
            </w:r>
          </w:p>
        </w:tc>
        <w:tc>
          <w:tcPr>
            <w:tcW w:w="326" w:type="pct"/>
            <w:tcBorders>
              <w:top w:val="single" w:color="auto" w:sz="4" w:space="0"/>
              <w:left w:val="nil"/>
              <w:bottom w:val="single" w:color="auto" w:sz="8" w:space="0"/>
              <w:right w:val="single" w:color="auto" w:sz="8" w:space="0"/>
            </w:tcBorders>
            <w:noWrap w:val="0"/>
            <w:vAlign w:val="center"/>
          </w:tcPr>
          <w:p w14:paraId="57AC4A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r>
      <w:tr w14:paraId="04AC9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trPr>
        <w:tc>
          <w:tcPr>
            <w:tcW w:w="305" w:type="pct"/>
            <w:vMerge w:val="continue"/>
            <w:tcBorders>
              <w:top w:val="single" w:color="auto" w:sz="4" w:space="0"/>
              <w:left w:val="single" w:color="auto" w:sz="4" w:space="0"/>
              <w:bottom w:val="single" w:color="auto" w:sz="8" w:space="0"/>
              <w:right w:val="single" w:color="auto" w:sz="8" w:space="0"/>
            </w:tcBorders>
            <w:noWrap w:val="0"/>
            <w:vAlign w:val="center"/>
          </w:tcPr>
          <w:p w14:paraId="4676FFB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single" w:color="auto" w:sz="4" w:space="0"/>
              <w:left w:val="nil"/>
              <w:bottom w:val="single" w:color="auto" w:sz="8" w:space="0"/>
              <w:right w:val="single" w:color="auto" w:sz="8" w:space="0"/>
            </w:tcBorders>
            <w:noWrap w:val="0"/>
            <w:vAlign w:val="center"/>
          </w:tcPr>
          <w:p w14:paraId="0F27E14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continue"/>
            <w:tcBorders>
              <w:left w:val="nil"/>
              <w:bottom w:val="single" w:color="auto" w:sz="8" w:space="0"/>
              <w:right w:val="single" w:color="auto" w:sz="8" w:space="0"/>
            </w:tcBorders>
            <w:noWrap w:val="0"/>
            <w:vAlign w:val="center"/>
          </w:tcPr>
          <w:p w14:paraId="7EFFE8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p>
        </w:tc>
        <w:tc>
          <w:tcPr>
            <w:tcW w:w="212" w:type="pct"/>
            <w:vMerge w:val="continue"/>
            <w:tcBorders>
              <w:left w:val="nil"/>
              <w:bottom w:val="single" w:color="auto" w:sz="8" w:space="0"/>
              <w:right w:val="single" w:color="auto" w:sz="8" w:space="0"/>
            </w:tcBorders>
            <w:noWrap w:val="0"/>
            <w:vAlign w:val="center"/>
          </w:tcPr>
          <w:p w14:paraId="645C2E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p>
        </w:tc>
        <w:tc>
          <w:tcPr>
            <w:tcW w:w="427" w:type="pct"/>
            <w:vMerge w:val="continue"/>
            <w:tcBorders>
              <w:left w:val="nil"/>
              <w:bottom w:val="single" w:color="auto" w:sz="8" w:space="0"/>
              <w:right w:val="single" w:color="auto" w:sz="8" w:space="0"/>
            </w:tcBorders>
            <w:noWrap w:val="0"/>
            <w:vAlign w:val="center"/>
          </w:tcPr>
          <w:p w14:paraId="5AB975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4"/>
                <w:szCs w:val="24"/>
                <w:highlight w:val="none"/>
                <w:u w:val="none"/>
                <w:lang w:val="en-US" w:eastAsia="zh-CN"/>
              </w:rPr>
            </w:pPr>
          </w:p>
        </w:tc>
        <w:tc>
          <w:tcPr>
            <w:tcW w:w="242" w:type="pct"/>
            <w:tcBorders>
              <w:top w:val="single" w:color="auto" w:sz="4" w:space="0"/>
              <w:left w:val="nil"/>
              <w:bottom w:val="single" w:color="auto" w:sz="8" w:space="0"/>
              <w:right w:val="single" w:color="auto" w:sz="8" w:space="0"/>
            </w:tcBorders>
            <w:noWrap w:val="0"/>
            <w:vAlign w:val="center"/>
          </w:tcPr>
          <w:p w14:paraId="75C14B1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c>
          <w:tcPr>
            <w:tcW w:w="658" w:type="pct"/>
            <w:tcBorders>
              <w:top w:val="single" w:color="auto" w:sz="4" w:space="0"/>
              <w:left w:val="nil"/>
              <w:bottom w:val="single" w:color="auto" w:sz="8" w:space="0"/>
              <w:right w:val="single" w:color="auto" w:sz="8" w:space="0"/>
            </w:tcBorders>
            <w:shd w:val="clear" w:color="auto" w:fill="auto"/>
            <w:noWrap w:val="0"/>
            <w:vAlign w:val="center"/>
          </w:tcPr>
          <w:p w14:paraId="0FF72D0C">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rPr>
              <w:t>补贴资金发放及时率</w:t>
            </w:r>
          </w:p>
        </w:tc>
        <w:tc>
          <w:tcPr>
            <w:tcW w:w="346" w:type="pct"/>
            <w:tcBorders>
              <w:top w:val="single" w:color="auto" w:sz="4" w:space="0"/>
              <w:left w:val="nil"/>
              <w:bottom w:val="single" w:color="auto" w:sz="8" w:space="0"/>
              <w:right w:val="single" w:color="auto" w:sz="8" w:space="0"/>
            </w:tcBorders>
            <w:shd w:val="clear" w:color="auto" w:fill="auto"/>
            <w:noWrap w:val="0"/>
            <w:vAlign w:val="center"/>
          </w:tcPr>
          <w:p w14:paraId="291C8048">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rPr>
              <w:t>=100%</w:t>
            </w:r>
          </w:p>
        </w:tc>
        <w:tc>
          <w:tcPr>
            <w:tcW w:w="1643" w:type="pct"/>
            <w:vMerge w:val="continue"/>
            <w:tcBorders>
              <w:left w:val="nil"/>
              <w:bottom w:val="single" w:color="auto" w:sz="8" w:space="0"/>
              <w:right w:val="single" w:color="auto" w:sz="8" w:space="0"/>
            </w:tcBorders>
            <w:noWrap w:val="0"/>
            <w:vAlign w:val="center"/>
          </w:tcPr>
          <w:p w14:paraId="305226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p>
        </w:tc>
        <w:tc>
          <w:tcPr>
            <w:tcW w:w="319" w:type="pct"/>
            <w:tcBorders>
              <w:top w:val="single" w:color="auto" w:sz="4" w:space="0"/>
              <w:left w:val="nil"/>
              <w:bottom w:val="single" w:color="auto" w:sz="8" w:space="0"/>
              <w:right w:val="single" w:color="auto" w:sz="8" w:space="0"/>
            </w:tcBorders>
            <w:shd w:val="clear" w:color="auto" w:fill="auto"/>
            <w:noWrap w:val="0"/>
            <w:vAlign w:val="center"/>
          </w:tcPr>
          <w:p w14:paraId="160AF45E">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hAnsi="宋体" w:eastAsia="宋体" w:cs="宋体"/>
                <w:i w:val="0"/>
                <w:iCs w:val="0"/>
                <w:color w:val="auto"/>
                <w:kern w:val="0"/>
                <w:sz w:val="24"/>
                <w:szCs w:val="24"/>
                <w:highlight w:val="none"/>
                <w:u w:val="none"/>
                <w:lang w:val="en-US" w:eastAsia="zh-CN"/>
              </w:rPr>
              <w:t>100%</w:t>
            </w:r>
          </w:p>
        </w:tc>
        <w:tc>
          <w:tcPr>
            <w:tcW w:w="326" w:type="pct"/>
            <w:tcBorders>
              <w:top w:val="single" w:color="auto" w:sz="4" w:space="0"/>
              <w:left w:val="nil"/>
              <w:bottom w:val="single" w:color="auto" w:sz="8" w:space="0"/>
              <w:right w:val="single" w:color="auto" w:sz="8" w:space="0"/>
            </w:tcBorders>
            <w:noWrap w:val="0"/>
            <w:vAlign w:val="center"/>
          </w:tcPr>
          <w:p w14:paraId="6D3915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5</w:t>
            </w:r>
          </w:p>
        </w:tc>
      </w:tr>
      <w:tr w14:paraId="0F467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0" w:hRule="atLeast"/>
        </w:trPr>
        <w:tc>
          <w:tcPr>
            <w:tcW w:w="305" w:type="pct"/>
            <w:vMerge w:val="continue"/>
            <w:tcBorders>
              <w:top w:val="single" w:color="auto" w:sz="4" w:space="0"/>
              <w:left w:val="single" w:color="auto" w:sz="4" w:space="0"/>
              <w:bottom w:val="single" w:color="auto" w:sz="8" w:space="0"/>
              <w:right w:val="single" w:color="auto" w:sz="8" w:space="0"/>
            </w:tcBorders>
            <w:noWrap w:val="0"/>
            <w:vAlign w:val="center"/>
          </w:tcPr>
          <w:p w14:paraId="5B1AE4C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single" w:color="auto" w:sz="4" w:space="0"/>
              <w:left w:val="nil"/>
              <w:bottom w:val="single" w:color="auto" w:sz="8" w:space="0"/>
              <w:right w:val="single" w:color="auto" w:sz="8" w:space="0"/>
            </w:tcBorders>
            <w:noWrap w:val="0"/>
            <w:vAlign w:val="center"/>
          </w:tcPr>
          <w:p w14:paraId="4EAB9B7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tcBorders>
              <w:top w:val="single" w:color="auto" w:sz="4" w:space="0"/>
              <w:left w:val="nil"/>
              <w:bottom w:val="single" w:color="auto" w:sz="8" w:space="0"/>
              <w:right w:val="single" w:color="auto" w:sz="8" w:space="0"/>
            </w:tcBorders>
            <w:noWrap w:val="0"/>
            <w:vAlign w:val="center"/>
          </w:tcPr>
          <w:p w14:paraId="211454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产出成本</w:t>
            </w:r>
          </w:p>
        </w:tc>
        <w:tc>
          <w:tcPr>
            <w:tcW w:w="212" w:type="pct"/>
            <w:tcBorders>
              <w:top w:val="single" w:color="auto" w:sz="4" w:space="0"/>
              <w:left w:val="nil"/>
              <w:bottom w:val="single" w:color="auto" w:sz="8" w:space="0"/>
              <w:right w:val="single" w:color="auto" w:sz="8" w:space="0"/>
            </w:tcBorders>
            <w:noWrap w:val="0"/>
            <w:vAlign w:val="center"/>
          </w:tcPr>
          <w:p w14:paraId="46881A0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w:t>
            </w:r>
          </w:p>
        </w:tc>
        <w:tc>
          <w:tcPr>
            <w:tcW w:w="427" w:type="pct"/>
            <w:tcBorders>
              <w:top w:val="single" w:color="auto" w:sz="4" w:space="0"/>
              <w:left w:val="nil"/>
              <w:bottom w:val="single" w:color="auto" w:sz="8" w:space="0"/>
              <w:right w:val="single" w:color="auto" w:sz="8" w:space="0"/>
            </w:tcBorders>
            <w:noWrap w:val="0"/>
            <w:vAlign w:val="center"/>
          </w:tcPr>
          <w:p w14:paraId="3772BC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成本节约率</w:t>
            </w:r>
          </w:p>
        </w:tc>
        <w:tc>
          <w:tcPr>
            <w:tcW w:w="242" w:type="pct"/>
            <w:tcBorders>
              <w:top w:val="single" w:color="auto" w:sz="4" w:space="0"/>
              <w:left w:val="nil"/>
              <w:bottom w:val="single" w:color="auto" w:sz="8" w:space="0"/>
              <w:right w:val="single" w:color="auto" w:sz="8" w:space="0"/>
            </w:tcBorders>
            <w:noWrap w:val="0"/>
            <w:vAlign w:val="center"/>
          </w:tcPr>
          <w:p w14:paraId="49B6EA1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10</w:t>
            </w:r>
          </w:p>
        </w:tc>
        <w:tc>
          <w:tcPr>
            <w:tcW w:w="658" w:type="pct"/>
            <w:tcBorders>
              <w:top w:val="single" w:color="auto" w:sz="4" w:space="0"/>
              <w:left w:val="nil"/>
              <w:bottom w:val="single" w:color="auto" w:sz="8" w:space="0"/>
              <w:right w:val="single" w:color="auto" w:sz="8" w:space="0"/>
            </w:tcBorders>
            <w:noWrap w:val="0"/>
            <w:vAlign w:val="center"/>
          </w:tcPr>
          <w:p w14:paraId="64BBF1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补助标准</w:t>
            </w:r>
          </w:p>
        </w:tc>
        <w:tc>
          <w:tcPr>
            <w:tcW w:w="346" w:type="pct"/>
            <w:tcBorders>
              <w:top w:val="single" w:color="auto" w:sz="4" w:space="0"/>
              <w:left w:val="nil"/>
              <w:bottom w:val="single" w:color="auto" w:sz="8" w:space="0"/>
              <w:right w:val="single" w:color="auto" w:sz="8" w:space="0"/>
            </w:tcBorders>
            <w:noWrap w:val="0"/>
            <w:vAlign w:val="center"/>
          </w:tcPr>
          <w:p w14:paraId="54FC6C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&lt;=150元/亩</w:t>
            </w:r>
          </w:p>
        </w:tc>
        <w:tc>
          <w:tcPr>
            <w:tcW w:w="1643" w:type="pct"/>
            <w:tcBorders>
              <w:top w:val="single" w:color="auto" w:sz="4" w:space="0"/>
              <w:left w:val="nil"/>
              <w:bottom w:val="single" w:color="auto" w:sz="8" w:space="0"/>
              <w:right w:val="single" w:color="auto" w:sz="8" w:space="0"/>
            </w:tcBorders>
            <w:noWrap w:val="0"/>
            <w:vAlign w:val="center"/>
          </w:tcPr>
          <w:p w14:paraId="458A5EB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4"/>
                <w:szCs w:val="24"/>
                <w:highlight w:val="none"/>
                <w:u w:val="none"/>
                <w:lang w:val="en-US" w:eastAsia="zh-CN"/>
              </w:rPr>
            </w:pPr>
            <w:r>
              <w:rPr>
                <w:rFonts w:hint="eastAsia" w:ascii="宋体" w:hAnsi="宋体" w:eastAsia="宋体" w:cs="宋体"/>
                <w:i w:val="0"/>
                <w:iCs w:val="0"/>
                <w:color w:val="auto"/>
                <w:kern w:val="0"/>
                <w:sz w:val="24"/>
                <w:szCs w:val="24"/>
                <w:highlight w:val="none"/>
                <w:u w:val="none"/>
                <w:lang w:val="en-US" w:eastAsia="zh-CN"/>
              </w:rPr>
              <w:t>实际完成率=（实际支付资金数/计划应支付资金数）×100%。</w:t>
            </w:r>
          </w:p>
          <w:p w14:paraId="25B3D72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①实际完成率＞年度指标值，得0得分；</w:t>
            </w:r>
          </w:p>
          <w:p w14:paraId="49B4F8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②实际完成率≤年度指标值，且偏离程度＜20%，得满分；</w:t>
            </w:r>
          </w:p>
          <w:p w14:paraId="099530B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③实际完成率＜年度指标值，且偏离程度≥20%，得分=实际完成率×分值。</w:t>
            </w:r>
          </w:p>
        </w:tc>
        <w:tc>
          <w:tcPr>
            <w:tcW w:w="319" w:type="pct"/>
            <w:tcBorders>
              <w:top w:val="single" w:color="auto" w:sz="4" w:space="0"/>
              <w:left w:val="nil"/>
              <w:bottom w:val="single" w:color="auto" w:sz="8" w:space="0"/>
              <w:right w:val="single" w:color="auto" w:sz="8" w:space="0"/>
            </w:tcBorders>
            <w:noWrap w:val="0"/>
            <w:vAlign w:val="center"/>
          </w:tcPr>
          <w:p w14:paraId="414261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150元/亩</w:t>
            </w:r>
          </w:p>
        </w:tc>
        <w:tc>
          <w:tcPr>
            <w:tcW w:w="326" w:type="pct"/>
            <w:tcBorders>
              <w:top w:val="single" w:color="auto" w:sz="4" w:space="0"/>
              <w:left w:val="nil"/>
              <w:bottom w:val="single" w:color="auto" w:sz="8" w:space="0"/>
              <w:right w:val="single" w:color="auto" w:sz="8" w:space="0"/>
            </w:tcBorders>
            <w:noWrap w:val="0"/>
            <w:vAlign w:val="center"/>
          </w:tcPr>
          <w:p w14:paraId="3BECD64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hAnsi="宋体" w:eastAsia="宋体" w:cs="宋体"/>
                <w:i w:val="0"/>
                <w:iCs w:val="0"/>
                <w:color w:val="auto"/>
                <w:sz w:val="24"/>
                <w:szCs w:val="24"/>
                <w:highlight w:val="none"/>
                <w:u w:val="none"/>
                <w:lang w:val="en-US" w:eastAsia="zh-CN"/>
              </w:rPr>
              <w:t>10</w:t>
            </w:r>
          </w:p>
        </w:tc>
      </w:tr>
      <w:tr w14:paraId="45A07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305" w:type="pct"/>
            <w:vMerge w:val="restart"/>
            <w:tcBorders>
              <w:top w:val="nil"/>
              <w:left w:val="single" w:color="auto" w:sz="8" w:space="0"/>
              <w:bottom w:val="single" w:color="auto" w:sz="8" w:space="0"/>
              <w:right w:val="single" w:color="auto" w:sz="8" w:space="0"/>
            </w:tcBorders>
            <w:noWrap w:val="0"/>
            <w:vAlign w:val="center"/>
          </w:tcPr>
          <w:p w14:paraId="74CC54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项目效益</w:t>
            </w:r>
          </w:p>
        </w:tc>
        <w:tc>
          <w:tcPr>
            <w:tcW w:w="207" w:type="pct"/>
            <w:vMerge w:val="restart"/>
            <w:tcBorders>
              <w:top w:val="nil"/>
              <w:left w:val="nil"/>
              <w:bottom w:val="single" w:color="auto" w:sz="8" w:space="0"/>
              <w:right w:val="single" w:color="auto" w:sz="8" w:space="0"/>
            </w:tcBorders>
            <w:noWrap w:val="0"/>
            <w:vAlign w:val="center"/>
          </w:tcPr>
          <w:p w14:paraId="3B6898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25</w:t>
            </w:r>
          </w:p>
        </w:tc>
        <w:tc>
          <w:tcPr>
            <w:tcW w:w="310" w:type="pct"/>
            <w:vMerge w:val="restart"/>
            <w:tcBorders>
              <w:top w:val="nil"/>
              <w:left w:val="nil"/>
              <w:bottom w:val="single" w:color="auto" w:sz="8" w:space="0"/>
              <w:right w:val="single" w:color="auto" w:sz="8" w:space="0"/>
            </w:tcBorders>
            <w:noWrap w:val="0"/>
            <w:vAlign w:val="center"/>
          </w:tcPr>
          <w:p w14:paraId="1D4F54B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项目效益</w:t>
            </w:r>
          </w:p>
        </w:tc>
        <w:tc>
          <w:tcPr>
            <w:tcW w:w="212" w:type="pct"/>
            <w:vMerge w:val="restart"/>
            <w:tcBorders>
              <w:top w:val="nil"/>
              <w:left w:val="nil"/>
              <w:bottom w:val="single" w:color="auto" w:sz="8" w:space="0"/>
              <w:right w:val="single" w:color="auto" w:sz="8" w:space="0"/>
            </w:tcBorders>
            <w:noWrap w:val="0"/>
            <w:vAlign w:val="center"/>
          </w:tcPr>
          <w:p w14:paraId="58AB18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25</w:t>
            </w:r>
          </w:p>
        </w:tc>
        <w:tc>
          <w:tcPr>
            <w:tcW w:w="427" w:type="pct"/>
            <w:tcBorders>
              <w:top w:val="nil"/>
              <w:left w:val="nil"/>
              <w:bottom w:val="single" w:color="auto" w:sz="8" w:space="0"/>
              <w:right w:val="single" w:color="auto" w:sz="8" w:space="0"/>
            </w:tcBorders>
            <w:noWrap w:val="0"/>
            <w:vAlign w:val="center"/>
          </w:tcPr>
          <w:p w14:paraId="321EE61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社会效益</w:t>
            </w:r>
          </w:p>
        </w:tc>
        <w:tc>
          <w:tcPr>
            <w:tcW w:w="242" w:type="pct"/>
            <w:tcBorders>
              <w:top w:val="nil"/>
              <w:left w:val="nil"/>
              <w:bottom w:val="single" w:color="auto" w:sz="8" w:space="0"/>
              <w:right w:val="single" w:color="auto" w:sz="8" w:space="0"/>
            </w:tcBorders>
            <w:noWrap w:val="0"/>
            <w:vAlign w:val="center"/>
          </w:tcPr>
          <w:p w14:paraId="46CC56D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15</w:t>
            </w:r>
          </w:p>
        </w:tc>
        <w:tc>
          <w:tcPr>
            <w:tcW w:w="658" w:type="pct"/>
            <w:tcBorders>
              <w:top w:val="nil"/>
              <w:left w:val="nil"/>
              <w:bottom w:val="single" w:color="auto" w:sz="8" w:space="0"/>
              <w:right w:val="single" w:color="auto" w:sz="8" w:space="0"/>
            </w:tcBorders>
            <w:noWrap w:val="0"/>
            <w:vAlign w:val="center"/>
          </w:tcPr>
          <w:p w14:paraId="1AA314F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保障农民安全生产和粮食增收</w:t>
            </w:r>
          </w:p>
        </w:tc>
        <w:tc>
          <w:tcPr>
            <w:tcW w:w="346" w:type="pct"/>
            <w:tcBorders>
              <w:top w:val="nil"/>
              <w:left w:val="nil"/>
              <w:bottom w:val="single" w:color="auto" w:sz="8" w:space="0"/>
              <w:right w:val="single" w:color="auto" w:sz="8" w:space="0"/>
            </w:tcBorders>
            <w:noWrap w:val="0"/>
            <w:vAlign w:val="center"/>
          </w:tcPr>
          <w:p w14:paraId="5B41D1A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rPr>
              <w:t>有效保障</w:t>
            </w:r>
          </w:p>
        </w:tc>
        <w:tc>
          <w:tcPr>
            <w:tcW w:w="1643" w:type="pct"/>
            <w:tcBorders>
              <w:top w:val="nil"/>
              <w:left w:val="nil"/>
              <w:bottom w:val="single" w:color="auto" w:sz="8" w:space="0"/>
              <w:right w:val="single" w:color="auto" w:sz="8" w:space="0"/>
            </w:tcBorders>
            <w:noWrap w:val="0"/>
            <w:vAlign w:val="center"/>
          </w:tcPr>
          <w:p w14:paraId="68497FB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按评判等级赋分。分为基本达成目标、部分实现目标、实现目标程度较低三个档次，并分别按照该指标对应分值区间100%-80%（含）、80%-60%（含）、60%-0%合理确定分值。</w:t>
            </w:r>
          </w:p>
        </w:tc>
        <w:tc>
          <w:tcPr>
            <w:tcW w:w="319" w:type="pct"/>
            <w:tcBorders>
              <w:top w:val="nil"/>
              <w:left w:val="nil"/>
              <w:bottom w:val="single" w:color="auto" w:sz="8" w:space="0"/>
              <w:right w:val="single" w:color="auto" w:sz="8" w:space="0"/>
            </w:tcBorders>
            <w:noWrap w:val="0"/>
            <w:vAlign w:val="center"/>
          </w:tcPr>
          <w:p w14:paraId="78A736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有效保障</w:t>
            </w:r>
          </w:p>
        </w:tc>
        <w:tc>
          <w:tcPr>
            <w:tcW w:w="326" w:type="pct"/>
            <w:tcBorders>
              <w:top w:val="nil"/>
              <w:left w:val="nil"/>
              <w:bottom w:val="single" w:color="auto" w:sz="8" w:space="0"/>
              <w:right w:val="single" w:color="auto" w:sz="8" w:space="0"/>
            </w:tcBorders>
            <w:noWrap w:val="0"/>
            <w:vAlign w:val="center"/>
          </w:tcPr>
          <w:p w14:paraId="0E73A5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15</w:t>
            </w:r>
          </w:p>
        </w:tc>
      </w:tr>
      <w:tr w14:paraId="2CAB0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05" w:type="pct"/>
            <w:vMerge w:val="continue"/>
            <w:tcBorders>
              <w:top w:val="nil"/>
              <w:left w:val="single" w:color="auto" w:sz="8" w:space="0"/>
              <w:bottom w:val="single" w:color="auto" w:sz="8" w:space="0"/>
              <w:right w:val="single" w:color="auto" w:sz="8" w:space="0"/>
            </w:tcBorders>
            <w:noWrap w:val="0"/>
            <w:vAlign w:val="center"/>
          </w:tcPr>
          <w:p w14:paraId="238A170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07" w:type="pct"/>
            <w:vMerge w:val="continue"/>
            <w:tcBorders>
              <w:top w:val="nil"/>
              <w:left w:val="nil"/>
              <w:bottom w:val="single" w:color="auto" w:sz="8" w:space="0"/>
              <w:right w:val="single" w:color="auto" w:sz="8" w:space="0"/>
            </w:tcBorders>
            <w:noWrap w:val="0"/>
            <w:vAlign w:val="center"/>
          </w:tcPr>
          <w:p w14:paraId="3B1DBC8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0" w:type="pct"/>
            <w:vMerge w:val="continue"/>
            <w:tcBorders>
              <w:top w:val="nil"/>
              <w:left w:val="nil"/>
              <w:bottom w:val="single" w:color="auto" w:sz="8" w:space="0"/>
              <w:right w:val="single" w:color="auto" w:sz="8" w:space="0"/>
            </w:tcBorders>
            <w:noWrap w:val="0"/>
            <w:vAlign w:val="center"/>
          </w:tcPr>
          <w:p w14:paraId="2BC1853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12" w:type="pct"/>
            <w:vMerge w:val="continue"/>
            <w:tcBorders>
              <w:top w:val="nil"/>
              <w:left w:val="nil"/>
              <w:bottom w:val="single" w:color="auto" w:sz="8" w:space="0"/>
              <w:right w:val="single" w:color="auto" w:sz="8" w:space="0"/>
            </w:tcBorders>
            <w:noWrap w:val="0"/>
            <w:vAlign w:val="center"/>
          </w:tcPr>
          <w:p w14:paraId="1BB93F0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427" w:type="pct"/>
            <w:tcBorders>
              <w:top w:val="nil"/>
              <w:left w:val="nil"/>
              <w:bottom w:val="single" w:color="auto" w:sz="8" w:space="0"/>
              <w:right w:val="single" w:color="auto" w:sz="8" w:space="0"/>
            </w:tcBorders>
            <w:noWrap w:val="0"/>
            <w:vAlign w:val="center"/>
          </w:tcPr>
          <w:p w14:paraId="444220E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服务对象满意度</w:t>
            </w:r>
          </w:p>
        </w:tc>
        <w:tc>
          <w:tcPr>
            <w:tcW w:w="242" w:type="pct"/>
            <w:tcBorders>
              <w:top w:val="nil"/>
              <w:left w:val="nil"/>
              <w:bottom w:val="single" w:color="auto" w:sz="8" w:space="0"/>
              <w:right w:val="single" w:color="auto" w:sz="8" w:space="0"/>
            </w:tcBorders>
            <w:noWrap w:val="0"/>
            <w:vAlign w:val="center"/>
          </w:tcPr>
          <w:p w14:paraId="4EC227E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w:t>
            </w:r>
          </w:p>
        </w:tc>
        <w:tc>
          <w:tcPr>
            <w:tcW w:w="658" w:type="pct"/>
            <w:tcBorders>
              <w:top w:val="nil"/>
              <w:left w:val="nil"/>
              <w:bottom w:val="single" w:color="auto" w:sz="8" w:space="0"/>
              <w:right w:val="single" w:color="auto" w:sz="8" w:space="0"/>
            </w:tcBorders>
            <w:noWrap w:val="0"/>
            <w:vAlign w:val="center"/>
          </w:tcPr>
          <w:p w14:paraId="666BA8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受益群众满意度</w:t>
            </w:r>
          </w:p>
        </w:tc>
        <w:tc>
          <w:tcPr>
            <w:tcW w:w="346" w:type="pct"/>
            <w:tcBorders>
              <w:top w:val="nil"/>
              <w:left w:val="nil"/>
              <w:bottom w:val="single" w:color="auto" w:sz="8" w:space="0"/>
              <w:right w:val="single" w:color="auto" w:sz="8" w:space="0"/>
            </w:tcBorders>
            <w:noWrap w:val="0"/>
            <w:vAlign w:val="center"/>
          </w:tcPr>
          <w:p w14:paraId="05F2E4E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≥95%</w:t>
            </w:r>
          </w:p>
        </w:tc>
        <w:tc>
          <w:tcPr>
            <w:tcW w:w="1643" w:type="pct"/>
            <w:tcBorders>
              <w:top w:val="nil"/>
              <w:left w:val="nil"/>
              <w:bottom w:val="single" w:color="auto" w:sz="8" w:space="0"/>
              <w:right w:val="single" w:color="auto" w:sz="8" w:space="0"/>
            </w:tcBorders>
            <w:noWrap w:val="0"/>
            <w:vAlign w:val="center"/>
          </w:tcPr>
          <w:p w14:paraId="28B456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根据问卷调查，满意度达到标杆值，得权重分的100%；否则低于95%，得分=实际满意度*指标分值。</w:t>
            </w:r>
          </w:p>
        </w:tc>
        <w:tc>
          <w:tcPr>
            <w:tcW w:w="319" w:type="pct"/>
            <w:tcBorders>
              <w:top w:val="nil"/>
              <w:left w:val="nil"/>
              <w:bottom w:val="single" w:color="auto" w:sz="8" w:space="0"/>
              <w:right w:val="single" w:color="auto" w:sz="8" w:space="0"/>
            </w:tcBorders>
            <w:noWrap w:val="0"/>
            <w:vAlign w:val="center"/>
          </w:tcPr>
          <w:p w14:paraId="15ABE98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≥95%</w:t>
            </w:r>
          </w:p>
        </w:tc>
        <w:tc>
          <w:tcPr>
            <w:tcW w:w="326" w:type="pct"/>
            <w:tcBorders>
              <w:top w:val="nil"/>
              <w:left w:val="nil"/>
              <w:bottom w:val="single" w:color="auto" w:sz="8" w:space="0"/>
              <w:right w:val="single" w:color="auto" w:sz="8" w:space="0"/>
            </w:tcBorders>
            <w:noWrap w:val="0"/>
            <w:vAlign w:val="center"/>
          </w:tcPr>
          <w:p w14:paraId="70F01B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w:t>
            </w:r>
          </w:p>
        </w:tc>
      </w:tr>
      <w:tr w14:paraId="213C7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05" w:type="pct"/>
            <w:tcBorders>
              <w:top w:val="nil"/>
              <w:left w:val="single" w:color="auto" w:sz="8" w:space="0"/>
              <w:bottom w:val="single" w:color="auto" w:sz="8" w:space="0"/>
              <w:right w:val="single" w:color="auto" w:sz="8" w:space="0"/>
            </w:tcBorders>
            <w:noWrap w:val="0"/>
            <w:vAlign w:val="center"/>
          </w:tcPr>
          <w:p w14:paraId="6D5FD4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总分</w:t>
            </w:r>
          </w:p>
        </w:tc>
        <w:tc>
          <w:tcPr>
            <w:tcW w:w="207" w:type="pct"/>
            <w:tcBorders>
              <w:top w:val="nil"/>
              <w:left w:val="nil"/>
              <w:bottom w:val="single" w:color="auto" w:sz="8" w:space="0"/>
              <w:right w:val="single" w:color="auto" w:sz="8" w:space="0"/>
            </w:tcBorders>
            <w:noWrap w:val="0"/>
            <w:vAlign w:val="center"/>
          </w:tcPr>
          <w:p w14:paraId="53AA89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310" w:type="pct"/>
            <w:tcBorders>
              <w:top w:val="nil"/>
              <w:left w:val="nil"/>
              <w:bottom w:val="single" w:color="auto" w:sz="8" w:space="0"/>
              <w:right w:val="single" w:color="auto" w:sz="8" w:space="0"/>
            </w:tcBorders>
            <w:noWrap w:val="0"/>
            <w:vAlign w:val="center"/>
          </w:tcPr>
          <w:p w14:paraId="23D2F79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12" w:type="pct"/>
            <w:tcBorders>
              <w:top w:val="nil"/>
              <w:left w:val="nil"/>
              <w:bottom w:val="single" w:color="auto" w:sz="8" w:space="0"/>
              <w:right w:val="single" w:color="auto" w:sz="8" w:space="0"/>
            </w:tcBorders>
            <w:noWrap w:val="0"/>
            <w:vAlign w:val="center"/>
          </w:tcPr>
          <w:p w14:paraId="5BD63F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427" w:type="pct"/>
            <w:tcBorders>
              <w:top w:val="nil"/>
              <w:left w:val="nil"/>
              <w:bottom w:val="single" w:color="auto" w:sz="8" w:space="0"/>
              <w:right w:val="single" w:color="auto" w:sz="8" w:space="0"/>
            </w:tcBorders>
            <w:noWrap w:val="0"/>
            <w:vAlign w:val="center"/>
          </w:tcPr>
          <w:p w14:paraId="18BCC45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242" w:type="pct"/>
            <w:tcBorders>
              <w:top w:val="nil"/>
              <w:left w:val="nil"/>
              <w:bottom w:val="single" w:color="auto" w:sz="8" w:space="0"/>
              <w:right w:val="single" w:color="auto" w:sz="8" w:space="0"/>
            </w:tcBorders>
            <w:noWrap w:val="0"/>
            <w:vAlign w:val="center"/>
          </w:tcPr>
          <w:p w14:paraId="194A3B7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100</w:t>
            </w:r>
          </w:p>
        </w:tc>
        <w:tc>
          <w:tcPr>
            <w:tcW w:w="658" w:type="pct"/>
            <w:tcBorders>
              <w:top w:val="nil"/>
              <w:left w:val="nil"/>
              <w:bottom w:val="single" w:color="auto" w:sz="8" w:space="0"/>
              <w:right w:val="single" w:color="auto" w:sz="8" w:space="0"/>
            </w:tcBorders>
            <w:noWrap w:val="0"/>
            <w:vAlign w:val="center"/>
          </w:tcPr>
          <w:p w14:paraId="42FCFB7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46" w:type="pct"/>
            <w:tcBorders>
              <w:top w:val="nil"/>
              <w:left w:val="nil"/>
              <w:bottom w:val="single" w:color="auto" w:sz="8" w:space="0"/>
              <w:right w:val="single" w:color="auto" w:sz="8" w:space="0"/>
            </w:tcBorders>
            <w:noWrap w:val="0"/>
            <w:vAlign w:val="center"/>
          </w:tcPr>
          <w:p w14:paraId="2E3CB07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rPr>
              <w:t>-</w:t>
            </w:r>
          </w:p>
        </w:tc>
        <w:tc>
          <w:tcPr>
            <w:tcW w:w="1643" w:type="pct"/>
            <w:tcBorders>
              <w:top w:val="nil"/>
              <w:left w:val="nil"/>
              <w:bottom w:val="single" w:color="auto" w:sz="8" w:space="0"/>
              <w:right w:val="single" w:color="auto" w:sz="8" w:space="0"/>
            </w:tcBorders>
            <w:noWrap w:val="0"/>
            <w:vAlign w:val="center"/>
          </w:tcPr>
          <w:p w14:paraId="2A1F1BB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19" w:type="pct"/>
            <w:tcBorders>
              <w:top w:val="nil"/>
              <w:left w:val="nil"/>
              <w:bottom w:val="single" w:color="auto" w:sz="8" w:space="0"/>
              <w:right w:val="single" w:color="auto" w:sz="8" w:space="0"/>
            </w:tcBorders>
            <w:noWrap w:val="0"/>
            <w:vAlign w:val="center"/>
          </w:tcPr>
          <w:p w14:paraId="6745BD7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4"/>
                <w:szCs w:val="24"/>
                <w:highlight w:val="none"/>
                <w:u w:val="none"/>
              </w:rPr>
            </w:pPr>
          </w:p>
        </w:tc>
        <w:tc>
          <w:tcPr>
            <w:tcW w:w="326" w:type="pct"/>
            <w:tcBorders>
              <w:top w:val="nil"/>
              <w:left w:val="nil"/>
              <w:bottom w:val="single" w:color="auto" w:sz="8" w:space="0"/>
              <w:right w:val="single" w:color="auto" w:sz="8" w:space="0"/>
            </w:tcBorders>
            <w:noWrap w:val="0"/>
            <w:vAlign w:val="center"/>
          </w:tcPr>
          <w:p w14:paraId="230C26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4"/>
                <w:szCs w:val="24"/>
                <w:highlight w:val="none"/>
                <w:u w:val="none"/>
                <w:lang w:val="en-US"/>
              </w:rPr>
            </w:pPr>
            <w:r>
              <w:rPr>
                <w:rFonts w:hint="eastAsia" w:ascii="宋体" w:hAnsi="宋体" w:eastAsia="宋体" w:cs="宋体"/>
                <w:i w:val="0"/>
                <w:iCs w:val="0"/>
                <w:color w:val="auto"/>
                <w:kern w:val="0"/>
                <w:sz w:val="24"/>
                <w:szCs w:val="24"/>
                <w:highlight w:val="none"/>
                <w:u w:val="none"/>
                <w:lang w:val="en-US" w:eastAsia="zh-CN"/>
              </w:rPr>
              <w:t>100</w:t>
            </w:r>
          </w:p>
        </w:tc>
      </w:tr>
    </w:tbl>
    <w:p w14:paraId="4AC0990A">
      <w:pPr>
        <w:pStyle w:val="7"/>
        <w:ind w:left="0" w:leftChars="0" w:firstLine="0" w:firstLineChars="0"/>
        <w:jc w:val="both"/>
        <w:rPr>
          <w:rFonts w:hint="eastAsia" w:ascii="宋体" w:hAnsi="宋体" w:eastAsia="宋体" w:cs="宋体"/>
          <w:color w:val="auto"/>
          <w:sz w:val="24"/>
          <w:szCs w:val="24"/>
          <w:lang w:val="en-US" w:eastAsia="zh-CN"/>
        </w:rPr>
      </w:pPr>
    </w:p>
    <w:p w14:paraId="286B3CB2">
      <w:pPr>
        <w:pStyle w:val="7"/>
        <w:ind w:left="0" w:leftChars="0" w:firstLine="0" w:firstLineChars="0"/>
        <w:jc w:val="both"/>
        <w:rPr>
          <w:rFonts w:hint="eastAsia" w:ascii="宋体" w:hAnsi="宋体" w:eastAsia="宋体" w:cs="宋体"/>
          <w:color w:val="auto"/>
          <w:sz w:val="24"/>
          <w:szCs w:val="24"/>
          <w:lang w:val="en-US" w:eastAsia="zh-CN"/>
        </w:rPr>
      </w:pPr>
    </w:p>
    <w:p w14:paraId="33A161B3">
      <w:pPr>
        <w:pStyle w:val="7"/>
        <w:ind w:left="0" w:leftChars="0" w:firstLine="0" w:firstLineChars="0"/>
        <w:jc w:val="both"/>
        <w:rPr>
          <w:rFonts w:hint="eastAsia" w:ascii="宋体" w:hAnsi="宋体" w:eastAsia="宋体" w:cs="宋体"/>
          <w:color w:val="auto"/>
          <w:sz w:val="24"/>
          <w:szCs w:val="24"/>
          <w:lang w:val="en-US" w:eastAsia="zh-CN"/>
        </w:rPr>
      </w:pPr>
    </w:p>
    <w:p w14:paraId="4F1C91B7">
      <w:pPr>
        <w:pStyle w:val="7"/>
        <w:ind w:left="0" w:leftChars="0" w:firstLine="0" w:firstLineChars="0"/>
        <w:jc w:val="both"/>
        <w:rPr>
          <w:rFonts w:hint="eastAsia" w:ascii="宋体" w:hAnsi="宋体" w:eastAsia="宋体" w:cs="宋体"/>
          <w:color w:val="auto"/>
          <w:sz w:val="24"/>
          <w:szCs w:val="24"/>
          <w:lang w:val="en-US" w:eastAsia="zh-CN"/>
        </w:rPr>
      </w:pPr>
    </w:p>
    <w:p w14:paraId="2F61B6FD">
      <w:pPr>
        <w:pStyle w:val="7"/>
        <w:ind w:left="0" w:leftChars="0" w:firstLine="0" w:firstLineChars="0"/>
        <w:jc w:val="both"/>
        <w:rPr>
          <w:rFonts w:hint="eastAsia" w:ascii="宋体" w:hAnsi="宋体" w:eastAsia="宋体" w:cs="宋体"/>
          <w:color w:val="auto"/>
          <w:sz w:val="24"/>
          <w:szCs w:val="24"/>
          <w:lang w:val="en-US" w:eastAsia="zh-CN"/>
        </w:rPr>
      </w:pPr>
    </w:p>
    <w:p w14:paraId="55873A95">
      <w:pPr>
        <w:pStyle w:val="7"/>
        <w:ind w:left="0" w:leftChars="0" w:firstLine="0" w:firstLineChars="0"/>
        <w:jc w:val="both"/>
        <w:rPr>
          <w:rFonts w:hint="eastAsia" w:ascii="宋体" w:hAnsi="宋体" w:eastAsia="宋体" w:cs="宋体"/>
          <w:color w:val="auto"/>
          <w:sz w:val="24"/>
          <w:szCs w:val="24"/>
          <w:lang w:val="en-US" w:eastAsia="zh-CN"/>
        </w:rPr>
      </w:pPr>
    </w:p>
    <w:p w14:paraId="7AB73720">
      <w:pPr>
        <w:pStyle w:val="7"/>
        <w:ind w:left="0" w:leftChars="0" w:firstLine="0" w:firstLineChars="0"/>
        <w:jc w:val="both"/>
        <w:rPr>
          <w:rFonts w:hint="eastAsia" w:ascii="宋体" w:hAnsi="宋体" w:eastAsia="宋体" w:cs="宋体"/>
          <w:color w:val="auto"/>
          <w:sz w:val="24"/>
          <w:szCs w:val="24"/>
          <w:lang w:val="en-US" w:eastAsia="zh-CN"/>
        </w:rPr>
      </w:pPr>
    </w:p>
    <w:p w14:paraId="3FC09E59">
      <w:pPr>
        <w:pStyle w:val="7"/>
        <w:ind w:left="0" w:leftChars="0" w:firstLine="0" w:firstLineChars="0"/>
        <w:jc w:val="both"/>
        <w:rPr>
          <w:rFonts w:hint="eastAsia" w:ascii="宋体" w:hAnsi="宋体" w:eastAsia="宋体" w:cs="宋体"/>
          <w:color w:val="auto"/>
          <w:sz w:val="24"/>
          <w:szCs w:val="24"/>
          <w:lang w:val="en-US" w:eastAsia="zh-CN"/>
        </w:rPr>
      </w:pPr>
    </w:p>
    <w:p w14:paraId="58A14AD2">
      <w:pPr>
        <w:pStyle w:val="7"/>
        <w:ind w:left="0" w:leftChars="0" w:firstLine="0" w:firstLineChars="0"/>
        <w:jc w:val="both"/>
        <w:rPr>
          <w:rFonts w:hint="eastAsia" w:ascii="宋体" w:hAnsi="宋体" w:eastAsia="宋体" w:cs="宋体"/>
          <w:color w:val="auto"/>
          <w:sz w:val="24"/>
          <w:szCs w:val="24"/>
          <w:lang w:val="en-US" w:eastAsia="zh-CN"/>
        </w:rPr>
      </w:pPr>
    </w:p>
    <w:p w14:paraId="0B500138">
      <w:pPr>
        <w:pStyle w:val="7"/>
        <w:ind w:left="0" w:leftChars="0" w:firstLine="0" w:firstLineChars="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附件2：</w:t>
      </w:r>
    </w:p>
    <w:tbl>
      <w:tblPr>
        <w:tblStyle w:val="10"/>
        <w:tblW w:w="1302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2694"/>
        <w:gridCol w:w="2086"/>
      </w:tblGrid>
      <w:tr w14:paraId="37D61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363" w:type="dxa"/>
            <w:tcBorders>
              <w:top w:val="nil"/>
              <w:left w:val="nil"/>
              <w:bottom w:val="nil"/>
              <w:right w:val="nil"/>
            </w:tcBorders>
            <w:noWrap/>
            <w:vAlign w:val="center"/>
          </w:tcPr>
          <w:p w14:paraId="42AE258A">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sz w:val="22"/>
                <w:szCs w:val="22"/>
                <w:u w:val="none"/>
              </w:rPr>
            </w:pPr>
          </w:p>
        </w:tc>
        <w:tc>
          <w:tcPr>
            <w:tcW w:w="1778" w:type="dxa"/>
            <w:tcBorders>
              <w:top w:val="nil"/>
              <w:left w:val="nil"/>
              <w:bottom w:val="nil"/>
              <w:right w:val="nil"/>
            </w:tcBorders>
            <w:noWrap/>
            <w:vAlign w:val="center"/>
          </w:tcPr>
          <w:p w14:paraId="237336D0">
            <w:pPr>
              <w:rPr>
                <w:rFonts w:hint="eastAsia" w:ascii="宋体" w:hAnsi="宋体" w:eastAsia="宋体" w:cs="宋体"/>
                <w:i w:val="0"/>
                <w:iCs w:val="0"/>
                <w:color w:val="auto"/>
                <w:sz w:val="22"/>
                <w:szCs w:val="22"/>
                <w:u w:val="none"/>
              </w:rPr>
            </w:pPr>
          </w:p>
        </w:tc>
        <w:tc>
          <w:tcPr>
            <w:tcW w:w="2786" w:type="dxa"/>
            <w:tcBorders>
              <w:top w:val="nil"/>
              <w:left w:val="nil"/>
              <w:bottom w:val="nil"/>
              <w:right w:val="nil"/>
            </w:tcBorders>
            <w:noWrap/>
            <w:vAlign w:val="center"/>
          </w:tcPr>
          <w:p w14:paraId="05D65CC9">
            <w:pPr>
              <w:rPr>
                <w:rFonts w:hint="eastAsia" w:ascii="宋体" w:hAnsi="宋体" w:eastAsia="宋体" w:cs="宋体"/>
                <w:i w:val="0"/>
                <w:iCs w:val="0"/>
                <w:color w:val="auto"/>
                <w:sz w:val="22"/>
                <w:szCs w:val="22"/>
                <w:u w:val="none"/>
              </w:rPr>
            </w:pPr>
          </w:p>
        </w:tc>
        <w:tc>
          <w:tcPr>
            <w:tcW w:w="2314" w:type="dxa"/>
            <w:tcBorders>
              <w:top w:val="nil"/>
              <w:left w:val="nil"/>
              <w:bottom w:val="nil"/>
              <w:right w:val="nil"/>
            </w:tcBorders>
            <w:noWrap/>
            <w:vAlign w:val="center"/>
          </w:tcPr>
          <w:p w14:paraId="55A19B1F">
            <w:pPr>
              <w:rPr>
                <w:rFonts w:hint="eastAsia" w:ascii="宋体" w:hAnsi="宋体" w:eastAsia="宋体" w:cs="宋体"/>
                <w:i w:val="0"/>
                <w:iCs w:val="0"/>
                <w:color w:val="auto"/>
                <w:sz w:val="22"/>
                <w:szCs w:val="22"/>
                <w:u w:val="none"/>
              </w:rPr>
            </w:pPr>
          </w:p>
        </w:tc>
        <w:tc>
          <w:tcPr>
            <w:tcW w:w="2694" w:type="dxa"/>
            <w:tcBorders>
              <w:top w:val="nil"/>
              <w:left w:val="nil"/>
              <w:bottom w:val="nil"/>
              <w:right w:val="nil"/>
            </w:tcBorders>
            <w:noWrap/>
            <w:vAlign w:val="center"/>
          </w:tcPr>
          <w:p w14:paraId="7CBE019B">
            <w:pPr>
              <w:rPr>
                <w:rFonts w:hint="eastAsia" w:ascii="宋体" w:hAnsi="宋体" w:eastAsia="宋体" w:cs="宋体"/>
                <w:i w:val="0"/>
                <w:iCs w:val="0"/>
                <w:color w:val="auto"/>
                <w:sz w:val="22"/>
                <w:szCs w:val="22"/>
                <w:u w:val="none"/>
              </w:rPr>
            </w:pPr>
          </w:p>
        </w:tc>
        <w:tc>
          <w:tcPr>
            <w:tcW w:w="2086" w:type="dxa"/>
            <w:tcBorders>
              <w:top w:val="nil"/>
              <w:left w:val="nil"/>
              <w:bottom w:val="nil"/>
              <w:right w:val="nil"/>
            </w:tcBorders>
            <w:noWrap/>
            <w:vAlign w:val="center"/>
          </w:tcPr>
          <w:p w14:paraId="594831EB">
            <w:pPr>
              <w:rPr>
                <w:rFonts w:hint="eastAsia" w:ascii="宋体" w:hAnsi="宋体" w:eastAsia="宋体" w:cs="宋体"/>
                <w:i w:val="0"/>
                <w:iCs w:val="0"/>
                <w:color w:val="auto"/>
                <w:sz w:val="22"/>
                <w:szCs w:val="22"/>
                <w:u w:val="none"/>
              </w:rPr>
            </w:pPr>
          </w:p>
        </w:tc>
      </w:tr>
      <w:tr w14:paraId="5195A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7D9BA9B7">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2024年洛浦县耕地轮作补贴项目综合得分表</w:t>
            </w:r>
          </w:p>
        </w:tc>
      </w:tr>
      <w:tr w14:paraId="0454F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8507CE6">
            <w:pPr>
              <w:keepNext w:val="0"/>
              <w:keepLines w:val="0"/>
              <w:pageBreakBefore w:val="0"/>
              <w:widowControl/>
              <w:suppressLineNumbers w:val="0"/>
              <w:kinsoku/>
              <w:wordWrap/>
              <w:overflowPunct/>
              <w:topLinePunct w:val="0"/>
              <w:autoSpaceDE/>
              <w:autoSpaceDN/>
              <w:bidi w:val="0"/>
              <w:adjustRightInd/>
              <w:snapToGrid/>
              <w:spacing w:line="480" w:lineRule="auto"/>
              <w:ind w:left="0" w:leftChars="0"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指标</w:t>
            </w:r>
          </w:p>
        </w:tc>
        <w:tc>
          <w:tcPr>
            <w:tcW w:w="177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42572E3">
            <w:pPr>
              <w:keepNext w:val="0"/>
              <w:keepLines w:val="0"/>
              <w:pageBreakBefore w:val="0"/>
              <w:widowControl/>
              <w:suppressLineNumbers w:val="0"/>
              <w:kinsoku/>
              <w:wordWrap/>
              <w:overflowPunct/>
              <w:topLinePunct w:val="0"/>
              <w:autoSpaceDE/>
              <w:autoSpaceDN/>
              <w:bidi w:val="0"/>
              <w:adjustRightInd/>
              <w:snapToGrid/>
              <w:spacing w:line="480" w:lineRule="auto"/>
              <w:ind w:left="0" w:leftChars="0"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项目决策</w:t>
            </w:r>
          </w:p>
        </w:tc>
        <w:tc>
          <w:tcPr>
            <w:tcW w:w="278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3C01DF">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项目过程</w:t>
            </w:r>
          </w:p>
        </w:tc>
        <w:tc>
          <w:tcPr>
            <w:tcW w:w="231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D174BB">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项目产出</w:t>
            </w:r>
          </w:p>
        </w:tc>
        <w:tc>
          <w:tcPr>
            <w:tcW w:w="26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A702A06">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项目效益</w:t>
            </w:r>
          </w:p>
        </w:tc>
        <w:tc>
          <w:tcPr>
            <w:tcW w:w="208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CAC01C">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合计</w:t>
            </w:r>
          </w:p>
        </w:tc>
      </w:tr>
      <w:tr w14:paraId="039E7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94370E">
            <w:pPr>
              <w:keepNext w:val="0"/>
              <w:keepLines w:val="0"/>
              <w:pageBreakBefore w:val="0"/>
              <w:widowControl/>
              <w:suppressLineNumbers w:val="0"/>
              <w:kinsoku/>
              <w:wordWrap/>
              <w:overflowPunct/>
              <w:topLinePunct w:val="0"/>
              <w:autoSpaceDE/>
              <w:autoSpaceDN/>
              <w:bidi w:val="0"/>
              <w:adjustRightInd/>
              <w:snapToGrid/>
              <w:spacing w:line="480" w:lineRule="auto"/>
              <w:ind w:left="0" w:leftChars="0"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214217C6">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4E2E8F60">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12.00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787DE719">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40.00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0F6D3FB">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25.00</w:t>
            </w:r>
          </w:p>
        </w:tc>
        <w:tc>
          <w:tcPr>
            <w:tcW w:w="2086" w:type="dxa"/>
            <w:tcBorders>
              <w:top w:val="single" w:color="auto" w:sz="4" w:space="0"/>
              <w:left w:val="single" w:color="auto" w:sz="4" w:space="0"/>
              <w:bottom w:val="single" w:color="auto" w:sz="4" w:space="0"/>
              <w:right w:val="single" w:color="auto" w:sz="4" w:space="0"/>
            </w:tcBorders>
            <w:noWrap w:val="0"/>
            <w:vAlign w:val="center"/>
          </w:tcPr>
          <w:p w14:paraId="61BEE6DE">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100.00</w:t>
            </w:r>
          </w:p>
        </w:tc>
      </w:tr>
      <w:tr w14:paraId="5E804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2A33CC">
            <w:pPr>
              <w:keepNext w:val="0"/>
              <w:keepLines w:val="0"/>
              <w:pageBreakBefore w:val="0"/>
              <w:widowControl/>
              <w:suppressLineNumbers w:val="0"/>
              <w:kinsoku/>
              <w:wordWrap/>
              <w:overflowPunct/>
              <w:topLinePunct w:val="0"/>
              <w:autoSpaceDE/>
              <w:autoSpaceDN/>
              <w:bidi w:val="0"/>
              <w:adjustRightInd/>
              <w:snapToGrid/>
              <w:spacing w:line="480" w:lineRule="auto"/>
              <w:ind w:left="0" w:leftChars="0"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得分</w:t>
            </w:r>
          </w:p>
        </w:tc>
        <w:tc>
          <w:tcPr>
            <w:tcW w:w="177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C160893">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0D30BC">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rPr>
              <w:t>11.94</w:t>
            </w:r>
          </w:p>
        </w:tc>
        <w:tc>
          <w:tcPr>
            <w:tcW w:w="2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8FCAA5E">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39.71</w:t>
            </w:r>
          </w:p>
        </w:tc>
        <w:tc>
          <w:tcPr>
            <w:tcW w:w="26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BDE0DD1">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25.00</w:t>
            </w:r>
          </w:p>
        </w:tc>
        <w:tc>
          <w:tcPr>
            <w:tcW w:w="2086" w:type="dxa"/>
            <w:tcBorders>
              <w:top w:val="single" w:color="auto" w:sz="4" w:space="0"/>
              <w:left w:val="single" w:color="auto" w:sz="4" w:space="0"/>
              <w:bottom w:val="single" w:color="auto" w:sz="4" w:space="0"/>
              <w:right w:val="single" w:color="auto" w:sz="4" w:space="0"/>
            </w:tcBorders>
            <w:noWrap w:val="0"/>
            <w:vAlign w:val="center"/>
          </w:tcPr>
          <w:p w14:paraId="25C55C56">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rPr>
              <w:t>99.65</w:t>
            </w:r>
          </w:p>
        </w:tc>
      </w:tr>
      <w:tr w14:paraId="752AE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537694C">
            <w:pPr>
              <w:keepNext w:val="0"/>
              <w:keepLines w:val="0"/>
              <w:pageBreakBefore w:val="0"/>
              <w:widowControl/>
              <w:suppressLineNumbers w:val="0"/>
              <w:kinsoku/>
              <w:wordWrap/>
              <w:overflowPunct/>
              <w:topLinePunct w:val="0"/>
              <w:autoSpaceDE/>
              <w:autoSpaceDN/>
              <w:bidi w:val="0"/>
              <w:adjustRightInd/>
              <w:snapToGrid/>
              <w:spacing w:line="480" w:lineRule="auto"/>
              <w:ind w:left="0" w:leftChars="0" w:firstLine="0" w:firstLineChars="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04407740">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2FD00987">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99.5%</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5D1E906D">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99.28%</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2603EB7">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100.00%</w:t>
            </w:r>
          </w:p>
        </w:tc>
        <w:tc>
          <w:tcPr>
            <w:tcW w:w="2086" w:type="dxa"/>
            <w:tcBorders>
              <w:top w:val="single" w:color="auto" w:sz="4" w:space="0"/>
              <w:left w:val="single" w:color="auto" w:sz="4" w:space="0"/>
              <w:bottom w:val="single" w:color="auto" w:sz="4" w:space="0"/>
              <w:right w:val="single" w:color="auto" w:sz="4" w:space="0"/>
            </w:tcBorders>
            <w:noWrap w:val="0"/>
            <w:vAlign w:val="center"/>
          </w:tcPr>
          <w:p w14:paraId="405154B5">
            <w:pPr>
              <w:keepNext w:val="0"/>
              <w:keepLines w:val="0"/>
              <w:pageBreakBefore w:val="0"/>
              <w:widowControl/>
              <w:suppressLineNumbers w:val="0"/>
              <w:kinsoku/>
              <w:wordWrap/>
              <w:overflowPunct/>
              <w:topLinePunct w:val="0"/>
              <w:autoSpaceDE/>
              <w:autoSpaceDN/>
              <w:bidi w:val="0"/>
              <w:adjustRightInd/>
              <w:snapToGrid/>
              <w:spacing w:line="480" w:lineRule="auto"/>
              <w:ind w:firstLine="0" w:firstLineChars="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99.65%</w:t>
            </w:r>
          </w:p>
        </w:tc>
      </w:tr>
    </w:tbl>
    <w:p w14:paraId="1E706F20">
      <w:pPr>
        <w:pStyle w:val="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color w:val="auto"/>
          <w:sz w:val="24"/>
          <w:szCs w:val="24"/>
          <w:highlight w:val="none"/>
          <w:lang w:val="en-US" w:eastAsia="zh-CN"/>
        </w:rPr>
        <w:sectPr>
          <w:pgSz w:w="16838" w:h="11906" w:orient="landscape"/>
          <w:pgMar w:top="1531" w:right="1985" w:bottom="1531" w:left="1701" w:header="851" w:footer="992" w:gutter="0"/>
          <w:pgNumType w:fmt="decimal"/>
          <w:cols w:space="720" w:num="1"/>
          <w:docGrid w:type="linesAndChars" w:linePitch="386" w:charSpace="0"/>
        </w:sectPr>
      </w:pPr>
    </w:p>
    <w:p w14:paraId="153D5368">
      <w:pPr>
        <w:pStyle w:val="7"/>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附件3：</w:t>
      </w:r>
    </w:p>
    <w:p w14:paraId="7DDF991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2024年洛浦县耕地轮作补贴项目满意度调查问卷分析报告</w:t>
      </w:r>
    </w:p>
    <w:p w14:paraId="008A5EF6">
      <w:pPr>
        <w:pStyle w:val="7"/>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jc w:val="both"/>
        <w:textAlignment w:val="auto"/>
        <w:rPr>
          <w:rFonts w:hint="eastAsia" w:ascii="宋体" w:hAnsi="宋体" w:eastAsia="宋体" w:cs="宋体"/>
          <w:b/>
          <w:bCs/>
          <w:color w:val="auto"/>
          <w:sz w:val="24"/>
          <w:szCs w:val="24"/>
          <w:highlight w:val="none"/>
        </w:rPr>
      </w:pPr>
    </w:p>
    <w:p w14:paraId="7C4ECB3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color w:val="auto"/>
          <w:sz w:val="24"/>
          <w:szCs w:val="24"/>
          <w:highlight w:val="none"/>
        </w:rPr>
        <w:t>为客观评价该项目的社会效果，了解</w:t>
      </w:r>
      <w:r>
        <w:rPr>
          <w:rFonts w:hint="eastAsia" w:ascii="宋体" w:hAnsi="宋体" w:eastAsia="宋体" w:cs="宋体"/>
          <w:color w:val="auto"/>
          <w:sz w:val="24"/>
          <w:szCs w:val="24"/>
          <w:highlight w:val="none"/>
          <w:lang w:val="en-US" w:eastAsia="zh-CN"/>
        </w:rPr>
        <w:t>项目受益群体</w:t>
      </w:r>
      <w:r>
        <w:rPr>
          <w:rFonts w:hint="eastAsia" w:ascii="宋体" w:hAnsi="宋体" w:eastAsia="宋体" w:cs="宋体"/>
          <w:color w:val="auto"/>
          <w:sz w:val="24"/>
          <w:szCs w:val="24"/>
          <w:highlight w:val="none"/>
        </w:rPr>
        <w:t>对项目</w:t>
      </w:r>
      <w:r>
        <w:rPr>
          <w:rFonts w:hint="eastAsia" w:ascii="宋体" w:hAnsi="宋体" w:eastAsia="宋体" w:cs="宋体"/>
          <w:color w:val="auto"/>
          <w:sz w:val="24"/>
          <w:szCs w:val="24"/>
          <w:highlight w:val="none"/>
          <w:lang w:val="en-US" w:eastAsia="zh-CN"/>
        </w:rPr>
        <w:t>实施后</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真实</w:t>
      </w:r>
      <w:r>
        <w:rPr>
          <w:rFonts w:hint="eastAsia" w:ascii="宋体" w:hAnsi="宋体" w:eastAsia="宋体" w:cs="宋体"/>
          <w:color w:val="auto"/>
          <w:sz w:val="24"/>
          <w:szCs w:val="24"/>
          <w:highlight w:val="none"/>
        </w:rPr>
        <w:t>评价情况，对本项目</w:t>
      </w:r>
      <w:r>
        <w:rPr>
          <w:rFonts w:hint="eastAsia" w:ascii="宋体" w:hAnsi="宋体" w:eastAsia="宋体" w:cs="宋体"/>
          <w:color w:val="auto"/>
          <w:sz w:val="24"/>
          <w:szCs w:val="24"/>
          <w:highlight w:val="none"/>
          <w:lang w:eastAsia="zh-CN"/>
        </w:rPr>
        <w:t>开展</w:t>
      </w:r>
      <w:r>
        <w:rPr>
          <w:rFonts w:hint="eastAsia" w:ascii="宋体" w:hAnsi="宋体" w:eastAsia="宋体" w:cs="宋体"/>
          <w:color w:val="auto"/>
          <w:sz w:val="24"/>
          <w:szCs w:val="24"/>
          <w:highlight w:val="none"/>
        </w:rPr>
        <w:t>满意度问卷调查。问卷调查工作情况如下。问卷调查工作情况如下：</w:t>
      </w:r>
    </w:p>
    <w:p w14:paraId="6C5B9D31">
      <w:pPr>
        <w:pStyle w:val="7"/>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该问卷调查从202</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日开始至202</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lang w:val="en-US" w:eastAsia="zh-CN"/>
        </w:rPr>
        <w:t>16</w:t>
      </w:r>
      <w:r>
        <w:rPr>
          <w:rFonts w:hint="eastAsia" w:ascii="宋体" w:hAnsi="宋体" w:eastAsia="宋体" w:cs="宋体"/>
          <w:b/>
          <w:bCs/>
          <w:color w:val="auto"/>
          <w:sz w:val="24"/>
          <w:szCs w:val="24"/>
          <w:highlight w:val="none"/>
        </w:rPr>
        <w:t>日结束，调查问卷共设置</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道题目。</w:t>
      </w:r>
    </w:p>
    <w:p w14:paraId="725D1966">
      <w:pPr>
        <w:pStyle w:val="7"/>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对象</w:t>
      </w:r>
    </w:p>
    <w:p w14:paraId="492A0D5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的受益对象为</w:t>
      </w:r>
      <w:r>
        <w:rPr>
          <w:rFonts w:hint="eastAsia" w:ascii="宋体" w:hAnsi="宋体" w:eastAsia="宋体" w:cs="宋体"/>
          <w:color w:val="auto"/>
          <w:sz w:val="24"/>
          <w:szCs w:val="24"/>
          <w:highlight w:val="none"/>
          <w:lang w:val="en-US" w:eastAsia="zh-CN"/>
        </w:rPr>
        <w:t>已参与 2024年洛浦县耕地轮作补贴项目的农户</w:t>
      </w:r>
      <w:r>
        <w:rPr>
          <w:rFonts w:hint="eastAsia" w:ascii="宋体" w:hAnsi="宋体" w:eastAsia="宋体" w:cs="宋体"/>
          <w:color w:val="auto"/>
          <w:sz w:val="24"/>
          <w:szCs w:val="24"/>
          <w:highlight w:val="none"/>
        </w:rPr>
        <w:t>。</w:t>
      </w:r>
    </w:p>
    <w:p w14:paraId="6B66A497">
      <w:pPr>
        <w:pStyle w:val="7"/>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2.</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内容</w:t>
      </w:r>
    </w:p>
    <w:p w14:paraId="4EF329CA">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你是否知道耕地轮作补贴项目？</w:t>
      </w:r>
    </w:p>
    <w:p w14:paraId="5FFAEA5A">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知道                          B.不知道</w:t>
      </w:r>
    </w:p>
    <w:p w14:paraId="19644F4F">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你是通过什么渠道了解到该补贴政策的？（可多选）</w:t>
      </w:r>
    </w:p>
    <w:p w14:paraId="043B71A0">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村干部宣传    B.政府公告   C.电视、广播等媒体    D.邻里交流</w:t>
      </w:r>
    </w:p>
    <w:p w14:paraId="6F8F2C33">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你是否清楚耕地轮作补贴的标准？</w:t>
      </w:r>
    </w:p>
    <w:p w14:paraId="74350F84">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非常清楚        B.大概知道          C.不清楚   </w:t>
      </w:r>
    </w:p>
    <w:p w14:paraId="4C9844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4.你家的耕地轮作补贴是否按时足额发放？</w:t>
      </w:r>
    </w:p>
    <w:p w14:paraId="78DF3DEF">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 xml:space="preserve">是  </w:t>
      </w:r>
    </w:p>
    <w:p w14:paraId="5A61E6F8">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否（若选B,请简要说明情况）</w:t>
      </w:r>
      <w:r>
        <w:rPr>
          <w:rFonts w:hint="eastAsia" w:ascii="宋体" w:hAnsi="宋体" w:eastAsia="宋体" w:cs="宋体"/>
          <w:color w:val="auto"/>
          <w:sz w:val="24"/>
          <w:szCs w:val="24"/>
          <w:u w:val="single"/>
          <w:lang w:val="en-US" w:eastAsia="zh-CN"/>
        </w:rPr>
        <w:t xml:space="preserve">                               </w:t>
      </w:r>
    </w:p>
    <w:p w14:paraId="3E4CB1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5.你家耕地轮作种植后，耕地质量没有提高？</w:t>
      </w:r>
    </w:p>
    <w:p w14:paraId="2E87F7E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A.明显提高     B.有一点变化         C.没变化   </w:t>
      </w:r>
    </w:p>
    <w:p w14:paraId="43425D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6.你对耕地轮作补贴项目整体的满意度为（    ）</w:t>
      </w:r>
    </w:p>
    <w:p w14:paraId="3C25AB0E">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非常满意         B.满意           C.一般           D.不满意</w:t>
      </w:r>
    </w:p>
    <w:p w14:paraId="5593FE8D">
      <w:pPr>
        <w:pStyle w:val="7"/>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方法</w:t>
      </w:r>
    </w:p>
    <w:p w14:paraId="598AD7C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问卷调查采取分层抽样和随机抽样相结合的方式进行。在全面调查开展之前会先进行论证，依据论证结果对问卷和抽样方案再进行一次修改和调整之后再付诸实施。</w:t>
      </w:r>
    </w:p>
    <w:p w14:paraId="2AF9434D">
      <w:pPr>
        <w:pStyle w:val="7"/>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抽样方式</w:t>
      </w:r>
    </w:p>
    <w:p w14:paraId="5E0B531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为确保问卷调查的全面性和代表性，本次调查问卷调查采取随机抽样和分层抽样相结合方式进行。</w:t>
      </w:r>
    </w:p>
    <w:p w14:paraId="663332DD">
      <w:pPr>
        <w:pStyle w:val="7"/>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5.问卷的发放和回收</w:t>
      </w:r>
    </w:p>
    <w:p w14:paraId="35EAFCA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为了给调查对象营造良好的作答环境，保证调查的科学性和严谨性，由我单位工作人员在线下发放问卷，邀请相应的调查对象填写问卷。到目前为止共回收问卷30份，其中有效问卷30份，有效问卷回收率为100%。</w:t>
      </w:r>
    </w:p>
    <w:p w14:paraId="20A6842C">
      <w:pPr>
        <w:pStyle w:val="7"/>
        <w:keepNext w:val="0"/>
        <w:keepLines w:val="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6.问卷调查分析结果</w:t>
      </w:r>
    </w:p>
    <w:p w14:paraId="5BD57EA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本次调查过程中，评价小组实际发放问卷30份，回收问卷30份，问卷回收率为100%，有效问卷30份，有效回收率100.%，本次调查的整体情况如下：</w:t>
      </w:r>
    </w:p>
    <w:p w14:paraId="5E247A7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第一个问题：该项统计有效问卷数量30份，选择非常满意的人数为30人。选择比较满意的人数为0人，选择一般的人数未0人，选择不满意的人数为0人，选择非常不满意的人数为0人。</w:t>
      </w:r>
    </w:p>
    <w:p w14:paraId="4D9AC79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第二个问题：该项统计有效问卷数量30份，选择非常满意的人数为30人。选择比较满意的人数为0人，选择一般的人数未0人，选择不满意的人数为0人，选择非常不满意的人数为0人。</w:t>
      </w:r>
    </w:p>
    <w:p w14:paraId="260C192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第三个问题：该项统计有效问卷数量30份，选择非常有效果的人数为30人，选择比较有效果的人数为0人，选择没有效果的人数0人。</w:t>
      </w:r>
    </w:p>
    <w:p w14:paraId="5F96E2F4">
      <w:pPr>
        <w:pStyle w:val="7"/>
        <w:keepNext w:val="0"/>
        <w:keepLines w:val="0"/>
        <w:pageBreakBefore w:val="0"/>
        <w:widowControl w:val="0"/>
        <w:kinsoku/>
        <w:wordWrap/>
        <w:overflowPunct/>
        <w:topLinePunct w:val="0"/>
        <w:autoSpaceDE/>
        <w:autoSpaceDN/>
        <w:bidi w:val="0"/>
        <w:adjustRightInd/>
        <w:snapToGrid/>
        <w:spacing w:before="0" w:after="0" w:line="360" w:lineRule="auto"/>
        <w:ind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二、调查结果统计</w:t>
      </w:r>
    </w:p>
    <w:p w14:paraId="76D5422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2024年洛浦县耕地轮作补贴项目针对受益人员发放30份调查问卷，最终统计受益人群满意度为100%。</w:t>
      </w:r>
    </w:p>
    <w:p w14:paraId="118852E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p>
    <w:p w14:paraId="5EE1447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3339281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洛浦县农业技术推广中心</w:t>
      </w:r>
    </w:p>
    <w:p w14:paraId="1616C8AD">
      <w:pPr>
        <w:pStyle w:val="2"/>
        <w:wordWrap w:val="0"/>
        <w:jc w:val="right"/>
        <w:rPr>
          <w:rFonts w:hint="default"/>
          <w:lang w:val="en-US" w:eastAsia="zh-CN"/>
        </w:rPr>
      </w:pPr>
      <w:r>
        <w:rPr>
          <w:rFonts w:hint="eastAsia" w:ascii="宋体" w:hAnsi="宋体" w:eastAsia="宋体" w:cs="宋体"/>
          <w:color w:val="auto"/>
          <w:sz w:val="24"/>
          <w:szCs w:val="24"/>
          <w:highlight w:val="none"/>
          <w:lang w:val="en-US" w:eastAsia="zh-CN"/>
        </w:rPr>
        <w:t xml:space="preserve">2025年3月15日            </w:t>
      </w:r>
    </w:p>
    <w:p w14:paraId="7FD0467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lang w:val="en-US" w:eastAsia="zh-CN"/>
        </w:rPr>
        <w:t xml:space="preserve">     </w:t>
      </w:r>
    </w:p>
    <w:sectPr>
      <w:pgSz w:w="11906" w:h="16838"/>
      <w:pgMar w:top="1985" w:right="1531" w:bottom="1701" w:left="1531" w:header="851" w:footer="992" w:gutter="0"/>
      <w:pgNumType w:fmt="decimal"/>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849D25A-5148-443A-9A4F-531D4F3446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K">
    <w:panose1 w:val="02000000000000000000"/>
    <w:charset w:val="86"/>
    <w:family w:val="script"/>
    <w:pitch w:val="default"/>
    <w:sig w:usb0="A00002BF" w:usb1="38CF7CFA" w:usb2="00082016" w:usb3="00000000" w:csb0="00040001" w:csb1="00000000"/>
    <w:embedRegular r:id="rId2" w:fontKey="{91AF2730-3678-497F-964A-FC1FD2662C4F}"/>
  </w:font>
  <w:font w:name="新宋体">
    <w:panose1 w:val="02010609030101010101"/>
    <w:charset w:val="86"/>
    <w:family w:val="auto"/>
    <w:pitch w:val="default"/>
    <w:sig w:usb0="00000203" w:usb1="288F0000" w:usb2="00000006" w:usb3="00000000" w:csb0="00040001" w:csb1="00000000"/>
    <w:embedRegular r:id="rId3" w:fontKey="{BEED1D50-2354-4170-BF12-D04F3950E45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8C09D">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57B068">
    <w:pPr>
      <w:pStyle w:val="8"/>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627A5C">
                          <w:pPr>
                            <w:pStyle w:val="8"/>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C627A5C">
                    <w:pPr>
                      <w:pStyle w:val="8"/>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27</w:t>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DED6A">
    <w:pPr>
      <w:pStyle w:val="9"/>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upperLetter"/>
      <w:lvlText w:val="%1."/>
      <w:lvlJc w:val="left"/>
      <w:pPr>
        <w:tabs>
          <w:tab w:val="left" w:pos="312"/>
        </w:tabs>
      </w:pPr>
    </w:lvl>
  </w:abstractNum>
  <w:abstractNum w:abstractNumId="1">
    <w:nsid w:val="BF205925"/>
    <w:multiLevelType w:val="singleLevel"/>
    <w:tmpl w:val="BF205925"/>
    <w:lvl w:ilvl="0" w:tentative="0">
      <w:start w:val="1"/>
      <w:numFmt w:val="decimal"/>
      <w:lvlText w:val="%1."/>
      <w:lvlJc w:val="left"/>
      <w:pPr>
        <w:tabs>
          <w:tab w:val="left" w:pos="312"/>
        </w:tabs>
      </w:p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multilevel"/>
    <w:tmpl w:val="0053208E"/>
    <w:lvl w:ilvl="0" w:tentative="0">
      <w:start w:val="1"/>
      <w:numFmt w:val="chineseCountingThousand"/>
      <w:pStyle w:val="2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248C179"/>
    <w:multiLevelType w:val="singleLevel"/>
    <w:tmpl w:val="0248C179"/>
    <w:lvl w:ilvl="0" w:tentative="0">
      <w:start w:val="1"/>
      <w:numFmt w:val="upperLetter"/>
      <w:lvlText w:val="%1."/>
      <w:lvlJc w:val="left"/>
      <w:pPr>
        <w:tabs>
          <w:tab w:val="left" w:pos="312"/>
        </w:tabs>
      </w:pPr>
    </w:lvl>
  </w:abstractNum>
  <w:abstractNum w:abstractNumId="5">
    <w:nsid w:val="03D62ECE"/>
    <w:multiLevelType w:val="singleLevel"/>
    <w:tmpl w:val="03D62ECE"/>
    <w:lvl w:ilvl="0" w:tentative="0">
      <w:start w:val="1"/>
      <w:numFmt w:val="upperLetter"/>
      <w:lvlText w:val="%1."/>
      <w:lvlJc w:val="left"/>
      <w:pPr>
        <w:tabs>
          <w:tab w:val="left" w:pos="312"/>
        </w:tabs>
      </w:pPr>
    </w:lvl>
  </w:abstractNum>
  <w:abstractNum w:abstractNumId="6">
    <w:nsid w:val="25B654F3"/>
    <w:multiLevelType w:val="singleLevel"/>
    <w:tmpl w:val="25B654F3"/>
    <w:lvl w:ilvl="0" w:tentative="0">
      <w:start w:val="1"/>
      <w:numFmt w:val="upperLetter"/>
      <w:lvlText w:val="%1."/>
      <w:lvlJc w:val="left"/>
      <w:pPr>
        <w:tabs>
          <w:tab w:val="left" w:pos="312"/>
        </w:tabs>
      </w:pPr>
    </w:lvl>
  </w:abstractNum>
  <w:abstractNum w:abstractNumId="7">
    <w:nsid w:val="59ADCABA"/>
    <w:multiLevelType w:val="singleLevel"/>
    <w:tmpl w:val="59ADCABA"/>
    <w:lvl w:ilvl="0" w:tentative="0">
      <w:start w:val="1"/>
      <w:numFmt w:val="decimal"/>
      <w:suff w:val="nothing"/>
      <w:lvlText w:val="%1）"/>
      <w:lvlJc w:val="left"/>
    </w:lvl>
  </w:abstractNum>
  <w:abstractNum w:abstractNumId="8">
    <w:nsid w:val="72183CF9"/>
    <w:multiLevelType w:val="singleLevel"/>
    <w:tmpl w:val="72183CF9"/>
    <w:lvl w:ilvl="0" w:tentative="0">
      <w:start w:val="1"/>
      <w:numFmt w:val="upperLetter"/>
      <w:lvlText w:val="%1."/>
      <w:lvlJc w:val="left"/>
      <w:pPr>
        <w:tabs>
          <w:tab w:val="left" w:pos="312"/>
        </w:tabs>
      </w:pPr>
    </w:lvl>
  </w:abstractNum>
  <w:num w:numId="1">
    <w:abstractNumId w:val="3"/>
  </w:num>
  <w:num w:numId="2">
    <w:abstractNumId w:val="2"/>
  </w:num>
  <w:num w:numId="3">
    <w:abstractNumId w:val="7"/>
  </w:num>
  <w:num w:numId="4">
    <w:abstractNumId w:val="1"/>
  </w:num>
  <w:num w:numId="5">
    <w:abstractNumId w:val="0"/>
  </w:num>
  <w:num w:numId="6">
    <w:abstractNumId w:val="5"/>
  </w:num>
  <w:num w:numId="7">
    <w:abstractNumId w:val="6"/>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4850F0"/>
    <w:rsid w:val="4AB8347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19"/>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18"/>
    <w:qFormat/>
    <w:uiPriority w:val="9"/>
    <w:pPr>
      <w:keepNext/>
      <w:keepLines/>
      <w:spacing w:before="260" w:after="260" w:line="416" w:lineRule="auto"/>
      <w:jc w:val="left"/>
      <w:outlineLvl w:val="2"/>
    </w:pPr>
    <w:rPr>
      <w:rFonts w:cs="Times New Roman"/>
      <w:bCs/>
      <w:kern w:val="0"/>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9">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table" w:styleId="11">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
    <w:name w:val="Strong"/>
    <w:basedOn w:val="12"/>
    <w:qFormat/>
    <w:uiPriority w:val="0"/>
    <w:rPr>
      <w:b/>
      <w:bCs/>
    </w:rPr>
  </w:style>
  <w:style w:type="paragraph" w:customStyle="1" w:styleId="14">
    <w:name w:val="闻政-正文二级标题"/>
    <w:basedOn w:val="5"/>
    <w:next w:val="15"/>
    <w:qFormat/>
    <w:uiPriority w:val="3"/>
    <w:pPr>
      <w:spacing w:before="120" w:after="60" w:line="500" w:lineRule="exact"/>
      <w:ind w:left="200" w:leftChars="200" w:firstLine="0" w:firstLineChars="0"/>
    </w:pPr>
    <w:rPr>
      <w:rFonts w:ascii="Times New Roman" w:hAnsi="Times New Roman"/>
      <w:sz w:val="28"/>
    </w:rPr>
  </w:style>
  <w:style w:type="paragraph" w:customStyle="1" w:styleId="15">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6">
    <w:name w:val="Char"/>
    <w:basedOn w:val="1"/>
    <w:qFormat/>
    <w:uiPriority w:val="0"/>
    <w:rPr>
      <w:rFonts w:ascii="仿宋_GB2312" w:eastAsia="仿宋_GB2312" w:cs="黑体"/>
      <w:b/>
      <w:sz w:val="32"/>
      <w:szCs w:val="32"/>
    </w:rPr>
  </w:style>
  <w:style w:type="character" w:customStyle="1" w:styleId="17">
    <w:name w:val="font71"/>
    <w:basedOn w:val="12"/>
    <w:qFormat/>
    <w:uiPriority w:val="0"/>
    <w:rPr>
      <w:rFonts w:hint="eastAsia" w:ascii="微软雅黑" w:hAnsi="微软雅黑" w:eastAsia="微软雅黑" w:cs="微软雅黑"/>
      <w:b/>
      <w:bCs/>
      <w:color w:val="000000"/>
      <w:sz w:val="32"/>
      <w:szCs w:val="32"/>
      <w:u w:val="none"/>
    </w:rPr>
  </w:style>
  <w:style w:type="character" w:customStyle="1" w:styleId="18">
    <w:name w:val="标题 3 Char"/>
    <w:link w:val="6"/>
    <w:qFormat/>
    <w:uiPriority w:val="0"/>
    <w:rPr>
      <w:rFonts w:cs="Times New Roman"/>
      <w:bCs/>
      <w:kern w:val="0"/>
      <w:szCs w:val="32"/>
    </w:rPr>
  </w:style>
  <w:style w:type="character" w:customStyle="1" w:styleId="19">
    <w:name w:val="NormalCharacter"/>
    <w:link w:val="1"/>
    <w:qFormat/>
    <w:uiPriority w:val="0"/>
    <w:rPr>
      <w:rFonts w:ascii="Times New Roman" w:hAnsi="Times New Roman" w:eastAsia="仿宋_GB2312" w:cs="黑体"/>
      <w:kern w:val="2"/>
      <w:sz w:val="28"/>
      <w:szCs w:val="22"/>
      <w:lang w:val="en-US" w:eastAsia="zh-CN" w:bidi="ar-SA"/>
    </w:rPr>
  </w:style>
  <w:style w:type="paragraph" w:customStyle="1" w:styleId="20">
    <w:name w:val="标题2"/>
    <w:basedOn w:val="5"/>
    <w:qFormat/>
    <w:uiPriority w:val="0"/>
    <w:pPr>
      <w:numPr>
        <w:ilvl w:val="0"/>
        <w:numId w:val="1"/>
      </w:numPr>
      <w:spacing w:before="120" w:after="120" w:line="500" w:lineRule="exact"/>
    </w:pPr>
    <w:rPr>
      <w:rFonts w:ascii="仿宋_GB2312" w:eastAsia="仿宋_GB2312" w:cs="Times New Roman"/>
    </w:rPr>
  </w:style>
  <w:style w:type="character" w:customStyle="1" w:styleId="21">
    <w:name w:val="font61"/>
    <w:basedOn w:val="12"/>
    <w:qFormat/>
    <w:uiPriority w:val="0"/>
    <w:rPr>
      <w:rFonts w:hint="eastAsia" w:ascii="微软雅黑" w:hAnsi="微软雅黑" w:eastAsia="微软雅黑" w:cs="微软雅黑"/>
      <w:b/>
      <w:bCs/>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746088CA87D2482A96BC639E82C6E06D_13</vt:lpwstr>
  </property>
  <property fmtid="{D5CDD505-2E9C-101B-9397-08002B2CF9AE}" pid="4" name="KSOTemplateDocerSaveRecord">
    <vt:lpwstr>eyJoZGlkIjoiZDE5MGZhMTJhZDM2OTQwYzkzYWVjM2FhZDUxN2Q0M2IiLCJ1c2VySWQiOiI2NTE5NDIwMjYifQ==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a1fa30-2f9c-4c84-a7c8-2fb9f19ec7ec}">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13001</Words>
  <Characters>13891</Characters>
  <Lines>0</Lines>
  <Paragraphs>0</Paragraphs>
  <TotalTime>10</TotalTime>
  <ScaleCrop>false</ScaleCrop>
  <LinksUpToDate>false</LinksUpToDate>
  <CharactersWithSpaces>14120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2025-03-26T04:14:00Z</dcterms:created>
  <dc:creator>Administrator</dc:creator>
  <cp:lastModifiedBy>白羊</cp:lastModifiedBy>
  <cp:lastPrinted>2025-05-21T05:02:00Z</cp:lastPrinted>
  <dcterms:modified xsi:type="dcterms:W3CDTF">2025-11-17T10:42:21Z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746088CA87D2482A96BC639E82C6E06D_13</vt:lpwstr>
  </property>
  <property fmtid="{D5CDD505-2E9C-101B-9397-08002B2CF9AE}" pid="4" name="KSOTemplateDocerSaveRecord">
    <vt:lpwstr>eyJoZGlkIjoiYjM4NWYyMWE2NWU1OGNiMmIxMmZkYzA5MWEwNzJlZmIiLCJ1c2VySWQiOiI0MzE2NzY3NzkifQ==</vt:lpwstr>
  </property>
</Properties>
</file>