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FAE870"/>
    <w:p w14:paraId="0D561472">
      <w:pPr>
        <w:pageBreakBefore w:val="0"/>
        <w:widowControl w:val="0"/>
        <w:kinsoku/>
        <w:wordWrap/>
        <w:topLinePunct w:val="0"/>
        <w:autoSpaceDE/>
        <w:autoSpaceDN/>
        <w:bidi w:val="0"/>
        <w:spacing w:line="560" w:lineRule="exact"/>
        <w:ind w:left="0" w:leftChars="0" w:firstLine="0" w:firstLineChars="0"/>
        <w:textAlignment w:val="auto"/>
        <w:rPr>
          <w:rFonts w:hint="default" w:eastAsia="方正仿宋_GBK" w:cs="方正仿宋_GBK"/>
          <w:b/>
          <w:kern w:val="0"/>
          <w:sz w:val="32"/>
          <w:szCs w:val="32"/>
          <w:lang w:val="en-US" w:eastAsia="zh-CN" w:bidi="en-US"/>
        </w:rPr>
      </w:pPr>
    </w:p>
    <w:p w14:paraId="52D463F7">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sz w:val="36"/>
          <w:szCs w:val="36"/>
        </w:rPr>
      </w:pPr>
      <w:r>
        <w:rPr>
          <w:rFonts w:hint="eastAsia" w:ascii="黑体" w:hAnsi="黑体" w:eastAsia="黑体" w:cs="黑体"/>
          <w:b/>
          <w:sz w:val="36"/>
          <w:szCs w:val="36"/>
          <w:lang w:val="en-US" w:eastAsia="zh-CN"/>
        </w:rPr>
        <w:t>2024年城乡义务教育补助经费</w:t>
      </w:r>
      <w:r>
        <w:rPr>
          <w:rFonts w:hint="eastAsia" w:ascii="黑体" w:hAnsi="黑体" w:eastAsia="黑体" w:cs="黑体"/>
          <w:b/>
          <w:sz w:val="36"/>
          <w:szCs w:val="36"/>
        </w:rPr>
        <w:t>项目支出绩效评价报告</w:t>
      </w:r>
    </w:p>
    <w:p w14:paraId="2A10573F">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val="0"/>
          <w:bCs/>
          <w:kern w:val="2"/>
          <w:sz w:val="36"/>
          <w:szCs w:val="36"/>
          <w:lang w:val="en-US" w:eastAsia="zh-CN" w:bidi="ar-SA"/>
        </w:rPr>
      </w:pPr>
    </w:p>
    <w:p w14:paraId="4ED1DB63">
      <w:pPr>
        <w:keepNext w:val="0"/>
        <w:keepLines w:val="0"/>
        <w:pageBreakBefore w:val="0"/>
        <w:widowControl w:val="0"/>
        <w:tabs>
          <w:tab w:val="left" w:pos="1680"/>
        </w:tabs>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黑体" w:hAnsi="黑体" w:eastAsia="黑体" w:cs="黑体"/>
          <w:b w:val="0"/>
          <w:bCs/>
          <w:kern w:val="2"/>
          <w:sz w:val="36"/>
          <w:szCs w:val="36"/>
          <w:lang w:val="en-US" w:eastAsia="zh-CN" w:bidi="ar-SA"/>
        </w:rPr>
      </w:pPr>
      <w:r>
        <w:rPr>
          <w:rFonts w:hint="eastAsia" w:ascii="黑体" w:hAnsi="黑体" w:eastAsia="黑体" w:cs="黑体"/>
          <w:b w:val="0"/>
          <w:bCs/>
          <w:kern w:val="2"/>
          <w:sz w:val="36"/>
          <w:szCs w:val="36"/>
          <w:lang w:val="en-US" w:eastAsia="zh-CN" w:bidi="ar-SA"/>
        </w:rPr>
        <w:t>（2024年度）</w:t>
      </w:r>
    </w:p>
    <w:p w14:paraId="47A380C9">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3FE59407">
      <w:pPr>
        <w:pageBreakBefore w:val="0"/>
        <w:widowControl w:val="0"/>
        <w:kinsoku/>
        <w:wordWrap/>
        <w:topLinePunct w:val="0"/>
        <w:autoSpaceDE/>
        <w:autoSpaceDN/>
        <w:bidi w:val="0"/>
        <w:spacing w:line="560" w:lineRule="exact"/>
        <w:ind w:left="0" w:leftChars="0" w:firstLine="0" w:firstLineChars="0"/>
        <w:jc w:val="center"/>
        <w:textAlignment w:val="auto"/>
        <w:rPr>
          <w:rFonts w:hint="eastAsia" w:eastAsia="方正仿宋_GBK" w:cs="方正仿宋_GBK"/>
          <w:b/>
          <w:kern w:val="0"/>
          <w:sz w:val="32"/>
          <w:szCs w:val="32"/>
          <w:lang w:bidi="en-US"/>
        </w:rPr>
      </w:pPr>
    </w:p>
    <w:p w14:paraId="50AA8A25">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bidi="en-US"/>
        </w:rPr>
      </w:pPr>
    </w:p>
    <w:p w14:paraId="1FD10791">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bidi="en-US"/>
        </w:rPr>
      </w:pPr>
    </w:p>
    <w:p w14:paraId="44EE5BAC">
      <w:pPr>
        <w:pStyle w:val="2"/>
        <w:rPr>
          <w:rFonts w:hint="eastAsia" w:ascii="宋体" w:hAnsi="宋体" w:eastAsia="宋体" w:cs="宋体"/>
          <w:kern w:val="0"/>
          <w:sz w:val="28"/>
          <w:szCs w:val="28"/>
          <w:lang w:bidi="en-US"/>
        </w:rPr>
      </w:pPr>
    </w:p>
    <w:p w14:paraId="53B18CA6">
      <w:pPr>
        <w:pStyle w:val="2"/>
        <w:rPr>
          <w:rFonts w:hint="eastAsia" w:ascii="宋体" w:hAnsi="宋体" w:eastAsia="宋体" w:cs="宋体"/>
          <w:kern w:val="0"/>
          <w:sz w:val="28"/>
          <w:szCs w:val="28"/>
          <w:lang w:bidi="en-US"/>
        </w:rPr>
      </w:pPr>
    </w:p>
    <w:p w14:paraId="68B219ED">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bidi="en-US"/>
        </w:rPr>
      </w:pPr>
    </w:p>
    <w:p w14:paraId="72F339C2">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bidi="en-US"/>
        </w:rPr>
      </w:pPr>
    </w:p>
    <w:p w14:paraId="2CE29A6E">
      <w:pPr>
        <w:pageBreakBefore w:val="0"/>
        <w:widowControl w:val="0"/>
        <w:kinsoku/>
        <w:wordWrap/>
        <w:topLinePunct w:val="0"/>
        <w:autoSpaceDE/>
        <w:autoSpaceDN/>
        <w:bidi w:val="0"/>
        <w:spacing w:line="560" w:lineRule="exact"/>
        <w:ind w:left="0" w:leftChars="0" w:firstLine="1234" w:firstLineChars="441"/>
        <w:jc w:val="left"/>
        <w:textAlignment w:val="auto"/>
        <w:rPr>
          <w:rFonts w:hint="eastAsia" w:ascii="宋体" w:hAnsi="宋体" w:eastAsia="宋体" w:cs="宋体"/>
          <w:kern w:val="0"/>
          <w:sz w:val="28"/>
          <w:szCs w:val="28"/>
          <w:lang w:bidi="en-US"/>
        </w:rPr>
      </w:pPr>
    </w:p>
    <w:p w14:paraId="1D0A2629">
      <w:pPr>
        <w:pageBreakBefore w:val="0"/>
        <w:widowControl w:val="0"/>
        <w:kinsoku/>
        <w:wordWrap/>
        <w:topLinePunct w:val="0"/>
        <w:autoSpaceDE/>
        <w:autoSpaceDN/>
        <w:bidi w:val="0"/>
        <w:spacing w:line="560" w:lineRule="exact"/>
        <w:ind w:left="0" w:leftChars="0" w:firstLine="1058" w:firstLineChars="441"/>
        <w:jc w:val="left"/>
        <w:textAlignment w:val="auto"/>
        <w:rPr>
          <w:rFonts w:hint="eastAsia" w:ascii="宋体" w:hAnsi="宋体" w:eastAsia="宋体" w:cs="宋体"/>
          <w:b w:val="0"/>
          <w:bCs w:val="0"/>
          <w:color w:val="auto"/>
          <w:kern w:val="0"/>
          <w:sz w:val="24"/>
          <w:szCs w:val="24"/>
          <w:highlight w:val="none"/>
          <w:lang w:bidi="en-US"/>
        </w:rPr>
      </w:pPr>
      <w:r>
        <w:rPr>
          <w:rFonts w:hint="eastAsia" w:ascii="宋体" w:hAnsi="宋体" w:eastAsia="宋体" w:cs="宋体"/>
          <w:b w:val="0"/>
          <w:bCs w:val="0"/>
          <w:color w:val="auto"/>
          <w:kern w:val="0"/>
          <w:sz w:val="24"/>
          <w:szCs w:val="24"/>
          <w:highlight w:val="none"/>
          <w:lang w:bidi="en-US"/>
        </w:rPr>
        <w:t>项目名称：</w:t>
      </w:r>
      <w:bookmarkStart w:id="0" w:name="OLE_LINK5"/>
      <w:r>
        <w:rPr>
          <w:rFonts w:hint="eastAsia" w:ascii="宋体" w:hAnsi="宋体" w:eastAsia="宋体" w:cs="宋体"/>
          <w:b w:val="0"/>
          <w:bCs w:val="0"/>
          <w:color w:val="auto"/>
          <w:kern w:val="0"/>
          <w:sz w:val="24"/>
          <w:szCs w:val="24"/>
          <w:highlight w:val="none"/>
          <w:lang w:bidi="en-US"/>
        </w:rPr>
        <w:t>2024年城乡义务教育补助经费</w:t>
      </w:r>
      <w:bookmarkEnd w:id="0"/>
    </w:p>
    <w:p w14:paraId="616898F5">
      <w:pPr>
        <w:pageBreakBefore w:val="0"/>
        <w:widowControl w:val="0"/>
        <w:kinsoku/>
        <w:wordWrap/>
        <w:topLinePunct w:val="0"/>
        <w:autoSpaceDE/>
        <w:autoSpaceDN/>
        <w:bidi w:val="0"/>
        <w:spacing w:line="560" w:lineRule="exact"/>
        <w:ind w:left="0" w:leftChars="0" w:firstLine="1058" w:firstLineChars="441"/>
        <w:jc w:val="left"/>
        <w:textAlignment w:val="auto"/>
        <w:rPr>
          <w:rFonts w:hint="eastAsia" w:ascii="宋体" w:hAnsi="宋体" w:eastAsia="宋体" w:cs="宋体"/>
          <w:b w:val="0"/>
          <w:bCs w:val="0"/>
          <w:color w:val="auto"/>
          <w:kern w:val="0"/>
          <w:sz w:val="24"/>
          <w:szCs w:val="24"/>
          <w:highlight w:val="none"/>
          <w:lang w:val="en-US" w:eastAsia="zh-CN" w:bidi="en-US"/>
        </w:rPr>
      </w:pPr>
      <w:r>
        <w:rPr>
          <w:rFonts w:hint="eastAsia" w:ascii="宋体" w:hAnsi="宋体" w:eastAsia="宋体" w:cs="宋体"/>
          <w:b w:val="0"/>
          <w:bCs w:val="0"/>
          <w:color w:val="auto"/>
          <w:kern w:val="0"/>
          <w:sz w:val="24"/>
          <w:szCs w:val="24"/>
          <w:highlight w:val="none"/>
          <w:lang w:bidi="en-US"/>
        </w:rPr>
        <w:t>项目单位：</w:t>
      </w:r>
      <w:r>
        <w:rPr>
          <w:rFonts w:hint="eastAsia" w:ascii="宋体" w:hAnsi="宋体" w:eastAsia="宋体" w:cs="宋体"/>
          <w:b w:val="0"/>
          <w:bCs w:val="0"/>
          <w:color w:val="auto"/>
          <w:kern w:val="0"/>
          <w:sz w:val="24"/>
          <w:szCs w:val="24"/>
          <w:highlight w:val="none"/>
          <w:lang w:val="en-US" w:eastAsia="zh-CN" w:bidi="en-US"/>
        </w:rPr>
        <w:t>洛浦县恰尔巴格镇第一一贯制学校</w:t>
      </w:r>
    </w:p>
    <w:p w14:paraId="52B3DE98">
      <w:pPr>
        <w:pageBreakBefore w:val="0"/>
        <w:widowControl w:val="0"/>
        <w:kinsoku/>
        <w:wordWrap/>
        <w:topLinePunct w:val="0"/>
        <w:autoSpaceDE/>
        <w:autoSpaceDN/>
        <w:bidi w:val="0"/>
        <w:spacing w:line="560" w:lineRule="exact"/>
        <w:ind w:left="0" w:leftChars="0" w:firstLine="1058" w:firstLineChars="441"/>
        <w:jc w:val="left"/>
        <w:textAlignment w:val="auto"/>
        <w:rPr>
          <w:rFonts w:hint="eastAsia" w:ascii="宋体" w:hAnsi="宋体" w:eastAsia="宋体" w:cs="宋体"/>
          <w:b w:val="0"/>
          <w:bCs w:val="0"/>
          <w:color w:val="auto"/>
          <w:kern w:val="0"/>
          <w:sz w:val="24"/>
          <w:szCs w:val="24"/>
          <w:highlight w:val="none"/>
          <w:lang w:val="en-US" w:eastAsia="zh-CN" w:bidi="en-US"/>
        </w:rPr>
      </w:pPr>
      <w:r>
        <w:rPr>
          <w:rFonts w:hint="eastAsia" w:ascii="宋体" w:hAnsi="宋体" w:eastAsia="宋体" w:cs="宋体"/>
          <w:b w:val="0"/>
          <w:bCs w:val="0"/>
          <w:color w:val="auto"/>
          <w:kern w:val="0"/>
          <w:sz w:val="24"/>
          <w:szCs w:val="24"/>
          <w:highlight w:val="none"/>
          <w:lang w:bidi="en-US"/>
        </w:rPr>
        <w:t>主管部门：</w:t>
      </w:r>
      <w:r>
        <w:rPr>
          <w:rFonts w:hint="eastAsia" w:ascii="宋体" w:hAnsi="宋体" w:eastAsia="宋体" w:cs="宋体"/>
          <w:b w:val="0"/>
          <w:bCs w:val="0"/>
          <w:color w:val="auto"/>
          <w:kern w:val="0"/>
          <w:sz w:val="24"/>
          <w:szCs w:val="24"/>
          <w:highlight w:val="none"/>
          <w:lang w:val="en-US" w:eastAsia="zh-CN" w:bidi="en-US"/>
        </w:rPr>
        <w:t>洛浦县教育局</w:t>
      </w:r>
    </w:p>
    <w:p w14:paraId="1EEEB358">
      <w:pPr>
        <w:pageBreakBefore w:val="0"/>
        <w:widowControl w:val="0"/>
        <w:kinsoku/>
        <w:wordWrap/>
        <w:topLinePunct w:val="0"/>
        <w:autoSpaceDE/>
        <w:autoSpaceDN/>
        <w:bidi w:val="0"/>
        <w:spacing w:line="560" w:lineRule="exact"/>
        <w:ind w:left="0" w:leftChars="0" w:firstLine="1058" w:firstLineChars="441"/>
        <w:jc w:val="left"/>
        <w:textAlignment w:val="auto"/>
        <w:rPr>
          <w:rFonts w:hint="eastAsia" w:ascii="宋体" w:hAnsi="宋体" w:eastAsia="宋体" w:cs="宋体"/>
          <w:b w:val="0"/>
          <w:bCs w:val="0"/>
          <w:color w:val="auto"/>
          <w:kern w:val="0"/>
          <w:sz w:val="24"/>
          <w:szCs w:val="24"/>
          <w:highlight w:val="none"/>
          <w:lang w:val="en-US" w:eastAsia="zh-CN" w:bidi="en-US"/>
        </w:rPr>
      </w:pPr>
      <w:r>
        <w:rPr>
          <w:rFonts w:hint="eastAsia" w:ascii="宋体" w:hAnsi="宋体" w:eastAsia="宋体" w:cs="宋体"/>
          <w:b w:val="0"/>
          <w:bCs w:val="0"/>
          <w:color w:val="auto"/>
          <w:kern w:val="0"/>
          <w:sz w:val="24"/>
          <w:szCs w:val="24"/>
          <w:highlight w:val="none"/>
          <w:lang w:bidi="en-US"/>
        </w:rPr>
        <w:t>项目负责人：</w:t>
      </w:r>
      <w:r>
        <w:rPr>
          <w:rFonts w:hint="eastAsia" w:ascii="宋体" w:hAnsi="宋体" w:eastAsia="宋体" w:cs="宋体"/>
          <w:b w:val="0"/>
          <w:bCs w:val="0"/>
          <w:color w:val="auto"/>
          <w:kern w:val="0"/>
          <w:sz w:val="24"/>
          <w:szCs w:val="24"/>
          <w:highlight w:val="none"/>
          <w:lang w:val="en-US" w:eastAsia="zh-CN" w:bidi="en-US"/>
        </w:rPr>
        <w:t>马效君</w:t>
      </w:r>
    </w:p>
    <w:p w14:paraId="34371072">
      <w:pPr>
        <w:pageBreakBefore w:val="0"/>
        <w:widowControl w:val="0"/>
        <w:kinsoku/>
        <w:wordWrap/>
        <w:topLinePunct w:val="0"/>
        <w:autoSpaceDE/>
        <w:autoSpaceDN/>
        <w:bidi w:val="0"/>
        <w:spacing w:line="560" w:lineRule="exact"/>
        <w:ind w:left="0" w:leftChars="0" w:firstLine="1058" w:firstLineChars="441"/>
        <w:jc w:val="left"/>
        <w:textAlignment w:val="auto"/>
        <w:rPr>
          <w:rFonts w:hint="eastAsia" w:ascii="宋体" w:hAnsi="宋体" w:eastAsia="宋体" w:cs="宋体"/>
          <w:b w:val="0"/>
          <w:bCs w:val="0"/>
          <w:color w:val="auto"/>
          <w:kern w:val="0"/>
          <w:sz w:val="24"/>
          <w:szCs w:val="24"/>
          <w:highlight w:val="none"/>
          <w:lang w:bidi="en-US"/>
        </w:rPr>
      </w:pPr>
      <w:r>
        <w:rPr>
          <w:rFonts w:hint="eastAsia" w:ascii="宋体" w:hAnsi="宋体" w:eastAsia="宋体" w:cs="宋体"/>
          <w:b w:val="0"/>
          <w:bCs w:val="0"/>
          <w:color w:val="auto"/>
          <w:kern w:val="0"/>
          <w:sz w:val="24"/>
          <w:szCs w:val="24"/>
          <w:highlight w:val="none"/>
          <w:lang w:bidi="en-US"/>
        </w:rPr>
        <w:t>填报时间：</w:t>
      </w:r>
      <w:r>
        <w:rPr>
          <w:rFonts w:hint="eastAsia" w:ascii="宋体" w:hAnsi="宋体" w:eastAsia="宋体" w:cs="宋体"/>
          <w:b w:val="0"/>
          <w:bCs w:val="0"/>
          <w:color w:val="auto"/>
          <w:kern w:val="0"/>
          <w:sz w:val="24"/>
          <w:szCs w:val="24"/>
          <w:highlight w:val="none"/>
          <w:lang w:val="en-US" w:eastAsia="zh-CN" w:bidi="en-US"/>
        </w:rPr>
        <w:t>2025</w:t>
      </w:r>
      <w:r>
        <w:rPr>
          <w:rFonts w:hint="eastAsia" w:ascii="宋体" w:hAnsi="宋体" w:eastAsia="宋体" w:cs="宋体"/>
          <w:b w:val="0"/>
          <w:bCs w:val="0"/>
          <w:color w:val="auto"/>
          <w:kern w:val="0"/>
          <w:sz w:val="24"/>
          <w:szCs w:val="24"/>
          <w:highlight w:val="none"/>
          <w:lang w:bidi="en-US"/>
        </w:rPr>
        <w:t>年</w:t>
      </w:r>
      <w:r>
        <w:rPr>
          <w:rFonts w:hint="eastAsia" w:ascii="宋体" w:hAnsi="宋体" w:eastAsia="宋体" w:cs="宋体"/>
          <w:b w:val="0"/>
          <w:bCs w:val="0"/>
          <w:color w:val="auto"/>
          <w:kern w:val="0"/>
          <w:sz w:val="24"/>
          <w:szCs w:val="24"/>
          <w:highlight w:val="none"/>
          <w:lang w:val="en-US" w:eastAsia="zh-CN" w:bidi="en-US"/>
        </w:rPr>
        <w:t>3</w:t>
      </w:r>
      <w:r>
        <w:rPr>
          <w:rFonts w:hint="eastAsia" w:ascii="宋体" w:hAnsi="宋体" w:eastAsia="宋体" w:cs="宋体"/>
          <w:b w:val="0"/>
          <w:bCs w:val="0"/>
          <w:color w:val="auto"/>
          <w:kern w:val="0"/>
          <w:sz w:val="24"/>
          <w:szCs w:val="24"/>
          <w:highlight w:val="none"/>
          <w:lang w:bidi="en-US"/>
        </w:rPr>
        <w:t>月</w:t>
      </w:r>
      <w:r>
        <w:rPr>
          <w:rFonts w:hint="eastAsia" w:ascii="宋体" w:hAnsi="宋体" w:eastAsia="宋体" w:cs="宋体"/>
          <w:b w:val="0"/>
          <w:bCs w:val="0"/>
          <w:color w:val="auto"/>
          <w:kern w:val="0"/>
          <w:sz w:val="24"/>
          <w:szCs w:val="24"/>
          <w:highlight w:val="none"/>
          <w:lang w:val="en-US" w:eastAsia="zh-CN" w:bidi="en-US"/>
        </w:rPr>
        <w:t>31</w:t>
      </w:r>
      <w:r>
        <w:rPr>
          <w:rFonts w:hint="eastAsia" w:ascii="宋体" w:hAnsi="宋体" w:eastAsia="宋体" w:cs="宋体"/>
          <w:b w:val="0"/>
          <w:bCs w:val="0"/>
          <w:color w:val="auto"/>
          <w:kern w:val="0"/>
          <w:sz w:val="24"/>
          <w:szCs w:val="24"/>
          <w:highlight w:val="none"/>
          <w:lang w:bidi="en-US"/>
        </w:rPr>
        <w:t>日</w:t>
      </w:r>
    </w:p>
    <w:p w14:paraId="1AA9CBC8">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560" w:leftChars="200"/>
        <w:jc w:val="both"/>
        <w:textAlignment w:val="auto"/>
        <w:rPr>
          <w:rFonts w:hint="eastAsia" w:ascii="黑体" w:hAnsi="黑体" w:eastAsia="黑体" w:cs="黑体"/>
          <w:color w:val="auto"/>
          <w:sz w:val="24"/>
          <w:szCs w:val="24"/>
          <w:highlight w:val="none"/>
          <w:lang w:val="en-US" w:eastAsia="zh-CN"/>
        </w:rPr>
      </w:pPr>
      <w:bookmarkStart w:id="1" w:name="_Toc68364657"/>
    </w:p>
    <w:p w14:paraId="66692EAA">
      <w:pPr>
        <w:pStyle w:val="2"/>
        <w:rPr>
          <w:rFonts w:hint="eastAsia" w:ascii="黑体" w:hAnsi="黑体" w:eastAsia="黑体" w:cs="黑体"/>
          <w:color w:val="auto"/>
          <w:sz w:val="24"/>
          <w:szCs w:val="24"/>
          <w:highlight w:val="none"/>
          <w:lang w:val="en-US" w:eastAsia="zh-CN"/>
        </w:rPr>
      </w:pPr>
    </w:p>
    <w:p w14:paraId="749EF352">
      <w:pPr>
        <w:pStyle w:val="2"/>
        <w:rPr>
          <w:rFonts w:hint="eastAsia" w:ascii="黑体" w:hAnsi="黑体" w:eastAsia="黑体" w:cs="黑体"/>
          <w:color w:val="auto"/>
          <w:sz w:val="24"/>
          <w:szCs w:val="24"/>
          <w:highlight w:val="none"/>
          <w:lang w:val="en-US" w:eastAsia="zh-CN"/>
        </w:rPr>
      </w:pPr>
    </w:p>
    <w:p w14:paraId="37370D5E">
      <w:pPr>
        <w:pStyle w:val="2"/>
        <w:rPr>
          <w:rFonts w:hint="eastAsia" w:ascii="黑体" w:hAnsi="黑体" w:eastAsia="黑体" w:cs="黑体"/>
          <w:color w:val="auto"/>
          <w:sz w:val="24"/>
          <w:szCs w:val="24"/>
          <w:highlight w:val="none"/>
          <w:lang w:val="en-US" w:eastAsia="zh-CN"/>
        </w:rPr>
      </w:pPr>
    </w:p>
    <w:p w14:paraId="04DE3712">
      <w:pPr>
        <w:pStyle w:val="4"/>
        <w:pageBreakBefore w:val="0"/>
        <w:widowControl w:val="0"/>
        <w:numPr>
          <w:ilvl w:val="0"/>
          <w:numId w:val="0"/>
        </w:numPr>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lang w:val="en-US" w:eastAsia="zh-CN"/>
        </w:rPr>
        <w:t>一、</w:t>
      </w:r>
      <w:r>
        <w:rPr>
          <w:rFonts w:hint="eastAsia" w:ascii="黑体" w:hAnsi="黑体" w:eastAsia="黑体" w:cs="黑体"/>
          <w:color w:val="auto"/>
          <w:sz w:val="24"/>
          <w:szCs w:val="24"/>
          <w:highlight w:val="none"/>
        </w:rPr>
        <w:t>基本情况</w:t>
      </w:r>
      <w:bookmarkEnd w:id="1"/>
    </w:p>
    <w:p w14:paraId="28D07E64">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2" w:name="_Toc68364658"/>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项目概况</w:t>
      </w:r>
      <w:bookmarkEnd w:id="2"/>
    </w:p>
    <w:p w14:paraId="7B5C475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 项目背景</w:t>
      </w:r>
    </w:p>
    <w:p w14:paraId="0AD55E9F">
      <w:pPr>
        <w:pStyle w:val="5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根据党的教育方针及教学大纲，组织义务教育全日制教学，通过实施素质教育，为小学输送合格的毕业生，为社会培养合格接班人，在上级主管部门的领导下，加强对全校师生的管理和教育，加强政治思想、道德素养、法制观念、爱国主义、集体主义，无神论的教育，培养德、智、体、美、劳全面发展，招收适龄儿童，安排班级，组织教学；执行上级教育部门有关教育教学工作的安排布置，计划、办法和措施；在当地党政部门的指导下，做好当地学生教育。</w:t>
      </w:r>
    </w:p>
    <w:p w14:paraId="5BE41C1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b/>
          <w:bCs/>
          <w:color w:val="auto"/>
          <w:sz w:val="24"/>
          <w:szCs w:val="24"/>
          <w:highlight w:val="none"/>
        </w:rPr>
        <w:t>主要内容及实施情况</w:t>
      </w:r>
    </w:p>
    <w:p w14:paraId="65CE09C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1）主要内容</w:t>
      </w:r>
    </w:p>
    <w:p w14:paraId="5BF97F3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本项目主要实施内容为：为保障学校日常工作正常运转，学生正常就餐，改善贫困学生生活水平，资金总金额为：125.0614万元。将在2024年12月之前完成。</w:t>
      </w:r>
    </w:p>
    <w:p w14:paraId="1ACA2EC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2.实施情况</w:t>
      </w:r>
    </w:p>
    <w:p w14:paraId="4A6FC2D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1）项目实施主体</w:t>
      </w:r>
    </w:p>
    <w:p w14:paraId="6B9ECC1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本项目主管部门为洛浦县教育局，实施单位为洛浦县恰尔巴格镇第一一贯制学校。</w:t>
      </w:r>
    </w:p>
    <w:p w14:paraId="706334E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（2）项目实施时间：</w:t>
      </w:r>
      <w:r>
        <w:rPr>
          <w:rFonts w:hint="eastAsia" w:ascii="宋体" w:hAnsi="宋体" w:eastAsia="宋体" w:cs="宋体"/>
          <w:b w:val="0"/>
          <w:bCs w:val="0"/>
          <w:color w:val="auto"/>
          <w:sz w:val="24"/>
          <w:szCs w:val="24"/>
          <w:highlight w:val="none"/>
          <w:lang w:val="en-US" w:eastAsia="zh-CN"/>
        </w:rPr>
        <w:t>2024年1月-2024年12月</w:t>
      </w:r>
    </w:p>
    <w:p w14:paraId="6B37E0F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（3）项目实施情况</w:t>
      </w:r>
    </w:p>
    <w:p w14:paraId="3CD2A89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截止到2024年12月31日，我单位已完成受益学生数量837人的寄宿生生活补助及营养改善经费及学校公用经费的资金使用。资金已使用125.06万元。通过项目的实施，有效改善教育教学质量。</w:t>
      </w:r>
    </w:p>
    <w:p w14:paraId="7B6E2E9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 资金投入和使用情况</w:t>
      </w:r>
    </w:p>
    <w:p w14:paraId="278FD2A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（1）项目资金安排</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投入情况</w:t>
      </w:r>
    </w:p>
    <w:p w14:paraId="7A09533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本项目预算安排总额为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万元，资金来源为部门预算</w:t>
      </w:r>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，其中：财政资</w:t>
      </w:r>
      <w:r>
        <w:rPr>
          <w:rFonts w:hint="eastAsia" w:ascii="宋体" w:hAnsi="宋体" w:eastAsia="宋体" w:cs="宋体"/>
          <w:color w:val="auto"/>
          <w:sz w:val="24"/>
          <w:szCs w:val="24"/>
          <w:highlight w:val="none"/>
          <w:lang w:eastAsia="zh-CN"/>
        </w:rPr>
        <w:t>金</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万元，其他资金</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万元，202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年实际收到预算资金</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万元，预算资金到位率为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05CBE1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（2）项目资金实际使用情况分析</w:t>
      </w:r>
    </w:p>
    <w:p w14:paraId="5AA274C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本项目实际支付资金</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本项目资金主要用于支付</w:t>
      </w:r>
      <w:r>
        <w:rPr>
          <w:rFonts w:hint="eastAsia" w:ascii="宋体" w:hAnsi="宋体" w:eastAsia="宋体" w:cs="宋体"/>
          <w:color w:val="auto"/>
          <w:sz w:val="24"/>
          <w:szCs w:val="24"/>
          <w:highlight w:val="none"/>
          <w:lang w:val="en-US" w:eastAsia="zh-CN"/>
        </w:rPr>
        <w:t>公用经费</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highlight w:val="none"/>
          <w:lang w:val="en-US" w:eastAsia="zh-CN"/>
        </w:rPr>
        <w:t>56.69</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val="en-US" w:eastAsia="zh-CN"/>
        </w:rPr>
        <w:t>营养改善60.84</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，寄宿生生活补助</w:t>
      </w:r>
      <w:r>
        <w:rPr>
          <w:rFonts w:hint="eastAsia" w:ascii="宋体" w:hAnsi="宋体" w:eastAsia="宋体" w:cs="宋体"/>
          <w:color w:val="auto"/>
          <w:sz w:val="24"/>
          <w:szCs w:val="24"/>
          <w:highlight w:val="none"/>
          <w:lang w:val="en-US" w:eastAsia="zh-CN"/>
        </w:rPr>
        <w:t>7.53万元</w:t>
      </w:r>
      <w:r>
        <w:rPr>
          <w:rFonts w:hint="eastAsia" w:ascii="宋体" w:hAnsi="宋体" w:eastAsia="宋体" w:cs="宋体"/>
          <w:color w:val="auto"/>
          <w:sz w:val="24"/>
          <w:szCs w:val="24"/>
          <w:highlight w:val="none"/>
        </w:rPr>
        <w:t>。</w:t>
      </w:r>
    </w:p>
    <w:p w14:paraId="73ADB816">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3" w:name="_Toc68364659"/>
      <w:r>
        <w:rPr>
          <w:rFonts w:hint="eastAsia" w:ascii="宋体" w:hAnsi="宋体" w:eastAsia="宋体" w:cs="宋体"/>
          <w:color w:val="auto"/>
          <w:sz w:val="24"/>
          <w:szCs w:val="24"/>
          <w:highlight w:val="none"/>
        </w:rPr>
        <w:t>（二）项目绩效目标</w:t>
      </w:r>
      <w:bookmarkEnd w:id="3"/>
    </w:p>
    <w:p w14:paraId="58288AB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项目绩效目标包括项目总</w:t>
      </w:r>
      <w:r>
        <w:rPr>
          <w:rFonts w:hint="eastAsia" w:ascii="宋体" w:hAnsi="宋体" w:eastAsia="宋体" w:cs="宋体"/>
          <w:color w:val="auto"/>
          <w:sz w:val="24"/>
          <w:szCs w:val="24"/>
          <w:highlight w:val="none"/>
          <w:lang w:val="en-US" w:eastAsia="zh-CN"/>
        </w:rPr>
        <w:t>体</w:t>
      </w:r>
      <w:r>
        <w:rPr>
          <w:rFonts w:hint="eastAsia" w:ascii="宋体" w:hAnsi="宋体" w:eastAsia="宋体" w:cs="宋体"/>
          <w:color w:val="auto"/>
          <w:sz w:val="24"/>
          <w:szCs w:val="24"/>
          <w:highlight w:val="none"/>
        </w:rPr>
        <w:t>目标和阶段性目标。</w:t>
      </w:r>
    </w:p>
    <w:p w14:paraId="0D57FC8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1.总</w:t>
      </w:r>
      <w:r>
        <w:rPr>
          <w:rFonts w:hint="eastAsia" w:ascii="宋体" w:hAnsi="宋体" w:eastAsia="宋体" w:cs="宋体"/>
          <w:b/>
          <w:bCs/>
          <w:color w:val="auto"/>
          <w:sz w:val="24"/>
          <w:szCs w:val="24"/>
          <w:highlight w:val="none"/>
          <w:lang w:val="en-US" w:eastAsia="zh-CN"/>
        </w:rPr>
        <w:t>体</w:t>
      </w:r>
      <w:r>
        <w:rPr>
          <w:rFonts w:hint="eastAsia" w:ascii="宋体" w:hAnsi="宋体" w:eastAsia="宋体" w:cs="宋体"/>
          <w:b/>
          <w:bCs/>
          <w:color w:val="auto"/>
          <w:sz w:val="24"/>
          <w:szCs w:val="24"/>
          <w:highlight w:val="none"/>
        </w:rPr>
        <w:t>目标</w:t>
      </w:r>
    </w:p>
    <w:p w14:paraId="726BFFC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本项目主要实施内容为：为保障学校日常工作正常运转，学生正常就餐，改善贫困学生生活水平，资金总金额为：125.0614万元。将在2024年12月之前完成。</w:t>
      </w:r>
    </w:p>
    <w:p w14:paraId="4AA2444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阶段性目标</w:t>
      </w:r>
    </w:p>
    <w:p w14:paraId="6C3582F9">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bookmarkStart w:id="4" w:name="_Toc68364660"/>
      <w:r>
        <w:rPr>
          <w:rFonts w:hint="eastAsia" w:ascii="宋体" w:hAnsi="宋体" w:eastAsia="宋体" w:cs="宋体"/>
          <w:color w:val="auto"/>
          <w:sz w:val="24"/>
          <w:szCs w:val="24"/>
          <w:highlight w:val="none"/>
          <w:lang w:val="en-US" w:eastAsia="zh-CN"/>
        </w:rPr>
        <w:t>我</w:t>
      </w:r>
      <w:r>
        <w:rPr>
          <w:rFonts w:hint="eastAsia" w:ascii="宋体" w:hAnsi="宋体" w:eastAsia="宋体" w:cs="宋体"/>
          <w:color w:val="auto"/>
          <w:sz w:val="24"/>
          <w:szCs w:val="24"/>
          <w:highlight w:val="none"/>
        </w:rPr>
        <w:t>单位根据《项目支出绩效评价管理办法》（财预〔2020〕10号）《关于印发〈自治区财政支出绩效评价管理暂行办法〉的通知》（新财预〔2018〕189号）以及自治区财政厅《关于印发〈自治区项目支出绩效目标设置指引〉的通知》（新财预〔2022〕42号）的规定，结合项目相关信息，设置了年度绩效目标如下：</w:t>
      </w:r>
    </w:p>
    <w:p w14:paraId="7D89DD39">
      <w:pPr>
        <w:pStyle w:val="46"/>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产出指标</w:t>
      </w:r>
    </w:p>
    <w:p w14:paraId="217A845B">
      <w:pPr>
        <w:pStyle w:val="46"/>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数量指标:</w:t>
      </w:r>
    </w:p>
    <w:p w14:paraId="1F148736">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w:t>
      </w:r>
      <w:r>
        <w:rPr>
          <w:rFonts w:hint="eastAsia" w:ascii="宋体" w:hAnsi="宋体" w:eastAsia="宋体" w:cs="宋体"/>
          <w:color w:val="auto"/>
          <w:sz w:val="24"/>
          <w:szCs w:val="24"/>
          <w:highlight w:val="none"/>
          <w:lang w:eastAsia="zh-CN"/>
        </w:rPr>
        <w:t>受益学生数量</w:t>
      </w:r>
      <w:r>
        <w:rPr>
          <w:rFonts w:hint="eastAsia" w:ascii="宋体" w:hAnsi="宋体" w:eastAsia="宋体" w:cs="宋体"/>
          <w:color w:val="auto"/>
          <w:sz w:val="24"/>
          <w:szCs w:val="24"/>
          <w:highlight w:val="none"/>
        </w:rPr>
        <w:t>，预期指标值：“=</w:t>
      </w:r>
      <w:r>
        <w:rPr>
          <w:rFonts w:hint="eastAsia" w:ascii="宋体" w:hAnsi="宋体" w:eastAsia="宋体" w:cs="宋体"/>
          <w:color w:val="auto"/>
          <w:sz w:val="24"/>
          <w:szCs w:val="24"/>
          <w:highlight w:val="none"/>
          <w:lang w:val="en-US" w:eastAsia="zh-CN"/>
        </w:rPr>
        <w:t>837</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lang w:eastAsia="zh-CN"/>
        </w:rPr>
        <w:t>”；</w:t>
      </w:r>
    </w:p>
    <w:p w14:paraId="48AFEA86">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2）质量指标：</w:t>
      </w:r>
    </w:p>
    <w:p w14:paraId="75AF5B60">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指标1：资金使用合规率，预期指标值：“=100%</w:t>
      </w:r>
      <w:r>
        <w:rPr>
          <w:rFonts w:hint="eastAsia" w:ascii="宋体" w:hAnsi="宋体" w:eastAsia="宋体" w:cs="宋体"/>
          <w:color w:val="auto"/>
          <w:sz w:val="24"/>
          <w:szCs w:val="24"/>
          <w:highlight w:val="none"/>
          <w:lang w:eastAsia="zh-CN"/>
        </w:rPr>
        <w:t>”；</w:t>
      </w:r>
    </w:p>
    <w:p w14:paraId="7A4746E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3）时效目标：</w:t>
      </w:r>
    </w:p>
    <w:p w14:paraId="2057DDBD">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指标1：项目开始时间，预期指标值：“2024年</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eastAsia="zh-CN"/>
        </w:rPr>
        <w:t>”；</w:t>
      </w:r>
    </w:p>
    <w:p w14:paraId="64662CD7">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指标2：项目完成时间，预期指标值：“2024年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eastAsia="zh-CN"/>
        </w:rPr>
        <w:t>”；</w:t>
      </w:r>
    </w:p>
    <w:p w14:paraId="25424E4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指标3：补助资金发放及时率，</w:t>
      </w:r>
      <w:r>
        <w:rPr>
          <w:rFonts w:hint="eastAsia" w:ascii="宋体" w:hAnsi="宋体" w:eastAsia="宋体" w:cs="宋体"/>
          <w:color w:val="auto"/>
          <w:sz w:val="24"/>
          <w:szCs w:val="24"/>
          <w:highlight w:val="none"/>
        </w:rPr>
        <w:t>预期指标值：“=100%</w:t>
      </w:r>
      <w:r>
        <w:rPr>
          <w:rFonts w:hint="eastAsia" w:ascii="宋体" w:hAnsi="宋体" w:eastAsia="宋体" w:cs="宋体"/>
          <w:color w:val="auto"/>
          <w:sz w:val="24"/>
          <w:szCs w:val="24"/>
          <w:highlight w:val="none"/>
          <w:lang w:eastAsia="zh-CN"/>
        </w:rPr>
        <w:t>”；</w:t>
      </w:r>
    </w:p>
    <w:p w14:paraId="328A5288">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（2）成本指标： </w:t>
      </w:r>
    </w:p>
    <w:p w14:paraId="4C46342C">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1）经济成本指标</w:t>
      </w:r>
    </w:p>
    <w:p w14:paraId="7135717A">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指标1：义务教育公用经费，预期指标值：“</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56.69万元</w:t>
      </w:r>
      <w:r>
        <w:rPr>
          <w:rFonts w:hint="eastAsia" w:ascii="宋体" w:hAnsi="宋体" w:eastAsia="宋体" w:cs="宋体"/>
          <w:color w:val="auto"/>
          <w:sz w:val="24"/>
          <w:szCs w:val="24"/>
          <w:highlight w:val="none"/>
          <w:lang w:eastAsia="zh-CN"/>
        </w:rPr>
        <w:t>”；</w:t>
      </w:r>
    </w:p>
    <w:p w14:paraId="1F200853">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指标1：营养改善经费，预期指标值：“</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60.84万元</w:t>
      </w:r>
      <w:r>
        <w:rPr>
          <w:rFonts w:hint="eastAsia" w:ascii="宋体" w:hAnsi="宋体" w:eastAsia="宋体" w:cs="宋体"/>
          <w:color w:val="auto"/>
          <w:sz w:val="24"/>
          <w:szCs w:val="24"/>
          <w:highlight w:val="none"/>
          <w:lang w:eastAsia="zh-CN"/>
        </w:rPr>
        <w:t>”；</w:t>
      </w:r>
    </w:p>
    <w:p w14:paraId="3A204914">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指标1：寄宿生生活补助经费，预期指标值：“</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7.53万元</w:t>
      </w:r>
      <w:r>
        <w:rPr>
          <w:rFonts w:hint="eastAsia" w:ascii="宋体" w:hAnsi="宋体" w:eastAsia="宋体" w:cs="宋体"/>
          <w:color w:val="auto"/>
          <w:sz w:val="24"/>
          <w:szCs w:val="24"/>
          <w:highlight w:val="none"/>
          <w:lang w:eastAsia="zh-CN"/>
        </w:rPr>
        <w:t>”；</w:t>
      </w:r>
    </w:p>
    <w:p w14:paraId="3671A7EB">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效益指标</w:t>
      </w:r>
    </w:p>
    <w:p w14:paraId="6D5B33AB">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2）社会效益指标：</w:t>
      </w:r>
    </w:p>
    <w:p w14:paraId="579F3A5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指标1：改善教育教学质量，预期指标值：“有效改善</w:t>
      </w:r>
      <w:r>
        <w:rPr>
          <w:rFonts w:hint="eastAsia" w:ascii="宋体" w:hAnsi="宋体" w:eastAsia="宋体" w:cs="宋体"/>
          <w:color w:val="auto"/>
          <w:sz w:val="24"/>
          <w:szCs w:val="24"/>
          <w:highlight w:val="none"/>
          <w:lang w:eastAsia="zh-CN"/>
        </w:rPr>
        <w:t>”；</w:t>
      </w:r>
    </w:p>
    <w:p w14:paraId="29B6D11B">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（4）服务对象满意度指标：</w:t>
      </w:r>
    </w:p>
    <w:p w14:paraId="12DEAE31">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指标1：学生满意度，预期指标值：“</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95%</w:t>
      </w:r>
      <w:r>
        <w:rPr>
          <w:rFonts w:hint="eastAsia" w:ascii="宋体" w:hAnsi="宋体" w:eastAsia="宋体" w:cs="宋体"/>
          <w:color w:val="auto"/>
          <w:sz w:val="24"/>
          <w:szCs w:val="24"/>
          <w:highlight w:val="none"/>
          <w:lang w:eastAsia="zh-CN"/>
        </w:rPr>
        <w:t>”。</w:t>
      </w:r>
    </w:p>
    <w:p w14:paraId="30AFF599">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p>
    <w:p w14:paraId="700A82AD">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二、绩效评价工作开展情况</w:t>
      </w:r>
      <w:bookmarkEnd w:id="4"/>
    </w:p>
    <w:p w14:paraId="1ED80DBA">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5" w:name="_Toc68364661"/>
      <w:r>
        <w:rPr>
          <w:rFonts w:hint="eastAsia" w:ascii="宋体" w:hAnsi="宋体" w:eastAsia="宋体" w:cs="宋体"/>
          <w:color w:val="auto"/>
          <w:sz w:val="24"/>
          <w:szCs w:val="24"/>
          <w:highlight w:val="none"/>
        </w:rPr>
        <w:t>（一）绩效评价目的、对象和范围</w:t>
      </w:r>
      <w:bookmarkEnd w:id="5"/>
    </w:p>
    <w:p w14:paraId="59EE23D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 绩效评价目的</w:t>
      </w:r>
    </w:p>
    <w:p w14:paraId="6E0AA3B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本次绩效评价遵循财政部《项目支出绩效评价管理办法》（财预〔2020〕10号）《自治区财政支出绩效评价管理暂行办法》（新财预〔2018〕189号）</w:t>
      </w:r>
      <w:r>
        <w:rPr>
          <w:rFonts w:hint="eastAsia" w:ascii="宋体" w:hAnsi="宋体" w:eastAsia="宋体" w:cs="宋体"/>
          <w:color w:val="auto"/>
          <w:sz w:val="24"/>
          <w:szCs w:val="24"/>
          <w:highlight w:val="none"/>
          <w:lang w:val="en-US" w:eastAsia="zh-CN"/>
        </w:rPr>
        <w:t>及</w:t>
      </w:r>
      <w:r>
        <w:rPr>
          <w:rFonts w:hint="eastAsia" w:ascii="宋体" w:hAnsi="宋体" w:eastAsia="宋体" w:cs="宋体"/>
          <w:color w:val="auto"/>
          <w:sz w:val="24"/>
          <w:szCs w:val="24"/>
          <w:highlight w:val="none"/>
        </w:rPr>
        <w:t>自治区财政厅《关于印发〈自治区项目支出绩效目标设置指引〉的通知》（新财预〔2022〕42号）等相关政策文件与规定，对</w:t>
      </w:r>
      <w:r>
        <w:rPr>
          <w:rFonts w:hint="eastAsia" w:ascii="宋体" w:hAnsi="宋体" w:eastAsia="宋体" w:cs="宋体"/>
          <w:b w:val="0"/>
          <w:bCs w:val="0"/>
          <w:color w:val="auto"/>
          <w:kern w:val="0"/>
          <w:sz w:val="24"/>
          <w:szCs w:val="24"/>
          <w:highlight w:val="none"/>
          <w:lang w:eastAsia="zh-CN" w:bidi="en-US"/>
        </w:rPr>
        <w:t>2024年城乡义务教育补助经费</w:t>
      </w:r>
      <w:r>
        <w:rPr>
          <w:rFonts w:hint="eastAsia" w:ascii="宋体" w:hAnsi="宋体" w:eastAsia="宋体" w:cs="宋体"/>
          <w:color w:val="auto"/>
          <w:sz w:val="24"/>
          <w:szCs w:val="24"/>
          <w:highlight w:val="none"/>
        </w:rPr>
        <w:t>项目开展本次部门项目支出绩效评价工作。全面了解</w:t>
      </w:r>
      <w:r>
        <w:rPr>
          <w:rFonts w:hint="eastAsia" w:ascii="宋体" w:hAnsi="宋体" w:eastAsia="宋体" w:cs="宋体"/>
          <w:b w:val="0"/>
          <w:bCs w:val="0"/>
          <w:color w:val="auto"/>
          <w:kern w:val="0"/>
          <w:sz w:val="24"/>
          <w:szCs w:val="24"/>
          <w:highlight w:val="none"/>
          <w:lang w:eastAsia="zh-CN" w:bidi="en-US"/>
        </w:rPr>
        <w:t>2024年城乡义务教育补助经费</w:t>
      </w:r>
      <w:r>
        <w:rPr>
          <w:rFonts w:hint="eastAsia" w:ascii="宋体" w:hAnsi="宋体" w:eastAsia="宋体" w:cs="宋体"/>
          <w:color w:val="auto"/>
          <w:sz w:val="24"/>
          <w:szCs w:val="24"/>
          <w:highlight w:val="none"/>
        </w:rPr>
        <w:t>项目预算编制合理性、资金使用合规性、项目管理的规范性、项目目标的实现情况、服务对象的满意度等项目实施前期、过程及</w:t>
      </w:r>
      <w:r>
        <w:rPr>
          <w:rFonts w:hint="eastAsia" w:ascii="宋体" w:hAnsi="宋体" w:eastAsia="宋体" w:cs="宋体"/>
          <w:color w:val="auto"/>
          <w:sz w:val="24"/>
          <w:szCs w:val="24"/>
          <w:highlight w:val="none"/>
          <w:lang w:val="en-US" w:eastAsia="zh-CN"/>
        </w:rPr>
        <w:t>实施</w:t>
      </w:r>
      <w:r>
        <w:rPr>
          <w:rFonts w:hint="eastAsia" w:ascii="宋体" w:hAnsi="宋体" w:eastAsia="宋体" w:cs="宋体"/>
          <w:color w:val="auto"/>
          <w:sz w:val="24"/>
          <w:szCs w:val="24"/>
          <w:highlight w:val="none"/>
        </w:rPr>
        <w:t>效果</w:t>
      </w:r>
      <w:r>
        <w:rPr>
          <w:rFonts w:hint="eastAsia" w:ascii="宋体" w:hAnsi="宋体" w:eastAsia="宋体" w:cs="宋体"/>
          <w:color w:val="auto"/>
          <w:sz w:val="24"/>
          <w:szCs w:val="24"/>
          <w:highlight w:val="none"/>
          <w:lang w:val="en-US" w:eastAsia="zh-CN"/>
        </w:rPr>
        <w:t>情况。</w:t>
      </w:r>
    </w:p>
    <w:p w14:paraId="3F2F6E5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过部门项目支出绩效评价，进一步严格落实《中华人民共和国预算法》以及《中共中央国务院关于全面实施预算绩效管理的意见》（中发〔2018〕34号）《自治区党委自治区人民政府关于全面实施预算绩效管理的实施意见》（新党发〔2018〕30号）政策文件的指示精神，有助于建立健全“花钱必问效、无效必问责”的绩效预算管理机制</w:t>
      </w:r>
    </w:p>
    <w:p w14:paraId="6C8741A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通过部门项目支出绩效评价，进一步做实绩效目标，将绩效指标细化为数量指标、质量指标、时效指标、成本指标、经济效益指标、社会效益指标、服务对象满意度指标等内容，保证项目绩效指标设置科学、规范、合理、可衡量。</w:t>
      </w:r>
    </w:p>
    <w:p w14:paraId="4E4EE32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方正仿宋_GBK" w:hAnsi="方正仿宋_GBK" w:eastAsia="方正仿宋_GBK" w:cs="方正仿宋_GBK"/>
          <w:b/>
          <w:bCs/>
          <w:color w:val="auto"/>
          <w:sz w:val="32"/>
          <w:szCs w:val="32"/>
          <w:highlight w:val="none"/>
        </w:rPr>
      </w:pPr>
      <w:r>
        <w:rPr>
          <w:rFonts w:hint="eastAsia" w:ascii="宋体" w:hAnsi="宋体" w:eastAsia="宋体" w:cs="宋体"/>
          <w:color w:val="auto"/>
          <w:sz w:val="24"/>
          <w:szCs w:val="24"/>
          <w:highlight w:val="none"/>
          <w:lang w:val="en-US" w:eastAsia="zh-CN"/>
        </w:rPr>
        <w:t>同时，通过部门项目支出绩效评价，可促进本单位发现预算项目管理中的问题、总结经验、改进工作，以提高</w:t>
      </w:r>
      <w:r>
        <w:rPr>
          <w:rFonts w:hint="eastAsia" w:ascii="宋体" w:hAnsi="宋体" w:eastAsia="宋体" w:cs="宋体"/>
          <w:color w:val="auto"/>
          <w:sz w:val="24"/>
          <w:szCs w:val="24"/>
          <w:highlight w:val="none"/>
        </w:rPr>
        <w:t>财政预算资金使用的效率及效益。</w:t>
      </w:r>
    </w:p>
    <w:p w14:paraId="1FF6DE01">
      <w:pPr>
        <w:pStyle w:val="4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绩效评价对象</w:t>
      </w:r>
    </w:p>
    <w:p w14:paraId="144855C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w:t>
      </w:r>
      <w:r>
        <w:rPr>
          <w:rFonts w:hint="eastAsia" w:ascii="宋体" w:hAnsi="宋体" w:eastAsia="宋体" w:cs="宋体"/>
          <w:color w:val="auto"/>
          <w:sz w:val="24"/>
          <w:szCs w:val="24"/>
          <w:highlight w:val="none"/>
        </w:rPr>
        <w:t>次绩效评价遵循财政部《项目支出绩效评价管理办法》（财预〔2020〕10号）和《自治区财政支出绩效评价管理暂行办法》（新财预〔2018〕189号）等政策文件规定，以</w:t>
      </w:r>
      <w:r>
        <w:rPr>
          <w:rFonts w:hint="eastAsia" w:ascii="宋体" w:hAnsi="宋体" w:eastAsia="宋体" w:cs="宋体"/>
          <w:b w:val="0"/>
          <w:bCs w:val="0"/>
          <w:color w:val="auto"/>
          <w:kern w:val="0"/>
          <w:sz w:val="24"/>
          <w:szCs w:val="24"/>
          <w:highlight w:val="none"/>
          <w:lang w:eastAsia="zh-CN" w:bidi="en-US"/>
        </w:rPr>
        <w:t>2024年城乡义务教育补助经费</w:t>
      </w:r>
      <w:r>
        <w:rPr>
          <w:rFonts w:hint="eastAsia" w:ascii="宋体" w:hAnsi="宋体" w:eastAsia="宋体" w:cs="宋体"/>
          <w:color w:val="auto"/>
          <w:sz w:val="24"/>
          <w:szCs w:val="24"/>
          <w:highlight w:val="none"/>
        </w:rPr>
        <w:t>项目为</w:t>
      </w:r>
      <w:r>
        <w:rPr>
          <w:rFonts w:hint="eastAsia" w:ascii="宋体" w:hAnsi="宋体" w:eastAsia="宋体" w:cs="宋体"/>
          <w:color w:val="auto"/>
          <w:sz w:val="24"/>
          <w:szCs w:val="24"/>
          <w:highlight w:val="none"/>
          <w:lang w:val="en-US" w:eastAsia="zh-CN"/>
        </w:rPr>
        <w:t>评价</w:t>
      </w:r>
      <w:r>
        <w:rPr>
          <w:rFonts w:hint="eastAsia" w:ascii="宋体" w:hAnsi="宋体" w:eastAsia="宋体" w:cs="宋体"/>
          <w:color w:val="auto"/>
          <w:sz w:val="24"/>
          <w:szCs w:val="24"/>
          <w:highlight w:val="none"/>
        </w:rPr>
        <w:t>对象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对该项目决策、</w:t>
      </w:r>
      <w:r>
        <w:rPr>
          <w:rFonts w:hint="eastAsia" w:ascii="宋体" w:hAnsi="宋体" w:eastAsia="宋体" w:cs="宋体"/>
          <w:color w:val="auto"/>
          <w:sz w:val="24"/>
          <w:szCs w:val="24"/>
          <w:highlight w:val="none"/>
          <w:lang w:val="en-US" w:eastAsia="zh-CN"/>
        </w:rPr>
        <w:t>项目资金管理、项目实施</w:t>
      </w:r>
      <w:r>
        <w:rPr>
          <w:rFonts w:hint="eastAsia" w:ascii="宋体" w:hAnsi="宋体" w:eastAsia="宋体" w:cs="宋体"/>
          <w:color w:val="auto"/>
          <w:sz w:val="24"/>
          <w:szCs w:val="24"/>
          <w:highlight w:val="none"/>
        </w:rPr>
        <w:t>过程</w:t>
      </w:r>
      <w:r>
        <w:rPr>
          <w:rFonts w:hint="eastAsia" w:ascii="宋体" w:hAnsi="宋体" w:eastAsia="宋体" w:cs="宋体"/>
          <w:color w:val="auto"/>
          <w:sz w:val="24"/>
          <w:szCs w:val="24"/>
          <w:highlight w:val="none"/>
          <w:lang w:val="en-US" w:eastAsia="zh-CN"/>
        </w:rPr>
        <w:t>管理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以及</w:t>
      </w:r>
      <w:r>
        <w:rPr>
          <w:rFonts w:hint="eastAsia" w:ascii="宋体" w:hAnsi="宋体" w:eastAsia="宋体" w:cs="宋体"/>
          <w:color w:val="auto"/>
          <w:sz w:val="24"/>
          <w:szCs w:val="24"/>
          <w:highlight w:val="none"/>
        </w:rPr>
        <w:t>项目实施所带来的产出和效果</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val="en-US" w:eastAsia="zh-CN"/>
        </w:rPr>
        <w:t>进行综合评价。</w:t>
      </w:r>
    </w:p>
    <w:p w14:paraId="4F8298EB">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 绩效评价范围</w:t>
      </w:r>
    </w:p>
    <w:p w14:paraId="4238DE1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本次绩效评价主要围绕</w:t>
      </w:r>
      <w:r>
        <w:rPr>
          <w:rFonts w:hint="eastAsia" w:ascii="宋体" w:hAnsi="宋体" w:eastAsia="宋体" w:cs="宋体"/>
          <w:b w:val="0"/>
          <w:bCs w:val="0"/>
          <w:color w:val="auto"/>
          <w:kern w:val="0"/>
          <w:sz w:val="24"/>
          <w:szCs w:val="24"/>
          <w:highlight w:val="none"/>
          <w:lang w:eastAsia="zh-CN" w:bidi="en-US"/>
        </w:rPr>
        <w:t>2024年城乡义务教育补助经费</w:t>
      </w:r>
      <w:r>
        <w:rPr>
          <w:rFonts w:hint="eastAsia" w:ascii="宋体" w:hAnsi="宋体" w:eastAsia="宋体" w:cs="宋体"/>
          <w:color w:val="auto"/>
          <w:sz w:val="24"/>
          <w:szCs w:val="24"/>
          <w:highlight w:val="none"/>
        </w:rPr>
        <w:t>项目决策、项目资金管理、项目实施过程管理，以及项目实施所带来的产出和效果等内容，进行综合评价。范围涵盖项目总体绩效目标、各项绩效指标完成情况以及预算执行情况</w:t>
      </w:r>
      <w:bookmarkStart w:id="6" w:name="_Toc68364662"/>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覆盖预算资金支出项目的所有内容进行评价。</w:t>
      </w:r>
    </w:p>
    <w:p w14:paraId="3D067E31">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（二）绩效评价原则、评价指标体系、评价方法评价标准</w:t>
      </w:r>
      <w:bookmarkEnd w:id="6"/>
    </w:p>
    <w:p w14:paraId="56E4F34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 绩效评价原则</w:t>
      </w:r>
    </w:p>
    <w:p w14:paraId="407C8F7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p>
    <w:p w14:paraId="02833765">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（1）科学公正。绩效评价应当运用科学合理的方法，按照规范的程序，对项目绩效进行客观、公正的反映。</w:t>
      </w:r>
    </w:p>
    <w:p w14:paraId="5A30BAC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4018309">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（3）激励约束。绩效评价结果应与预算安排、政策调整、改进管理实质性挂钩，体现奖优罚劣和激励相容导向，有效要安排、低效要压减、无效要问责。</w:t>
      </w:r>
    </w:p>
    <w:p w14:paraId="2E0A69D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（4）公开透明。绩效评价结果应依法依规公开，并自觉接受社会监督。</w:t>
      </w:r>
    </w:p>
    <w:p w14:paraId="3BD3A08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根据以上原则，绩效评价应遵循如下要求:</w:t>
      </w:r>
    </w:p>
    <w:p w14:paraId="4D9CCE6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（1）在数据采集时，采取客观数据，主管部门审查、社会中介组织复查，与问卷调查相结合的形式，以保证各项指标的真实性。</w:t>
      </w:r>
    </w:p>
    <w:p w14:paraId="55EF57F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（2）保证评价结果的真实性、公正性，提高评价报告的公信力。</w:t>
      </w:r>
    </w:p>
    <w:p w14:paraId="1462F0F3">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（3）绩</w:t>
      </w:r>
      <w:r>
        <w:rPr>
          <w:rFonts w:hint="eastAsia" w:ascii="宋体" w:hAnsi="宋体" w:eastAsia="宋体" w:cs="宋体"/>
          <w:color w:val="auto"/>
          <w:sz w:val="24"/>
          <w:szCs w:val="24"/>
          <w:highlight w:val="none"/>
          <w:lang w:val="en-US" w:eastAsia="zh-CN"/>
        </w:rPr>
        <w:t>效</w:t>
      </w:r>
      <w:r>
        <w:rPr>
          <w:rFonts w:hint="eastAsia" w:ascii="宋体" w:hAnsi="宋体" w:eastAsia="宋体" w:cs="宋体"/>
          <w:color w:val="auto"/>
          <w:sz w:val="24"/>
          <w:szCs w:val="24"/>
          <w:highlight w:val="none"/>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600EFD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 绩效评价指标体系</w:t>
      </w:r>
    </w:p>
    <w:p w14:paraId="6C563F77">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个二级指标。项目绩效评价体系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详细指标体系见“附件1：项目支出绩效评价体系”。</w:t>
      </w:r>
    </w:p>
    <w:p w14:paraId="21362E7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 绩效评价方法</w:t>
      </w:r>
    </w:p>
    <w:p w14:paraId="3ED297D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0E05C6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具体</w:t>
      </w:r>
      <w:r>
        <w:rPr>
          <w:rFonts w:hint="eastAsia" w:ascii="宋体" w:hAnsi="宋体" w:eastAsia="宋体" w:cs="宋体"/>
          <w:b w:val="0"/>
          <w:bCs/>
          <w:color w:val="auto"/>
          <w:sz w:val="24"/>
          <w:szCs w:val="24"/>
          <w:highlight w:val="none"/>
        </w:rPr>
        <w:t>评价方法的应用如下:</w:t>
      </w:r>
    </w:p>
    <w:p w14:paraId="056259E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立项依据充分性：比较法、文献法，查找法律法规政策以及规划，对比实际执行内容和政策支持内容是否匹配。</w:t>
      </w:r>
    </w:p>
    <w:p w14:paraId="64462F1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立项程序规范性：比较法、文献法，查找相关项目设立的政策和文件要求，对比分析实际执行程序是否按照政策及文件要求执行，分析立项程序的规范性。</w:t>
      </w:r>
    </w:p>
    <w:p w14:paraId="30CD189A">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绩效目标合理性：比较法，对比分析年初编制项目支出绩效目标表与项目内容的相关性、资金的匹配性等。</w:t>
      </w:r>
    </w:p>
    <w:p w14:paraId="067B8EA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绩效指标明确性：比较法，比较分析年初编制项目支出绩效目标表是否符合双七原则，是否可衡量。</w:t>
      </w:r>
    </w:p>
    <w:p w14:paraId="34284EA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预算编制科学性</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成本效益分析法</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分析在产出一定的情况下，成本取值是否有依据，是否经过询价，是否按照市场最低成本编制。</w:t>
      </w:r>
    </w:p>
    <w:p w14:paraId="3FBE28F0">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资金分配合理性：因素分析法，综合分析资金的分配依据是否充分，分配金额是否与项目实施单位需求金额一致</w:t>
      </w:r>
      <w:r>
        <w:rPr>
          <w:rFonts w:hint="eastAsia" w:ascii="宋体" w:hAnsi="宋体" w:eastAsia="宋体" w:cs="宋体"/>
          <w:b w:val="0"/>
          <w:bCs/>
          <w:color w:val="auto"/>
          <w:sz w:val="24"/>
          <w:szCs w:val="24"/>
          <w:highlight w:val="none"/>
          <w:lang w:eastAsia="zh-CN"/>
        </w:rPr>
        <w:t>。</w:t>
      </w:r>
    </w:p>
    <w:p w14:paraId="5CD305D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资金到位率：比较法，资金到位率预期指标值应为100%，通过实际计算，分析实际完成值和预期指标值之间的差距和原因。</w:t>
      </w:r>
    </w:p>
    <w:p w14:paraId="15622391">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预算执行率：比较法，预算执行率预期指标值应为100%，通过实际计算，分析实际完成值和预期指标值之间的差距和原因。</w:t>
      </w:r>
    </w:p>
    <w:p w14:paraId="6E86ED28">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资金使用合规性：文献法、实地勘察法，一是查找资金管理办法，包括专项资金管理办法和单位自有资金管理办法；二是通过查账了解具体开支情况，是否专用专用，是否按照标准支出。</w:t>
      </w:r>
    </w:p>
    <w:p w14:paraId="4C95426E">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管理制度健全性：文献法、比较法，查阅项目实施人员提供的财务和业务管理制度，将已建立的制度与现行的法律法规和政策要求进行对比，分析项目制度的合法性、合规性、完整性。</w:t>
      </w:r>
    </w:p>
    <w:p w14:paraId="5E882D5F">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制度执行有效性：比较法，结合项目实际实施过程性文件，根据已建设的财务管理制度和项目管理制度综合分析制度执行的有效性。</w:t>
      </w:r>
    </w:p>
    <w:p w14:paraId="3BD2AA6C">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3A86C9B">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定性指标：公众评判法，通过问卷及抽样调查等方式评价本项目实施后社会公众对于其实施效果的满意程度。</w:t>
      </w:r>
    </w:p>
    <w:p w14:paraId="7C991D56">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 绩效评价标准</w:t>
      </w:r>
    </w:p>
    <w:p w14:paraId="085CBDD1">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7" w:name="_Toc68364663"/>
      <w:r>
        <w:rPr>
          <w:rFonts w:hint="eastAsia" w:ascii="宋体" w:hAnsi="宋体" w:eastAsia="宋体" w:cs="宋体"/>
          <w:color w:val="auto"/>
          <w:sz w:val="24"/>
          <w:szCs w:val="24"/>
          <w:highlight w:val="none"/>
        </w:rPr>
        <w:t>绩效评价标准通常包括计划标准、行业标准、历史标准等，用于对绩效指标完成情况进行比较、分析、评价。本次评价主要采用了</w:t>
      </w:r>
      <w:r>
        <w:rPr>
          <w:rFonts w:hint="eastAsia" w:ascii="宋体" w:hAnsi="宋体" w:eastAsia="宋体" w:cs="宋体"/>
          <w:color w:val="auto"/>
          <w:sz w:val="24"/>
          <w:szCs w:val="24"/>
          <w:highlight w:val="none"/>
          <w:lang w:val="en-US" w:eastAsia="zh-CN"/>
        </w:rPr>
        <w:t>计划</w:t>
      </w:r>
      <w:r>
        <w:rPr>
          <w:rFonts w:hint="eastAsia" w:ascii="宋体" w:hAnsi="宋体" w:eastAsia="宋体" w:cs="宋体"/>
          <w:color w:val="auto"/>
          <w:sz w:val="24"/>
          <w:szCs w:val="24"/>
          <w:highlight w:val="none"/>
        </w:rPr>
        <w:t>标准。</w:t>
      </w:r>
    </w:p>
    <w:p w14:paraId="64C1F52D">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8" w:name="_Toc17882"/>
      <w:bookmarkStart w:id="9" w:name="_Toc31464"/>
      <w:r>
        <w:rPr>
          <w:rFonts w:hint="eastAsia" w:ascii="宋体" w:hAnsi="宋体" w:eastAsia="宋体" w:cs="宋体"/>
          <w:b/>
          <w:bCs/>
          <w:color w:val="auto"/>
          <w:sz w:val="24"/>
          <w:szCs w:val="24"/>
          <w:highlight w:val="none"/>
        </w:rPr>
        <w:t>计划标准：</w:t>
      </w:r>
      <w:r>
        <w:rPr>
          <w:rFonts w:hint="eastAsia" w:ascii="宋体" w:hAnsi="宋体" w:eastAsia="宋体" w:cs="宋体"/>
          <w:color w:val="auto"/>
          <w:sz w:val="24"/>
          <w:szCs w:val="24"/>
          <w:highlight w:val="none"/>
        </w:rPr>
        <w:t>指以预先制定的目标、计划、预算、定额等作为评价标准。</w:t>
      </w:r>
      <w:bookmarkEnd w:id="8"/>
      <w:bookmarkEnd w:id="9"/>
    </w:p>
    <w:p w14:paraId="68912BD4">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（三）绩效评价工作过程</w:t>
      </w:r>
      <w:bookmarkEnd w:id="7"/>
    </w:p>
    <w:p w14:paraId="46884875">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0" w:name="_Toc68364664"/>
      <w:r>
        <w:rPr>
          <w:rFonts w:hint="eastAsia" w:ascii="宋体" w:hAnsi="宋体" w:eastAsia="宋体" w:cs="宋体"/>
          <w:color w:val="auto"/>
          <w:sz w:val="24"/>
          <w:szCs w:val="24"/>
          <w:highlight w:val="none"/>
        </w:rPr>
        <w:t>1.前期准备</w:t>
      </w:r>
    </w:p>
    <w:p w14:paraId="3A79404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我单位于</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E0EE06D">
      <w:pPr>
        <w:pStyle w:val="5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宁晋中（书记）（评价小组组长）：主要负责绩效评价工作职责为负责全盘工作。</w:t>
      </w:r>
    </w:p>
    <w:p w14:paraId="6670FCFB">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梅晓艳（校长）（评价小组组员）：主要负责绩效评价工作职责为为对项目实施情况进行实地调查。</w:t>
      </w:r>
    </w:p>
    <w:p w14:paraId="080B0F00">
      <w:pPr>
        <w:pStyle w:val="58"/>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麦麦提江总务主任顾洪刚、教务主任王国元  、报账员佐日古丽（评价小组组员）：主要负责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p>
    <w:p w14:paraId="7BBA32D7">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2.组织实施</w:t>
      </w:r>
    </w:p>
    <w:p w14:paraId="067C7038">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3848D51">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3.分析评价</w:t>
      </w:r>
    </w:p>
    <w:p w14:paraId="33CB3667">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27</w:t>
      </w:r>
      <w:r>
        <w:rPr>
          <w:rFonts w:hint="eastAsia" w:ascii="宋体" w:hAnsi="宋体" w:eastAsia="宋体" w:cs="宋体"/>
          <w:color w:val="auto"/>
          <w:sz w:val="24"/>
          <w:szCs w:val="24"/>
          <w:highlight w:val="none"/>
        </w:rPr>
        <w:t>日，评价小组按照绩效评价的原则和规范，对取得的资料进行审查核实，对采集的数据进行分析，按照绩效评价指标评分表逐项进行打分、分析、汇总各方评价结果。</w:t>
      </w:r>
    </w:p>
    <w:p w14:paraId="387FB636">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4.撰写与提交评价报告</w:t>
      </w:r>
    </w:p>
    <w:p w14:paraId="53D71B5A">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31</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评价小组</w:t>
      </w:r>
      <w:r>
        <w:rPr>
          <w:rFonts w:hint="eastAsia" w:ascii="宋体" w:hAnsi="宋体" w:eastAsia="宋体" w:cs="宋体"/>
          <w:color w:val="auto"/>
          <w:sz w:val="24"/>
          <w:szCs w:val="24"/>
          <w:highlight w:val="none"/>
        </w:rPr>
        <w:t>撰写</w:t>
      </w:r>
      <w:bookmarkStart w:id="24" w:name="_GoBack"/>
      <w:bookmarkEnd w:id="24"/>
      <w:r>
        <w:rPr>
          <w:rFonts w:hint="eastAsia" w:ascii="宋体" w:hAnsi="宋体" w:eastAsia="宋体" w:cs="宋体"/>
          <w:color w:val="auto"/>
          <w:sz w:val="24"/>
          <w:szCs w:val="24"/>
          <w:highlight w:val="none"/>
        </w:rPr>
        <w:t>绩效评价报告，按照新疆</w:t>
      </w:r>
      <w:r>
        <w:rPr>
          <w:rFonts w:hint="eastAsia" w:ascii="宋体" w:hAnsi="宋体" w:eastAsia="宋体" w:cs="宋体"/>
          <w:color w:val="auto"/>
          <w:sz w:val="24"/>
          <w:szCs w:val="24"/>
          <w:highlight w:val="none"/>
          <w:lang w:eastAsia="zh-CN"/>
        </w:rPr>
        <w:t>维吾尔自治区财政绩效管理信息系统</w:t>
      </w:r>
      <w:r>
        <w:rPr>
          <w:rFonts w:hint="eastAsia" w:ascii="宋体" w:hAnsi="宋体" w:eastAsia="宋体" w:cs="宋体"/>
          <w:color w:val="auto"/>
          <w:sz w:val="24"/>
          <w:szCs w:val="24"/>
          <w:highlight w:val="none"/>
        </w:rPr>
        <w:t>绩效评价模块中统一格式和文本框架撰写绩效评价报告并提交审核。</w:t>
      </w:r>
    </w:p>
    <w:p w14:paraId="7D3869D4">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5.问题整改</w:t>
      </w:r>
    </w:p>
    <w:p w14:paraId="0A873444">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054E88D">
      <w:pPr>
        <w:pStyle w:val="6"/>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6.档案整理</w:t>
      </w:r>
    </w:p>
    <w:p w14:paraId="55A432FE">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宋体" w:hAnsi="宋体" w:eastAsia="宋体" w:cs="宋体"/>
          <w:color w:val="auto"/>
          <w:sz w:val="24"/>
          <w:szCs w:val="24"/>
          <w:highlight w:val="none"/>
        </w:rPr>
        <w:t>建立和落实档案管理制度，将项目相关资料存档，包括但不限于：评价项目基本情况和相关文件、评价实施方案、项目支付资料等相关档案。</w:t>
      </w:r>
    </w:p>
    <w:p w14:paraId="78716206">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三、综合评价情况及评价结论</w:t>
      </w:r>
      <w:bookmarkEnd w:id="10"/>
    </w:p>
    <w:p w14:paraId="37BABACB">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1" w:name="_Toc68364665"/>
      <w:r>
        <w:rPr>
          <w:rFonts w:hint="eastAsia" w:ascii="宋体" w:hAnsi="宋体" w:eastAsia="宋体" w:cs="宋体"/>
          <w:color w:val="auto"/>
          <w:sz w:val="24"/>
          <w:szCs w:val="24"/>
          <w:highlight w:val="none"/>
        </w:rPr>
        <w:t>（一）综合评价情况</w:t>
      </w:r>
      <w:bookmarkEnd w:id="11"/>
    </w:p>
    <w:p w14:paraId="330D9D9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2" w:name="_Toc68364666"/>
      <w:r>
        <w:rPr>
          <w:rFonts w:hint="eastAsia" w:ascii="宋体" w:hAnsi="宋体" w:eastAsia="宋体" w:cs="宋体"/>
          <w:color w:val="auto"/>
          <w:sz w:val="24"/>
          <w:szCs w:val="24"/>
          <w:highlight w:val="none"/>
        </w:rPr>
        <w:t>通过实施</w:t>
      </w:r>
      <w:r>
        <w:rPr>
          <w:rFonts w:hint="eastAsia" w:ascii="宋体" w:hAnsi="宋体" w:eastAsia="宋体" w:cs="宋体"/>
          <w:b w:val="0"/>
          <w:bCs w:val="0"/>
          <w:color w:val="auto"/>
          <w:kern w:val="0"/>
          <w:sz w:val="24"/>
          <w:szCs w:val="24"/>
          <w:highlight w:val="none"/>
          <w:lang w:eastAsia="zh-CN" w:bidi="en-US"/>
        </w:rPr>
        <w:t>2024年城乡义务教育补助经费</w:t>
      </w:r>
      <w:r>
        <w:rPr>
          <w:rFonts w:hint="eastAsia" w:ascii="宋体" w:hAnsi="宋体" w:eastAsia="宋体" w:cs="宋体"/>
          <w:color w:val="auto"/>
          <w:sz w:val="24"/>
          <w:szCs w:val="24"/>
          <w:highlight w:val="none"/>
        </w:rPr>
        <w:t>产生</w:t>
      </w:r>
      <w:r>
        <w:rPr>
          <w:rFonts w:hint="eastAsia" w:ascii="宋体" w:hAnsi="宋体" w:eastAsia="宋体" w:cs="宋体"/>
          <w:color w:val="auto"/>
          <w:sz w:val="24"/>
          <w:szCs w:val="24"/>
          <w:highlight w:val="none"/>
          <w:lang w:val="en-US" w:eastAsia="zh-CN"/>
        </w:rPr>
        <w:t>改</w:t>
      </w:r>
      <w:r>
        <w:rPr>
          <w:rFonts w:hint="eastAsia" w:ascii="宋体" w:hAnsi="宋体" w:eastAsia="宋体" w:cs="宋体"/>
          <w:color w:val="auto"/>
          <w:sz w:val="24"/>
          <w:szCs w:val="24"/>
          <w:highlight w:val="none"/>
        </w:rPr>
        <w:t>善教育教学质量效益。项目实施主要通过项目决策、项目过程、项目产出以及项目效益等方面进行评价，其中：</w:t>
      </w:r>
    </w:p>
    <w:p w14:paraId="4B7B9584">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项目决策：该项目主要通过</w:t>
      </w:r>
      <w:bookmarkStart w:id="13" w:name="OLE_LINK6"/>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-和地财教【2023】</w:t>
      </w:r>
      <w:r>
        <w:rPr>
          <w:rFonts w:hint="eastAsia" w:ascii="宋体" w:hAnsi="宋体" w:eastAsia="宋体" w:cs="宋体"/>
          <w:color w:val="auto"/>
          <w:sz w:val="24"/>
          <w:szCs w:val="24"/>
          <w:highlight w:val="none"/>
          <w:lang w:val="en-US" w:eastAsia="zh-CN"/>
        </w:rPr>
        <w:t>60</w:t>
      </w:r>
      <w:bookmarkEnd w:id="13"/>
      <w:r>
        <w:rPr>
          <w:rFonts w:hint="eastAsia" w:ascii="宋体" w:hAnsi="宋体" w:eastAsia="宋体" w:cs="宋体"/>
          <w:color w:val="auto"/>
          <w:sz w:val="24"/>
          <w:szCs w:val="24"/>
          <w:highlight w:val="none"/>
        </w:rPr>
        <w:t>号立项，项目实施符合法律法规、相关政策、发展规划以及部门职责</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 xml:space="preserve">要求，项目立项依据充分，立项程序规范。 </w:t>
      </w:r>
    </w:p>
    <w:p w14:paraId="1798707C">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w:t>
      </w:r>
      <w:bookmarkStart w:id="14" w:name="OLE_LINK8"/>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w:t>
      </w:r>
      <w:bookmarkEnd w:id="14"/>
      <w:r>
        <w:rPr>
          <w:rFonts w:hint="eastAsia" w:ascii="宋体" w:hAnsi="宋体" w:eastAsia="宋体" w:cs="宋体"/>
          <w:color w:val="auto"/>
          <w:sz w:val="24"/>
          <w:szCs w:val="24"/>
          <w:highlight w:val="none"/>
          <w:lang w:eastAsia="zh-CN"/>
        </w:rPr>
        <w:t>2024年城乡义务教育补助经费</w:t>
      </w:r>
      <w:r>
        <w:rPr>
          <w:rFonts w:hint="eastAsia" w:ascii="宋体" w:hAnsi="宋体" w:eastAsia="宋体" w:cs="宋体"/>
          <w:color w:val="auto"/>
          <w:sz w:val="24"/>
          <w:szCs w:val="24"/>
          <w:highlight w:val="none"/>
        </w:rPr>
        <w:t>预算安排</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万元，实际支出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%。项目资金使用合规，项目财务管理制度健全，财务监控到位，所有资金支付均按照国库集中支付制度严格执行，现有项目管理制度执行情况良好。</w:t>
      </w:r>
    </w:p>
    <w:p w14:paraId="6D3CE57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ascii="宋体" w:hAnsi="宋体" w:eastAsia="宋体" w:cs="宋体"/>
          <w:sz w:val="24"/>
          <w:szCs w:val="24"/>
        </w:rPr>
      </w:pPr>
      <w:r>
        <w:rPr>
          <w:rFonts w:hint="eastAsia" w:ascii="宋体" w:hAnsi="宋体" w:eastAsia="宋体" w:cs="宋体"/>
          <w:sz w:val="24"/>
          <w:szCs w:val="24"/>
        </w:rPr>
        <w:t>项目产出：受益学生数量</w:t>
      </w:r>
      <w:r>
        <w:rPr>
          <w:rFonts w:hint="eastAsia" w:ascii="宋体" w:hAnsi="宋体" w:eastAsia="宋体" w:cs="宋体"/>
          <w:sz w:val="24"/>
          <w:szCs w:val="24"/>
          <w:lang w:val="en-US" w:eastAsia="zh-CN"/>
        </w:rPr>
        <w:t>837</w:t>
      </w:r>
      <w:r>
        <w:rPr>
          <w:rFonts w:hint="eastAsia" w:ascii="宋体" w:hAnsi="宋体" w:eastAsia="宋体" w:cs="宋体"/>
          <w:sz w:val="24"/>
          <w:szCs w:val="24"/>
        </w:rPr>
        <w:t>人，资金使用合规率100%，项目于2024年12月完成，义务教育公用经费</w:t>
      </w:r>
      <w:r>
        <w:rPr>
          <w:rFonts w:hint="eastAsia" w:ascii="宋体" w:hAnsi="宋体" w:eastAsia="宋体" w:cs="宋体"/>
          <w:sz w:val="24"/>
          <w:szCs w:val="24"/>
          <w:lang w:val="en-US" w:eastAsia="zh-CN"/>
        </w:rPr>
        <w:t>56.69万元，营养改善60.84万元，寄宿生补助7.53万元。</w:t>
      </w:r>
    </w:p>
    <w:p w14:paraId="52681CDF">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项目效益：通过项目的实施，有效改善教育教学质量。</w:t>
      </w:r>
    </w:p>
    <w:p w14:paraId="7A5AFB0B">
      <w:pPr>
        <w:pStyle w:val="49"/>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（二）综合评价结论</w:t>
      </w:r>
    </w:p>
    <w:p w14:paraId="08A1D572">
      <w:pPr>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宋体" w:hAnsi="宋体" w:eastAsia="宋体" w:cs="宋体"/>
          <w:color w:val="auto"/>
          <w:sz w:val="24"/>
          <w:szCs w:val="24"/>
          <w:highlight w:val="none"/>
        </w:rPr>
        <w:t>依据《中共中央国务院关于全面实施预算绩效管理的意见》《项目支出绩效评价管理办法》（财预〔2020〕10号）文件，绩效评价总分设置为100分，划分为四档：90（含）-100分为“优”、80（含）-90分为“良”、70（含）-80分为“中”、70分以下为“差”。经对</w:t>
      </w:r>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2024年城乡义务教育补助经费</w:t>
      </w:r>
      <w:r>
        <w:rPr>
          <w:rFonts w:hint="eastAsia" w:ascii="宋体" w:hAnsi="宋体" w:eastAsia="宋体" w:cs="宋体"/>
          <w:color w:val="auto"/>
          <w:sz w:val="24"/>
          <w:szCs w:val="24"/>
          <w:highlight w:val="none"/>
        </w:rPr>
        <w:t>号进行客观评价，最终评分结果：评价总分</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分，绩效等级为“</w:t>
      </w:r>
      <w:r>
        <w:rPr>
          <w:rFonts w:hint="eastAsia" w:ascii="宋体" w:hAnsi="宋体" w:eastAsia="宋体" w:cs="宋体"/>
          <w:color w:val="auto"/>
          <w:sz w:val="24"/>
          <w:szCs w:val="24"/>
          <w:highlight w:val="none"/>
          <w:lang w:val="en-US" w:eastAsia="zh-CN"/>
        </w:rPr>
        <w:t>优秀</w:t>
      </w:r>
      <w:r>
        <w:rPr>
          <w:rFonts w:hint="eastAsia" w:ascii="宋体" w:hAnsi="宋体" w:eastAsia="宋体" w:cs="宋体"/>
          <w:color w:val="auto"/>
          <w:sz w:val="24"/>
          <w:szCs w:val="24"/>
          <w:highlight w:val="none"/>
        </w:rPr>
        <w:t>”。</w:t>
      </w:r>
      <w:bookmarkEnd w:id="12"/>
      <w:bookmarkStart w:id="15" w:name="_Toc68364667"/>
    </w:p>
    <w:p w14:paraId="144C4F67">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四、绩效评价指标分析</w:t>
      </w:r>
      <w:bookmarkEnd w:id="15"/>
    </w:p>
    <w:p w14:paraId="57854A18">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16" w:name="_Toc68364668"/>
      <w:r>
        <w:rPr>
          <w:rFonts w:hint="eastAsia" w:ascii="宋体" w:hAnsi="宋体" w:eastAsia="宋体" w:cs="宋体"/>
          <w:color w:val="auto"/>
          <w:sz w:val="24"/>
          <w:szCs w:val="24"/>
          <w:highlight w:val="none"/>
        </w:rPr>
        <w:t>（一）项目决策情况</w:t>
      </w:r>
    </w:p>
    <w:p w14:paraId="2E985F0F">
      <w:pPr>
        <w:keepNext w:val="0"/>
        <w:keepLines w:val="0"/>
        <w:pageBreakBefore w:val="0"/>
        <w:widowControl w:val="0"/>
        <w:kinsoku/>
        <w:wordWrap/>
        <w:overflowPunct w:val="0"/>
        <w:topLinePunct w:val="0"/>
        <w:autoSpaceDE/>
        <w:autoSpaceDN/>
        <w:bidi w:val="0"/>
        <w:adjustRightInd/>
        <w:snapToGrid/>
        <w:spacing w:line="360" w:lineRule="auto"/>
        <w:ind w:left="0" w:leftChars="0" w:firstLine="480"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项目决策类指标包括项目立项、绩效目标和资金投入三方面的内容，由6个三级指标构成，权重分为</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220C5DA2">
      <w:pPr>
        <w:keepNext w:val="0"/>
        <w:keepLines w:val="0"/>
        <w:pageBreakBefore w:val="0"/>
        <w:widowControl w:val="0"/>
        <w:numPr>
          <w:ilvl w:val="0"/>
          <w:numId w:val="3"/>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立项依据充分性：</w:t>
      </w:r>
    </w:p>
    <w:p w14:paraId="106395CD">
      <w:pPr>
        <w:keepNext w:val="0"/>
        <w:keepLines w:val="0"/>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本项目立项符合</w:t>
      </w:r>
      <w:r>
        <w:rPr>
          <w:rFonts w:hint="eastAsia" w:ascii="宋体" w:hAnsi="宋体" w:eastAsia="宋体" w:cs="宋体"/>
          <w:color w:val="auto"/>
          <w:sz w:val="24"/>
          <w:szCs w:val="24"/>
          <w:highlight w:val="none"/>
          <w:lang w:val="en-US" w:eastAsia="zh-CN"/>
        </w:rPr>
        <w:t>财政厅</w:t>
      </w:r>
      <w:r>
        <w:rPr>
          <w:rFonts w:hint="eastAsia" w:ascii="宋体" w:hAnsi="宋体" w:eastAsia="宋体" w:cs="宋体"/>
          <w:color w:val="auto"/>
          <w:sz w:val="24"/>
          <w:szCs w:val="24"/>
          <w:highlight w:val="none"/>
        </w:rPr>
        <w:t>颁发的《中央直达资金-2024年城乡义务教育补助经费》（和地财教[2023]60号）</w:t>
      </w:r>
      <w:r>
        <w:rPr>
          <w:rFonts w:hint="eastAsia" w:ascii="宋体" w:hAnsi="宋体" w:eastAsia="宋体" w:cs="宋体"/>
          <w:color w:val="auto"/>
          <w:sz w:val="24"/>
          <w:szCs w:val="24"/>
          <w:highlight w:val="none"/>
          <w:lang w:val="en-US" w:eastAsia="zh-CN"/>
        </w:rPr>
        <w:t>文件。</w:t>
      </w:r>
      <w:r>
        <w:rPr>
          <w:rFonts w:hint="eastAsia" w:ascii="宋体" w:hAnsi="宋体" w:eastAsia="宋体" w:cs="宋体"/>
          <w:sz w:val="24"/>
          <w:szCs w:val="24"/>
        </w:rPr>
        <w:t>本项目立项依据一是在于落实教育公平与均衡发展战略。基于《义务教育法》及国家教育发展规划，为保障城乡学生享有同等教育资源，弥补地方财政不足，缩小城乡教育差距，提升义务教育质量，推动教育事业高质量发展，二是履行政府责任，义务教育属于公共服务范畴，政府有义务保障教育经费投入；三是促进教育发展，为义务教育阶段学生提供学杂费减免、免费教科书、营养改善等支持，有助于提升教育质量，推动教育事业均衡发展，为国家培养人才奠定基础 。</w:t>
      </w:r>
      <w:r>
        <w:rPr>
          <w:rFonts w:hint="eastAsia" w:ascii="宋体" w:hAnsi="宋体" w:eastAsia="宋体" w:cs="宋体"/>
          <w:color w:val="auto"/>
          <w:sz w:val="24"/>
          <w:szCs w:val="24"/>
          <w:highlight w:val="none"/>
        </w:rPr>
        <w:t>本项目立项符合《洛浦县恰尔巴格镇第一一贯制学校配置内设机构和人员编制规定》中职责范围，属于我单位履职所需；根据《财政资金直接支付申请书》，本项目资金性质为“公共财政预算”功能分类为“</w:t>
      </w:r>
      <w:r>
        <w:rPr>
          <w:rFonts w:hint="eastAsia" w:ascii="宋体" w:hAnsi="宋体" w:eastAsia="宋体" w:cs="宋体"/>
          <w:color w:val="auto"/>
          <w:sz w:val="24"/>
          <w:szCs w:val="24"/>
          <w:highlight w:val="none"/>
          <w:lang w:val="en-US" w:eastAsia="zh-CN"/>
        </w:rPr>
        <w:t>教育支出</w:t>
      </w:r>
      <w:r>
        <w:rPr>
          <w:rFonts w:hint="eastAsia" w:ascii="宋体" w:hAnsi="宋体" w:eastAsia="宋体" w:cs="宋体"/>
          <w:color w:val="auto"/>
          <w:sz w:val="24"/>
          <w:szCs w:val="24"/>
          <w:highlight w:val="none"/>
        </w:rPr>
        <w:t>”经济分类为“</w:t>
      </w:r>
      <w:r>
        <w:rPr>
          <w:rFonts w:hint="eastAsia" w:ascii="宋体" w:hAnsi="宋体" w:eastAsia="宋体" w:cs="宋体"/>
          <w:color w:val="auto"/>
          <w:sz w:val="24"/>
          <w:szCs w:val="24"/>
          <w:highlight w:val="none"/>
          <w:lang w:val="en-US" w:eastAsia="zh-CN"/>
        </w:rPr>
        <w:t>商品服务与支出</w:t>
      </w:r>
      <w:r>
        <w:rPr>
          <w:rFonts w:hint="eastAsia" w:ascii="宋体" w:hAnsi="宋体" w:eastAsia="宋体" w:cs="宋体"/>
          <w:color w:val="auto"/>
          <w:sz w:val="24"/>
          <w:szCs w:val="24"/>
          <w:highlight w:val="none"/>
        </w:rPr>
        <w:t>”属于公共财政支持范围，符合中央、地方事权支出责任划分原则；经检查我单位财政应用平台指标，本项目不存在重复。</w:t>
      </w:r>
    </w:p>
    <w:p w14:paraId="5883E416">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综上所述，本指标满分为</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分，根据评分标准得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分，本项目立项依据充分。</w:t>
      </w:r>
    </w:p>
    <w:p w14:paraId="4EA1D896">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（2）立项程序规范性：</w:t>
      </w:r>
    </w:p>
    <w:p w14:paraId="0D4CCE4D">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2024年城乡义务教育补助经费</w:t>
      </w:r>
      <w:r>
        <w:rPr>
          <w:rFonts w:hint="eastAsia" w:ascii="宋体" w:hAnsi="宋体" w:eastAsia="宋体" w:cs="宋体"/>
          <w:color w:val="auto"/>
          <w:sz w:val="24"/>
          <w:szCs w:val="24"/>
          <w:highlight w:val="none"/>
        </w:rPr>
        <w:t>，项目立项过程中产生的文件均符合相关要求。本项目为</w:t>
      </w:r>
      <w:r>
        <w:rPr>
          <w:rFonts w:hint="eastAsia" w:ascii="宋体" w:hAnsi="宋体" w:eastAsia="宋体" w:cs="宋体"/>
          <w:color w:val="auto"/>
          <w:sz w:val="24"/>
          <w:szCs w:val="24"/>
          <w:highlight w:val="none"/>
          <w:lang w:val="en-US" w:eastAsia="zh-CN"/>
        </w:rPr>
        <w:t>一般公共预算</w:t>
      </w:r>
      <w:r>
        <w:rPr>
          <w:rFonts w:hint="eastAsia" w:ascii="宋体" w:hAnsi="宋体" w:eastAsia="宋体" w:cs="宋体"/>
          <w:color w:val="auto"/>
          <w:sz w:val="24"/>
          <w:szCs w:val="24"/>
          <w:highlight w:val="none"/>
        </w:rPr>
        <w:t>类项目，属于经常性项目，项目预算金额为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万元，不涉及事前绩效评估和风险评估</w:t>
      </w:r>
      <w:r>
        <w:rPr>
          <w:rFonts w:hint="eastAsia" w:ascii="宋体" w:hAnsi="宋体" w:eastAsia="宋体" w:cs="宋体"/>
          <w:color w:val="auto"/>
          <w:sz w:val="24"/>
          <w:szCs w:val="24"/>
          <w:highlight w:val="none"/>
          <w:lang w:eastAsia="zh-CN"/>
        </w:rPr>
        <w:t>。</w:t>
      </w:r>
    </w:p>
    <w:p w14:paraId="2A58BE2E">
      <w:pPr>
        <w:keepNext w:val="0"/>
        <w:keepLines w:val="0"/>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综上所述，本指标满分为3分，根据评分标准得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分，本项目立项程序合规。</w:t>
      </w:r>
      <w:r>
        <w:rPr>
          <w:rFonts w:hint="eastAsia" w:ascii="宋体" w:hAnsi="宋体" w:eastAsia="宋体" w:cs="宋体"/>
          <w:b/>
          <w:bCs/>
          <w:color w:val="auto"/>
          <w:sz w:val="24"/>
          <w:szCs w:val="24"/>
          <w:highlight w:val="none"/>
        </w:rPr>
        <w:t>（3）绩效目标合理性</w:t>
      </w:r>
      <w:r>
        <w:rPr>
          <w:rFonts w:hint="eastAsia" w:ascii="宋体" w:hAnsi="宋体" w:eastAsia="宋体" w:cs="宋体"/>
          <w:color w:val="auto"/>
          <w:sz w:val="24"/>
          <w:szCs w:val="24"/>
          <w:highlight w:val="none"/>
        </w:rPr>
        <w:t>：</w:t>
      </w:r>
    </w:p>
    <w:p w14:paraId="77EAF52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①该项目已设置年度绩效目标，具体内容为“本项目主要实施内容为：为保障学校日常工作正常运转，学生正常就餐，改善贫困学生生活水平，资金总金额为：125.0614万元。将在2024年12月之前完成。”。</w:t>
      </w:r>
    </w:p>
    <w:p w14:paraId="172B5DA7">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②该项目实际工作内容为：保障学校日常工作正常运转，</w:t>
      </w:r>
      <w:r>
        <w:rPr>
          <w:rFonts w:hint="eastAsia" w:ascii="宋体" w:hAnsi="宋体" w:eastAsia="宋体" w:cs="宋体"/>
          <w:color w:val="auto"/>
          <w:sz w:val="24"/>
          <w:szCs w:val="24"/>
          <w:highlight w:val="none"/>
          <w:lang w:val="en-US" w:eastAsia="zh-CN"/>
        </w:rPr>
        <w:t>837名</w:t>
      </w:r>
      <w:r>
        <w:rPr>
          <w:rFonts w:hint="eastAsia" w:ascii="宋体" w:hAnsi="宋体" w:eastAsia="宋体" w:cs="宋体"/>
          <w:color w:val="auto"/>
          <w:sz w:val="24"/>
          <w:szCs w:val="24"/>
          <w:highlight w:val="none"/>
        </w:rPr>
        <w:t>学生正常就餐。绩效目标与实际工作内容一致，两者具有相关性。</w:t>
      </w:r>
    </w:p>
    <w:p w14:paraId="7A4912B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③该项目按照绩效目标完成数量指标、质量指标、时效指标、成本指标，完成了</w:t>
      </w:r>
      <w:r>
        <w:rPr>
          <w:rFonts w:hint="eastAsia" w:ascii="宋体" w:hAnsi="宋体" w:eastAsia="宋体" w:cs="宋体"/>
          <w:color w:val="auto"/>
          <w:sz w:val="24"/>
          <w:szCs w:val="24"/>
          <w:highlight w:val="none"/>
          <w:lang w:val="en-US" w:eastAsia="zh-CN"/>
        </w:rPr>
        <w:t>预期值</w:t>
      </w:r>
      <w:r>
        <w:rPr>
          <w:rFonts w:hint="eastAsia" w:ascii="宋体" w:hAnsi="宋体" w:eastAsia="宋体" w:cs="宋体"/>
          <w:color w:val="auto"/>
          <w:sz w:val="24"/>
          <w:szCs w:val="24"/>
          <w:highlight w:val="none"/>
        </w:rPr>
        <w:t>，达到</w:t>
      </w:r>
      <w:r>
        <w:rPr>
          <w:rFonts w:hint="eastAsia" w:ascii="宋体" w:hAnsi="宋体" w:eastAsia="宋体" w:cs="宋体"/>
          <w:color w:val="auto"/>
          <w:sz w:val="24"/>
          <w:szCs w:val="24"/>
          <w:highlight w:val="none"/>
          <w:lang w:val="en-US" w:eastAsia="zh-CN"/>
        </w:rPr>
        <w:t>改善教育教学质量</w:t>
      </w:r>
      <w:r>
        <w:rPr>
          <w:rFonts w:hint="eastAsia" w:ascii="宋体" w:hAnsi="宋体" w:eastAsia="宋体" w:cs="宋体"/>
          <w:color w:val="auto"/>
          <w:sz w:val="24"/>
          <w:szCs w:val="24"/>
          <w:highlight w:val="none"/>
        </w:rPr>
        <w:t>效益，预期产出效益和效果是否符合正常的业绩水平。</w:t>
      </w:r>
    </w:p>
    <w:p w14:paraId="41B2796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④该项目批复的预算金额为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万元，《项目支出绩效目标表》中预算金额为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万元，预算确定的项目资金与预算确定的项目投资额相匹配。</w:t>
      </w:r>
    </w:p>
    <w:p w14:paraId="5E50A8A9">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⑤本单位</w:t>
      </w:r>
      <w:r>
        <w:rPr>
          <w:rFonts w:hint="eastAsia" w:ascii="宋体" w:hAnsi="宋体" w:eastAsia="宋体" w:cs="宋体"/>
          <w:color w:val="auto"/>
          <w:sz w:val="24"/>
          <w:szCs w:val="24"/>
          <w:highlight w:val="none"/>
        </w:rPr>
        <w:t>制定了实施方案，明确了总体思路及目标、并对任务进行了详细分解，对目标进行了细化，根据评分标准，该指标不扣分，得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4085D514">
      <w:pPr>
        <w:pageBreakBefore w:val="0"/>
        <w:widowControl w:val="0"/>
        <w:numPr>
          <w:ilvl w:val="0"/>
          <w:numId w:val="0"/>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绩效指标明确性</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szCs w:val="24"/>
          <w:highlight w:val="none"/>
        </w:rPr>
        <w:t>经检查我单位年初设置的《项目支出绩效目标表》，得出如下结论：本项目已将年度绩效目标进行细化为绩效指标</w:t>
      </w:r>
      <w:r>
        <w:rPr>
          <w:rFonts w:hint="eastAsia" w:ascii="宋体" w:hAnsi="宋体" w:eastAsia="宋体" w:cs="宋体"/>
          <w:color w:val="auto"/>
          <w:sz w:val="24"/>
          <w:szCs w:val="24"/>
          <w:highlight w:val="none"/>
          <w:lang w:val="en-US" w:eastAsia="zh-CN"/>
        </w:rPr>
        <w:t>体系</w:t>
      </w:r>
      <w:r>
        <w:rPr>
          <w:rFonts w:hint="eastAsia" w:ascii="宋体" w:hAnsi="宋体" w:eastAsia="宋体" w:cs="宋体"/>
          <w:color w:val="auto"/>
          <w:sz w:val="24"/>
          <w:szCs w:val="24"/>
          <w:highlight w:val="none"/>
        </w:rPr>
        <w:t>，共设置一级指标</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个，二级指标</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个，三级指标</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个，定量指标</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个，定性指标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个，指标量化率为</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%，量化率达70.0%以上</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将项目绩效目标细化分解为具体的绩效指标</w:t>
      </w:r>
      <w:r>
        <w:rPr>
          <w:rFonts w:hint="eastAsia" w:ascii="宋体" w:hAnsi="宋体" w:eastAsia="宋体" w:cs="宋体"/>
          <w:color w:val="auto"/>
          <w:sz w:val="24"/>
          <w:szCs w:val="24"/>
          <w:highlight w:val="none"/>
          <w:lang w:eastAsia="zh-CN"/>
        </w:rPr>
        <w:t>。</w:t>
      </w:r>
    </w:p>
    <w:p w14:paraId="443313F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该《项目绩效目标申报表》中，数量指标指标值为</w:t>
      </w:r>
      <w:r>
        <w:rPr>
          <w:rFonts w:hint="eastAsia" w:ascii="宋体" w:hAnsi="宋体" w:eastAsia="宋体" w:cs="宋体"/>
          <w:color w:val="auto"/>
          <w:sz w:val="24"/>
          <w:szCs w:val="24"/>
          <w:highlight w:val="none"/>
          <w:lang w:val="en-US" w:eastAsia="zh-CN"/>
        </w:rPr>
        <w:t>义务教育保障经费收益学生数量837人</w:t>
      </w:r>
      <w:r>
        <w:rPr>
          <w:rFonts w:hint="eastAsia" w:ascii="宋体" w:hAnsi="宋体" w:eastAsia="宋体" w:cs="宋体"/>
          <w:color w:val="auto"/>
          <w:sz w:val="24"/>
          <w:szCs w:val="24"/>
          <w:highlight w:val="none"/>
        </w:rPr>
        <w:t>，三级指标的年度指标值与年度绩效目标中任务数一致，已设置时效指标“</w:t>
      </w:r>
      <w:r>
        <w:rPr>
          <w:rFonts w:hint="eastAsia" w:ascii="宋体" w:hAnsi="宋体" w:eastAsia="宋体" w:cs="宋体"/>
          <w:color w:val="auto"/>
          <w:sz w:val="24"/>
          <w:szCs w:val="24"/>
          <w:highlight w:val="none"/>
          <w:lang w:val="en-US" w:eastAsia="zh-CN"/>
        </w:rPr>
        <w:t>项目开始时间、项目完成时间</w:t>
      </w:r>
      <w:r>
        <w:rPr>
          <w:rFonts w:hint="eastAsia" w:ascii="宋体" w:hAnsi="宋体" w:eastAsia="宋体" w:cs="宋体"/>
          <w:color w:val="auto"/>
          <w:sz w:val="24"/>
          <w:szCs w:val="24"/>
          <w:highlight w:val="none"/>
        </w:rPr>
        <w:t>”。已设置的绩效目标具备明确性、可衡量性、可实现性、相关性、时限性。根据评分标准，该指标不扣分，得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p>
    <w:p w14:paraId="70BA746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（5）预算编制科学性：</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2024年城乡义务教育补助经费</w:t>
      </w:r>
      <w:r>
        <w:rPr>
          <w:rFonts w:hint="eastAsia" w:ascii="宋体" w:hAnsi="宋体" w:eastAsia="宋体" w:cs="宋体"/>
          <w:color w:val="auto"/>
          <w:sz w:val="24"/>
          <w:szCs w:val="24"/>
          <w:highlight w:val="none"/>
        </w:rPr>
        <w:t>，即预算编制较科学且经过论证；</w:t>
      </w:r>
    </w:p>
    <w:p w14:paraId="3C649D4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预算申请内容为</w:t>
      </w:r>
      <w:bookmarkStart w:id="17" w:name="OLE_LINK10"/>
      <w:r>
        <w:rPr>
          <w:rFonts w:hint="eastAsia" w:ascii="宋体" w:hAnsi="宋体" w:eastAsia="宋体" w:cs="宋体"/>
          <w:color w:val="auto"/>
          <w:sz w:val="24"/>
          <w:szCs w:val="24"/>
          <w:highlight w:val="none"/>
          <w:lang w:val="en-US" w:eastAsia="zh-CN"/>
        </w:rPr>
        <w:t>125.06</w:t>
      </w:r>
      <w:bookmarkEnd w:id="17"/>
      <w:r>
        <w:rPr>
          <w:rFonts w:hint="eastAsia" w:ascii="宋体" w:hAnsi="宋体" w:eastAsia="宋体" w:cs="宋体"/>
          <w:color w:val="auto"/>
          <w:sz w:val="24"/>
          <w:szCs w:val="24"/>
          <w:highlight w:val="none"/>
          <w:lang w:val="en-US" w:eastAsia="zh-CN"/>
        </w:rPr>
        <w:t>万元</w:t>
      </w:r>
      <w:r>
        <w:rPr>
          <w:rFonts w:hint="eastAsia" w:ascii="宋体" w:hAnsi="宋体" w:eastAsia="宋体" w:cs="宋体"/>
          <w:color w:val="auto"/>
          <w:sz w:val="24"/>
          <w:szCs w:val="24"/>
          <w:highlight w:val="none"/>
        </w:rPr>
        <w:t>，项目实际内容为</w:t>
      </w:r>
      <w:r>
        <w:rPr>
          <w:rFonts w:hint="eastAsia" w:ascii="宋体" w:hAnsi="宋体" w:eastAsia="宋体" w:cs="宋体"/>
          <w:color w:val="auto"/>
          <w:sz w:val="24"/>
          <w:szCs w:val="24"/>
          <w:highlight w:val="none"/>
          <w:lang w:val="en-US" w:eastAsia="zh-CN"/>
        </w:rPr>
        <w:t>125.06万元</w:t>
      </w:r>
      <w:r>
        <w:rPr>
          <w:rFonts w:hint="eastAsia" w:ascii="宋体" w:hAnsi="宋体" w:eastAsia="宋体" w:cs="宋体"/>
          <w:color w:val="auto"/>
          <w:sz w:val="24"/>
          <w:szCs w:val="24"/>
          <w:highlight w:val="none"/>
        </w:rPr>
        <w:t>，预算申请与《</w:t>
      </w:r>
      <w:bookmarkStart w:id="18" w:name="OLE_LINK11"/>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w:t>
      </w:r>
      <w:bookmarkEnd w:id="18"/>
      <w:r>
        <w:rPr>
          <w:rFonts w:hint="eastAsia" w:ascii="宋体" w:hAnsi="宋体" w:eastAsia="宋体" w:cs="宋体"/>
          <w:color w:val="auto"/>
          <w:sz w:val="24"/>
          <w:szCs w:val="24"/>
          <w:highlight w:val="none"/>
          <w:lang w:eastAsia="zh-CN"/>
        </w:rPr>
        <w:t>2024年城乡义务教育补助经费</w:t>
      </w:r>
      <w:r>
        <w:rPr>
          <w:rFonts w:hint="eastAsia" w:ascii="宋体" w:hAnsi="宋体" w:eastAsia="宋体" w:cs="宋体"/>
          <w:color w:val="auto"/>
          <w:sz w:val="24"/>
          <w:szCs w:val="24"/>
          <w:highlight w:val="none"/>
        </w:rPr>
        <w:t>项目实施方案》中涉及的项目内容匹配；</w:t>
      </w:r>
    </w:p>
    <w:p w14:paraId="0D5ABB9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本项目预算申请资金</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万元，我单位在预算申请中严格按照项目实施内容及测算标准进行核算，其中：</w:t>
      </w:r>
      <w:r>
        <w:rPr>
          <w:rFonts w:hint="eastAsia" w:ascii="宋体" w:hAnsi="宋体" w:eastAsia="宋体" w:cs="宋体"/>
          <w:color w:val="auto"/>
          <w:sz w:val="24"/>
          <w:szCs w:val="24"/>
          <w:highlight w:val="none"/>
          <w:lang w:val="en-US" w:eastAsia="zh-CN"/>
        </w:rPr>
        <w:t>公用</w:t>
      </w:r>
      <w:r>
        <w:rPr>
          <w:rFonts w:hint="eastAsia" w:ascii="宋体" w:hAnsi="宋体" w:eastAsia="宋体" w:cs="宋体"/>
          <w:color w:val="auto"/>
          <w:sz w:val="24"/>
          <w:szCs w:val="24"/>
          <w:highlight w:val="none"/>
        </w:rPr>
        <w:t>费用</w:t>
      </w:r>
      <w:r>
        <w:rPr>
          <w:rFonts w:hint="eastAsia" w:ascii="宋体" w:hAnsi="宋体" w:eastAsia="宋体" w:cs="宋体"/>
          <w:color w:val="auto"/>
          <w:sz w:val="24"/>
          <w:szCs w:val="24"/>
          <w:highlight w:val="none"/>
          <w:lang w:val="en-US" w:eastAsia="zh-CN"/>
        </w:rPr>
        <w:t>55.69</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val="en-US" w:eastAsia="zh-CN"/>
        </w:rPr>
        <w:t>营养改善60.84</w:t>
      </w:r>
      <w:r>
        <w:rPr>
          <w:rFonts w:hint="eastAsia" w:ascii="宋体" w:hAnsi="宋体" w:eastAsia="宋体" w:cs="宋体"/>
          <w:color w:val="auto"/>
          <w:sz w:val="24"/>
          <w:szCs w:val="24"/>
          <w:highlight w:val="none"/>
        </w:rPr>
        <w:t>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寄宿生生活补助经费</w:t>
      </w:r>
      <w:r>
        <w:rPr>
          <w:rFonts w:hint="eastAsia" w:ascii="宋体" w:hAnsi="宋体" w:eastAsia="宋体" w:cs="宋体"/>
          <w:color w:val="auto"/>
          <w:sz w:val="24"/>
          <w:szCs w:val="24"/>
          <w:highlight w:val="none"/>
          <w:lang w:val="en-US" w:eastAsia="zh-CN"/>
        </w:rPr>
        <w:t>7.53万元。</w:t>
      </w:r>
      <w:r>
        <w:rPr>
          <w:rFonts w:hint="eastAsia" w:ascii="宋体" w:hAnsi="宋体" w:eastAsia="宋体" w:cs="宋体"/>
          <w:color w:val="auto"/>
          <w:sz w:val="24"/>
          <w:szCs w:val="24"/>
          <w:highlight w:val="none"/>
        </w:rPr>
        <w:t>预算确定资金量与实际工作任务相匹配。本项目预算额度测算依据充分，严格按照标准编制，预算确定资金量与实际工作任务相匹配；根据评分标准，该指标不扣分，得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3BAE7A05">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（6）资金分配合理性：</w:t>
      </w:r>
      <w:r>
        <w:rPr>
          <w:rFonts w:hint="eastAsia" w:ascii="宋体" w:hAnsi="宋体" w:eastAsia="宋体" w:cs="宋体"/>
          <w:color w:val="auto"/>
          <w:sz w:val="24"/>
          <w:szCs w:val="24"/>
          <w:highlight w:val="none"/>
        </w:rPr>
        <w:t>本项目实际分配资金以</w:t>
      </w:r>
      <w:r>
        <w:rPr>
          <w:rFonts w:hint="eastAsia" w:ascii="宋体" w:hAnsi="宋体" w:eastAsia="宋体" w:cs="宋体"/>
          <w:color w:val="auto"/>
          <w:sz w:val="24"/>
          <w:szCs w:val="24"/>
          <w:highlight w:val="none"/>
          <w:lang w:val="en-US"/>
        </w:rPr>
        <w:t>《</w:t>
      </w:r>
      <w:r>
        <w:rPr>
          <w:rFonts w:hint="eastAsia" w:ascii="宋体" w:hAnsi="宋体" w:eastAsia="宋体" w:cs="宋体"/>
          <w:sz w:val="24"/>
          <w:szCs w:val="24"/>
        </w:rPr>
        <w:t>关于申请中央直达资金-和地财教[2023]60号2024年城乡义务教育补助经费资金的请示》和《中央直达资金-和地财教[2023]60号2024年城乡义务教育补助经费实施方案》为依据进行资金分配，预算资金分配依据充分。根据专项资金-关于下达中央直达资金-和地财教[2023]60号2024年城乡义务教育补助经费文件要求</w:t>
      </w:r>
      <w:r>
        <w:rPr>
          <w:rFonts w:hint="eastAsia" w:ascii="宋体" w:hAnsi="宋体" w:eastAsia="宋体" w:cs="宋体"/>
          <w:sz w:val="24"/>
          <w:szCs w:val="24"/>
          <w:lang w:eastAsia="zh-CN"/>
        </w:rPr>
        <w:t>。</w:t>
      </w:r>
      <w:r>
        <w:rPr>
          <w:rFonts w:hint="eastAsia" w:ascii="宋体" w:hAnsi="宋体" w:eastAsia="宋体" w:cs="宋体"/>
          <w:color w:val="auto"/>
          <w:sz w:val="24"/>
          <w:szCs w:val="24"/>
          <w:highlight w:val="none"/>
        </w:rPr>
        <w:t>，本项目实际到位资金</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万元，资金分配额度合理，与我单位实际需求相适应。资金分配与实际相适应，根据评分标准，该指标不扣分，得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5E3456FB">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（二）项目过程情况</w:t>
      </w:r>
    </w:p>
    <w:p w14:paraId="460E168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项目过程类指标包括资金管理和组织实施两方面的内容，由 5个三级指标构成，权重分为</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AEC607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（1）资金到位率：</w:t>
      </w:r>
      <w:r>
        <w:rPr>
          <w:rFonts w:hint="eastAsia" w:ascii="宋体" w:hAnsi="宋体" w:eastAsia="宋体" w:cs="宋体"/>
          <w:b w:val="0"/>
          <w:bCs w:val="0"/>
          <w:color w:val="auto"/>
          <w:sz w:val="24"/>
          <w:szCs w:val="24"/>
          <w:highlight w:val="none"/>
        </w:rPr>
        <w:t>本项目预算资金为</w:t>
      </w:r>
      <w:r>
        <w:rPr>
          <w:rFonts w:hint="eastAsia" w:ascii="宋体" w:hAnsi="宋体" w:eastAsia="宋体" w:cs="宋体"/>
          <w:b w:val="0"/>
          <w:bCs w:val="0"/>
          <w:color w:val="auto"/>
          <w:sz w:val="24"/>
          <w:szCs w:val="24"/>
          <w:highlight w:val="none"/>
          <w:lang w:val="en-US" w:eastAsia="zh-CN"/>
        </w:rPr>
        <w:t>125.06</w:t>
      </w:r>
      <w:r>
        <w:rPr>
          <w:rFonts w:hint="eastAsia" w:ascii="宋体" w:hAnsi="宋体" w:eastAsia="宋体" w:cs="宋体"/>
          <w:b w:val="0"/>
          <w:bCs w:val="0"/>
          <w:color w:val="auto"/>
          <w:sz w:val="24"/>
          <w:szCs w:val="24"/>
          <w:highlight w:val="none"/>
        </w:rPr>
        <w:t>万元，其中：财政安排资金</w:t>
      </w:r>
      <w:r>
        <w:rPr>
          <w:rFonts w:hint="eastAsia" w:ascii="宋体" w:hAnsi="宋体" w:eastAsia="宋体" w:cs="宋体"/>
          <w:b w:val="0"/>
          <w:bCs w:val="0"/>
          <w:color w:val="auto"/>
          <w:sz w:val="24"/>
          <w:szCs w:val="24"/>
          <w:highlight w:val="none"/>
          <w:lang w:val="en-US" w:eastAsia="zh-CN"/>
        </w:rPr>
        <w:t>125.06</w:t>
      </w:r>
      <w:r>
        <w:rPr>
          <w:rFonts w:hint="eastAsia" w:ascii="宋体" w:hAnsi="宋体" w:eastAsia="宋体" w:cs="宋体"/>
          <w:b w:val="0"/>
          <w:bCs w:val="0"/>
          <w:color w:val="auto"/>
          <w:sz w:val="24"/>
          <w:szCs w:val="24"/>
          <w:highlight w:val="none"/>
        </w:rPr>
        <w:t>万元，其他资金</w:t>
      </w:r>
      <w:r>
        <w:rPr>
          <w:rFonts w:hint="eastAsia" w:ascii="宋体" w:hAnsi="宋体" w:eastAsia="宋体" w:cs="宋体"/>
          <w:b w:val="0"/>
          <w:bCs w:val="0"/>
          <w:color w:val="auto"/>
          <w:sz w:val="24"/>
          <w:szCs w:val="24"/>
          <w:highlight w:val="none"/>
          <w:lang w:val="en-US" w:eastAsia="zh-CN"/>
        </w:rPr>
        <w:t>0</w:t>
      </w:r>
      <w:r>
        <w:rPr>
          <w:rFonts w:hint="eastAsia" w:ascii="宋体" w:hAnsi="宋体" w:eastAsia="宋体" w:cs="宋体"/>
          <w:b w:val="0"/>
          <w:bCs w:val="0"/>
          <w:color w:val="auto"/>
          <w:sz w:val="24"/>
          <w:szCs w:val="24"/>
          <w:highlight w:val="none"/>
        </w:rPr>
        <w:t>万元，实际到位资金</w:t>
      </w:r>
      <w:r>
        <w:rPr>
          <w:rFonts w:hint="eastAsia" w:ascii="宋体" w:hAnsi="宋体" w:eastAsia="宋体" w:cs="宋体"/>
          <w:b w:val="0"/>
          <w:bCs w:val="0"/>
          <w:color w:val="auto"/>
          <w:sz w:val="24"/>
          <w:szCs w:val="24"/>
          <w:highlight w:val="none"/>
          <w:lang w:val="en-US" w:eastAsia="zh-CN"/>
        </w:rPr>
        <w:t>125.06</w:t>
      </w:r>
      <w:r>
        <w:rPr>
          <w:rFonts w:hint="eastAsia" w:ascii="宋体" w:hAnsi="宋体" w:eastAsia="宋体" w:cs="宋体"/>
          <w:b w:val="0"/>
          <w:bCs w:val="0"/>
          <w:color w:val="auto"/>
          <w:sz w:val="24"/>
          <w:szCs w:val="24"/>
          <w:highlight w:val="none"/>
        </w:rPr>
        <w:t>万元，资金到位率=</w:t>
      </w:r>
      <w:r>
        <w:rPr>
          <w:rFonts w:hint="eastAsia" w:ascii="宋体" w:hAnsi="宋体" w:eastAsia="宋体" w:cs="宋体"/>
          <w:b w:val="0"/>
          <w:bCs w:val="0"/>
          <w:color w:val="auto"/>
          <w:sz w:val="24"/>
          <w:szCs w:val="24"/>
          <w:highlight w:val="none"/>
          <w:lang w:val="en-US" w:eastAsia="zh-CN"/>
        </w:rPr>
        <w:t>100%；通过分析可知，该项目</w:t>
      </w:r>
      <w:r>
        <w:rPr>
          <w:rFonts w:hint="eastAsia" w:ascii="宋体" w:hAnsi="宋体" w:eastAsia="宋体" w:cs="宋体"/>
          <w:b w:val="0"/>
          <w:bCs w:val="0"/>
          <w:color w:val="auto"/>
          <w:sz w:val="24"/>
          <w:szCs w:val="24"/>
          <w:highlight w:val="none"/>
        </w:rPr>
        <w:t>财政资金足额拨付到位，能够及时足额</w:t>
      </w:r>
      <w:r>
        <w:rPr>
          <w:rFonts w:hint="eastAsia" w:ascii="宋体" w:hAnsi="宋体" w:eastAsia="宋体" w:cs="宋体"/>
          <w:b w:val="0"/>
          <w:bCs w:val="0"/>
          <w:color w:val="auto"/>
          <w:sz w:val="24"/>
          <w:szCs w:val="24"/>
          <w:highlight w:val="none"/>
          <w:lang w:val="en-US" w:eastAsia="zh-CN"/>
        </w:rPr>
        <w:t>支付</w:t>
      </w:r>
      <w:r>
        <w:rPr>
          <w:rFonts w:hint="eastAsia" w:ascii="宋体" w:hAnsi="宋体" w:eastAsia="宋体" w:cs="宋体"/>
          <w:b w:val="0"/>
          <w:bCs w:val="0"/>
          <w:color w:val="auto"/>
          <w:sz w:val="24"/>
          <w:szCs w:val="24"/>
          <w:highlight w:val="none"/>
        </w:rPr>
        <w:t>给</w:t>
      </w:r>
      <w:r>
        <w:rPr>
          <w:rFonts w:hint="eastAsia" w:ascii="宋体" w:hAnsi="宋体" w:eastAsia="宋体" w:cs="宋体"/>
          <w:b w:val="0"/>
          <w:bCs w:val="0"/>
          <w:color w:val="auto"/>
          <w:sz w:val="24"/>
          <w:szCs w:val="24"/>
          <w:highlight w:val="none"/>
          <w:lang w:val="en-US" w:eastAsia="zh-CN"/>
        </w:rPr>
        <w:t>实施</w:t>
      </w:r>
      <w:r>
        <w:rPr>
          <w:rFonts w:hint="eastAsia" w:ascii="宋体" w:hAnsi="宋体" w:eastAsia="宋体" w:cs="宋体"/>
          <w:b w:val="0"/>
          <w:bCs w:val="0"/>
          <w:color w:val="auto"/>
          <w:sz w:val="24"/>
          <w:szCs w:val="24"/>
          <w:highlight w:val="none"/>
        </w:rPr>
        <w:t>单位</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根据评分标准，该指标不扣分，得</w:t>
      </w: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b w:val="0"/>
          <w:bCs w:val="0"/>
          <w:color w:val="auto"/>
          <w:sz w:val="24"/>
          <w:szCs w:val="24"/>
          <w:highlight w:val="none"/>
        </w:rPr>
        <w:t xml:space="preserve">分。   </w:t>
      </w:r>
    </w:p>
    <w:p w14:paraId="326A2AC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（2）预算执行率：</w:t>
      </w:r>
      <w:r>
        <w:rPr>
          <w:rFonts w:hint="eastAsia" w:ascii="宋体" w:hAnsi="宋体" w:eastAsia="宋体" w:cs="宋体"/>
          <w:color w:val="auto"/>
          <w:sz w:val="24"/>
          <w:szCs w:val="24"/>
          <w:highlight w:val="none"/>
        </w:rPr>
        <w:t>本项目实际支出资金</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万元，预算执行率=（</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）×100.0%=</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通过分析可知，该项目</w:t>
      </w:r>
      <w:r>
        <w:rPr>
          <w:rFonts w:hint="eastAsia" w:ascii="宋体" w:hAnsi="宋体" w:eastAsia="宋体" w:cs="宋体"/>
          <w:color w:val="auto"/>
          <w:sz w:val="24"/>
          <w:szCs w:val="24"/>
          <w:highlight w:val="none"/>
        </w:rPr>
        <w:t>预算编制较为详细，项目资金支出总体能够按照预算执行，根据评分标准，该指标不扣分，得</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p w14:paraId="5C6606A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（3）资金使用合规性：</w:t>
      </w:r>
      <w:r>
        <w:rPr>
          <w:rFonts w:hint="eastAsia" w:ascii="宋体" w:hAnsi="宋体" w:eastAsia="宋体" w:cs="宋体"/>
          <w:color w:val="auto"/>
          <w:sz w:val="24"/>
          <w:szCs w:val="24"/>
          <w:highlight w:val="none"/>
        </w:rPr>
        <w:t>通过检查项目资金申请文件、</w:t>
      </w:r>
      <w:r>
        <w:rPr>
          <w:rFonts w:hint="eastAsia" w:ascii="宋体" w:hAnsi="宋体" w:eastAsia="宋体" w:cs="宋体"/>
          <w:color w:val="auto"/>
          <w:sz w:val="24"/>
          <w:szCs w:val="24"/>
          <w:highlight w:val="none"/>
          <w:lang w:val="en-US" w:eastAsia="zh-CN"/>
        </w:rPr>
        <w:t>国库支付凭证</w:t>
      </w:r>
      <w:r>
        <w:rPr>
          <w:rFonts w:hint="eastAsia" w:ascii="宋体" w:hAnsi="宋体" w:eastAsia="宋体" w:cs="宋体"/>
          <w:color w:val="auto"/>
          <w:sz w:val="24"/>
          <w:szCs w:val="24"/>
          <w:highlight w:val="none"/>
        </w:rPr>
        <w:t>等财务</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，得出本项目资金支出符合国家财经法规、《政府会计制度》《</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color w:val="auto"/>
          <w:sz w:val="24"/>
          <w:szCs w:val="24"/>
          <w:highlight w:val="none"/>
        </w:rPr>
        <w:t>资金管理办法》《</w:t>
      </w:r>
      <w:r>
        <w:rPr>
          <w:rFonts w:hint="eastAsia" w:ascii="宋体" w:hAnsi="宋体" w:eastAsia="宋体" w:cs="宋体"/>
          <w:color w:val="auto"/>
          <w:sz w:val="24"/>
          <w:szCs w:val="24"/>
          <w:highlight w:val="none"/>
          <w:lang w:val="en-US" w:eastAsia="zh-CN"/>
        </w:rPr>
        <w:t>洛浦县</w:t>
      </w:r>
      <w:bookmarkStart w:id="19" w:name="OLE_LINK12"/>
      <w:r>
        <w:rPr>
          <w:rFonts w:hint="eastAsia" w:ascii="宋体" w:hAnsi="宋体" w:eastAsia="宋体" w:cs="宋体"/>
          <w:color w:val="auto"/>
          <w:sz w:val="24"/>
          <w:szCs w:val="24"/>
          <w:highlight w:val="none"/>
          <w:lang w:val="en-US" w:eastAsia="zh-CN"/>
        </w:rPr>
        <w:t>恰尔巴格镇第一一贯制学校</w:t>
      </w:r>
      <w:bookmarkEnd w:id="19"/>
      <w:r>
        <w:rPr>
          <w:rFonts w:hint="eastAsia" w:ascii="宋体" w:hAnsi="宋体" w:eastAsia="宋体" w:cs="宋体"/>
          <w:color w:val="auto"/>
          <w:sz w:val="24"/>
          <w:szCs w:val="24"/>
          <w:highlight w:val="none"/>
        </w:rPr>
        <w:t>资金管理办法》，资金的拨付有完整的审批程序和手续，资金实际使用方向与预算批复用途一致，不存在截留、挤占、挪用、虚列支出的情况。</w:t>
      </w:r>
      <w:r>
        <w:rPr>
          <w:rFonts w:hint="eastAsia" w:ascii="宋体" w:hAnsi="宋体" w:eastAsia="宋体" w:cs="宋体"/>
          <w:color w:val="auto"/>
          <w:sz w:val="24"/>
          <w:szCs w:val="24"/>
          <w:highlight w:val="none"/>
          <w:lang w:val="en-US" w:eastAsia="zh-CN"/>
        </w:rPr>
        <w:t>我单位</w:t>
      </w:r>
      <w:r>
        <w:rPr>
          <w:rFonts w:hint="eastAsia" w:ascii="宋体" w:hAnsi="宋体" w:eastAsia="宋体" w:cs="宋体"/>
          <w:color w:val="auto"/>
          <w:sz w:val="24"/>
          <w:szCs w:val="24"/>
          <w:highlight w:val="none"/>
        </w:rPr>
        <w:t>制定了相关的制度和管理规定对经费使用进行规范管理，财务制度健全、执行严格，根据评分标准，该指标不扣分，得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671A6A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bCs/>
          <w:color w:val="auto"/>
          <w:sz w:val="24"/>
          <w:szCs w:val="24"/>
          <w:highlight w:val="none"/>
        </w:rPr>
        <w:t>4）管理制度健全性：</w:t>
      </w:r>
      <w:r>
        <w:rPr>
          <w:rFonts w:hint="eastAsia" w:ascii="宋体" w:hAnsi="宋体" w:eastAsia="宋体" w:cs="宋体"/>
          <w:b w:val="0"/>
          <w:bCs w:val="0"/>
          <w:color w:val="auto"/>
          <w:sz w:val="24"/>
          <w:szCs w:val="24"/>
          <w:highlight w:val="none"/>
        </w:rPr>
        <w:t>我单位已制定《</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b w:val="0"/>
          <w:bCs w:val="0"/>
          <w:color w:val="auto"/>
          <w:sz w:val="24"/>
          <w:szCs w:val="24"/>
          <w:highlight w:val="none"/>
          <w:lang w:val="en-US" w:eastAsia="zh-CN"/>
        </w:rPr>
        <w:t>相关</w:t>
      </w:r>
      <w:r>
        <w:rPr>
          <w:rFonts w:hint="eastAsia" w:ascii="宋体" w:hAnsi="宋体" w:eastAsia="宋体" w:cs="宋体"/>
          <w:b w:val="0"/>
          <w:bCs w:val="0"/>
          <w:color w:val="auto"/>
          <w:sz w:val="24"/>
          <w:szCs w:val="24"/>
          <w:highlight w:val="none"/>
        </w:rPr>
        <w:t>制度均符合行政事业单位内控管理要求，财务和业务管理制度合法、合规、完整，本项目执行符合上述制度规定。根据评分标准，该指标不扣分，得</w:t>
      </w: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分。</w:t>
      </w:r>
    </w:p>
    <w:p w14:paraId="6352C21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（5）制度执行有效性</w:t>
      </w:r>
      <w:r>
        <w:rPr>
          <w:rFonts w:hint="eastAsia" w:ascii="宋体" w:hAnsi="宋体" w:eastAsia="宋体" w:cs="宋体"/>
          <w:color w:val="auto"/>
          <w:sz w:val="24"/>
          <w:szCs w:val="24"/>
          <w:highlight w:val="none"/>
        </w:rPr>
        <w:t>：①该项目的实施符合</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资金管理办法》《</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收支业务管理制度》《</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政府采购业务管理制度》《</w:t>
      </w:r>
      <w:r>
        <w:rPr>
          <w:rFonts w:hint="eastAsia" w:ascii="宋体" w:hAnsi="宋体" w:eastAsia="宋体" w:cs="宋体"/>
          <w:color w:val="auto"/>
          <w:sz w:val="24"/>
          <w:szCs w:val="24"/>
          <w:highlight w:val="none"/>
          <w:lang w:val="en-US" w:eastAsia="zh-CN"/>
        </w:rPr>
        <w:t>洛浦县恰尔巴格镇第一一贯制学校</w:t>
      </w:r>
      <w:r>
        <w:rPr>
          <w:rFonts w:hint="eastAsia" w:ascii="宋体" w:hAnsi="宋体" w:eastAsia="宋体" w:cs="宋体"/>
          <w:b w:val="0"/>
          <w:bCs w:val="0"/>
          <w:color w:val="auto"/>
          <w:sz w:val="24"/>
          <w:szCs w:val="24"/>
          <w:highlight w:val="none"/>
        </w:rPr>
        <w:t>合同管理制度》</w:t>
      </w:r>
      <w:r>
        <w:rPr>
          <w:rFonts w:hint="eastAsia" w:ascii="宋体" w:hAnsi="宋体" w:eastAsia="宋体" w:cs="宋体"/>
          <w:color w:val="auto"/>
          <w:sz w:val="24"/>
          <w:szCs w:val="24"/>
          <w:highlight w:val="none"/>
        </w:rPr>
        <w:t>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p>
    <w:p w14:paraId="6BB32228">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②经现场查证项目合同书、验收评审表、财务支付凭证等资料齐全并及时归档。</w:t>
      </w:r>
    </w:p>
    <w:p w14:paraId="4F3847BC">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③该项目实施过程中不存在调整事项。</w:t>
      </w:r>
    </w:p>
    <w:p w14:paraId="3B22769A">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④该项目实施所需要的项目人员和场地设备均已落实到位，具体涉及内容包括：项目资金支出严格按照自治区、地区以及本单位资金管理办法执行，项目启动实施后，为了加快本项目的实施，成立了</w:t>
      </w:r>
      <w:r>
        <w:rPr>
          <w:rFonts w:hint="eastAsia" w:ascii="宋体" w:hAnsi="宋体" w:eastAsia="宋体" w:cs="宋体"/>
          <w:color w:val="auto"/>
          <w:sz w:val="24"/>
          <w:szCs w:val="24"/>
          <w:highlight w:val="none"/>
          <w:lang w:eastAsia="zh-CN"/>
        </w:rPr>
        <w:t>中央直达资金</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2024年城乡义务教育补助经费</w:t>
      </w:r>
      <w:r>
        <w:rPr>
          <w:rFonts w:hint="eastAsia" w:ascii="宋体" w:hAnsi="宋体" w:eastAsia="宋体" w:cs="宋体"/>
          <w:color w:val="auto"/>
          <w:sz w:val="24"/>
          <w:szCs w:val="24"/>
          <w:highlight w:val="none"/>
        </w:rPr>
        <w:t>工作领导小组，由</w:t>
      </w:r>
      <w:r>
        <w:rPr>
          <w:rFonts w:hint="eastAsia" w:ascii="宋体" w:hAnsi="宋体" w:eastAsia="宋体" w:cs="宋体"/>
          <w:color w:val="auto"/>
          <w:sz w:val="24"/>
          <w:szCs w:val="24"/>
          <w:highlight w:val="none"/>
          <w:lang w:val="en-US" w:eastAsia="zh-CN"/>
        </w:rPr>
        <w:t>宁晋中书记</w:t>
      </w:r>
      <w:r>
        <w:rPr>
          <w:rFonts w:hint="eastAsia" w:ascii="宋体" w:hAnsi="宋体" w:eastAsia="宋体" w:cs="宋体"/>
          <w:color w:val="auto"/>
          <w:sz w:val="24"/>
          <w:szCs w:val="24"/>
          <w:highlight w:val="none"/>
        </w:rPr>
        <w:t>任组长，负责项目的组织工作；</w:t>
      </w:r>
      <w:r>
        <w:rPr>
          <w:rFonts w:hint="eastAsia" w:ascii="宋体" w:hAnsi="宋体" w:eastAsia="宋体" w:cs="宋体"/>
          <w:color w:val="auto"/>
          <w:sz w:val="24"/>
          <w:szCs w:val="24"/>
          <w:highlight w:val="none"/>
          <w:lang w:val="en-US" w:eastAsia="zh-CN"/>
        </w:rPr>
        <w:t>梅晓艳</w:t>
      </w:r>
      <w:r>
        <w:rPr>
          <w:rFonts w:hint="eastAsia" w:ascii="宋体" w:hAnsi="宋体" w:eastAsia="宋体" w:cs="宋体"/>
          <w:color w:val="auto"/>
          <w:sz w:val="24"/>
          <w:szCs w:val="24"/>
          <w:highlight w:val="none"/>
        </w:rPr>
        <w:t>任副组长，负责项目的实施工作；组员包括：</w:t>
      </w:r>
      <w:r>
        <w:rPr>
          <w:rFonts w:hint="eastAsia" w:ascii="宋体" w:hAnsi="宋体" w:eastAsia="宋体" w:cs="宋体"/>
          <w:color w:val="auto"/>
          <w:sz w:val="24"/>
          <w:szCs w:val="24"/>
          <w:highlight w:val="none"/>
          <w:lang w:val="en-US" w:eastAsia="zh-CN"/>
        </w:rPr>
        <w:t>麦麦提江、王国元</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lang w:val="en-US" w:eastAsia="zh-CN"/>
        </w:rPr>
        <w:t>佐日古丽</w:t>
      </w:r>
      <w:r>
        <w:rPr>
          <w:rFonts w:hint="eastAsia" w:ascii="宋体" w:hAnsi="宋体" w:eastAsia="宋体" w:cs="宋体"/>
          <w:color w:val="auto"/>
          <w:sz w:val="24"/>
          <w:szCs w:val="24"/>
          <w:highlight w:val="none"/>
        </w:rPr>
        <w:t>，主要负责项目监督管理、验收以及资金核拨等工作。根据评分标准，该指标不扣分，得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6BD5C84A">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（三）项目产出情况</w:t>
      </w:r>
    </w:p>
    <w:p w14:paraId="49426E70">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项目产出类指标包括产出数量、产出质量、产出时效、产出成本四方面的内容，由4个三级指标构成，权重分为</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分，实际得分</w:t>
      </w:r>
      <w:r>
        <w:rPr>
          <w:rFonts w:hint="eastAsia" w:ascii="宋体" w:hAnsi="宋体" w:eastAsia="宋体" w:cs="宋体"/>
          <w:color w:val="auto"/>
          <w:sz w:val="24"/>
          <w:szCs w:val="24"/>
          <w:highlight w:val="none"/>
          <w:lang w:val="en-US" w:eastAsia="zh-CN"/>
        </w:rPr>
        <w:t>40</w:t>
      </w:r>
      <w:r>
        <w:rPr>
          <w:rFonts w:hint="eastAsia" w:ascii="宋体" w:hAnsi="宋体" w:eastAsia="宋体" w:cs="宋体"/>
          <w:color w:val="auto"/>
          <w:sz w:val="24"/>
          <w:szCs w:val="24"/>
          <w:highlight w:val="none"/>
        </w:rPr>
        <w:t>分，得分率为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3D619B8C">
      <w:pPr>
        <w:pageBreakBefore w:val="0"/>
        <w:widowControl w:val="0"/>
        <w:numPr>
          <w:ilvl w:val="0"/>
          <w:numId w:val="4"/>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对于“产出数量”</w:t>
      </w:r>
    </w:p>
    <w:p w14:paraId="77FC7977">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lang w:eastAsia="zh-CN"/>
        </w:rPr>
        <w:t>受益学生数量</w:t>
      </w:r>
      <w:r>
        <w:rPr>
          <w:rFonts w:hint="eastAsia" w:ascii="宋体" w:hAnsi="宋体" w:eastAsia="宋体" w:cs="宋体"/>
          <w:color w:val="auto"/>
          <w:sz w:val="24"/>
          <w:szCs w:val="24"/>
          <w:highlight w:val="none"/>
        </w:rPr>
        <w:t>指标，预期指标值：“=</w:t>
      </w:r>
      <w:r>
        <w:rPr>
          <w:rFonts w:hint="eastAsia" w:ascii="宋体" w:hAnsi="宋体" w:eastAsia="宋体" w:cs="宋体"/>
          <w:color w:val="auto"/>
          <w:sz w:val="24"/>
          <w:szCs w:val="24"/>
          <w:highlight w:val="none"/>
          <w:lang w:val="en-US" w:eastAsia="zh-CN"/>
        </w:rPr>
        <w:t>837</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kern w:val="0"/>
          <w:sz w:val="24"/>
          <w:szCs w:val="24"/>
          <w:highlight w:val="none"/>
          <w:lang w:val="en-US" w:eastAsia="zh-CN" w:bidi="ar-SA"/>
        </w:rPr>
        <w:t>，实际完成值为837，指标完成率为100%，与预期目标一致，根据评分标准，该指标不扣分，得10分。</w:t>
      </w:r>
    </w:p>
    <w:p w14:paraId="41BDC563">
      <w:pPr>
        <w:pageBreakBefore w:val="0"/>
        <w:widowControl w:val="0"/>
        <w:numPr>
          <w:ilvl w:val="0"/>
          <w:numId w:val="4"/>
        </w:numPr>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对于“产出质量”：</w:t>
      </w:r>
    </w:p>
    <w:p w14:paraId="63373DD4">
      <w:pPr>
        <w:pStyle w:val="46"/>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outlineLvl w:val="2"/>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sz w:val="24"/>
          <w:szCs w:val="24"/>
          <w:highlight w:val="none"/>
        </w:rPr>
        <w:t>资金使用合规率指标，预期指标值：“=100%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lang w:val="en-US" w:eastAsia="zh-CN" w:bidi="ar-SA"/>
        </w:rPr>
        <w:t>实际完成值为</w:t>
      </w:r>
      <w:r>
        <w:rPr>
          <w:rFonts w:hint="eastAsia" w:ascii="宋体" w:hAnsi="宋体" w:eastAsia="宋体" w:cs="宋体"/>
          <w:color w:val="auto"/>
          <w:sz w:val="24"/>
          <w:szCs w:val="24"/>
          <w:highlight w:val="none"/>
        </w:rPr>
        <w:t>100%</w:t>
      </w:r>
      <w:r>
        <w:rPr>
          <w:rFonts w:hint="eastAsia" w:ascii="宋体" w:hAnsi="宋体" w:eastAsia="宋体" w:cs="宋体"/>
          <w:color w:val="auto"/>
          <w:kern w:val="0"/>
          <w:sz w:val="24"/>
          <w:szCs w:val="24"/>
          <w:highlight w:val="none"/>
          <w:lang w:val="en-US" w:eastAsia="zh-CN" w:bidi="ar-SA"/>
        </w:rPr>
        <w:t>，指标完成率为100%，与预期目标一致，根据评分标准，该指标不扣分，得10分。</w:t>
      </w:r>
    </w:p>
    <w:p w14:paraId="315139BA">
      <w:pPr>
        <w:pStyle w:val="10"/>
        <w:pageBreakBefore w:val="0"/>
        <w:widowControl w:val="0"/>
        <w:numPr>
          <w:ilvl w:val="0"/>
          <w:numId w:val="4"/>
        </w:numPr>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对于“产出时效”：</w:t>
      </w:r>
    </w:p>
    <w:p w14:paraId="411BDFD2">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项目开始时间指标，预期指标值为2024年1月，实际完成值为2024年1月，指标完成率为100%，与预期目标一致，根据评分标准，该指标不扣分，得3分。</w:t>
      </w:r>
    </w:p>
    <w:p w14:paraId="29FDEBCD">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项目结束时间指标，预期指标值为2024年12月，实际完成值为2024年12月，指标完成率为100%，与预期目标一致，根据评分标准，该指标不扣分，得3分。</w:t>
      </w:r>
    </w:p>
    <w:p w14:paraId="3A072F4F">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补助资金发放及时率指标，预期指标值为“=100%”，实际完成值为“=100%”，指标完成率为100%，与预期目标一致，根据评分标准，该指标不扣分，得4分。</w:t>
      </w:r>
    </w:p>
    <w:p w14:paraId="21D42637">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1EC8ECE5">
      <w:pPr>
        <w:pStyle w:val="46"/>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（4）对于“产出成本”：</w:t>
      </w:r>
    </w:p>
    <w:p w14:paraId="7351EC11">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义务教育公用经费指标，预期指标值为“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56.69万元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56.69万元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1447126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营养改善经费指标，预期指标值为“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60.84万元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60.84万元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w:t>
      </w:r>
    </w:p>
    <w:p w14:paraId="4C01F884">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寄宿生生活补助经费指标，预期指标值为“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7.53万元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7.53万元</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项目经费都能控制绩效目标范围内，根据评分标准，该指标不扣分，得</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分。</w:t>
      </w:r>
    </w:p>
    <w:p w14:paraId="6C1BD4BA">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合计得10分。</w:t>
      </w:r>
    </w:p>
    <w:p w14:paraId="6CE82EB5">
      <w:pPr>
        <w:pStyle w:val="49"/>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（四）项目效益情况</w:t>
      </w:r>
    </w:p>
    <w:p w14:paraId="0B64CBEB">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项目效益类指标包括项目效益1个方面的内容，由2个三级指标构成，权重分为2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分，实际得分2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分，得分率为100%。</w:t>
      </w:r>
    </w:p>
    <w:p w14:paraId="6ACE9D72">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（1）对于“社会效益指标”：</w:t>
      </w:r>
    </w:p>
    <w:p w14:paraId="4D976B76">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改善教育教学质量指标，该指标预期指标值为</w:t>
      </w:r>
      <w:r>
        <w:rPr>
          <w:rFonts w:hint="eastAsia" w:ascii="宋体" w:hAnsi="宋体" w:eastAsia="宋体" w:cs="宋体"/>
          <w:color w:val="auto"/>
          <w:sz w:val="24"/>
          <w:szCs w:val="24"/>
          <w:highlight w:val="none"/>
          <w:lang w:val="en-US" w:eastAsia="zh-CN"/>
        </w:rPr>
        <w:t>有效改善</w:t>
      </w:r>
      <w:r>
        <w:rPr>
          <w:rFonts w:hint="eastAsia" w:ascii="宋体" w:hAnsi="宋体" w:eastAsia="宋体" w:cs="宋体"/>
          <w:color w:val="auto"/>
          <w:sz w:val="24"/>
          <w:szCs w:val="24"/>
          <w:highlight w:val="none"/>
        </w:rPr>
        <w:t>，实际完成值为</w:t>
      </w:r>
      <w:r>
        <w:rPr>
          <w:rFonts w:hint="eastAsia" w:ascii="宋体" w:hAnsi="宋体" w:eastAsia="宋体" w:cs="宋体"/>
          <w:color w:val="auto"/>
          <w:sz w:val="24"/>
          <w:szCs w:val="24"/>
          <w:highlight w:val="none"/>
          <w:lang w:val="en-US" w:eastAsia="zh-CN"/>
        </w:rPr>
        <w:t>有效改善</w:t>
      </w:r>
      <w:r>
        <w:rPr>
          <w:rFonts w:hint="eastAsia" w:ascii="宋体" w:hAnsi="宋体" w:eastAsia="宋体" w:cs="宋体"/>
          <w:color w:val="auto"/>
          <w:sz w:val="24"/>
          <w:szCs w:val="24"/>
          <w:highlight w:val="none"/>
        </w:rPr>
        <w:t>，指标完成率为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，与预期指标一致，根据评分标准，该指标不扣分，得</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5分。</w:t>
      </w:r>
    </w:p>
    <w:p w14:paraId="02A1C226">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（4）满意度指标分析</w:t>
      </w:r>
    </w:p>
    <w:p w14:paraId="7885FF4B">
      <w:pPr>
        <w:pStyle w:val="10"/>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对于</w:t>
      </w:r>
      <w:bookmarkEnd w:id="16"/>
      <w:r>
        <w:rPr>
          <w:rFonts w:hint="eastAsia" w:ascii="宋体" w:hAnsi="宋体" w:eastAsia="宋体" w:cs="宋体"/>
          <w:b w:val="0"/>
          <w:color w:val="auto"/>
          <w:kern w:val="2"/>
          <w:sz w:val="24"/>
          <w:szCs w:val="24"/>
          <w:highlight w:val="none"/>
          <w:lang w:val="en-US" w:eastAsia="zh-CN" w:bidi="ar-SA"/>
        </w:rPr>
        <w:t>学生满意度指标，该指标预期指标值为≥95%，实际完成值为95%，指标完成率为100%，与预期指标一致，根据评分标准，该指标不扣分，得10分。</w:t>
      </w:r>
    </w:p>
    <w:p w14:paraId="4CA9B1BF">
      <w:pPr>
        <w:pStyle w:val="4"/>
        <w:pageBreakBefore w:val="0"/>
        <w:widowControl w:val="0"/>
        <w:kinsoku/>
        <w:wordWrap/>
        <w:topLinePunct w:val="0"/>
        <w:autoSpaceDE/>
        <w:autoSpaceDN/>
        <w:bidi w:val="0"/>
        <w:adjustRightInd/>
        <w:snapToGrid/>
        <w:spacing w:before="0" w:after="0" w:line="360" w:lineRule="auto"/>
        <w:ind w:left="0" w:leftChars="0" w:firstLine="0" w:firstLineChars="0"/>
        <w:jc w:val="both"/>
        <w:textAlignment w:val="auto"/>
        <w:rPr>
          <w:rFonts w:hint="eastAsia" w:ascii="黑体" w:hAnsi="黑体" w:eastAsia="黑体" w:cs="黑体"/>
          <w:color w:val="auto"/>
          <w:sz w:val="24"/>
          <w:szCs w:val="24"/>
          <w:highlight w:val="none"/>
        </w:rPr>
      </w:pPr>
    </w:p>
    <w:p w14:paraId="252834E4">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color w:val="auto"/>
          <w:sz w:val="24"/>
          <w:szCs w:val="24"/>
          <w:highlight w:val="none"/>
        </w:rPr>
      </w:pPr>
      <w:r>
        <w:rPr>
          <w:rFonts w:hint="eastAsia" w:ascii="黑体" w:hAnsi="黑体" w:eastAsia="黑体" w:cs="黑体"/>
          <w:color w:val="auto"/>
          <w:sz w:val="24"/>
          <w:szCs w:val="24"/>
          <w:highlight w:val="none"/>
        </w:rPr>
        <w:t>五、预算执行进度与绩效指标偏差情况</w:t>
      </w:r>
    </w:p>
    <w:p w14:paraId="03848F63">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本项目年初预算资金总额为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万元，全年预算数为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万元，全年执行数为</w:t>
      </w:r>
      <w:r>
        <w:rPr>
          <w:rFonts w:hint="eastAsia" w:ascii="宋体" w:hAnsi="宋体" w:eastAsia="宋体" w:cs="宋体"/>
          <w:color w:val="auto"/>
          <w:sz w:val="24"/>
          <w:szCs w:val="24"/>
          <w:highlight w:val="none"/>
          <w:lang w:val="en-US" w:eastAsia="zh-CN"/>
        </w:rPr>
        <w:t>125.06</w:t>
      </w:r>
      <w:r>
        <w:rPr>
          <w:rFonts w:hint="eastAsia" w:ascii="宋体" w:hAnsi="宋体" w:eastAsia="宋体" w:cs="宋体"/>
          <w:color w:val="auto"/>
          <w:sz w:val="24"/>
          <w:szCs w:val="24"/>
          <w:highlight w:val="none"/>
        </w:rPr>
        <w:t>万元，预算执行率为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626D1099">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本项目共设置三级指标数量</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个，满分指标数量</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个，扣分指标数量</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个，经分析计算所有三级指标完成率得出，本项目总体完成率为</w:t>
      </w:r>
      <w:r>
        <w:rPr>
          <w:rFonts w:hint="eastAsia" w:ascii="宋体" w:hAnsi="宋体" w:eastAsia="宋体" w:cs="宋体"/>
          <w:color w:val="auto"/>
          <w:sz w:val="24"/>
          <w:szCs w:val="24"/>
          <w:highlight w:val="none"/>
          <w:lang w:val="en-US" w:eastAsia="zh-CN"/>
        </w:rPr>
        <w:t>100</w:t>
      </w:r>
      <w:r>
        <w:rPr>
          <w:rFonts w:hint="eastAsia" w:ascii="宋体" w:hAnsi="宋体" w:eastAsia="宋体" w:cs="宋体"/>
          <w:color w:val="auto"/>
          <w:sz w:val="24"/>
          <w:szCs w:val="24"/>
          <w:highlight w:val="none"/>
        </w:rPr>
        <w:t>%。</w:t>
      </w:r>
    </w:p>
    <w:p w14:paraId="5444F151">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综上所述本项目预算执行率与总体完成率之间的偏差为</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p>
    <w:p w14:paraId="3AC14FE8">
      <w:pPr>
        <w:pStyle w:val="4"/>
        <w:pageBreakBefore w:val="0"/>
        <w:widowControl w:val="0"/>
        <w:kinsoku/>
        <w:wordWrap/>
        <w:overflowPunct/>
        <w:topLinePunct w:val="0"/>
        <w:autoSpaceDE/>
        <w:autoSpaceDN/>
        <w:bidi w:val="0"/>
        <w:adjustRightInd/>
        <w:snapToGrid/>
        <w:spacing w:before="0" w:after="0" w:line="348" w:lineRule="auto"/>
        <w:ind w:left="0" w:leftChars="0" w:firstLine="480" w:firstLineChars="200"/>
        <w:jc w:val="both"/>
        <w:textAlignment w:val="auto"/>
        <w:rPr>
          <w:rFonts w:hint="eastAsia" w:ascii="宋体" w:hAnsi="宋体" w:eastAsia="宋体" w:cs="宋体"/>
          <w:color w:val="auto"/>
          <w:sz w:val="24"/>
          <w:szCs w:val="24"/>
          <w:highlight w:val="none"/>
        </w:rPr>
      </w:pPr>
      <w:bookmarkStart w:id="20" w:name="_Toc68364673"/>
    </w:p>
    <w:p w14:paraId="1B8AC1E8">
      <w:pPr>
        <w:pStyle w:val="4"/>
        <w:pageBreakBefore w:val="0"/>
        <w:widowControl w:val="0"/>
        <w:kinsoku/>
        <w:wordWrap/>
        <w:overflowPunct/>
        <w:topLinePunct w:val="0"/>
        <w:autoSpaceDE/>
        <w:autoSpaceDN/>
        <w:bidi w:val="0"/>
        <w:adjustRightInd/>
        <w:snapToGrid/>
        <w:spacing w:before="0" w:after="0" w:line="348" w:lineRule="auto"/>
        <w:ind w:left="0" w:leftChars="0" w:firstLine="480" w:firstLineChars="200"/>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六、主要经验及做法、存在的问题及原因分析</w:t>
      </w:r>
    </w:p>
    <w:p w14:paraId="1A8D49A9">
      <w:pPr>
        <w:pStyle w:val="49"/>
        <w:pageBreakBefore w:val="0"/>
        <w:widowControl w:val="0"/>
        <w:kinsoku/>
        <w:wordWrap/>
        <w:overflowPunct/>
        <w:topLinePunct w:val="0"/>
        <w:autoSpaceDE/>
        <w:autoSpaceDN/>
        <w:bidi w:val="0"/>
        <w:adjustRightInd/>
        <w:snapToGrid/>
        <w:spacing w:before="0" w:after="0" w:line="348" w:lineRule="auto"/>
        <w:ind w:left="0" w:leftChars="0"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（一）主要经验及做法</w:t>
      </w:r>
      <w:bookmarkEnd w:id="20"/>
    </w:p>
    <w:p w14:paraId="1774CE80">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一是本项目能够严格按照《项目实施方案》执行，项目执行情况较好。</w:t>
      </w:r>
    </w:p>
    <w:p w14:paraId="1712AB0C">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二是加强组织领导，本项目绩效评价工作，有主要领导亲自挂帅，分管领导具体负责，从项目到资金，均能够很好的执行。</w:t>
      </w:r>
    </w:p>
    <w:p w14:paraId="6E7211FE">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三是加强沟通协调，我单位及时向领导汇报项目建设进度，加强与施工单位的沟通，确保项目按期完工。</w:t>
      </w:r>
    </w:p>
    <w:p w14:paraId="4E1616E0">
      <w:pPr>
        <w:pStyle w:val="49"/>
        <w:pageBreakBefore w:val="0"/>
        <w:widowControl w:val="0"/>
        <w:kinsoku/>
        <w:wordWrap/>
        <w:overflowPunct/>
        <w:topLinePunct w:val="0"/>
        <w:autoSpaceDE/>
        <w:autoSpaceDN/>
        <w:bidi w:val="0"/>
        <w:adjustRightInd/>
        <w:snapToGrid/>
        <w:spacing w:before="0" w:after="0" w:line="348" w:lineRule="auto"/>
        <w:ind w:left="0" w:leftChars="0" w:firstLine="480" w:firstLineChars="200"/>
        <w:jc w:val="both"/>
        <w:textAlignment w:val="auto"/>
        <w:rPr>
          <w:rFonts w:hint="eastAsia" w:ascii="宋体" w:hAnsi="宋体" w:eastAsia="宋体" w:cs="宋体"/>
          <w:b w:val="0"/>
          <w:bCs w:val="0"/>
          <w:color w:val="auto"/>
          <w:sz w:val="24"/>
          <w:szCs w:val="24"/>
          <w:highlight w:val="none"/>
        </w:rPr>
      </w:pPr>
      <w:bookmarkStart w:id="21" w:name="_Toc68364674"/>
      <w:r>
        <w:rPr>
          <w:rFonts w:hint="eastAsia" w:ascii="宋体" w:hAnsi="宋体" w:eastAsia="宋体" w:cs="宋体"/>
          <w:color w:val="auto"/>
          <w:sz w:val="24"/>
          <w:szCs w:val="24"/>
          <w:highlight w:val="none"/>
        </w:rPr>
        <w:t>（二）存在问题及原因分析</w:t>
      </w:r>
      <w:bookmarkEnd w:id="21"/>
    </w:p>
    <w:p w14:paraId="0FB24F10">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1.项目资金管理环节：</w:t>
      </w:r>
    </w:p>
    <w:p w14:paraId="5FA73EB7">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问题：项目科目设置不合理，预算未及时调整。</w:t>
      </w:r>
    </w:p>
    <w:p w14:paraId="5E0A555B">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原因分析：财务人员专业能力不足缺乏项目核算经验，今后将定期核算。</w:t>
      </w:r>
    </w:p>
    <w:p w14:paraId="40EB7776">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2.项目管理环节：</w:t>
      </w:r>
    </w:p>
    <w:p w14:paraId="1598E906">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问题：计划缺乏前瞻性和灵活性，没有考虑到潜在的变化因素。</w:t>
      </w:r>
    </w:p>
    <w:p w14:paraId="1A026247">
      <w:pPr>
        <w:pStyle w:val="46"/>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原因分析：在制定计划时，缺乏充分的调研和分析。</w:t>
      </w:r>
    </w:p>
    <w:p w14:paraId="0135E20D">
      <w:pPr>
        <w:pStyle w:val="58"/>
        <w:keepNext w:val="0"/>
        <w:keepLines w:val="0"/>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黑体" w:hAnsi="黑体" w:eastAsia="黑体" w:cs="黑体"/>
          <w:color w:val="auto"/>
          <w:sz w:val="24"/>
          <w:szCs w:val="24"/>
          <w:highlight w:val="none"/>
        </w:rPr>
      </w:pPr>
      <w:bookmarkStart w:id="22" w:name="_Toc68364675"/>
    </w:p>
    <w:p w14:paraId="739F7CE0">
      <w:pPr>
        <w:pStyle w:val="4"/>
        <w:pageBreakBefore w:val="0"/>
        <w:widowControl w:val="0"/>
        <w:kinsoku/>
        <w:wordWrap/>
        <w:overflowPunct/>
        <w:topLinePunct w:val="0"/>
        <w:autoSpaceDE/>
        <w:autoSpaceDN/>
        <w:bidi w:val="0"/>
        <w:adjustRightInd/>
        <w:snapToGrid/>
        <w:spacing w:before="0" w:after="0" w:line="348" w:lineRule="auto"/>
        <w:ind w:left="0" w:leftChars="0" w:firstLine="480" w:firstLineChars="200"/>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七、有关建议</w:t>
      </w:r>
      <w:bookmarkEnd w:id="22"/>
    </w:p>
    <w:p w14:paraId="3B3CDD7F">
      <w:pPr>
        <w:pStyle w:val="58"/>
        <w:keepNext w:val="0"/>
        <w:keepLines w:val="0"/>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b w:val="0"/>
          <w:bCs w:val="0"/>
          <w:color w:val="auto"/>
          <w:kern w:val="44"/>
          <w:sz w:val="24"/>
          <w:szCs w:val="24"/>
          <w:highlight w:val="none"/>
          <w:lang w:val="en-US" w:eastAsia="zh-CN" w:bidi="ar-SA"/>
        </w:rPr>
      </w:pPr>
      <w:r>
        <w:rPr>
          <w:rFonts w:hint="eastAsia" w:ascii="宋体" w:hAnsi="宋体" w:eastAsia="宋体" w:cs="宋体"/>
          <w:b w:val="0"/>
          <w:bCs w:val="0"/>
          <w:color w:val="auto"/>
          <w:kern w:val="44"/>
          <w:sz w:val="24"/>
          <w:szCs w:val="24"/>
          <w:highlight w:val="none"/>
          <w:lang w:val="en-US" w:eastAsia="zh-CN" w:bidi="ar-SA"/>
        </w:rPr>
        <w:t>1.加大绩效工作宣传力度，强化绩效理念充分，与上级沟通，力争科学安排审计项目，做好预算编制，积极加强绩效管理。</w:t>
      </w:r>
    </w:p>
    <w:p w14:paraId="08DD2AD8">
      <w:pPr>
        <w:pStyle w:val="58"/>
        <w:keepNext w:val="0"/>
        <w:keepLines w:val="0"/>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b w:val="0"/>
          <w:bCs w:val="0"/>
          <w:color w:val="auto"/>
          <w:kern w:val="44"/>
          <w:sz w:val="24"/>
          <w:szCs w:val="24"/>
          <w:highlight w:val="none"/>
          <w:lang w:val="en-US" w:eastAsia="zh-CN" w:bidi="ar-SA"/>
        </w:rPr>
      </w:pPr>
      <w:r>
        <w:rPr>
          <w:rFonts w:hint="eastAsia" w:ascii="宋体" w:hAnsi="宋体" w:eastAsia="宋体" w:cs="宋体"/>
          <w:b w:val="0"/>
          <w:bCs w:val="0"/>
          <w:color w:val="auto"/>
          <w:kern w:val="44"/>
          <w:sz w:val="24"/>
          <w:szCs w:val="24"/>
          <w:highlight w:val="none"/>
          <w:lang w:val="en-US" w:eastAsia="zh-CN" w:bidi="ar-SA"/>
        </w:rPr>
        <w:t>2、完善绩效指标，提高整体绩效目标质量。提升预算精细化管理水平。</w:t>
      </w:r>
    </w:p>
    <w:p w14:paraId="7904B94E">
      <w:pPr>
        <w:pStyle w:val="58"/>
        <w:keepNext w:val="0"/>
        <w:keepLines w:val="0"/>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b w:val="0"/>
          <w:bCs w:val="0"/>
          <w:color w:val="auto"/>
          <w:kern w:val="44"/>
          <w:sz w:val="24"/>
          <w:szCs w:val="24"/>
          <w:highlight w:val="none"/>
          <w:lang w:val="en-US" w:eastAsia="zh-CN" w:bidi="ar-SA"/>
        </w:rPr>
      </w:pPr>
      <w:r>
        <w:rPr>
          <w:rFonts w:hint="eastAsia" w:ascii="宋体" w:hAnsi="宋体" w:eastAsia="宋体" w:cs="宋体"/>
          <w:b w:val="0"/>
          <w:bCs w:val="0"/>
          <w:color w:val="auto"/>
          <w:kern w:val="44"/>
          <w:sz w:val="24"/>
          <w:szCs w:val="24"/>
          <w:highlight w:val="none"/>
          <w:lang w:val="en-US" w:eastAsia="zh-CN" w:bidi="ar-SA"/>
        </w:rPr>
        <w:t>3、建立健全财政各项资金管理制度，严格执行财务管理制度，做到了财务处理及时，会计核算规范，严格按照计划进度支付，</w:t>
      </w:r>
    </w:p>
    <w:p w14:paraId="1ACBFD11">
      <w:pPr>
        <w:pStyle w:val="58"/>
        <w:keepNext w:val="0"/>
        <w:keepLines w:val="0"/>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eastAsia" w:ascii="宋体" w:hAnsi="宋体" w:eastAsia="宋体" w:cs="宋体"/>
          <w:b w:val="0"/>
          <w:bCs w:val="0"/>
          <w:color w:val="auto"/>
          <w:kern w:val="44"/>
          <w:sz w:val="24"/>
          <w:szCs w:val="24"/>
          <w:highlight w:val="none"/>
          <w:lang w:val="en-US" w:eastAsia="zh-CN" w:bidi="ar-SA"/>
        </w:rPr>
      </w:pPr>
      <w:r>
        <w:rPr>
          <w:rFonts w:hint="eastAsia" w:ascii="宋体" w:hAnsi="宋体" w:eastAsia="宋体" w:cs="宋体"/>
          <w:b w:val="0"/>
          <w:bCs w:val="0"/>
          <w:color w:val="auto"/>
          <w:kern w:val="44"/>
          <w:sz w:val="24"/>
          <w:szCs w:val="24"/>
          <w:highlight w:val="none"/>
          <w:lang w:val="en-US" w:eastAsia="zh-CN" w:bidi="ar-SA"/>
        </w:rPr>
        <w:t>4、继续完善预算绩效管理相关工作制度，建立全过程预算绩效管理链条，有效贯彻落实全面实施绩效管理的精神。</w:t>
      </w:r>
    </w:p>
    <w:p w14:paraId="5ED56C7F">
      <w:pPr>
        <w:pStyle w:val="58"/>
        <w:keepNext w:val="0"/>
        <w:keepLines w:val="0"/>
        <w:pageBreakBefore w:val="0"/>
        <w:widowControl w:val="0"/>
        <w:kinsoku/>
        <w:wordWrap/>
        <w:overflowPunct/>
        <w:topLinePunct w:val="0"/>
        <w:autoSpaceDE/>
        <w:autoSpaceDN/>
        <w:bidi w:val="0"/>
        <w:adjustRightInd/>
        <w:snapToGrid/>
        <w:spacing w:line="348" w:lineRule="auto"/>
        <w:ind w:left="0" w:leftChars="0" w:firstLine="480" w:firstLineChars="200"/>
        <w:jc w:val="both"/>
        <w:textAlignment w:val="auto"/>
        <w:rPr>
          <w:rFonts w:hint="default" w:ascii="宋体" w:hAnsi="宋体" w:eastAsia="宋体" w:cs="宋体"/>
          <w:b w:val="0"/>
          <w:bCs w:val="0"/>
          <w:color w:val="auto"/>
          <w:kern w:val="44"/>
          <w:sz w:val="24"/>
          <w:szCs w:val="24"/>
          <w:highlight w:val="none"/>
          <w:lang w:val="en-US" w:eastAsia="zh-CN" w:bidi="ar-SA"/>
        </w:rPr>
      </w:pPr>
      <w:r>
        <w:rPr>
          <w:rFonts w:hint="eastAsia" w:ascii="宋体" w:hAnsi="宋体" w:eastAsia="宋体" w:cs="宋体"/>
          <w:b w:val="0"/>
          <w:bCs w:val="0"/>
          <w:color w:val="auto"/>
          <w:kern w:val="44"/>
          <w:sz w:val="24"/>
          <w:szCs w:val="24"/>
          <w:highlight w:val="none"/>
          <w:lang w:val="en-US" w:eastAsia="zh-CN" w:bidi="ar-SA"/>
        </w:rPr>
        <w:t>5、加强系统内各层级人员绩效管理培训，营造绩效管理的良好氛围，注重总结推广先进典型做法，形成系统内案例库，逐步丰富工作成果.</w:t>
      </w:r>
    </w:p>
    <w:p w14:paraId="06B30ECE">
      <w:pPr>
        <w:pStyle w:val="4"/>
        <w:pageBreakBefore w:val="0"/>
        <w:widowControl w:val="0"/>
        <w:kinsoku/>
        <w:wordWrap/>
        <w:overflowPunct/>
        <w:topLinePunct w:val="0"/>
        <w:autoSpaceDE/>
        <w:autoSpaceDN/>
        <w:bidi w:val="0"/>
        <w:adjustRightInd/>
        <w:snapToGrid/>
        <w:spacing w:before="0" w:after="0" w:line="360" w:lineRule="auto"/>
        <w:ind w:left="0" w:leftChars="0" w:firstLine="480" w:firstLineChars="200"/>
        <w:jc w:val="both"/>
        <w:textAlignment w:val="auto"/>
        <w:rPr>
          <w:rFonts w:hint="eastAsia" w:ascii="宋体" w:hAnsi="宋体" w:eastAsia="宋体" w:cs="宋体"/>
          <w:color w:val="auto"/>
          <w:sz w:val="24"/>
          <w:szCs w:val="24"/>
          <w:highlight w:val="none"/>
        </w:rPr>
      </w:pPr>
      <w:bookmarkStart w:id="23" w:name="_Toc68364676"/>
    </w:p>
    <w:p w14:paraId="7CC3E73B">
      <w:pPr>
        <w:pStyle w:val="4"/>
        <w:pageBreakBefore w:val="0"/>
        <w:widowControl w:val="0"/>
        <w:kinsoku/>
        <w:wordWrap/>
        <w:topLinePunct w:val="0"/>
        <w:autoSpaceDE/>
        <w:autoSpaceDN/>
        <w:bidi w:val="0"/>
        <w:adjustRightInd/>
        <w:snapToGrid/>
        <w:spacing w:before="0" w:after="0" w:line="360" w:lineRule="auto"/>
        <w:ind w:left="0" w:leftChars="0" w:firstLine="480" w:firstLineChars="200"/>
        <w:jc w:val="both"/>
        <w:textAlignment w:val="auto"/>
        <w:rPr>
          <w:rFonts w:hint="eastAsia" w:ascii="黑体" w:hAnsi="黑体" w:eastAsia="黑体" w:cs="黑体"/>
          <w:b/>
          <w:bCs/>
          <w:color w:val="auto"/>
          <w:sz w:val="24"/>
          <w:szCs w:val="24"/>
          <w:highlight w:val="none"/>
        </w:rPr>
      </w:pPr>
      <w:r>
        <w:rPr>
          <w:rFonts w:hint="eastAsia" w:ascii="黑体" w:hAnsi="黑体" w:eastAsia="黑体" w:cs="黑体"/>
          <w:b/>
          <w:bCs/>
          <w:color w:val="auto"/>
          <w:sz w:val="24"/>
          <w:szCs w:val="24"/>
          <w:highlight w:val="none"/>
        </w:rPr>
        <w:t>八、其他需要说明的问题</w:t>
      </w:r>
      <w:bookmarkEnd w:id="23"/>
    </w:p>
    <w:p w14:paraId="4635F1AD">
      <w:pPr>
        <w:pStyle w:val="46"/>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我单位对上述项目支出绩效评价报告内反映内容的真实性、完整性负责，</w:t>
      </w:r>
      <w:r>
        <w:rPr>
          <w:rFonts w:hint="eastAsia" w:ascii="宋体" w:hAnsi="宋体" w:eastAsia="宋体" w:cs="宋体"/>
          <w:color w:val="auto"/>
          <w:sz w:val="24"/>
          <w:szCs w:val="24"/>
          <w:highlight w:val="none"/>
          <w:lang w:val="en-US" w:eastAsia="zh-CN"/>
        </w:rPr>
        <w:t>愿</w:t>
      </w:r>
      <w:r>
        <w:rPr>
          <w:rFonts w:hint="eastAsia" w:ascii="宋体" w:hAnsi="宋体" w:eastAsia="宋体" w:cs="宋体"/>
          <w:color w:val="auto"/>
          <w:sz w:val="24"/>
          <w:szCs w:val="24"/>
          <w:highlight w:val="none"/>
        </w:rPr>
        <w:t>接受上级部门及社会公众监督。</w:t>
      </w:r>
    </w:p>
    <w:p w14:paraId="0BA904C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rPr>
      </w:pPr>
    </w:p>
    <w:p w14:paraId="421CE873">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附件1：2024年城乡义务教育补助经费项目绩效评价指标体系</w:t>
      </w:r>
    </w:p>
    <w:p w14:paraId="5210CE9F">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附件2：2024年城乡义务教育补助经费项目综合得分表</w:t>
      </w:r>
    </w:p>
    <w:p w14:paraId="226C9B8E">
      <w:pPr>
        <w:pageBreakBefore w:val="0"/>
        <w:widowControl w:val="0"/>
        <w:kinsoku/>
        <w:wordWrap/>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附件3：满意度调查问分析情况</w:t>
      </w:r>
    </w:p>
    <w:p w14:paraId="0EAEB537">
      <w:pPr>
        <w:pStyle w:val="10"/>
        <w:ind w:left="0" w:leftChars="0" w:firstLine="0" w:firstLineChars="0"/>
        <w:jc w:val="both"/>
        <w:rPr>
          <w:rFonts w:hint="eastAsia" w:ascii="宋体" w:hAnsi="宋体" w:eastAsia="宋体" w:cs="宋体"/>
          <w:color w:val="auto"/>
          <w:sz w:val="24"/>
          <w:szCs w:val="24"/>
          <w:highlight w:val="none"/>
        </w:rPr>
        <w:sectPr>
          <w:headerReference r:id="rId5" w:type="default"/>
          <w:footerReference r:id="rId6" w:type="default"/>
          <w:pgSz w:w="11906" w:h="16838"/>
          <w:pgMar w:top="1985" w:right="1531" w:bottom="1701" w:left="1531" w:header="851" w:footer="992" w:gutter="0"/>
          <w:pgNumType w:start="1"/>
          <w:cols w:space="720" w:num="1"/>
          <w:docGrid w:type="linesAndChars" w:linePitch="386" w:charSpace="0"/>
        </w:sectPr>
      </w:pPr>
    </w:p>
    <w:tbl>
      <w:tblPr>
        <w:tblStyle w:val="23"/>
        <w:tblW w:w="14232" w:type="dxa"/>
        <w:tblInd w:w="0" w:type="dxa"/>
        <w:tblLayout w:type="fixed"/>
        <w:tblCellMar>
          <w:top w:w="0" w:type="dxa"/>
          <w:left w:w="108" w:type="dxa"/>
          <w:bottom w:w="0" w:type="dxa"/>
          <w:right w:w="108" w:type="dxa"/>
        </w:tblCellMar>
      </w:tblPr>
      <w:tblGrid>
        <w:gridCol w:w="779"/>
        <w:gridCol w:w="678"/>
        <w:gridCol w:w="847"/>
        <w:gridCol w:w="609"/>
        <w:gridCol w:w="1243"/>
        <w:gridCol w:w="609"/>
        <w:gridCol w:w="2454"/>
        <w:gridCol w:w="1206"/>
        <w:gridCol w:w="4069"/>
        <w:gridCol w:w="888"/>
        <w:gridCol w:w="850"/>
      </w:tblGrid>
      <w:tr w14:paraId="0ED0DC74">
        <w:tblPrEx>
          <w:tblCellMar>
            <w:top w:w="0" w:type="dxa"/>
            <w:left w:w="108" w:type="dxa"/>
            <w:bottom w:w="0" w:type="dxa"/>
            <w:right w:w="108" w:type="dxa"/>
          </w:tblCellMar>
        </w:tblPrEx>
        <w:trPr>
          <w:trHeight w:val="625" w:hRule="atLeast"/>
        </w:trPr>
        <w:tc>
          <w:tcPr>
            <w:tcW w:w="1457" w:type="dxa"/>
            <w:gridSpan w:val="2"/>
            <w:tcBorders>
              <w:top w:val="nil"/>
              <w:left w:val="nil"/>
              <w:bottom w:val="nil"/>
              <w:right w:val="nil"/>
            </w:tcBorders>
            <w:noWrap w:val="0"/>
            <w:vAlign w:val="center"/>
          </w:tcPr>
          <w:p w14:paraId="4D43796C">
            <w:pPr>
              <w:widowControl/>
              <w:spacing w:line="240" w:lineRule="exact"/>
              <w:ind w:firstLine="0" w:firstLineChars="0"/>
              <w:jc w:val="center"/>
              <w:rPr>
                <w:rFonts w:hint="eastAsia" w:ascii="宋体" w:hAnsi="宋体" w:eastAsia="宋体" w:cs="宋体"/>
                <w:b/>
                <w:bCs/>
                <w:sz w:val="21"/>
                <w:szCs w:val="21"/>
              </w:rPr>
            </w:pPr>
            <w:r>
              <w:rPr>
                <w:rFonts w:hint="eastAsia" w:ascii="宋体" w:hAnsi="宋体" w:eastAsia="宋体" w:cs="宋体"/>
                <w:b/>
                <w:bCs/>
                <w:kern w:val="0"/>
                <w:sz w:val="21"/>
                <w:szCs w:val="21"/>
              </w:rPr>
              <w:t>附件1：</w:t>
            </w:r>
          </w:p>
        </w:tc>
        <w:tc>
          <w:tcPr>
            <w:tcW w:w="847" w:type="dxa"/>
            <w:tcBorders>
              <w:top w:val="nil"/>
              <w:left w:val="nil"/>
              <w:bottom w:val="nil"/>
              <w:right w:val="nil"/>
            </w:tcBorders>
            <w:noWrap w:val="0"/>
            <w:vAlign w:val="center"/>
          </w:tcPr>
          <w:p w14:paraId="07C08866">
            <w:pPr>
              <w:widowControl/>
              <w:spacing w:line="240" w:lineRule="exact"/>
              <w:ind w:firstLine="0" w:firstLineChars="0"/>
              <w:jc w:val="center"/>
              <w:rPr>
                <w:rFonts w:hint="eastAsia" w:ascii="宋体" w:hAnsi="宋体" w:eastAsia="宋体" w:cs="宋体"/>
                <w:b/>
                <w:bCs/>
                <w:sz w:val="21"/>
                <w:szCs w:val="21"/>
              </w:rPr>
            </w:pPr>
          </w:p>
        </w:tc>
        <w:tc>
          <w:tcPr>
            <w:tcW w:w="609" w:type="dxa"/>
            <w:tcBorders>
              <w:top w:val="nil"/>
              <w:left w:val="nil"/>
              <w:bottom w:val="nil"/>
              <w:right w:val="nil"/>
            </w:tcBorders>
            <w:noWrap w:val="0"/>
            <w:vAlign w:val="center"/>
          </w:tcPr>
          <w:p w14:paraId="5BE9FE03">
            <w:pPr>
              <w:widowControl/>
              <w:spacing w:line="240" w:lineRule="exact"/>
              <w:ind w:firstLine="0" w:firstLineChars="0"/>
              <w:jc w:val="center"/>
              <w:rPr>
                <w:rFonts w:hint="eastAsia" w:ascii="宋体" w:hAnsi="宋体" w:eastAsia="宋体" w:cs="宋体"/>
                <w:b/>
                <w:bCs/>
                <w:sz w:val="21"/>
                <w:szCs w:val="21"/>
              </w:rPr>
            </w:pPr>
          </w:p>
        </w:tc>
        <w:tc>
          <w:tcPr>
            <w:tcW w:w="1243" w:type="dxa"/>
            <w:tcBorders>
              <w:top w:val="nil"/>
              <w:left w:val="nil"/>
              <w:bottom w:val="nil"/>
              <w:right w:val="nil"/>
            </w:tcBorders>
            <w:noWrap w:val="0"/>
            <w:vAlign w:val="center"/>
          </w:tcPr>
          <w:p w14:paraId="79943F13">
            <w:pPr>
              <w:widowControl/>
              <w:spacing w:line="240" w:lineRule="exact"/>
              <w:ind w:firstLine="0" w:firstLineChars="0"/>
              <w:jc w:val="center"/>
              <w:rPr>
                <w:rFonts w:hint="eastAsia" w:ascii="宋体" w:hAnsi="宋体" w:eastAsia="宋体" w:cs="宋体"/>
                <w:b/>
                <w:bCs/>
                <w:sz w:val="21"/>
                <w:szCs w:val="21"/>
              </w:rPr>
            </w:pPr>
          </w:p>
        </w:tc>
        <w:tc>
          <w:tcPr>
            <w:tcW w:w="609" w:type="dxa"/>
            <w:tcBorders>
              <w:top w:val="nil"/>
              <w:left w:val="nil"/>
              <w:bottom w:val="nil"/>
              <w:right w:val="nil"/>
            </w:tcBorders>
            <w:noWrap w:val="0"/>
            <w:vAlign w:val="center"/>
          </w:tcPr>
          <w:p w14:paraId="1EEE0FAF">
            <w:pPr>
              <w:widowControl/>
              <w:spacing w:line="240" w:lineRule="exact"/>
              <w:ind w:firstLine="0" w:firstLineChars="0"/>
              <w:jc w:val="center"/>
              <w:rPr>
                <w:rFonts w:hint="eastAsia" w:ascii="宋体" w:hAnsi="宋体" w:eastAsia="宋体" w:cs="宋体"/>
                <w:b/>
                <w:bCs/>
                <w:sz w:val="21"/>
                <w:szCs w:val="21"/>
              </w:rPr>
            </w:pPr>
          </w:p>
        </w:tc>
        <w:tc>
          <w:tcPr>
            <w:tcW w:w="2454" w:type="dxa"/>
            <w:tcBorders>
              <w:top w:val="nil"/>
              <w:left w:val="nil"/>
              <w:bottom w:val="nil"/>
              <w:right w:val="nil"/>
            </w:tcBorders>
            <w:noWrap w:val="0"/>
            <w:vAlign w:val="center"/>
          </w:tcPr>
          <w:p w14:paraId="4C3C863D">
            <w:pPr>
              <w:widowControl/>
              <w:spacing w:line="240" w:lineRule="exact"/>
              <w:ind w:firstLine="0" w:firstLineChars="0"/>
              <w:jc w:val="center"/>
              <w:rPr>
                <w:rFonts w:hint="eastAsia" w:ascii="宋体" w:hAnsi="宋体" w:eastAsia="宋体" w:cs="宋体"/>
                <w:b/>
                <w:bCs/>
                <w:sz w:val="21"/>
                <w:szCs w:val="21"/>
              </w:rPr>
            </w:pPr>
          </w:p>
        </w:tc>
        <w:tc>
          <w:tcPr>
            <w:tcW w:w="1206" w:type="dxa"/>
            <w:tcBorders>
              <w:top w:val="nil"/>
              <w:left w:val="nil"/>
              <w:bottom w:val="nil"/>
              <w:right w:val="nil"/>
            </w:tcBorders>
            <w:noWrap w:val="0"/>
            <w:vAlign w:val="center"/>
          </w:tcPr>
          <w:p w14:paraId="178717D1">
            <w:pPr>
              <w:widowControl/>
              <w:spacing w:line="240" w:lineRule="exact"/>
              <w:ind w:firstLine="0" w:firstLineChars="0"/>
              <w:jc w:val="center"/>
              <w:rPr>
                <w:rFonts w:hint="eastAsia" w:ascii="宋体" w:hAnsi="宋体" w:eastAsia="宋体" w:cs="宋体"/>
                <w:b/>
                <w:bCs/>
                <w:sz w:val="21"/>
                <w:szCs w:val="21"/>
              </w:rPr>
            </w:pPr>
          </w:p>
        </w:tc>
        <w:tc>
          <w:tcPr>
            <w:tcW w:w="4069" w:type="dxa"/>
            <w:tcBorders>
              <w:top w:val="nil"/>
              <w:left w:val="nil"/>
              <w:bottom w:val="nil"/>
              <w:right w:val="nil"/>
            </w:tcBorders>
            <w:noWrap w:val="0"/>
            <w:vAlign w:val="center"/>
          </w:tcPr>
          <w:p w14:paraId="16FC6679">
            <w:pPr>
              <w:widowControl/>
              <w:spacing w:line="240" w:lineRule="exact"/>
              <w:ind w:firstLine="0" w:firstLineChars="0"/>
              <w:jc w:val="center"/>
              <w:rPr>
                <w:rFonts w:hint="eastAsia" w:ascii="宋体" w:hAnsi="宋体" w:eastAsia="宋体" w:cs="宋体"/>
                <w:b/>
                <w:bCs/>
                <w:sz w:val="21"/>
                <w:szCs w:val="21"/>
              </w:rPr>
            </w:pPr>
          </w:p>
        </w:tc>
        <w:tc>
          <w:tcPr>
            <w:tcW w:w="888" w:type="dxa"/>
            <w:tcBorders>
              <w:top w:val="nil"/>
              <w:left w:val="nil"/>
              <w:bottom w:val="nil"/>
              <w:right w:val="nil"/>
            </w:tcBorders>
            <w:noWrap w:val="0"/>
            <w:vAlign w:val="center"/>
          </w:tcPr>
          <w:p w14:paraId="17C0A933">
            <w:pPr>
              <w:widowControl/>
              <w:spacing w:line="240" w:lineRule="exact"/>
              <w:ind w:firstLine="0" w:firstLineChars="0"/>
              <w:jc w:val="center"/>
              <w:rPr>
                <w:rFonts w:hint="eastAsia" w:ascii="宋体" w:hAnsi="宋体" w:eastAsia="宋体" w:cs="宋体"/>
                <w:b/>
                <w:bCs/>
                <w:sz w:val="21"/>
                <w:szCs w:val="21"/>
              </w:rPr>
            </w:pPr>
          </w:p>
        </w:tc>
        <w:tc>
          <w:tcPr>
            <w:tcW w:w="850" w:type="dxa"/>
            <w:tcBorders>
              <w:top w:val="nil"/>
              <w:left w:val="nil"/>
              <w:bottom w:val="nil"/>
              <w:right w:val="nil"/>
            </w:tcBorders>
            <w:noWrap w:val="0"/>
            <w:vAlign w:val="center"/>
          </w:tcPr>
          <w:p w14:paraId="26BDFBD8">
            <w:pPr>
              <w:widowControl/>
              <w:spacing w:line="240" w:lineRule="exact"/>
              <w:ind w:firstLine="0" w:firstLineChars="0"/>
              <w:jc w:val="center"/>
              <w:rPr>
                <w:rFonts w:hint="eastAsia" w:ascii="宋体" w:hAnsi="宋体" w:eastAsia="宋体" w:cs="宋体"/>
                <w:b/>
                <w:bCs/>
                <w:sz w:val="21"/>
                <w:szCs w:val="21"/>
              </w:rPr>
            </w:pPr>
          </w:p>
        </w:tc>
      </w:tr>
      <w:tr w14:paraId="1F151E58">
        <w:tblPrEx>
          <w:tblCellMar>
            <w:top w:w="0" w:type="dxa"/>
            <w:left w:w="108" w:type="dxa"/>
            <w:bottom w:w="0" w:type="dxa"/>
            <w:right w:w="108" w:type="dxa"/>
          </w:tblCellMar>
        </w:tblPrEx>
        <w:trPr>
          <w:trHeight w:val="775" w:hRule="atLeast"/>
        </w:trPr>
        <w:tc>
          <w:tcPr>
            <w:tcW w:w="14232" w:type="dxa"/>
            <w:gridSpan w:val="11"/>
            <w:tcBorders>
              <w:top w:val="nil"/>
              <w:left w:val="nil"/>
              <w:bottom w:val="nil"/>
              <w:right w:val="nil"/>
            </w:tcBorders>
            <w:noWrap w:val="0"/>
            <w:vAlign w:val="center"/>
          </w:tcPr>
          <w:p w14:paraId="55721AA2">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2024年城乡义务教育补助经费绩效评价指标体系综合评分表</w:t>
            </w:r>
          </w:p>
        </w:tc>
      </w:tr>
      <w:tr w14:paraId="26840F48">
        <w:tblPrEx>
          <w:tblCellMar>
            <w:top w:w="0" w:type="dxa"/>
            <w:left w:w="108" w:type="dxa"/>
            <w:bottom w:w="0" w:type="dxa"/>
            <w:right w:w="108" w:type="dxa"/>
          </w:tblCellMar>
        </w:tblPrEx>
        <w:trPr>
          <w:trHeight w:val="625" w:hRule="atLeast"/>
        </w:trPr>
        <w:tc>
          <w:tcPr>
            <w:tcW w:w="779" w:type="dxa"/>
            <w:tcBorders>
              <w:top w:val="single" w:color="auto" w:sz="4" w:space="0"/>
              <w:left w:val="single" w:color="auto" w:sz="4" w:space="0"/>
              <w:bottom w:val="single" w:color="auto" w:sz="4" w:space="0"/>
              <w:right w:val="single" w:color="auto" w:sz="4" w:space="0"/>
            </w:tcBorders>
            <w:noWrap w:val="0"/>
            <w:vAlign w:val="center"/>
          </w:tcPr>
          <w:p w14:paraId="3C2AEE00">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一级指标</w:t>
            </w:r>
          </w:p>
        </w:tc>
        <w:tc>
          <w:tcPr>
            <w:tcW w:w="678" w:type="dxa"/>
            <w:tcBorders>
              <w:top w:val="single" w:color="auto" w:sz="4" w:space="0"/>
              <w:left w:val="single" w:color="auto" w:sz="4" w:space="0"/>
              <w:bottom w:val="single" w:color="auto" w:sz="4" w:space="0"/>
              <w:right w:val="single" w:color="auto" w:sz="4" w:space="0"/>
            </w:tcBorders>
            <w:noWrap w:val="0"/>
            <w:vAlign w:val="center"/>
          </w:tcPr>
          <w:p w14:paraId="7E18668F">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分值</w:t>
            </w:r>
          </w:p>
        </w:tc>
        <w:tc>
          <w:tcPr>
            <w:tcW w:w="847" w:type="dxa"/>
            <w:tcBorders>
              <w:top w:val="single" w:color="auto" w:sz="4" w:space="0"/>
              <w:left w:val="single" w:color="auto" w:sz="4" w:space="0"/>
              <w:bottom w:val="single" w:color="auto" w:sz="4" w:space="0"/>
              <w:right w:val="single" w:color="auto" w:sz="4" w:space="0"/>
            </w:tcBorders>
            <w:noWrap w:val="0"/>
            <w:vAlign w:val="center"/>
          </w:tcPr>
          <w:p w14:paraId="1C02FBCD">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二级指标</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2A3CD6D8">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分值</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42354D4B">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三级指标</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1FB710A3">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分值</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7355D0DA">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指标解释</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5D62C606">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标杆值</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1B500F28">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评分标准</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6C91AAD9">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完成值</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B4F64DF">
            <w:pPr>
              <w:widowControl/>
              <w:spacing w:line="240" w:lineRule="exact"/>
              <w:ind w:firstLine="0" w:firstLineChars="0"/>
              <w:jc w:val="center"/>
              <w:textAlignment w:val="center"/>
              <w:rPr>
                <w:rFonts w:hint="eastAsia" w:ascii="宋体" w:hAnsi="宋体" w:eastAsia="宋体" w:cs="宋体"/>
                <w:b/>
                <w:bCs/>
                <w:sz w:val="21"/>
                <w:szCs w:val="21"/>
              </w:rPr>
            </w:pPr>
            <w:r>
              <w:rPr>
                <w:rFonts w:hint="eastAsia" w:ascii="宋体" w:hAnsi="宋体" w:eastAsia="宋体" w:cs="宋体"/>
                <w:b/>
                <w:bCs/>
                <w:kern w:val="0"/>
                <w:sz w:val="21"/>
                <w:szCs w:val="21"/>
              </w:rPr>
              <w:t>得分</w:t>
            </w:r>
          </w:p>
        </w:tc>
      </w:tr>
      <w:tr w14:paraId="544A6618">
        <w:tblPrEx>
          <w:tblCellMar>
            <w:top w:w="0" w:type="dxa"/>
            <w:left w:w="108" w:type="dxa"/>
            <w:bottom w:w="0" w:type="dxa"/>
            <w:right w:w="108" w:type="dxa"/>
          </w:tblCellMar>
        </w:tblPrEx>
        <w:trPr>
          <w:trHeight w:val="90" w:hRule="atLeast"/>
        </w:trPr>
        <w:tc>
          <w:tcPr>
            <w:tcW w:w="779" w:type="dxa"/>
            <w:vMerge w:val="restart"/>
            <w:tcBorders>
              <w:top w:val="single" w:color="auto" w:sz="4" w:space="0"/>
              <w:left w:val="single" w:color="auto" w:sz="4" w:space="0"/>
              <w:bottom w:val="single" w:color="auto" w:sz="4" w:space="0"/>
              <w:right w:val="single" w:color="auto" w:sz="4" w:space="0"/>
            </w:tcBorders>
            <w:noWrap w:val="0"/>
            <w:vAlign w:val="center"/>
          </w:tcPr>
          <w:p w14:paraId="345932F8">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项目决策</w:t>
            </w:r>
          </w:p>
        </w:tc>
        <w:tc>
          <w:tcPr>
            <w:tcW w:w="678" w:type="dxa"/>
            <w:vMerge w:val="restart"/>
            <w:tcBorders>
              <w:top w:val="single" w:color="auto" w:sz="4" w:space="0"/>
              <w:left w:val="single" w:color="auto" w:sz="4" w:space="0"/>
              <w:bottom w:val="single" w:color="auto" w:sz="4" w:space="0"/>
              <w:right w:val="single" w:color="auto" w:sz="4" w:space="0"/>
            </w:tcBorders>
            <w:noWrap w:val="0"/>
            <w:vAlign w:val="center"/>
          </w:tcPr>
          <w:p w14:paraId="67F706E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23</w:t>
            </w: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5C104EE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项目立项</w:t>
            </w:r>
          </w:p>
        </w:tc>
        <w:tc>
          <w:tcPr>
            <w:tcW w:w="609" w:type="dxa"/>
            <w:vMerge w:val="restart"/>
            <w:tcBorders>
              <w:top w:val="single" w:color="auto" w:sz="4" w:space="0"/>
              <w:left w:val="single" w:color="auto" w:sz="4" w:space="0"/>
              <w:bottom w:val="single" w:color="auto" w:sz="4" w:space="0"/>
              <w:right w:val="single" w:color="auto" w:sz="4" w:space="0"/>
            </w:tcBorders>
            <w:noWrap w:val="0"/>
            <w:vAlign w:val="center"/>
          </w:tcPr>
          <w:p w14:paraId="7D31377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2BB5FA3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立项依据充分性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76F3942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3C5027F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项目立项是否符合法律法规、相关政策、发展规划以及部门职责，用以反映和考核项目立项依据情况。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14E9802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充分</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27D3E6F4">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①项目立项是否符合国家法律法规、国民经济发展规划和相关政策；</w:t>
            </w:r>
          </w:p>
          <w:p w14:paraId="6850964C">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②项目立项是否符合行业发展规划和政策要求；</w:t>
            </w:r>
          </w:p>
          <w:p w14:paraId="2278FC8F">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③项目立项是否与部门职责范围相符，</w:t>
            </w:r>
            <w:r>
              <w:rPr>
                <w:rFonts w:hint="eastAsia" w:ascii="宋体" w:hAnsi="宋体" w:eastAsia="宋体" w:cs="宋体"/>
                <w:kern w:val="0"/>
                <w:sz w:val="21"/>
                <w:szCs w:val="21"/>
                <w:lang w:eastAsia="zh-CN"/>
              </w:rPr>
              <w:t>属于部门</w:t>
            </w:r>
            <w:r>
              <w:rPr>
                <w:rFonts w:hint="eastAsia" w:ascii="宋体" w:hAnsi="宋体" w:eastAsia="宋体" w:cs="宋体"/>
                <w:kern w:val="0"/>
                <w:sz w:val="21"/>
                <w:szCs w:val="21"/>
              </w:rPr>
              <w:t>履职所需；</w:t>
            </w:r>
          </w:p>
          <w:p w14:paraId="422D34DE">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④项目是否属于公共财政支持范围，是否符合中央、地方事权支出责任划分原则；</w:t>
            </w:r>
          </w:p>
          <w:p w14:paraId="1139705E">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⑤项目是否与相关部门同类项目或部门内部相关项目重复。</w:t>
            </w:r>
          </w:p>
          <w:p w14:paraId="25E7A7C6">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以上每条要素占权重分的20%，每有一条不符合，扣除对应权重分，扣完为止。</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483479AC">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充分</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62C5CBC">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w:t>
            </w:r>
          </w:p>
        </w:tc>
      </w:tr>
      <w:tr w14:paraId="2C41A3DE">
        <w:tblPrEx>
          <w:tblCellMar>
            <w:top w:w="0" w:type="dxa"/>
            <w:left w:w="108" w:type="dxa"/>
            <w:bottom w:w="0" w:type="dxa"/>
            <w:right w:w="108" w:type="dxa"/>
          </w:tblCellMar>
        </w:tblPrEx>
        <w:trPr>
          <w:trHeight w:val="55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321727FD">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0EB3DF60">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5468E1F8">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1CFC102D">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78A2A5BD">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立项程序规范性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007273A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3789F6A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项目申请、设立过程是否符合相关要求，用以反映和考核项目立项的规范情况。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366469F7">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规范</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39700568">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①项目是否按照规定的程序申请设立；</w:t>
            </w:r>
          </w:p>
          <w:p w14:paraId="1D52AE3A">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②审批文件、材料是否符合相关要求；</w:t>
            </w:r>
          </w:p>
          <w:p w14:paraId="4BFC5E07">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③事前是否已经过必要的可行性研究、专家论证、风险评估、绩效评估、集体决策。</w:t>
            </w:r>
          </w:p>
          <w:p w14:paraId="649B2BA8">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①②③齐全得权重分的100%，缺①扣权重分的40%，缺②扣权重分的30%，缺③扣权重分的30%。</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2A997B5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规范</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234284D">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r>
      <w:tr w14:paraId="48553759">
        <w:tblPrEx>
          <w:tblCellMar>
            <w:top w:w="0" w:type="dxa"/>
            <w:left w:w="108" w:type="dxa"/>
            <w:bottom w:w="0" w:type="dxa"/>
            <w:right w:w="108" w:type="dxa"/>
          </w:tblCellMar>
        </w:tblPrEx>
        <w:trPr>
          <w:trHeight w:val="2235"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1E17A3F4">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5321587B">
            <w:pPr>
              <w:widowControl/>
              <w:spacing w:line="240" w:lineRule="exact"/>
              <w:ind w:firstLine="0" w:firstLineChars="0"/>
              <w:jc w:val="center"/>
              <w:rPr>
                <w:rFonts w:hint="eastAsia" w:ascii="宋体" w:hAnsi="宋体" w:eastAsia="宋体" w:cs="宋体"/>
                <w:sz w:val="21"/>
                <w:szCs w:val="21"/>
              </w:rPr>
            </w:pP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4A5F688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绩效目标</w:t>
            </w:r>
          </w:p>
        </w:tc>
        <w:tc>
          <w:tcPr>
            <w:tcW w:w="609" w:type="dxa"/>
            <w:vMerge w:val="restart"/>
            <w:tcBorders>
              <w:top w:val="single" w:color="auto" w:sz="4" w:space="0"/>
              <w:left w:val="single" w:color="auto" w:sz="4" w:space="0"/>
              <w:bottom w:val="single" w:color="auto" w:sz="4" w:space="0"/>
              <w:right w:val="single" w:color="auto" w:sz="4" w:space="0"/>
            </w:tcBorders>
            <w:noWrap w:val="0"/>
            <w:vAlign w:val="center"/>
          </w:tcPr>
          <w:p w14:paraId="3C45A79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0E0F951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绩效目标合理性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7859344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6145B5B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项目所设定的绩效目标是否依据充分，是否符合客观实际，用以反映和考核项目绩效目标与项目实施的相符情况。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44A1400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49E6FD4C">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①项目是否有绩效目标；</w:t>
            </w:r>
          </w:p>
          <w:p w14:paraId="489C6D16">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②项目绩效目标与实际工作内容是否具有相关性；</w:t>
            </w:r>
          </w:p>
          <w:p w14:paraId="25C9EDF4">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③项目预期产出效益和效果是否符合正常的业绩水平；</w:t>
            </w:r>
          </w:p>
          <w:p w14:paraId="4991E699">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④是否与预算确定的项目投资额或资金量相匹配。</w:t>
            </w:r>
          </w:p>
          <w:p w14:paraId="1C0B9887">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以上每条要素各占权重的25%，每有一条不符合，扣除对应的权重分，扣完为止。</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4FAFEE0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A7A0E0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r>
      <w:tr w14:paraId="0AB021D7">
        <w:tblPrEx>
          <w:tblCellMar>
            <w:top w:w="0" w:type="dxa"/>
            <w:left w:w="108" w:type="dxa"/>
            <w:bottom w:w="0" w:type="dxa"/>
            <w:right w:w="108" w:type="dxa"/>
          </w:tblCellMar>
        </w:tblPrEx>
        <w:trPr>
          <w:trHeight w:val="151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2A8CDDDF">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65E6B5F8">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49A30C21">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5C22C1A1">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54557CC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绩效指标明确性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2368DAF0">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0D2467B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依据绩效目标设定的绩效指标是否清晰、细化、可衡量等，用以反映和考核项目绩效目标的明细化情况。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10B39D6C">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明确</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0826E6BD">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①是否将项目绩效目标细化分解为具体的绩效指标；</w:t>
            </w:r>
          </w:p>
          <w:p w14:paraId="50F524D9">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②是否通过清晰、可衡量的指标值予以体现；</w:t>
            </w:r>
          </w:p>
          <w:p w14:paraId="5DDC1EE4">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③是否与项目目标任务数或计划数相对应。</w:t>
            </w:r>
          </w:p>
          <w:p w14:paraId="7787459D">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①②③齐全得权重分的100%，缺①扣权重分的20%，缺②扣权重分的50%，缺③扣权重分的30%。</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3390E3D5">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明确</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7A10055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5</w:t>
            </w:r>
          </w:p>
        </w:tc>
      </w:tr>
      <w:tr w14:paraId="2BF711B1">
        <w:tblPrEx>
          <w:tblCellMar>
            <w:top w:w="0" w:type="dxa"/>
            <w:left w:w="108" w:type="dxa"/>
            <w:bottom w:w="0" w:type="dxa"/>
            <w:right w:w="108" w:type="dxa"/>
          </w:tblCellMar>
        </w:tblPrEx>
        <w:trPr>
          <w:trHeight w:val="120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7B7328D7">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59F23A5B">
            <w:pPr>
              <w:widowControl/>
              <w:spacing w:line="240" w:lineRule="exact"/>
              <w:ind w:firstLine="0" w:firstLineChars="0"/>
              <w:jc w:val="center"/>
              <w:rPr>
                <w:rFonts w:hint="eastAsia" w:ascii="宋体" w:hAnsi="宋体" w:eastAsia="宋体" w:cs="宋体"/>
                <w:sz w:val="21"/>
                <w:szCs w:val="21"/>
              </w:rPr>
            </w:pP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2D79D84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资金投入</w:t>
            </w:r>
          </w:p>
        </w:tc>
        <w:tc>
          <w:tcPr>
            <w:tcW w:w="609" w:type="dxa"/>
            <w:vMerge w:val="restart"/>
            <w:tcBorders>
              <w:top w:val="single" w:color="auto" w:sz="4" w:space="0"/>
              <w:left w:val="single" w:color="auto" w:sz="4" w:space="0"/>
              <w:bottom w:val="single" w:color="auto" w:sz="4" w:space="0"/>
              <w:right w:val="single" w:color="auto" w:sz="4" w:space="0"/>
            </w:tcBorders>
            <w:noWrap w:val="0"/>
            <w:vAlign w:val="center"/>
          </w:tcPr>
          <w:p w14:paraId="56559C3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8</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0033068B">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预算编制科学性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03695A17">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4959529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项目预算编制是否经过科学论证、有明确标准，资金额度与年度目标是否相适应，用以反映和考核项目预算编制的科学性、合理性情况。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50306FD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科学</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6A8C5D59">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①预算编制是否经过科学论证；</w:t>
            </w:r>
          </w:p>
          <w:p w14:paraId="7294C6C9">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②预算内容与项目内容是否匹配；</w:t>
            </w:r>
          </w:p>
          <w:p w14:paraId="2E5C83D5">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③预算额度测算依据是否充分，是否按照标准编制；</w:t>
            </w:r>
          </w:p>
          <w:p w14:paraId="50A077F5">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④预算确定的项目投资额或资金量是否与工作任务相匹配。</w:t>
            </w:r>
          </w:p>
          <w:p w14:paraId="59A1E3AD">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以上每条要素各占权重的25%，每有一条不符合，扣除对应的权重分，扣完为止。</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5005EE7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科学</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950F047">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w:t>
            </w:r>
          </w:p>
        </w:tc>
      </w:tr>
      <w:tr w14:paraId="45007A54">
        <w:tblPrEx>
          <w:tblCellMar>
            <w:top w:w="0" w:type="dxa"/>
            <w:left w:w="108" w:type="dxa"/>
            <w:bottom w:w="0" w:type="dxa"/>
            <w:right w:w="108" w:type="dxa"/>
          </w:tblCellMar>
        </w:tblPrEx>
        <w:trPr>
          <w:trHeight w:val="1495"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58E8FFFD">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6299D9A3">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162EDCDF">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5A23E037">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3DF9542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资金分配合理性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2CA9E83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0380CC20">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项目预算资金分配是否有测算依据，与补助单位或地方实际是否相适应，用以反映和考核项目预算资金分配的科学性、合理性情况。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4E03398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12D6CB69">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①预算资金分配依据是否充分；</w:t>
            </w:r>
          </w:p>
          <w:p w14:paraId="5742CF58">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②资金分配额度是否合理，与项目单位或地方实际是否相适应。</w:t>
            </w:r>
          </w:p>
          <w:p w14:paraId="7CD724A8">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以上每条要素各占权重的50%，每有一条不符合，扣除对应的权重分，扣完为止。</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509657B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合理</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211E8AD">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w:t>
            </w:r>
          </w:p>
        </w:tc>
      </w:tr>
      <w:tr w14:paraId="0D26EE96">
        <w:tblPrEx>
          <w:tblCellMar>
            <w:top w:w="0" w:type="dxa"/>
            <w:left w:w="108" w:type="dxa"/>
            <w:bottom w:w="0" w:type="dxa"/>
            <w:right w:w="108" w:type="dxa"/>
          </w:tblCellMar>
        </w:tblPrEx>
        <w:trPr>
          <w:trHeight w:val="1370" w:hRule="atLeast"/>
        </w:trPr>
        <w:tc>
          <w:tcPr>
            <w:tcW w:w="779" w:type="dxa"/>
            <w:vMerge w:val="restart"/>
            <w:tcBorders>
              <w:top w:val="single" w:color="auto" w:sz="4" w:space="0"/>
              <w:left w:val="single" w:color="auto" w:sz="4" w:space="0"/>
              <w:bottom w:val="single" w:color="auto" w:sz="4" w:space="0"/>
              <w:right w:val="single" w:color="auto" w:sz="4" w:space="0"/>
            </w:tcBorders>
            <w:noWrap w:val="0"/>
            <w:vAlign w:val="center"/>
          </w:tcPr>
          <w:p w14:paraId="13A209C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项目过程</w:t>
            </w:r>
          </w:p>
        </w:tc>
        <w:tc>
          <w:tcPr>
            <w:tcW w:w="678" w:type="dxa"/>
            <w:vMerge w:val="restart"/>
            <w:tcBorders>
              <w:top w:val="single" w:color="auto" w:sz="4" w:space="0"/>
              <w:left w:val="single" w:color="auto" w:sz="4" w:space="0"/>
              <w:bottom w:val="single" w:color="auto" w:sz="4" w:space="0"/>
              <w:right w:val="single" w:color="auto" w:sz="4" w:space="0"/>
            </w:tcBorders>
            <w:noWrap w:val="0"/>
            <w:vAlign w:val="center"/>
          </w:tcPr>
          <w:p w14:paraId="760CE05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12</w:t>
            </w: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292D29C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资金管理</w:t>
            </w:r>
          </w:p>
        </w:tc>
        <w:tc>
          <w:tcPr>
            <w:tcW w:w="609" w:type="dxa"/>
            <w:vMerge w:val="restart"/>
            <w:tcBorders>
              <w:top w:val="single" w:color="auto" w:sz="4" w:space="0"/>
              <w:left w:val="single" w:color="auto" w:sz="4" w:space="0"/>
              <w:bottom w:val="single" w:color="auto" w:sz="4" w:space="0"/>
              <w:right w:val="single" w:color="auto" w:sz="4" w:space="0"/>
            </w:tcBorders>
            <w:noWrap w:val="0"/>
            <w:vAlign w:val="center"/>
          </w:tcPr>
          <w:p w14:paraId="341A12E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081FB198">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资金到位率</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0A21E1A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33D28A17">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实际到位资金与预算资金的比率，用以反映和考核资金落实情况对项目实施的总体保障程度。</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2872FB5B">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06197C33">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资金到位率=（实际到位资金/预算资金）×100%。</w:t>
            </w:r>
          </w:p>
          <w:p w14:paraId="2F23DF77">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资金到位率=100%，得权重分满分，每降低1%，扣除5%权重分，扣完为止。</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03004C9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33154A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w:t>
            </w:r>
          </w:p>
        </w:tc>
      </w:tr>
      <w:tr w14:paraId="3CC3FE4E">
        <w:tblPrEx>
          <w:tblCellMar>
            <w:top w:w="0" w:type="dxa"/>
            <w:left w:w="108" w:type="dxa"/>
            <w:bottom w:w="0" w:type="dxa"/>
            <w:right w:w="108" w:type="dxa"/>
          </w:tblCellMar>
        </w:tblPrEx>
        <w:trPr>
          <w:trHeight w:val="126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0577484D">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37930BDD">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7305C966">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73505DC4">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05C56B6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预算执行率</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13C207DC">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74EFA2DB">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项目预算资金是否按照计划执行，用以反映或考核项目预算执行情况。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0B0A392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4E6CF1DA">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预算执行率=（实际支出资金/实际到位资金）×100%。</w:t>
            </w:r>
          </w:p>
          <w:p w14:paraId="7BA2571F">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预算执行率=100%，得权重分满分；若预算执行率＜100%，得分=预算执行率*分值；若执行率≤60%，则不得分。</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57087B71">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100%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585B47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2</w:t>
            </w:r>
          </w:p>
        </w:tc>
      </w:tr>
      <w:tr w14:paraId="515BD4C0">
        <w:tblPrEx>
          <w:tblCellMar>
            <w:top w:w="0" w:type="dxa"/>
            <w:left w:w="108" w:type="dxa"/>
            <w:bottom w:w="0" w:type="dxa"/>
            <w:right w:w="108" w:type="dxa"/>
          </w:tblCellMar>
        </w:tblPrEx>
        <w:trPr>
          <w:trHeight w:val="275"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2779C737">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5BB08D36">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7B32F369">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5165FCB4">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5FA4400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资金使用合规性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6156AF6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64B2D238">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项目资金使用是否符合相关的财务管理制度规定，用以反映和考核项目资金的规范运行情况。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7B3C5D08">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合规</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7E0CEB14">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①否符合国家财经法规和财务管理制度以及有关专项资金管理办法的规定；</w:t>
            </w:r>
          </w:p>
          <w:p w14:paraId="591F42A5">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②资金的拨付是否有完整的审批程序和手续；</w:t>
            </w:r>
          </w:p>
          <w:p w14:paraId="0853B039">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③是否符合项目预算批复或合同规定的用途；</w:t>
            </w:r>
          </w:p>
          <w:p w14:paraId="0F3FF61D">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④是否存在截留、挤占、挪用、虚列支出等情况。</w:t>
            </w:r>
          </w:p>
          <w:p w14:paraId="5E506546">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以上每条指标各占权重分的25%，要素①②不符合，扣除对应权重分；要素③④不符合属于重大违纪，该指标不得分。</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066ED3A8">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合规</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38A361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r>
      <w:tr w14:paraId="74526744">
        <w:tblPrEx>
          <w:tblCellMar>
            <w:top w:w="0" w:type="dxa"/>
            <w:left w:w="108" w:type="dxa"/>
            <w:bottom w:w="0" w:type="dxa"/>
            <w:right w:w="108" w:type="dxa"/>
          </w:tblCellMar>
        </w:tblPrEx>
        <w:trPr>
          <w:trHeight w:val="178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07360823">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2B50EB07">
            <w:pPr>
              <w:widowControl/>
              <w:spacing w:line="240" w:lineRule="exact"/>
              <w:ind w:firstLine="0" w:firstLineChars="0"/>
              <w:jc w:val="center"/>
              <w:rPr>
                <w:rFonts w:hint="eastAsia" w:ascii="宋体" w:hAnsi="宋体" w:eastAsia="宋体" w:cs="宋体"/>
                <w:sz w:val="21"/>
                <w:szCs w:val="21"/>
              </w:rPr>
            </w:pP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0AE7CDD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组织实施</w:t>
            </w:r>
          </w:p>
        </w:tc>
        <w:tc>
          <w:tcPr>
            <w:tcW w:w="609" w:type="dxa"/>
            <w:vMerge w:val="restart"/>
            <w:tcBorders>
              <w:top w:val="single" w:color="auto" w:sz="4" w:space="0"/>
              <w:left w:val="single" w:color="auto" w:sz="4" w:space="0"/>
              <w:bottom w:val="single" w:color="auto" w:sz="4" w:space="0"/>
              <w:right w:val="single" w:color="auto" w:sz="4" w:space="0"/>
            </w:tcBorders>
            <w:noWrap w:val="0"/>
            <w:vAlign w:val="center"/>
          </w:tcPr>
          <w:p w14:paraId="315FDFB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6</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5EFAB78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管理制度健全性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513FF2A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37670AA0">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项目实施单位的财务和业务管理制度是否健全，用以反映和考核财务和业务管理制度对项目顺利实施的保障情况。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26B3B37B">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健全</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196A5F7A">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①是否已制定或具有相应的财务和业务管理制度；</w:t>
            </w:r>
          </w:p>
          <w:p w14:paraId="42E677CD">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②财务和业务管理制度是否合法、合规、完整。</w:t>
            </w:r>
          </w:p>
          <w:p w14:paraId="6BEC79EE">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以上每条要素各占权重的50%，每有一条不符合，扣除对应的权重分，扣完为止。</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33D5396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健全</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418CCF8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r>
      <w:tr w14:paraId="2568D8CD">
        <w:tblPrEx>
          <w:tblCellMar>
            <w:top w:w="0" w:type="dxa"/>
            <w:left w:w="108" w:type="dxa"/>
            <w:bottom w:w="0" w:type="dxa"/>
            <w:right w:w="108" w:type="dxa"/>
          </w:tblCellMar>
        </w:tblPrEx>
        <w:trPr>
          <w:trHeight w:val="134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7C9F692E">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5F43AF60">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78C38107">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0A6EA41C">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514ADB55">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制度执行有效性</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42DDB51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53CD0A0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项目实施是否符合相关管理规定，用以反映和考核相关管理制度的有效执行情况。</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5AB3F3A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有效</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69F4ADC4">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①否遵守相关法律法规和相关管理规定；</w:t>
            </w:r>
          </w:p>
          <w:p w14:paraId="5B3C0DDB">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②项目调整及支出调整手续是否完备；</w:t>
            </w:r>
          </w:p>
          <w:p w14:paraId="6E64F243">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③项目资料是否齐全并及时归档。</w:t>
            </w:r>
          </w:p>
          <w:p w14:paraId="5217AC4D">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①②③齐全得权重分的100%，缺①扣权重分的30%，缺②扣权重分的40%，缺③扣权重分的30%。</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3EA46F2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有效</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443D84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3</w:t>
            </w:r>
          </w:p>
        </w:tc>
      </w:tr>
      <w:tr w14:paraId="52D7DB62">
        <w:tblPrEx>
          <w:tblCellMar>
            <w:top w:w="0" w:type="dxa"/>
            <w:left w:w="108" w:type="dxa"/>
            <w:bottom w:w="0" w:type="dxa"/>
            <w:right w:w="108" w:type="dxa"/>
          </w:tblCellMar>
        </w:tblPrEx>
        <w:trPr>
          <w:trHeight w:val="310" w:hRule="atLeast"/>
        </w:trPr>
        <w:tc>
          <w:tcPr>
            <w:tcW w:w="779" w:type="dxa"/>
            <w:vMerge w:val="restart"/>
            <w:tcBorders>
              <w:top w:val="single" w:color="auto" w:sz="4" w:space="0"/>
              <w:left w:val="single" w:color="auto" w:sz="4" w:space="0"/>
              <w:bottom w:val="nil"/>
              <w:right w:val="single" w:color="auto" w:sz="4" w:space="0"/>
            </w:tcBorders>
            <w:noWrap w:val="0"/>
            <w:vAlign w:val="center"/>
          </w:tcPr>
          <w:p w14:paraId="72DC8675">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项目产出</w:t>
            </w:r>
          </w:p>
        </w:tc>
        <w:tc>
          <w:tcPr>
            <w:tcW w:w="678" w:type="dxa"/>
            <w:vMerge w:val="restart"/>
            <w:tcBorders>
              <w:top w:val="single" w:color="auto" w:sz="4" w:space="0"/>
              <w:left w:val="single" w:color="auto" w:sz="4" w:space="0"/>
              <w:bottom w:val="nil"/>
              <w:right w:val="single" w:color="auto" w:sz="4" w:space="0"/>
            </w:tcBorders>
            <w:noWrap w:val="0"/>
            <w:vAlign w:val="center"/>
          </w:tcPr>
          <w:p w14:paraId="2D6C1A8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40</w:t>
            </w:r>
          </w:p>
        </w:tc>
        <w:tc>
          <w:tcPr>
            <w:tcW w:w="847" w:type="dxa"/>
            <w:tcBorders>
              <w:top w:val="single" w:color="auto" w:sz="4" w:space="0"/>
              <w:left w:val="single" w:color="auto" w:sz="4" w:space="0"/>
              <w:bottom w:val="single" w:color="auto" w:sz="4" w:space="0"/>
              <w:right w:val="single" w:color="auto" w:sz="4" w:space="0"/>
            </w:tcBorders>
            <w:noWrap w:val="0"/>
            <w:vAlign w:val="center"/>
          </w:tcPr>
          <w:p w14:paraId="26BAFD6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产出数量</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719F8AAE">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68D7515F">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实际完成率</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56043FF7">
            <w:pPr>
              <w:widowControl/>
              <w:spacing w:line="240" w:lineRule="exact"/>
              <w:ind w:firstLine="0" w:firstLineChars="0"/>
              <w:jc w:val="center"/>
              <w:textAlignment w:val="center"/>
              <w:rPr>
                <w:rFonts w:ascii="宋体" w:hAnsi="宋体" w:eastAsia="宋体" w:cs="宋体"/>
                <w:sz w:val="21"/>
                <w:szCs w:val="21"/>
              </w:rPr>
            </w:pPr>
            <w:r>
              <w:rPr>
                <w:rFonts w:hint="eastAsia" w:ascii="宋体" w:hAnsi="宋体" w:eastAsia="宋体" w:cs="宋体"/>
                <w:kern w:val="0"/>
                <w:sz w:val="21"/>
                <w:szCs w:val="21"/>
              </w:rPr>
              <w:t>10</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207C1958">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受益学生数量</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08BB3FCD">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=837人</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2FEE85E4">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实际完成率=（实际完成/预期完成）×100%。</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①实际完成率≥100%，且偏离程度＜20%，得满分；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②实际完成率≥100%，偏离程度≥20%，得0分；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③实际完成率×100%＜100%，得分=实际完成率×指标分值。</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7259C2B4">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837人</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32DF6311">
            <w:pPr>
              <w:widowControl/>
              <w:spacing w:line="240" w:lineRule="exact"/>
              <w:ind w:firstLine="0" w:firstLineChars="0"/>
              <w:jc w:val="center"/>
              <w:textAlignment w:val="center"/>
              <w:rPr>
                <w:rFonts w:ascii="宋体" w:hAnsi="宋体" w:eastAsia="宋体" w:cs="宋体"/>
                <w:sz w:val="21"/>
                <w:szCs w:val="21"/>
              </w:rPr>
            </w:pPr>
            <w:r>
              <w:rPr>
                <w:rFonts w:hint="eastAsia" w:ascii="宋体" w:hAnsi="宋体" w:eastAsia="宋体" w:cs="宋体"/>
                <w:kern w:val="0"/>
                <w:sz w:val="21"/>
                <w:szCs w:val="21"/>
              </w:rPr>
              <w:t>10</w:t>
            </w:r>
          </w:p>
        </w:tc>
      </w:tr>
      <w:tr w14:paraId="383DE985">
        <w:tblPrEx>
          <w:tblCellMar>
            <w:top w:w="0" w:type="dxa"/>
            <w:left w:w="108" w:type="dxa"/>
            <w:bottom w:w="0" w:type="dxa"/>
            <w:right w:w="108" w:type="dxa"/>
          </w:tblCellMar>
        </w:tblPrEx>
        <w:trPr>
          <w:trHeight w:val="495" w:hRule="atLeast"/>
        </w:trPr>
        <w:tc>
          <w:tcPr>
            <w:tcW w:w="779" w:type="dxa"/>
            <w:vMerge w:val="continue"/>
            <w:tcBorders>
              <w:top w:val="single" w:color="auto" w:sz="4" w:space="0"/>
              <w:left w:val="single" w:color="auto" w:sz="4" w:space="0"/>
              <w:bottom w:val="nil"/>
              <w:right w:val="single" w:color="auto" w:sz="4" w:space="0"/>
            </w:tcBorders>
            <w:noWrap w:val="0"/>
            <w:vAlign w:val="center"/>
          </w:tcPr>
          <w:p w14:paraId="20399822">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nil"/>
              <w:right w:val="single" w:color="auto" w:sz="4" w:space="0"/>
            </w:tcBorders>
            <w:noWrap w:val="0"/>
            <w:vAlign w:val="center"/>
          </w:tcPr>
          <w:p w14:paraId="3B1C4BBE">
            <w:pPr>
              <w:widowControl/>
              <w:spacing w:line="240" w:lineRule="exact"/>
              <w:ind w:firstLine="0" w:firstLineChars="0"/>
              <w:jc w:val="center"/>
              <w:rPr>
                <w:rFonts w:hint="eastAsia" w:ascii="宋体" w:hAnsi="宋体" w:eastAsia="宋体" w:cs="宋体"/>
                <w:sz w:val="21"/>
                <w:szCs w:val="21"/>
              </w:rPr>
            </w:pPr>
          </w:p>
        </w:tc>
        <w:tc>
          <w:tcPr>
            <w:tcW w:w="847" w:type="dxa"/>
            <w:tcBorders>
              <w:top w:val="single" w:color="auto" w:sz="4" w:space="0"/>
              <w:left w:val="single" w:color="auto" w:sz="4" w:space="0"/>
              <w:right w:val="single" w:color="auto" w:sz="4" w:space="0"/>
            </w:tcBorders>
            <w:noWrap w:val="0"/>
            <w:vAlign w:val="center"/>
          </w:tcPr>
          <w:p w14:paraId="30859131">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产出质量</w:t>
            </w:r>
          </w:p>
        </w:tc>
        <w:tc>
          <w:tcPr>
            <w:tcW w:w="609" w:type="dxa"/>
            <w:tcBorders>
              <w:top w:val="single" w:color="auto" w:sz="4" w:space="0"/>
              <w:left w:val="single" w:color="auto" w:sz="4" w:space="0"/>
              <w:right w:val="single" w:color="auto" w:sz="4" w:space="0"/>
            </w:tcBorders>
            <w:noWrap w:val="0"/>
            <w:vAlign w:val="center"/>
          </w:tcPr>
          <w:p w14:paraId="7A84093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1243" w:type="dxa"/>
            <w:tcBorders>
              <w:top w:val="single" w:color="auto" w:sz="4" w:space="0"/>
              <w:left w:val="single" w:color="auto" w:sz="4" w:space="0"/>
              <w:right w:val="single" w:color="auto" w:sz="4" w:space="0"/>
            </w:tcBorders>
            <w:noWrap w:val="0"/>
            <w:vAlign w:val="center"/>
          </w:tcPr>
          <w:p w14:paraId="087FD2E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质量达标率</w:t>
            </w:r>
          </w:p>
        </w:tc>
        <w:tc>
          <w:tcPr>
            <w:tcW w:w="609" w:type="dxa"/>
            <w:tcBorders>
              <w:top w:val="single" w:color="auto" w:sz="4" w:space="0"/>
              <w:left w:val="single" w:color="auto" w:sz="4" w:space="0"/>
              <w:right w:val="single" w:color="auto" w:sz="4" w:space="0"/>
            </w:tcBorders>
            <w:noWrap w:val="0"/>
            <w:vAlign w:val="center"/>
          </w:tcPr>
          <w:p w14:paraId="511E00A0">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71A53340">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资金使用合规率</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65049F4F">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=100%</w:t>
            </w:r>
          </w:p>
        </w:tc>
        <w:tc>
          <w:tcPr>
            <w:tcW w:w="4069" w:type="dxa"/>
            <w:tcBorders>
              <w:top w:val="single" w:color="auto" w:sz="4" w:space="0"/>
              <w:left w:val="single" w:color="auto" w:sz="4" w:space="0"/>
              <w:right w:val="single" w:color="auto" w:sz="4" w:space="0"/>
            </w:tcBorders>
            <w:noWrap w:val="0"/>
            <w:vAlign w:val="center"/>
          </w:tcPr>
          <w:p w14:paraId="2A1038E9">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若指标达到标杆值，则得100%权重分；否则，得分=（实际完成/预期完成）×100%×指标分值。</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576CA0EC">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7ABAB37">
            <w:pPr>
              <w:widowControl/>
              <w:spacing w:line="240" w:lineRule="exact"/>
              <w:ind w:firstLine="0" w:firstLineChars="0"/>
              <w:jc w:val="center"/>
              <w:textAlignment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w:t>
            </w:r>
          </w:p>
        </w:tc>
      </w:tr>
      <w:tr w14:paraId="0B542F0B">
        <w:tblPrEx>
          <w:tblCellMar>
            <w:top w:w="0" w:type="dxa"/>
            <w:left w:w="108" w:type="dxa"/>
            <w:bottom w:w="0" w:type="dxa"/>
            <w:right w:w="108" w:type="dxa"/>
          </w:tblCellMar>
        </w:tblPrEx>
        <w:trPr>
          <w:trHeight w:val="940" w:hRule="atLeast"/>
        </w:trPr>
        <w:tc>
          <w:tcPr>
            <w:tcW w:w="779" w:type="dxa"/>
            <w:vMerge w:val="continue"/>
            <w:tcBorders>
              <w:top w:val="single" w:color="auto" w:sz="4" w:space="0"/>
              <w:left w:val="single" w:color="auto" w:sz="4" w:space="0"/>
              <w:bottom w:val="nil"/>
              <w:right w:val="single" w:color="auto" w:sz="4" w:space="0"/>
            </w:tcBorders>
            <w:noWrap w:val="0"/>
            <w:vAlign w:val="center"/>
          </w:tcPr>
          <w:p w14:paraId="2394EE15">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nil"/>
              <w:right w:val="single" w:color="auto" w:sz="4" w:space="0"/>
            </w:tcBorders>
            <w:noWrap w:val="0"/>
            <w:vAlign w:val="center"/>
          </w:tcPr>
          <w:p w14:paraId="3B66852F">
            <w:pPr>
              <w:widowControl/>
              <w:spacing w:line="240" w:lineRule="exact"/>
              <w:ind w:firstLine="0" w:firstLineChars="0"/>
              <w:jc w:val="center"/>
              <w:rPr>
                <w:rFonts w:hint="eastAsia" w:ascii="宋体" w:hAnsi="宋体" w:eastAsia="宋体" w:cs="宋体"/>
                <w:sz w:val="21"/>
                <w:szCs w:val="21"/>
              </w:rPr>
            </w:pPr>
          </w:p>
        </w:tc>
        <w:tc>
          <w:tcPr>
            <w:tcW w:w="847" w:type="dxa"/>
            <w:vMerge w:val="restart"/>
            <w:tcBorders>
              <w:top w:val="single" w:color="auto" w:sz="4" w:space="0"/>
              <w:left w:val="single" w:color="auto" w:sz="4" w:space="0"/>
              <w:right w:val="single" w:color="auto" w:sz="4" w:space="0"/>
            </w:tcBorders>
            <w:noWrap w:val="0"/>
            <w:vAlign w:val="center"/>
          </w:tcPr>
          <w:p w14:paraId="3771BF9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产出时效</w:t>
            </w:r>
          </w:p>
        </w:tc>
        <w:tc>
          <w:tcPr>
            <w:tcW w:w="609" w:type="dxa"/>
            <w:vMerge w:val="restart"/>
            <w:tcBorders>
              <w:top w:val="single" w:color="auto" w:sz="4" w:space="0"/>
              <w:left w:val="single" w:color="auto" w:sz="4" w:space="0"/>
              <w:right w:val="single" w:color="auto" w:sz="4" w:space="0"/>
            </w:tcBorders>
            <w:noWrap w:val="0"/>
            <w:vAlign w:val="center"/>
          </w:tcPr>
          <w:p w14:paraId="54BBA5C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1243" w:type="dxa"/>
            <w:vMerge w:val="restart"/>
            <w:tcBorders>
              <w:top w:val="single" w:color="auto" w:sz="4" w:space="0"/>
              <w:left w:val="single" w:color="auto" w:sz="4" w:space="0"/>
              <w:right w:val="single" w:color="auto" w:sz="4" w:space="0"/>
            </w:tcBorders>
            <w:noWrap w:val="0"/>
            <w:vAlign w:val="center"/>
          </w:tcPr>
          <w:p w14:paraId="45CA4D40">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完成及时率</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7CBEFD30">
            <w:pPr>
              <w:widowControl/>
              <w:spacing w:line="240" w:lineRule="exact"/>
              <w:ind w:firstLine="0" w:firstLineChars="0"/>
              <w:jc w:val="center"/>
              <w:textAlignment w:val="center"/>
              <w:rPr>
                <w:rFonts w:hint="eastAsia" w:ascii="宋体" w:hAnsi="宋体" w:eastAsia="宋体" w:cs="宋体"/>
                <w:sz w:val="21"/>
                <w:szCs w:val="21"/>
                <w:lang w:eastAsia="zh-CN"/>
              </w:rPr>
            </w:pPr>
            <w:r>
              <w:rPr>
                <w:rFonts w:hint="eastAsia" w:ascii="宋体" w:hAnsi="宋体" w:eastAsia="宋体" w:cs="宋体"/>
                <w:kern w:val="0"/>
                <w:sz w:val="21"/>
                <w:szCs w:val="21"/>
                <w:lang w:val="en-US" w:eastAsia="zh-CN"/>
              </w:rPr>
              <w:t>3</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50650E70">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项目开始时间</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431D19DE">
            <w:pPr>
              <w:widowControl/>
              <w:spacing w:line="240" w:lineRule="exact"/>
              <w:ind w:firstLine="0" w:firstLineChars="0"/>
              <w:jc w:val="center"/>
              <w:textAlignment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=2024年1月</w:t>
            </w:r>
          </w:p>
        </w:tc>
        <w:tc>
          <w:tcPr>
            <w:tcW w:w="4069" w:type="dxa"/>
            <w:vMerge w:val="restart"/>
            <w:tcBorders>
              <w:top w:val="single" w:color="auto" w:sz="4" w:space="0"/>
              <w:left w:val="single" w:color="auto" w:sz="4" w:space="0"/>
              <w:right w:val="single" w:color="auto" w:sz="4" w:space="0"/>
            </w:tcBorders>
            <w:noWrap w:val="0"/>
            <w:vAlign w:val="center"/>
          </w:tcPr>
          <w:p w14:paraId="54995EED">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若指标完成值达到标杆值，则得100%权重分；否则，得分=（实际完成/预期完成）×100%×指标分值。</w:t>
            </w:r>
          </w:p>
          <w:p w14:paraId="2DD2293E">
            <w:pPr>
              <w:widowControl/>
              <w:spacing w:line="240" w:lineRule="exact"/>
              <w:ind w:firstLine="0" w:firstLineChars="0"/>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若在规定时间内完成，得100%权重分；若未在规定的时间内完成，得分=（1-未在规定时间内完成工作数/实际完成工作总数）×分值。</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1F5B653D">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2024年1月</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C08903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lang w:val="en-US" w:eastAsia="zh-CN"/>
              </w:rPr>
              <w:t>3</w:t>
            </w:r>
          </w:p>
        </w:tc>
      </w:tr>
      <w:tr w14:paraId="164C9A2C">
        <w:tblPrEx>
          <w:tblCellMar>
            <w:top w:w="0" w:type="dxa"/>
            <w:left w:w="108" w:type="dxa"/>
            <w:bottom w:w="0" w:type="dxa"/>
            <w:right w:w="108" w:type="dxa"/>
          </w:tblCellMar>
        </w:tblPrEx>
        <w:trPr>
          <w:trHeight w:val="90" w:hRule="atLeast"/>
        </w:trPr>
        <w:tc>
          <w:tcPr>
            <w:tcW w:w="779" w:type="dxa"/>
            <w:vMerge w:val="continue"/>
            <w:tcBorders>
              <w:top w:val="single" w:color="auto" w:sz="4" w:space="0"/>
              <w:left w:val="single" w:color="auto" w:sz="4" w:space="0"/>
              <w:bottom w:val="nil"/>
              <w:right w:val="single" w:color="auto" w:sz="4" w:space="0"/>
            </w:tcBorders>
            <w:noWrap w:val="0"/>
            <w:vAlign w:val="center"/>
          </w:tcPr>
          <w:p w14:paraId="5A2CDC1E">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nil"/>
              <w:right w:val="single" w:color="auto" w:sz="4" w:space="0"/>
            </w:tcBorders>
            <w:noWrap w:val="0"/>
            <w:vAlign w:val="center"/>
          </w:tcPr>
          <w:p w14:paraId="13ABB5AD">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left w:val="single" w:color="auto" w:sz="4" w:space="0"/>
              <w:right w:val="single" w:color="auto" w:sz="4" w:space="0"/>
            </w:tcBorders>
            <w:noWrap w:val="0"/>
            <w:vAlign w:val="center"/>
          </w:tcPr>
          <w:p w14:paraId="2AB59A58">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left w:val="single" w:color="auto" w:sz="4" w:space="0"/>
              <w:right w:val="single" w:color="auto" w:sz="4" w:space="0"/>
            </w:tcBorders>
            <w:noWrap w:val="0"/>
            <w:vAlign w:val="center"/>
          </w:tcPr>
          <w:p w14:paraId="648ACB1F">
            <w:pPr>
              <w:widowControl/>
              <w:spacing w:line="240" w:lineRule="exact"/>
              <w:ind w:firstLine="0" w:firstLineChars="0"/>
              <w:jc w:val="center"/>
              <w:rPr>
                <w:rFonts w:hint="eastAsia" w:ascii="宋体" w:hAnsi="宋体" w:eastAsia="宋体" w:cs="宋体"/>
                <w:sz w:val="21"/>
                <w:szCs w:val="21"/>
              </w:rPr>
            </w:pPr>
          </w:p>
        </w:tc>
        <w:tc>
          <w:tcPr>
            <w:tcW w:w="1243" w:type="dxa"/>
            <w:vMerge w:val="continue"/>
            <w:tcBorders>
              <w:left w:val="single" w:color="auto" w:sz="4" w:space="0"/>
              <w:right w:val="single" w:color="auto" w:sz="4" w:space="0"/>
            </w:tcBorders>
            <w:noWrap w:val="0"/>
            <w:vAlign w:val="center"/>
          </w:tcPr>
          <w:p w14:paraId="43A648E2">
            <w:pPr>
              <w:widowControl/>
              <w:spacing w:line="240" w:lineRule="exact"/>
              <w:ind w:firstLine="0" w:firstLineChars="0"/>
              <w:jc w:val="center"/>
              <w:rPr>
                <w:rFonts w:hint="eastAsia" w:ascii="宋体" w:hAnsi="宋体" w:eastAsia="宋体" w:cs="宋体"/>
                <w:sz w:val="21"/>
                <w:szCs w:val="21"/>
              </w:rPr>
            </w:pPr>
          </w:p>
        </w:tc>
        <w:tc>
          <w:tcPr>
            <w:tcW w:w="609" w:type="dxa"/>
            <w:tcBorders>
              <w:top w:val="single" w:color="auto" w:sz="4" w:space="0"/>
              <w:left w:val="single" w:color="auto" w:sz="4" w:space="0"/>
              <w:bottom w:val="single" w:color="auto" w:sz="4" w:space="0"/>
              <w:right w:val="single" w:color="auto" w:sz="4" w:space="0"/>
            </w:tcBorders>
            <w:noWrap w:val="0"/>
            <w:vAlign w:val="center"/>
          </w:tcPr>
          <w:p w14:paraId="391BAB81">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3</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0CC50A4E">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项目结束时间</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12AC4DC1">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=2024年12月</w:t>
            </w:r>
          </w:p>
        </w:tc>
        <w:tc>
          <w:tcPr>
            <w:tcW w:w="4069" w:type="dxa"/>
            <w:vMerge w:val="continue"/>
            <w:tcBorders>
              <w:left w:val="single" w:color="auto" w:sz="4" w:space="0"/>
              <w:right w:val="single" w:color="auto" w:sz="4" w:space="0"/>
            </w:tcBorders>
            <w:noWrap w:val="0"/>
            <w:vAlign w:val="center"/>
          </w:tcPr>
          <w:p w14:paraId="30C4E778">
            <w:pPr>
              <w:widowControl/>
              <w:spacing w:line="240" w:lineRule="exact"/>
              <w:ind w:firstLine="0" w:firstLineChars="0"/>
              <w:jc w:val="left"/>
              <w:textAlignment w:val="center"/>
              <w:rPr>
                <w:rFonts w:hint="eastAsia" w:ascii="宋体" w:hAnsi="宋体" w:eastAsia="宋体" w:cs="宋体"/>
                <w:kern w:val="0"/>
                <w:sz w:val="21"/>
                <w:szCs w:val="21"/>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0F26FD85">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2024年12月</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7E86F29">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p>
        </w:tc>
      </w:tr>
      <w:tr w14:paraId="070190E6">
        <w:tblPrEx>
          <w:tblCellMar>
            <w:top w:w="0" w:type="dxa"/>
            <w:left w:w="108" w:type="dxa"/>
            <w:bottom w:w="0" w:type="dxa"/>
            <w:right w:w="108" w:type="dxa"/>
          </w:tblCellMar>
        </w:tblPrEx>
        <w:trPr>
          <w:trHeight w:val="198" w:hRule="atLeast"/>
        </w:trPr>
        <w:tc>
          <w:tcPr>
            <w:tcW w:w="779" w:type="dxa"/>
            <w:vMerge w:val="continue"/>
            <w:tcBorders>
              <w:top w:val="single" w:color="auto" w:sz="4" w:space="0"/>
              <w:left w:val="single" w:color="auto" w:sz="4" w:space="0"/>
              <w:bottom w:val="nil"/>
              <w:right w:val="single" w:color="auto" w:sz="4" w:space="0"/>
            </w:tcBorders>
            <w:noWrap w:val="0"/>
            <w:vAlign w:val="center"/>
          </w:tcPr>
          <w:p w14:paraId="73231D10">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nil"/>
              <w:right w:val="single" w:color="auto" w:sz="4" w:space="0"/>
            </w:tcBorders>
            <w:noWrap w:val="0"/>
            <w:vAlign w:val="center"/>
          </w:tcPr>
          <w:p w14:paraId="6A44B321">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left w:val="single" w:color="auto" w:sz="4" w:space="0"/>
              <w:bottom w:val="single" w:color="auto" w:sz="4" w:space="0"/>
              <w:right w:val="single" w:color="auto" w:sz="4" w:space="0"/>
            </w:tcBorders>
            <w:noWrap w:val="0"/>
            <w:vAlign w:val="center"/>
          </w:tcPr>
          <w:p w14:paraId="5C08C3BC">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left w:val="single" w:color="auto" w:sz="4" w:space="0"/>
              <w:bottom w:val="single" w:color="auto" w:sz="4" w:space="0"/>
              <w:right w:val="single" w:color="auto" w:sz="4" w:space="0"/>
            </w:tcBorders>
            <w:noWrap w:val="0"/>
            <w:vAlign w:val="center"/>
          </w:tcPr>
          <w:p w14:paraId="74B08BFA">
            <w:pPr>
              <w:widowControl/>
              <w:spacing w:line="240" w:lineRule="exact"/>
              <w:ind w:firstLine="0" w:firstLineChars="0"/>
              <w:jc w:val="center"/>
              <w:rPr>
                <w:rFonts w:hint="eastAsia" w:ascii="宋体" w:hAnsi="宋体" w:eastAsia="宋体" w:cs="宋体"/>
                <w:sz w:val="21"/>
                <w:szCs w:val="21"/>
              </w:rPr>
            </w:pPr>
          </w:p>
        </w:tc>
        <w:tc>
          <w:tcPr>
            <w:tcW w:w="1243" w:type="dxa"/>
            <w:vMerge w:val="continue"/>
            <w:tcBorders>
              <w:left w:val="single" w:color="auto" w:sz="4" w:space="0"/>
              <w:bottom w:val="single" w:color="auto" w:sz="4" w:space="0"/>
              <w:right w:val="single" w:color="auto" w:sz="4" w:space="0"/>
            </w:tcBorders>
            <w:noWrap w:val="0"/>
            <w:vAlign w:val="center"/>
          </w:tcPr>
          <w:p w14:paraId="59FF40DC">
            <w:pPr>
              <w:widowControl/>
              <w:spacing w:line="240" w:lineRule="exact"/>
              <w:ind w:firstLine="0" w:firstLineChars="0"/>
              <w:jc w:val="center"/>
              <w:rPr>
                <w:rFonts w:hint="eastAsia" w:ascii="宋体" w:hAnsi="宋体" w:eastAsia="宋体" w:cs="宋体"/>
                <w:sz w:val="21"/>
                <w:szCs w:val="21"/>
              </w:rPr>
            </w:pPr>
          </w:p>
        </w:tc>
        <w:tc>
          <w:tcPr>
            <w:tcW w:w="609" w:type="dxa"/>
            <w:tcBorders>
              <w:top w:val="single" w:color="auto" w:sz="4" w:space="0"/>
              <w:left w:val="single" w:color="auto" w:sz="4" w:space="0"/>
              <w:bottom w:val="single" w:color="auto" w:sz="4" w:space="0"/>
              <w:right w:val="single" w:color="auto" w:sz="4" w:space="0"/>
            </w:tcBorders>
            <w:noWrap w:val="0"/>
            <w:vAlign w:val="center"/>
          </w:tcPr>
          <w:p w14:paraId="163133B8">
            <w:pPr>
              <w:widowControl/>
              <w:spacing w:line="240" w:lineRule="exact"/>
              <w:ind w:firstLine="0" w:firstLineChars="0"/>
              <w:jc w:val="center"/>
              <w:textAlignment w:val="center"/>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24ADB37E">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补助资金发放及时率</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0A9EDA32">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=100%</w:t>
            </w:r>
          </w:p>
        </w:tc>
        <w:tc>
          <w:tcPr>
            <w:tcW w:w="4069" w:type="dxa"/>
            <w:tcBorders>
              <w:left w:val="single" w:color="auto" w:sz="4" w:space="0"/>
              <w:right w:val="single" w:color="auto" w:sz="4" w:space="0"/>
            </w:tcBorders>
            <w:noWrap w:val="0"/>
            <w:vAlign w:val="center"/>
          </w:tcPr>
          <w:p w14:paraId="61ED9399">
            <w:pPr>
              <w:widowControl/>
              <w:spacing w:line="240" w:lineRule="exact"/>
              <w:ind w:firstLine="0" w:firstLineChars="0"/>
              <w:jc w:val="left"/>
              <w:textAlignment w:val="center"/>
              <w:rPr>
                <w:rFonts w:hint="eastAsia" w:ascii="宋体" w:hAnsi="宋体" w:eastAsia="宋体" w:cs="宋体"/>
                <w:kern w:val="0"/>
                <w:sz w:val="21"/>
                <w:szCs w:val="21"/>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27246742">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0989B37">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4</w:t>
            </w:r>
          </w:p>
        </w:tc>
      </w:tr>
      <w:tr w14:paraId="74AFF5BB">
        <w:tblPrEx>
          <w:tblCellMar>
            <w:top w:w="0" w:type="dxa"/>
            <w:left w:w="108" w:type="dxa"/>
            <w:bottom w:w="0" w:type="dxa"/>
            <w:right w:w="108" w:type="dxa"/>
          </w:tblCellMar>
        </w:tblPrEx>
        <w:trPr>
          <w:trHeight w:val="720" w:hRule="atLeast"/>
        </w:trPr>
        <w:tc>
          <w:tcPr>
            <w:tcW w:w="779" w:type="dxa"/>
            <w:vMerge w:val="continue"/>
            <w:tcBorders>
              <w:top w:val="single" w:color="auto" w:sz="4" w:space="0"/>
              <w:left w:val="single" w:color="auto" w:sz="4" w:space="0"/>
              <w:bottom w:val="nil"/>
              <w:right w:val="single" w:color="auto" w:sz="4" w:space="0"/>
            </w:tcBorders>
            <w:noWrap w:val="0"/>
            <w:vAlign w:val="center"/>
          </w:tcPr>
          <w:p w14:paraId="477B5EB8">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nil"/>
              <w:right w:val="single" w:color="auto" w:sz="4" w:space="0"/>
            </w:tcBorders>
            <w:noWrap w:val="0"/>
            <w:vAlign w:val="center"/>
          </w:tcPr>
          <w:p w14:paraId="2DF0D2F3">
            <w:pPr>
              <w:widowControl/>
              <w:spacing w:line="240" w:lineRule="exact"/>
              <w:ind w:firstLine="0" w:firstLineChars="0"/>
              <w:jc w:val="center"/>
              <w:rPr>
                <w:rFonts w:hint="eastAsia" w:ascii="宋体" w:hAnsi="宋体" w:eastAsia="宋体" w:cs="宋体"/>
                <w:sz w:val="21"/>
                <w:szCs w:val="21"/>
              </w:rPr>
            </w:pPr>
          </w:p>
        </w:tc>
        <w:tc>
          <w:tcPr>
            <w:tcW w:w="847" w:type="dxa"/>
            <w:vMerge w:val="restart"/>
            <w:tcBorders>
              <w:top w:val="single" w:color="auto" w:sz="4" w:space="0"/>
              <w:left w:val="single" w:color="auto" w:sz="4" w:space="0"/>
              <w:right w:val="single" w:color="auto" w:sz="4" w:space="0"/>
            </w:tcBorders>
            <w:noWrap w:val="0"/>
            <w:vAlign w:val="center"/>
          </w:tcPr>
          <w:p w14:paraId="6CE8F3AB">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产出成本</w:t>
            </w:r>
          </w:p>
        </w:tc>
        <w:tc>
          <w:tcPr>
            <w:tcW w:w="609" w:type="dxa"/>
            <w:vMerge w:val="restart"/>
            <w:tcBorders>
              <w:top w:val="single" w:color="auto" w:sz="4" w:space="0"/>
              <w:left w:val="single" w:color="auto" w:sz="4" w:space="0"/>
              <w:right w:val="single" w:color="auto" w:sz="4" w:space="0"/>
            </w:tcBorders>
            <w:noWrap w:val="0"/>
            <w:vAlign w:val="center"/>
          </w:tcPr>
          <w:p w14:paraId="332DFE14">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10</w:t>
            </w:r>
          </w:p>
        </w:tc>
        <w:tc>
          <w:tcPr>
            <w:tcW w:w="1243" w:type="dxa"/>
            <w:vMerge w:val="restart"/>
            <w:tcBorders>
              <w:top w:val="single" w:color="auto" w:sz="4" w:space="0"/>
              <w:left w:val="single" w:color="auto" w:sz="4" w:space="0"/>
              <w:right w:val="single" w:color="auto" w:sz="4" w:space="0"/>
            </w:tcBorders>
            <w:noWrap w:val="0"/>
            <w:vAlign w:val="center"/>
          </w:tcPr>
          <w:p w14:paraId="4CB7417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成本节约率</w:t>
            </w:r>
          </w:p>
        </w:tc>
        <w:tc>
          <w:tcPr>
            <w:tcW w:w="609" w:type="dxa"/>
            <w:vMerge w:val="restart"/>
            <w:tcBorders>
              <w:top w:val="single" w:color="auto" w:sz="4" w:space="0"/>
              <w:left w:val="single" w:color="auto" w:sz="4" w:space="0"/>
              <w:right w:val="single" w:color="auto" w:sz="4" w:space="0"/>
            </w:tcBorders>
            <w:noWrap w:val="0"/>
            <w:vAlign w:val="center"/>
          </w:tcPr>
          <w:p w14:paraId="2B77CF05">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615BF5B1">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义务教育公用经费</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0DF0387A">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≤56.69万元</w:t>
            </w:r>
          </w:p>
        </w:tc>
        <w:tc>
          <w:tcPr>
            <w:tcW w:w="4069" w:type="dxa"/>
            <w:vMerge w:val="restart"/>
            <w:tcBorders>
              <w:top w:val="single" w:color="auto" w:sz="4" w:space="0"/>
              <w:left w:val="single" w:color="auto" w:sz="4" w:space="0"/>
              <w:right w:val="single" w:color="auto" w:sz="4" w:space="0"/>
            </w:tcBorders>
            <w:noWrap w:val="0"/>
            <w:vAlign w:val="center"/>
          </w:tcPr>
          <w:p w14:paraId="469ECC69">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实际完成率=（实际支付资金数/计划应支付资金数）×100%。</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①实际完成率＞年度指标值，得0得分；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②实际完成率≤年度指标值，且偏离程度＜20%，得满分；</w:t>
            </w:r>
            <w:r>
              <w:rPr>
                <w:rFonts w:hint="eastAsia" w:ascii="宋体" w:hAnsi="宋体" w:eastAsia="宋体" w:cs="宋体"/>
                <w:kern w:val="0"/>
                <w:sz w:val="21"/>
                <w:szCs w:val="21"/>
              </w:rPr>
              <w:br w:type="textWrapping"/>
            </w:r>
            <w:r>
              <w:rPr>
                <w:rFonts w:hint="eastAsia" w:ascii="宋体" w:hAnsi="宋体" w:eastAsia="宋体" w:cs="宋体"/>
                <w:kern w:val="0"/>
                <w:sz w:val="21"/>
                <w:szCs w:val="21"/>
              </w:rPr>
              <w:t>③实际完成率＜年度指标值，且偏离程度≥20%，得分=实际完成率×分值。</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0B086EA9">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56.69万元</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DC44420">
            <w:pPr>
              <w:widowControl/>
              <w:spacing w:line="240" w:lineRule="exact"/>
              <w:ind w:firstLine="0" w:firstLineChars="0"/>
              <w:jc w:val="center"/>
              <w:textAlignment w:val="center"/>
              <w:rPr>
                <w:rFonts w:hint="default" w:ascii="宋体" w:hAnsi="宋体" w:eastAsia="宋体" w:cs="宋体"/>
                <w:sz w:val="21"/>
                <w:szCs w:val="21"/>
                <w:lang w:val="en-US"/>
              </w:rPr>
            </w:pPr>
            <w:r>
              <w:rPr>
                <w:rFonts w:hint="eastAsia" w:ascii="宋体" w:hAnsi="宋体" w:eastAsia="宋体" w:cs="宋体"/>
                <w:kern w:val="0"/>
                <w:sz w:val="21"/>
                <w:szCs w:val="21"/>
                <w:lang w:val="en-US" w:eastAsia="zh-CN"/>
              </w:rPr>
              <w:t>2.5</w:t>
            </w:r>
          </w:p>
        </w:tc>
      </w:tr>
      <w:tr w14:paraId="3626DC08">
        <w:tblPrEx>
          <w:tblCellMar>
            <w:top w:w="0" w:type="dxa"/>
            <w:left w:w="108" w:type="dxa"/>
            <w:bottom w:w="0" w:type="dxa"/>
            <w:right w:w="108" w:type="dxa"/>
          </w:tblCellMar>
        </w:tblPrEx>
        <w:trPr>
          <w:trHeight w:val="720" w:hRule="atLeast"/>
        </w:trPr>
        <w:tc>
          <w:tcPr>
            <w:tcW w:w="779" w:type="dxa"/>
            <w:vMerge w:val="continue"/>
            <w:tcBorders>
              <w:top w:val="single" w:color="auto" w:sz="4" w:space="0"/>
              <w:left w:val="single" w:color="auto" w:sz="4" w:space="0"/>
              <w:bottom w:val="nil"/>
              <w:right w:val="single" w:color="auto" w:sz="4" w:space="0"/>
            </w:tcBorders>
            <w:noWrap w:val="0"/>
            <w:vAlign w:val="center"/>
          </w:tcPr>
          <w:p w14:paraId="552C1ABE">
            <w:pPr>
              <w:widowControl/>
              <w:spacing w:line="240" w:lineRule="exact"/>
              <w:ind w:firstLine="0" w:firstLineChars="0"/>
              <w:jc w:val="center"/>
              <w:textAlignment w:val="center"/>
            </w:pPr>
          </w:p>
        </w:tc>
        <w:tc>
          <w:tcPr>
            <w:tcW w:w="678" w:type="dxa"/>
            <w:vMerge w:val="continue"/>
            <w:tcBorders>
              <w:top w:val="single" w:color="auto" w:sz="4" w:space="0"/>
              <w:left w:val="single" w:color="auto" w:sz="4" w:space="0"/>
              <w:bottom w:val="nil"/>
              <w:right w:val="single" w:color="auto" w:sz="4" w:space="0"/>
            </w:tcBorders>
            <w:noWrap w:val="0"/>
            <w:vAlign w:val="center"/>
          </w:tcPr>
          <w:p w14:paraId="06B2AB4C">
            <w:pPr>
              <w:widowControl/>
              <w:spacing w:line="240" w:lineRule="exact"/>
              <w:ind w:firstLine="0" w:firstLineChars="0"/>
              <w:jc w:val="center"/>
              <w:textAlignment w:val="center"/>
            </w:pPr>
          </w:p>
        </w:tc>
        <w:tc>
          <w:tcPr>
            <w:tcW w:w="847" w:type="dxa"/>
            <w:vMerge w:val="continue"/>
            <w:tcBorders>
              <w:left w:val="single" w:color="auto" w:sz="4" w:space="0"/>
              <w:right w:val="single" w:color="auto" w:sz="4" w:space="0"/>
            </w:tcBorders>
            <w:noWrap w:val="0"/>
            <w:vAlign w:val="center"/>
          </w:tcPr>
          <w:p w14:paraId="49EB756F">
            <w:pPr>
              <w:widowControl/>
              <w:spacing w:line="240" w:lineRule="exact"/>
              <w:ind w:firstLine="0" w:firstLineChars="0"/>
              <w:jc w:val="center"/>
              <w:textAlignment w:val="center"/>
            </w:pPr>
          </w:p>
        </w:tc>
        <w:tc>
          <w:tcPr>
            <w:tcW w:w="609" w:type="dxa"/>
            <w:vMerge w:val="continue"/>
            <w:tcBorders>
              <w:left w:val="single" w:color="auto" w:sz="4" w:space="0"/>
              <w:right w:val="single" w:color="auto" w:sz="4" w:space="0"/>
            </w:tcBorders>
            <w:noWrap w:val="0"/>
            <w:vAlign w:val="center"/>
          </w:tcPr>
          <w:p w14:paraId="4079D653">
            <w:pPr>
              <w:widowControl/>
              <w:spacing w:line="240" w:lineRule="exact"/>
              <w:ind w:firstLine="0" w:firstLineChars="0"/>
              <w:jc w:val="center"/>
              <w:textAlignment w:val="center"/>
            </w:pPr>
          </w:p>
        </w:tc>
        <w:tc>
          <w:tcPr>
            <w:tcW w:w="1243" w:type="dxa"/>
            <w:vMerge w:val="continue"/>
            <w:tcBorders>
              <w:left w:val="single" w:color="auto" w:sz="4" w:space="0"/>
              <w:right w:val="single" w:color="auto" w:sz="4" w:space="0"/>
            </w:tcBorders>
            <w:noWrap w:val="0"/>
            <w:vAlign w:val="center"/>
          </w:tcPr>
          <w:p w14:paraId="2458FCD5">
            <w:pPr>
              <w:widowControl/>
              <w:spacing w:line="240" w:lineRule="exact"/>
              <w:ind w:firstLine="0" w:firstLineChars="0"/>
              <w:jc w:val="center"/>
              <w:textAlignment w:val="center"/>
            </w:pPr>
          </w:p>
        </w:tc>
        <w:tc>
          <w:tcPr>
            <w:tcW w:w="609" w:type="dxa"/>
            <w:vMerge w:val="continue"/>
            <w:tcBorders>
              <w:left w:val="single" w:color="auto" w:sz="4" w:space="0"/>
              <w:right w:val="single" w:color="auto" w:sz="4" w:space="0"/>
            </w:tcBorders>
            <w:noWrap w:val="0"/>
            <w:vAlign w:val="center"/>
          </w:tcPr>
          <w:p w14:paraId="3CF40C9D">
            <w:pPr>
              <w:widowControl/>
              <w:spacing w:line="240" w:lineRule="exact"/>
              <w:ind w:firstLine="0" w:firstLineChars="0"/>
              <w:jc w:val="center"/>
              <w:textAlignment w:val="cente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2D7D3F87">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营养改善经费</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12B17AD7">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≤60.84万元</w:t>
            </w:r>
          </w:p>
        </w:tc>
        <w:tc>
          <w:tcPr>
            <w:tcW w:w="4069" w:type="dxa"/>
            <w:vMerge w:val="continue"/>
            <w:tcBorders>
              <w:left w:val="single" w:color="auto" w:sz="4" w:space="0"/>
              <w:right w:val="single" w:color="auto" w:sz="4" w:space="0"/>
            </w:tcBorders>
            <w:noWrap w:val="0"/>
            <w:vAlign w:val="center"/>
          </w:tcPr>
          <w:p w14:paraId="7BEC0701">
            <w:pPr>
              <w:widowControl/>
              <w:spacing w:line="240" w:lineRule="exact"/>
              <w:ind w:firstLine="0" w:firstLineChars="0"/>
              <w:jc w:val="center"/>
              <w:textAlignment w:val="center"/>
              <w:rPr>
                <w:rFonts w:hint="eastAsia" w:ascii="宋体" w:hAnsi="宋体" w:eastAsia="宋体" w:cs="宋体"/>
                <w:kern w:val="0"/>
                <w:sz w:val="21"/>
                <w:szCs w:val="21"/>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398AAF95">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60.84万元</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62819042">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2.5</w:t>
            </w:r>
          </w:p>
        </w:tc>
      </w:tr>
      <w:tr w14:paraId="38C21864">
        <w:tblPrEx>
          <w:tblCellMar>
            <w:top w:w="0" w:type="dxa"/>
            <w:left w:w="108" w:type="dxa"/>
            <w:bottom w:w="0" w:type="dxa"/>
            <w:right w:w="108" w:type="dxa"/>
          </w:tblCellMar>
        </w:tblPrEx>
        <w:trPr>
          <w:trHeight w:val="720" w:hRule="atLeast"/>
        </w:trPr>
        <w:tc>
          <w:tcPr>
            <w:tcW w:w="779" w:type="dxa"/>
            <w:vMerge w:val="continue"/>
            <w:tcBorders>
              <w:left w:val="single" w:color="auto" w:sz="4" w:space="0"/>
              <w:bottom w:val="nil"/>
              <w:right w:val="single" w:color="auto" w:sz="4" w:space="0"/>
            </w:tcBorders>
            <w:noWrap w:val="0"/>
            <w:vAlign w:val="center"/>
          </w:tcPr>
          <w:p w14:paraId="215C7821">
            <w:pPr>
              <w:widowControl/>
              <w:spacing w:line="240" w:lineRule="exact"/>
              <w:ind w:firstLine="0" w:firstLineChars="0"/>
              <w:jc w:val="center"/>
              <w:textAlignment w:val="center"/>
              <w:rPr>
                <w:rFonts w:hint="eastAsia" w:ascii="宋体" w:hAnsi="宋体" w:eastAsia="宋体" w:cs="宋体"/>
                <w:kern w:val="0"/>
                <w:sz w:val="21"/>
                <w:szCs w:val="21"/>
              </w:rPr>
            </w:pPr>
          </w:p>
        </w:tc>
        <w:tc>
          <w:tcPr>
            <w:tcW w:w="678" w:type="dxa"/>
            <w:vMerge w:val="continue"/>
            <w:tcBorders>
              <w:left w:val="single" w:color="auto" w:sz="4" w:space="0"/>
              <w:bottom w:val="nil"/>
              <w:right w:val="single" w:color="auto" w:sz="4" w:space="0"/>
            </w:tcBorders>
            <w:noWrap w:val="0"/>
            <w:vAlign w:val="center"/>
          </w:tcPr>
          <w:p w14:paraId="75B057AA">
            <w:pPr>
              <w:widowControl/>
              <w:spacing w:line="240" w:lineRule="exact"/>
              <w:ind w:firstLine="0" w:firstLineChars="0"/>
              <w:jc w:val="center"/>
              <w:textAlignment w:val="center"/>
              <w:rPr>
                <w:rFonts w:hint="eastAsia" w:ascii="宋体" w:hAnsi="宋体" w:eastAsia="宋体" w:cs="宋体"/>
                <w:kern w:val="0"/>
                <w:sz w:val="21"/>
                <w:szCs w:val="21"/>
              </w:rPr>
            </w:pPr>
          </w:p>
        </w:tc>
        <w:tc>
          <w:tcPr>
            <w:tcW w:w="847" w:type="dxa"/>
            <w:vMerge w:val="continue"/>
            <w:tcBorders>
              <w:left w:val="single" w:color="auto" w:sz="4" w:space="0"/>
              <w:bottom w:val="single" w:color="auto" w:sz="4" w:space="0"/>
              <w:right w:val="single" w:color="auto" w:sz="4" w:space="0"/>
            </w:tcBorders>
            <w:noWrap w:val="0"/>
            <w:vAlign w:val="center"/>
          </w:tcPr>
          <w:p w14:paraId="051E4F6B">
            <w:pPr>
              <w:widowControl/>
              <w:spacing w:line="240" w:lineRule="exact"/>
              <w:ind w:firstLine="0" w:firstLineChars="0"/>
              <w:jc w:val="center"/>
              <w:textAlignment w:val="center"/>
              <w:rPr>
                <w:rFonts w:hint="eastAsia" w:ascii="宋体" w:hAnsi="宋体" w:eastAsia="宋体" w:cs="宋体"/>
                <w:kern w:val="0"/>
                <w:sz w:val="21"/>
                <w:szCs w:val="21"/>
              </w:rPr>
            </w:pPr>
          </w:p>
        </w:tc>
        <w:tc>
          <w:tcPr>
            <w:tcW w:w="609" w:type="dxa"/>
            <w:vMerge w:val="continue"/>
            <w:tcBorders>
              <w:left w:val="single" w:color="auto" w:sz="4" w:space="0"/>
              <w:bottom w:val="single" w:color="auto" w:sz="4" w:space="0"/>
              <w:right w:val="single" w:color="auto" w:sz="4" w:space="0"/>
            </w:tcBorders>
            <w:noWrap w:val="0"/>
            <w:vAlign w:val="center"/>
          </w:tcPr>
          <w:p w14:paraId="6EDDEBD1">
            <w:pPr>
              <w:widowControl/>
              <w:spacing w:line="240" w:lineRule="exact"/>
              <w:ind w:firstLine="0" w:firstLineChars="0"/>
              <w:jc w:val="center"/>
              <w:textAlignment w:val="center"/>
              <w:rPr>
                <w:rFonts w:hint="eastAsia" w:ascii="宋体" w:hAnsi="宋体" w:eastAsia="宋体" w:cs="宋体"/>
                <w:kern w:val="0"/>
                <w:sz w:val="21"/>
                <w:szCs w:val="21"/>
              </w:rPr>
            </w:pPr>
          </w:p>
        </w:tc>
        <w:tc>
          <w:tcPr>
            <w:tcW w:w="1243" w:type="dxa"/>
            <w:vMerge w:val="continue"/>
            <w:tcBorders>
              <w:left w:val="single" w:color="auto" w:sz="4" w:space="0"/>
              <w:bottom w:val="single" w:color="auto" w:sz="4" w:space="0"/>
              <w:right w:val="single" w:color="auto" w:sz="4" w:space="0"/>
            </w:tcBorders>
            <w:noWrap w:val="0"/>
            <w:vAlign w:val="center"/>
          </w:tcPr>
          <w:p w14:paraId="66B2EF78">
            <w:pPr>
              <w:widowControl/>
              <w:spacing w:line="240" w:lineRule="exact"/>
              <w:ind w:firstLine="0" w:firstLineChars="0"/>
              <w:jc w:val="center"/>
              <w:textAlignment w:val="center"/>
              <w:rPr>
                <w:rFonts w:hint="eastAsia" w:ascii="宋体" w:hAnsi="宋体" w:eastAsia="宋体" w:cs="宋体"/>
                <w:kern w:val="0"/>
                <w:sz w:val="21"/>
                <w:szCs w:val="21"/>
              </w:rPr>
            </w:pPr>
          </w:p>
        </w:tc>
        <w:tc>
          <w:tcPr>
            <w:tcW w:w="609" w:type="dxa"/>
            <w:vMerge w:val="continue"/>
            <w:tcBorders>
              <w:left w:val="single" w:color="auto" w:sz="4" w:space="0"/>
              <w:bottom w:val="single" w:color="auto" w:sz="4" w:space="0"/>
              <w:right w:val="single" w:color="auto" w:sz="4" w:space="0"/>
            </w:tcBorders>
            <w:noWrap w:val="0"/>
            <w:vAlign w:val="center"/>
          </w:tcPr>
          <w:p w14:paraId="1284B6C1">
            <w:pPr>
              <w:widowControl/>
              <w:spacing w:line="240" w:lineRule="exact"/>
              <w:ind w:firstLine="0" w:firstLineChars="0"/>
              <w:jc w:val="center"/>
              <w:textAlignment w:val="center"/>
              <w:rPr>
                <w:rFonts w:hint="eastAsia" w:ascii="宋体" w:hAnsi="宋体" w:eastAsia="宋体" w:cs="宋体"/>
                <w:kern w:val="0"/>
                <w:sz w:val="21"/>
                <w:szCs w:val="21"/>
              </w:rPr>
            </w:pPr>
          </w:p>
        </w:tc>
        <w:tc>
          <w:tcPr>
            <w:tcW w:w="2454" w:type="dxa"/>
            <w:tcBorders>
              <w:top w:val="single" w:color="auto" w:sz="4" w:space="0"/>
              <w:left w:val="single" w:color="auto" w:sz="4" w:space="0"/>
              <w:bottom w:val="single" w:color="auto" w:sz="4" w:space="0"/>
              <w:right w:val="single" w:color="auto" w:sz="4" w:space="0"/>
            </w:tcBorders>
            <w:noWrap w:val="0"/>
            <w:vAlign w:val="center"/>
          </w:tcPr>
          <w:p w14:paraId="61C22338">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寄宿生生活补助经费</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4E3AC7BA">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≤7.53万元</w:t>
            </w:r>
          </w:p>
        </w:tc>
        <w:tc>
          <w:tcPr>
            <w:tcW w:w="4069" w:type="dxa"/>
            <w:vMerge w:val="continue"/>
            <w:tcBorders>
              <w:left w:val="single" w:color="auto" w:sz="4" w:space="0"/>
              <w:bottom w:val="single" w:color="auto" w:sz="4" w:space="0"/>
              <w:right w:val="single" w:color="auto" w:sz="4" w:space="0"/>
            </w:tcBorders>
            <w:noWrap w:val="0"/>
            <w:vAlign w:val="center"/>
          </w:tcPr>
          <w:p w14:paraId="19E587F4">
            <w:pPr>
              <w:widowControl/>
              <w:spacing w:line="240" w:lineRule="exact"/>
              <w:ind w:firstLine="0" w:firstLineChars="0"/>
              <w:jc w:val="center"/>
              <w:textAlignment w:val="center"/>
              <w:rPr>
                <w:rFonts w:hint="eastAsia" w:ascii="宋体" w:hAnsi="宋体" w:eastAsia="宋体" w:cs="宋体"/>
                <w:kern w:val="0"/>
                <w:sz w:val="21"/>
                <w:szCs w:val="21"/>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6F1E745C">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7.53万元</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79ECE25">
            <w:pPr>
              <w:widowControl/>
              <w:spacing w:line="240" w:lineRule="exact"/>
              <w:ind w:firstLine="0" w:firstLineChars="0"/>
              <w:jc w:val="center"/>
              <w:textAlignment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2.5</w:t>
            </w:r>
          </w:p>
        </w:tc>
      </w:tr>
      <w:tr w14:paraId="038D7C40">
        <w:tblPrEx>
          <w:tblCellMar>
            <w:top w:w="0" w:type="dxa"/>
            <w:left w:w="108" w:type="dxa"/>
            <w:bottom w:w="0" w:type="dxa"/>
            <w:right w:w="108" w:type="dxa"/>
          </w:tblCellMar>
        </w:tblPrEx>
        <w:trPr>
          <w:trHeight w:val="1600" w:hRule="atLeast"/>
        </w:trPr>
        <w:tc>
          <w:tcPr>
            <w:tcW w:w="779" w:type="dxa"/>
            <w:vMerge w:val="restart"/>
            <w:tcBorders>
              <w:top w:val="single" w:color="auto" w:sz="4" w:space="0"/>
              <w:left w:val="single" w:color="auto" w:sz="4" w:space="0"/>
              <w:bottom w:val="single" w:color="auto" w:sz="4" w:space="0"/>
              <w:right w:val="single" w:color="auto" w:sz="4" w:space="0"/>
            </w:tcBorders>
            <w:noWrap w:val="0"/>
            <w:vAlign w:val="center"/>
          </w:tcPr>
          <w:p w14:paraId="0ABE5337">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项目效益</w:t>
            </w:r>
          </w:p>
        </w:tc>
        <w:tc>
          <w:tcPr>
            <w:tcW w:w="678" w:type="dxa"/>
            <w:vMerge w:val="restart"/>
            <w:tcBorders>
              <w:top w:val="single" w:color="auto" w:sz="4" w:space="0"/>
              <w:left w:val="single" w:color="auto" w:sz="4" w:space="0"/>
              <w:bottom w:val="single" w:color="auto" w:sz="4" w:space="0"/>
              <w:right w:val="single" w:color="auto" w:sz="4" w:space="0"/>
            </w:tcBorders>
            <w:noWrap w:val="0"/>
            <w:vAlign w:val="center"/>
          </w:tcPr>
          <w:p w14:paraId="4E19F4EC">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25</w:t>
            </w:r>
          </w:p>
        </w:tc>
        <w:tc>
          <w:tcPr>
            <w:tcW w:w="847" w:type="dxa"/>
            <w:vMerge w:val="restart"/>
            <w:tcBorders>
              <w:top w:val="single" w:color="auto" w:sz="4" w:space="0"/>
              <w:left w:val="single" w:color="auto" w:sz="4" w:space="0"/>
              <w:bottom w:val="single" w:color="auto" w:sz="4" w:space="0"/>
              <w:right w:val="single" w:color="auto" w:sz="4" w:space="0"/>
            </w:tcBorders>
            <w:noWrap w:val="0"/>
            <w:vAlign w:val="center"/>
          </w:tcPr>
          <w:p w14:paraId="44788437">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项目效益</w:t>
            </w:r>
          </w:p>
        </w:tc>
        <w:tc>
          <w:tcPr>
            <w:tcW w:w="609" w:type="dxa"/>
            <w:vMerge w:val="restart"/>
            <w:tcBorders>
              <w:top w:val="single" w:color="auto" w:sz="4" w:space="0"/>
              <w:left w:val="single" w:color="auto" w:sz="4" w:space="0"/>
              <w:bottom w:val="single" w:color="auto" w:sz="4" w:space="0"/>
              <w:right w:val="single" w:color="auto" w:sz="4" w:space="0"/>
            </w:tcBorders>
            <w:noWrap w:val="0"/>
            <w:vAlign w:val="center"/>
          </w:tcPr>
          <w:p w14:paraId="073BAB82">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25</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3BE2B2F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社会效益</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78DD3E9B">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15</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4238C67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改善教育教学质量</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2D7DD002">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有效改善</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4931947B">
            <w:pPr>
              <w:widowControl/>
              <w:spacing w:line="240" w:lineRule="exact"/>
              <w:ind w:firstLine="0" w:firstLineChars="0"/>
              <w:jc w:val="left"/>
              <w:textAlignment w:val="center"/>
              <w:rPr>
                <w:rFonts w:hint="eastAsia" w:ascii="宋体" w:hAnsi="宋体" w:eastAsia="宋体" w:cs="宋体"/>
                <w:sz w:val="21"/>
                <w:szCs w:val="21"/>
              </w:rPr>
            </w:pPr>
            <w:r>
              <w:rPr>
                <w:rFonts w:hint="eastAsia" w:ascii="宋体" w:hAnsi="宋体" w:eastAsia="宋体" w:cs="宋体"/>
                <w:kern w:val="0"/>
                <w:sz w:val="21"/>
                <w:szCs w:val="21"/>
              </w:rPr>
              <w:t>按评判等级赋分。分为基本达成目标、部分实现目标、实现目标程度较低三个档次，并分别按照该指标对应分值区间100%-80%（含）、80%-60%（含）、60%-0%合理确定分值。</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548056FD">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有效改善</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06A01CB1">
            <w:pPr>
              <w:widowControl/>
              <w:spacing w:line="240" w:lineRule="exact"/>
              <w:ind w:firstLine="0" w:firstLineChars="0"/>
              <w:jc w:val="center"/>
              <w:textAlignment w:val="center"/>
              <w:rPr>
                <w:rFonts w:hint="default" w:ascii="宋体" w:hAnsi="宋体" w:eastAsia="宋体" w:cs="宋体"/>
                <w:sz w:val="21"/>
                <w:szCs w:val="21"/>
                <w:lang w:val="en-US" w:eastAsia="zh-CN"/>
              </w:rPr>
            </w:pPr>
            <w:r>
              <w:rPr>
                <w:rFonts w:hint="eastAsia" w:ascii="宋体" w:hAnsi="宋体" w:eastAsia="宋体" w:cs="宋体"/>
                <w:kern w:val="0"/>
                <w:sz w:val="21"/>
                <w:szCs w:val="21"/>
                <w:lang w:val="en-US" w:eastAsia="zh-CN"/>
              </w:rPr>
              <w:t>15</w:t>
            </w:r>
          </w:p>
        </w:tc>
      </w:tr>
      <w:tr w14:paraId="1BFAE61D">
        <w:tblPrEx>
          <w:tblCellMar>
            <w:top w:w="0" w:type="dxa"/>
            <w:left w:w="108" w:type="dxa"/>
            <w:bottom w:w="0" w:type="dxa"/>
            <w:right w:w="108" w:type="dxa"/>
          </w:tblCellMar>
        </w:tblPrEx>
        <w:trPr>
          <w:trHeight w:val="940" w:hRule="atLeast"/>
        </w:trPr>
        <w:tc>
          <w:tcPr>
            <w:tcW w:w="779" w:type="dxa"/>
            <w:vMerge w:val="continue"/>
            <w:tcBorders>
              <w:top w:val="single" w:color="auto" w:sz="4" w:space="0"/>
              <w:left w:val="single" w:color="auto" w:sz="4" w:space="0"/>
              <w:bottom w:val="single" w:color="auto" w:sz="4" w:space="0"/>
              <w:right w:val="single" w:color="auto" w:sz="4" w:space="0"/>
            </w:tcBorders>
            <w:noWrap w:val="0"/>
            <w:vAlign w:val="center"/>
          </w:tcPr>
          <w:p w14:paraId="67643D80">
            <w:pPr>
              <w:widowControl/>
              <w:spacing w:line="240" w:lineRule="exact"/>
              <w:ind w:firstLine="0" w:firstLineChars="0"/>
              <w:jc w:val="center"/>
              <w:rPr>
                <w:rFonts w:hint="eastAsia" w:ascii="宋体" w:hAnsi="宋体" w:eastAsia="宋体" w:cs="宋体"/>
                <w:sz w:val="21"/>
                <w:szCs w:val="21"/>
              </w:rPr>
            </w:pPr>
          </w:p>
        </w:tc>
        <w:tc>
          <w:tcPr>
            <w:tcW w:w="678" w:type="dxa"/>
            <w:vMerge w:val="continue"/>
            <w:tcBorders>
              <w:top w:val="single" w:color="auto" w:sz="4" w:space="0"/>
              <w:left w:val="single" w:color="auto" w:sz="4" w:space="0"/>
              <w:bottom w:val="single" w:color="auto" w:sz="4" w:space="0"/>
              <w:right w:val="single" w:color="auto" w:sz="4" w:space="0"/>
            </w:tcBorders>
            <w:noWrap w:val="0"/>
            <w:vAlign w:val="center"/>
          </w:tcPr>
          <w:p w14:paraId="22CB2539">
            <w:pPr>
              <w:widowControl/>
              <w:spacing w:line="240" w:lineRule="exact"/>
              <w:ind w:firstLine="0" w:firstLineChars="0"/>
              <w:jc w:val="center"/>
              <w:rPr>
                <w:rFonts w:hint="eastAsia" w:ascii="宋体" w:hAnsi="宋体" w:eastAsia="宋体" w:cs="宋体"/>
                <w:sz w:val="21"/>
                <w:szCs w:val="21"/>
              </w:rPr>
            </w:pPr>
          </w:p>
        </w:tc>
        <w:tc>
          <w:tcPr>
            <w:tcW w:w="847" w:type="dxa"/>
            <w:vMerge w:val="continue"/>
            <w:tcBorders>
              <w:top w:val="single" w:color="auto" w:sz="4" w:space="0"/>
              <w:left w:val="single" w:color="auto" w:sz="4" w:space="0"/>
              <w:bottom w:val="single" w:color="auto" w:sz="4" w:space="0"/>
              <w:right w:val="single" w:color="auto" w:sz="4" w:space="0"/>
            </w:tcBorders>
            <w:noWrap w:val="0"/>
            <w:vAlign w:val="center"/>
          </w:tcPr>
          <w:p w14:paraId="1F94C0BD">
            <w:pPr>
              <w:widowControl/>
              <w:spacing w:line="240" w:lineRule="exact"/>
              <w:ind w:firstLine="0" w:firstLineChars="0"/>
              <w:jc w:val="center"/>
              <w:rPr>
                <w:rFonts w:hint="eastAsia" w:ascii="宋体" w:hAnsi="宋体" w:eastAsia="宋体" w:cs="宋体"/>
                <w:sz w:val="21"/>
                <w:szCs w:val="21"/>
              </w:rPr>
            </w:pPr>
          </w:p>
        </w:tc>
        <w:tc>
          <w:tcPr>
            <w:tcW w:w="609" w:type="dxa"/>
            <w:vMerge w:val="continue"/>
            <w:tcBorders>
              <w:top w:val="single" w:color="auto" w:sz="4" w:space="0"/>
              <w:left w:val="single" w:color="auto" w:sz="4" w:space="0"/>
              <w:bottom w:val="single" w:color="auto" w:sz="4" w:space="0"/>
              <w:right w:val="single" w:color="auto" w:sz="4" w:space="0"/>
            </w:tcBorders>
            <w:noWrap w:val="0"/>
            <w:vAlign w:val="center"/>
          </w:tcPr>
          <w:p w14:paraId="08412B92">
            <w:pPr>
              <w:widowControl/>
              <w:spacing w:line="240" w:lineRule="exact"/>
              <w:ind w:firstLine="0" w:firstLineChars="0"/>
              <w:jc w:val="center"/>
              <w:rPr>
                <w:rFonts w:hint="eastAsia" w:ascii="宋体" w:hAnsi="宋体" w:eastAsia="宋体" w:cs="宋体"/>
                <w:sz w:val="21"/>
                <w:szCs w:val="21"/>
              </w:rPr>
            </w:pPr>
          </w:p>
        </w:tc>
        <w:tc>
          <w:tcPr>
            <w:tcW w:w="1243" w:type="dxa"/>
            <w:tcBorders>
              <w:top w:val="single" w:color="auto" w:sz="4" w:space="0"/>
              <w:left w:val="single" w:color="auto" w:sz="4" w:space="0"/>
              <w:bottom w:val="single" w:color="auto" w:sz="4" w:space="0"/>
              <w:right w:val="single" w:color="auto" w:sz="4" w:space="0"/>
            </w:tcBorders>
            <w:noWrap w:val="0"/>
            <w:vAlign w:val="center"/>
          </w:tcPr>
          <w:p w14:paraId="5340F00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服务对象满意度</w:t>
            </w:r>
          </w:p>
        </w:tc>
        <w:tc>
          <w:tcPr>
            <w:tcW w:w="609" w:type="dxa"/>
            <w:tcBorders>
              <w:top w:val="single" w:color="auto" w:sz="4" w:space="0"/>
              <w:left w:val="single" w:color="auto" w:sz="4" w:space="0"/>
              <w:bottom w:val="single" w:color="auto" w:sz="4" w:space="0"/>
              <w:right w:val="single" w:color="auto" w:sz="4" w:space="0"/>
            </w:tcBorders>
            <w:noWrap w:val="0"/>
            <w:vAlign w:val="center"/>
          </w:tcPr>
          <w:p w14:paraId="378121E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2E73F282">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学生满意度</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1F561D33">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≥95%</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049A0063">
            <w:pPr>
              <w:widowControl/>
              <w:spacing w:line="240" w:lineRule="exact"/>
              <w:ind w:firstLine="0" w:firstLineChars="0"/>
              <w:jc w:val="center"/>
              <w:textAlignment w:val="center"/>
              <w:rPr>
                <w:rFonts w:hint="eastAsia" w:ascii="宋体" w:hAnsi="宋体" w:eastAsia="宋体" w:cs="宋体"/>
                <w:kern w:val="0"/>
                <w:sz w:val="21"/>
                <w:szCs w:val="21"/>
              </w:rPr>
            </w:pPr>
            <w:r>
              <w:rPr>
                <w:rFonts w:hint="eastAsia" w:ascii="宋体" w:hAnsi="宋体" w:eastAsia="宋体" w:cs="宋体"/>
                <w:kern w:val="0"/>
                <w:sz w:val="21"/>
                <w:szCs w:val="21"/>
              </w:rPr>
              <w:t>根据问卷调查，满意度达到标杆值，得权重分的100%；否则低于95%，得分=实际满意度*指标分值。</w:t>
            </w:r>
          </w:p>
        </w:tc>
        <w:tc>
          <w:tcPr>
            <w:tcW w:w="888" w:type="dxa"/>
            <w:tcBorders>
              <w:top w:val="single" w:color="auto" w:sz="4" w:space="0"/>
              <w:left w:val="single" w:color="auto" w:sz="4" w:space="0"/>
              <w:bottom w:val="single" w:color="auto" w:sz="4" w:space="0"/>
              <w:right w:val="single" w:color="auto" w:sz="4" w:space="0"/>
            </w:tcBorders>
            <w:noWrap w:val="0"/>
            <w:vAlign w:val="center"/>
          </w:tcPr>
          <w:p w14:paraId="1FCBD51D">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252EC359">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w:t>
            </w:r>
          </w:p>
        </w:tc>
      </w:tr>
      <w:tr w14:paraId="117F4B33">
        <w:tblPrEx>
          <w:tblCellMar>
            <w:top w:w="0" w:type="dxa"/>
            <w:left w:w="108" w:type="dxa"/>
            <w:bottom w:w="0" w:type="dxa"/>
            <w:right w:w="108" w:type="dxa"/>
          </w:tblCellMar>
        </w:tblPrEx>
        <w:trPr>
          <w:trHeight w:val="610" w:hRule="atLeast"/>
        </w:trPr>
        <w:tc>
          <w:tcPr>
            <w:tcW w:w="779" w:type="dxa"/>
            <w:tcBorders>
              <w:top w:val="single" w:color="auto" w:sz="4" w:space="0"/>
              <w:left w:val="single" w:color="auto" w:sz="4" w:space="0"/>
              <w:bottom w:val="single" w:color="auto" w:sz="4" w:space="0"/>
              <w:right w:val="single" w:color="auto" w:sz="4" w:space="0"/>
            </w:tcBorders>
            <w:noWrap w:val="0"/>
            <w:vAlign w:val="center"/>
          </w:tcPr>
          <w:p w14:paraId="5D639AE6">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总分</w:t>
            </w:r>
          </w:p>
        </w:tc>
        <w:tc>
          <w:tcPr>
            <w:tcW w:w="678" w:type="dxa"/>
            <w:tcBorders>
              <w:top w:val="single" w:color="auto" w:sz="4" w:space="0"/>
              <w:left w:val="single" w:color="auto" w:sz="4" w:space="0"/>
              <w:bottom w:val="single" w:color="auto" w:sz="4" w:space="0"/>
              <w:right w:val="single" w:color="auto" w:sz="4" w:space="0"/>
            </w:tcBorders>
            <w:noWrap w:val="0"/>
            <w:vAlign w:val="center"/>
          </w:tcPr>
          <w:p w14:paraId="67C2BA15">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847" w:type="dxa"/>
            <w:tcBorders>
              <w:top w:val="single" w:color="auto" w:sz="4" w:space="0"/>
              <w:left w:val="single" w:color="auto" w:sz="4" w:space="0"/>
              <w:bottom w:val="single" w:color="auto" w:sz="4" w:space="0"/>
              <w:right w:val="single" w:color="auto" w:sz="4" w:space="0"/>
            </w:tcBorders>
            <w:noWrap w:val="0"/>
            <w:vAlign w:val="center"/>
          </w:tcPr>
          <w:p w14:paraId="6B08D2D0">
            <w:pPr>
              <w:widowControl/>
              <w:spacing w:line="240" w:lineRule="exact"/>
              <w:ind w:firstLine="0" w:firstLineChars="0"/>
              <w:jc w:val="center"/>
              <w:rPr>
                <w:rFonts w:hint="eastAsia" w:ascii="宋体" w:hAnsi="宋体" w:eastAsia="宋体" w:cs="宋体"/>
                <w:sz w:val="21"/>
                <w:szCs w:val="21"/>
              </w:rPr>
            </w:pPr>
          </w:p>
        </w:tc>
        <w:tc>
          <w:tcPr>
            <w:tcW w:w="609" w:type="dxa"/>
            <w:tcBorders>
              <w:top w:val="single" w:color="auto" w:sz="4" w:space="0"/>
              <w:left w:val="single" w:color="auto" w:sz="4" w:space="0"/>
              <w:bottom w:val="single" w:color="auto" w:sz="4" w:space="0"/>
              <w:right w:val="single" w:color="auto" w:sz="4" w:space="0"/>
            </w:tcBorders>
            <w:noWrap w:val="0"/>
            <w:vAlign w:val="center"/>
          </w:tcPr>
          <w:p w14:paraId="334E8FB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1243" w:type="dxa"/>
            <w:tcBorders>
              <w:top w:val="single" w:color="auto" w:sz="4" w:space="0"/>
              <w:left w:val="single" w:color="auto" w:sz="4" w:space="0"/>
              <w:bottom w:val="single" w:color="auto" w:sz="4" w:space="0"/>
              <w:right w:val="single" w:color="auto" w:sz="4" w:space="0"/>
            </w:tcBorders>
            <w:noWrap w:val="0"/>
            <w:vAlign w:val="center"/>
          </w:tcPr>
          <w:p w14:paraId="1CC0071B">
            <w:pPr>
              <w:widowControl/>
              <w:spacing w:line="240" w:lineRule="exact"/>
              <w:ind w:firstLine="0" w:firstLineChars="0"/>
              <w:jc w:val="center"/>
              <w:rPr>
                <w:rFonts w:hint="eastAsia" w:ascii="宋体" w:hAnsi="宋体" w:eastAsia="宋体" w:cs="宋体"/>
                <w:sz w:val="21"/>
                <w:szCs w:val="21"/>
              </w:rPr>
            </w:pPr>
          </w:p>
        </w:tc>
        <w:tc>
          <w:tcPr>
            <w:tcW w:w="609" w:type="dxa"/>
            <w:tcBorders>
              <w:top w:val="single" w:color="auto" w:sz="4" w:space="0"/>
              <w:left w:val="single" w:color="auto" w:sz="4" w:space="0"/>
              <w:bottom w:val="single" w:color="auto" w:sz="4" w:space="0"/>
              <w:right w:val="single" w:color="auto" w:sz="4" w:space="0"/>
            </w:tcBorders>
            <w:noWrap w:val="0"/>
            <w:vAlign w:val="center"/>
          </w:tcPr>
          <w:p w14:paraId="72F28F9A">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c>
          <w:tcPr>
            <w:tcW w:w="2454" w:type="dxa"/>
            <w:tcBorders>
              <w:top w:val="single" w:color="auto" w:sz="4" w:space="0"/>
              <w:left w:val="single" w:color="auto" w:sz="4" w:space="0"/>
              <w:bottom w:val="single" w:color="auto" w:sz="4" w:space="0"/>
              <w:right w:val="single" w:color="auto" w:sz="4" w:space="0"/>
            </w:tcBorders>
            <w:noWrap w:val="0"/>
            <w:vAlign w:val="center"/>
          </w:tcPr>
          <w:p w14:paraId="19A30612">
            <w:pPr>
              <w:widowControl/>
              <w:spacing w:line="240" w:lineRule="exact"/>
              <w:ind w:firstLine="0" w:firstLineChars="0"/>
              <w:jc w:val="center"/>
              <w:rPr>
                <w:rFonts w:hint="eastAsia" w:ascii="宋体" w:hAnsi="宋体" w:eastAsia="宋体" w:cs="宋体"/>
                <w:sz w:val="21"/>
                <w:szCs w:val="21"/>
              </w:rPr>
            </w:pPr>
          </w:p>
        </w:tc>
        <w:tc>
          <w:tcPr>
            <w:tcW w:w="1206" w:type="dxa"/>
            <w:tcBorders>
              <w:top w:val="single" w:color="auto" w:sz="4" w:space="0"/>
              <w:left w:val="single" w:color="auto" w:sz="4" w:space="0"/>
              <w:bottom w:val="single" w:color="auto" w:sz="4" w:space="0"/>
              <w:right w:val="single" w:color="auto" w:sz="4" w:space="0"/>
            </w:tcBorders>
            <w:noWrap w:val="0"/>
            <w:vAlign w:val="center"/>
          </w:tcPr>
          <w:p w14:paraId="74709593">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w:t>
            </w:r>
          </w:p>
        </w:tc>
        <w:tc>
          <w:tcPr>
            <w:tcW w:w="4069" w:type="dxa"/>
            <w:tcBorders>
              <w:top w:val="single" w:color="auto" w:sz="4" w:space="0"/>
              <w:left w:val="single" w:color="auto" w:sz="4" w:space="0"/>
              <w:bottom w:val="single" w:color="auto" w:sz="4" w:space="0"/>
              <w:right w:val="single" w:color="auto" w:sz="4" w:space="0"/>
            </w:tcBorders>
            <w:noWrap w:val="0"/>
            <w:vAlign w:val="center"/>
          </w:tcPr>
          <w:p w14:paraId="564BFFE5">
            <w:pPr>
              <w:widowControl/>
              <w:spacing w:line="240" w:lineRule="exact"/>
              <w:ind w:firstLine="0" w:firstLineChars="0"/>
              <w:jc w:val="left"/>
              <w:rPr>
                <w:rFonts w:hint="eastAsia" w:ascii="宋体" w:hAnsi="宋体" w:eastAsia="宋体" w:cs="宋体"/>
                <w:sz w:val="21"/>
                <w:szCs w:val="21"/>
              </w:rPr>
            </w:pPr>
          </w:p>
        </w:tc>
        <w:tc>
          <w:tcPr>
            <w:tcW w:w="888" w:type="dxa"/>
            <w:tcBorders>
              <w:top w:val="single" w:color="auto" w:sz="4" w:space="0"/>
              <w:left w:val="single" w:color="auto" w:sz="4" w:space="0"/>
              <w:bottom w:val="single" w:color="auto" w:sz="4" w:space="0"/>
              <w:right w:val="single" w:color="auto" w:sz="4" w:space="0"/>
            </w:tcBorders>
            <w:noWrap w:val="0"/>
            <w:vAlign w:val="center"/>
          </w:tcPr>
          <w:p w14:paraId="1BDB1A7B">
            <w:pPr>
              <w:widowControl/>
              <w:spacing w:line="240" w:lineRule="exact"/>
              <w:ind w:firstLine="0" w:firstLineChars="0"/>
              <w:jc w:val="center"/>
              <w:rPr>
                <w:rFonts w:hint="eastAsia" w:ascii="宋体" w:hAnsi="宋体" w:eastAsia="宋体" w:cs="宋体"/>
                <w:sz w:val="21"/>
                <w:szCs w:val="21"/>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3D6C5D24">
            <w:pPr>
              <w:widowControl/>
              <w:spacing w:line="240" w:lineRule="exact"/>
              <w:ind w:firstLine="0" w:firstLineChars="0"/>
              <w:jc w:val="center"/>
              <w:textAlignment w:val="center"/>
              <w:rPr>
                <w:rFonts w:hint="eastAsia" w:ascii="宋体" w:hAnsi="宋体" w:eastAsia="宋体" w:cs="宋体"/>
                <w:sz w:val="21"/>
                <w:szCs w:val="21"/>
              </w:rPr>
            </w:pPr>
            <w:r>
              <w:rPr>
                <w:rFonts w:hint="eastAsia" w:ascii="宋体" w:hAnsi="宋体" w:eastAsia="宋体" w:cs="宋体"/>
                <w:kern w:val="0"/>
                <w:sz w:val="21"/>
                <w:szCs w:val="21"/>
              </w:rPr>
              <w:t>100</w:t>
            </w:r>
          </w:p>
        </w:tc>
      </w:tr>
    </w:tbl>
    <w:p w14:paraId="428F6815">
      <w:pPr>
        <w:pStyle w:val="10"/>
        <w:rPr>
          <w:rFonts w:hint="eastAsia" w:ascii="宋体" w:hAnsi="宋体" w:eastAsia="宋体" w:cs="宋体"/>
          <w:color w:val="auto"/>
          <w:sz w:val="24"/>
          <w:szCs w:val="24"/>
          <w:highlight w:val="none"/>
          <w:lang w:eastAsia="zh-CN"/>
        </w:rPr>
      </w:pPr>
    </w:p>
    <w:p w14:paraId="0A18BB55">
      <w:pPr>
        <w:pStyle w:val="10"/>
        <w:rPr>
          <w:rFonts w:hint="eastAsia" w:ascii="宋体" w:hAnsi="宋体" w:eastAsia="宋体" w:cs="宋体"/>
          <w:color w:val="auto"/>
          <w:sz w:val="24"/>
          <w:szCs w:val="24"/>
          <w:highlight w:val="none"/>
          <w:lang w:eastAsia="zh-CN"/>
        </w:rPr>
      </w:pPr>
    </w:p>
    <w:p w14:paraId="1B67C5BF">
      <w:pPr>
        <w:pStyle w:val="10"/>
        <w:rPr>
          <w:rFonts w:hint="eastAsia" w:ascii="宋体" w:hAnsi="宋体" w:eastAsia="宋体" w:cs="宋体"/>
          <w:color w:val="auto"/>
          <w:sz w:val="24"/>
          <w:szCs w:val="24"/>
          <w:highlight w:val="none"/>
          <w:lang w:eastAsia="zh-CN"/>
        </w:rPr>
      </w:pPr>
    </w:p>
    <w:p w14:paraId="282918F8">
      <w:pPr>
        <w:pStyle w:val="10"/>
        <w:rPr>
          <w:rFonts w:hint="eastAsia" w:ascii="宋体" w:hAnsi="宋体" w:eastAsia="宋体" w:cs="宋体"/>
          <w:color w:val="auto"/>
          <w:sz w:val="24"/>
          <w:szCs w:val="24"/>
          <w:highlight w:val="none"/>
          <w:lang w:eastAsia="zh-CN"/>
        </w:rPr>
      </w:pPr>
    </w:p>
    <w:p w14:paraId="158FD8D9">
      <w:pPr>
        <w:pStyle w:val="10"/>
        <w:rPr>
          <w:rFonts w:hint="eastAsia" w:ascii="宋体" w:hAnsi="宋体" w:eastAsia="宋体" w:cs="宋体"/>
          <w:color w:val="auto"/>
          <w:sz w:val="24"/>
          <w:szCs w:val="24"/>
          <w:highlight w:val="none"/>
          <w:lang w:eastAsia="zh-CN"/>
        </w:rPr>
      </w:pPr>
    </w:p>
    <w:p w14:paraId="0C4E2AA8">
      <w:pPr>
        <w:pStyle w:val="10"/>
        <w:rPr>
          <w:rFonts w:hint="eastAsia" w:ascii="宋体" w:hAnsi="宋体" w:eastAsia="宋体" w:cs="宋体"/>
          <w:color w:val="auto"/>
          <w:sz w:val="24"/>
          <w:szCs w:val="24"/>
          <w:highlight w:val="none"/>
          <w:lang w:eastAsia="zh-CN"/>
        </w:rPr>
      </w:pPr>
    </w:p>
    <w:p w14:paraId="73C60AE5">
      <w:pPr>
        <w:pStyle w:val="10"/>
        <w:rPr>
          <w:rFonts w:hint="eastAsia" w:ascii="宋体" w:hAnsi="宋体" w:eastAsia="宋体" w:cs="宋体"/>
          <w:color w:val="auto"/>
          <w:sz w:val="24"/>
          <w:szCs w:val="24"/>
          <w:highlight w:val="none"/>
          <w:lang w:eastAsia="zh-CN"/>
        </w:rPr>
      </w:pPr>
    </w:p>
    <w:p w14:paraId="540E741D">
      <w:pPr>
        <w:pStyle w:val="10"/>
        <w:rPr>
          <w:rFonts w:hint="eastAsia" w:ascii="宋体" w:hAnsi="宋体" w:eastAsia="宋体" w:cs="宋体"/>
          <w:color w:val="auto"/>
          <w:sz w:val="24"/>
          <w:szCs w:val="24"/>
          <w:highlight w:val="none"/>
          <w:lang w:eastAsia="zh-CN"/>
        </w:rPr>
      </w:pPr>
    </w:p>
    <w:p w14:paraId="7B2D97EF">
      <w:pPr>
        <w:pStyle w:val="10"/>
        <w:rPr>
          <w:rFonts w:hint="eastAsia" w:ascii="宋体" w:hAnsi="宋体" w:eastAsia="宋体" w:cs="宋体"/>
          <w:color w:val="auto"/>
          <w:sz w:val="24"/>
          <w:szCs w:val="24"/>
          <w:highlight w:val="none"/>
          <w:lang w:eastAsia="zh-CN"/>
        </w:rPr>
      </w:pPr>
    </w:p>
    <w:p w14:paraId="274D5633">
      <w:pPr>
        <w:pStyle w:val="10"/>
        <w:ind w:left="0" w:leftChars="0" w:firstLine="0" w:firstLineChars="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附件2：</w:t>
      </w:r>
    </w:p>
    <w:tbl>
      <w:tblPr>
        <w:tblStyle w:val="2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63"/>
        <w:gridCol w:w="1778"/>
        <w:gridCol w:w="2786"/>
        <w:gridCol w:w="2314"/>
        <w:gridCol w:w="3449"/>
        <w:gridCol w:w="1331"/>
      </w:tblGrid>
      <w:tr w14:paraId="1CF40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1363" w:type="dxa"/>
            <w:tcBorders>
              <w:top w:val="nil"/>
              <w:left w:val="nil"/>
              <w:bottom w:val="nil"/>
              <w:right w:val="nil"/>
            </w:tcBorders>
            <w:noWrap/>
            <w:vAlign w:val="center"/>
          </w:tcPr>
          <w:p w14:paraId="6DF97BA5">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auto"/>
                <w:sz w:val="22"/>
                <w:szCs w:val="22"/>
                <w:highlight w:val="none"/>
                <w:u w:val="none"/>
              </w:rPr>
            </w:pPr>
          </w:p>
        </w:tc>
        <w:tc>
          <w:tcPr>
            <w:tcW w:w="1778" w:type="dxa"/>
            <w:tcBorders>
              <w:top w:val="nil"/>
              <w:left w:val="nil"/>
              <w:bottom w:val="nil"/>
              <w:right w:val="nil"/>
            </w:tcBorders>
            <w:noWrap/>
            <w:vAlign w:val="center"/>
          </w:tcPr>
          <w:p w14:paraId="4F5A46B0">
            <w:pPr>
              <w:rPr>
                <w:rFonts w:hint="eastAsia" w:ascii="宋体" w:hAnsi="宋体" w:eastAsia="宋体" w:cs="宋体"/>
                <w:i w:val="0"/>
                <w:iCs w:val="0"/>
                <w:color w:val="auto"/>
                <w:sz w:val="22"/>
                <w:szCs w:val="22"/>
                <w:highlight w:val="none"/>
                <w:u w:val="none"/>
              </w:rPr>
            </w:pPr>
          </w:p>
        </w:tc>
        <w:tc>
          <w:tcPr>
            <w:tcW w:w="2786" w:type="dxa"/>
            <w:tcBorders>
              <w:top w:val="nil"/>
              <w:left w:val="nil"/>
              <w:bottom w:val="nil"/>
              <w:right w:val="nil"/>
            </w:tcBorders>
            <w:noWrap/>
            <w:vAlign w:val="center"/>
          </w:tcPr>
          <w:p w14:paraId="432F09B4">
            <w:pPr>
              <w:rPr>
                <w:rFonts w:hint="eastAsia" w:ascii="宋体" w:hAnsi="宋体" w:eastAsia="宋体" w:cs="宋体"/>
                <w:i w:val="0"/>
                <w:iCs w:val="0"/>
                <w:color w:val="auto"/>
                <w:sz w:val="22"/>
                <w:szCs w:val="22"/>
                <w:highlight w:val="none"/>
                <w:u w:val="none"/>
              </w:rPr>
            </w:pPr>
          </w:p>
        </w:tc>
        <w:tc>
          <w:tcPr>
            <w:tcW w:w="2314" w:type="dxa"/>
            <w:tcBorders>
              <w:top w:val="nil"/>
              <w:left w:val="nil"/>
              <w:bottom w:val="nil"/>
              <w:right w:val="nil"/>
            </w:tcBorders>
            <w:noWrap/>
            <w:vAlign w:val="center"/>
          </w:tcPr>
          <w:p w14:paraId="3F242697">
            <w:pPr>
              <w:rPr>
                <w:rFonts w:hint="eastAsia" w:ascii="宋体" w:hAnsi="宋体" w:eastAsia="宋体" w:cs="宋体"/>
                <w:i w:val="0"/>
                <w:iCs w:val="0"/>
                <w:color w:val="auto"/>
                <w:sz w:val="22"/>
                <w:szCs w:val="22"/>
                <w:highlight w:val="none"/>
                <w:u w:val="none"/>
              </w:rPr>
            </w:pPr>
          </w:p>
        </w:tc>
        <w:tc>
          <w:tcPr>
            <w:tcW w:w="3449" w:type="dxa"/>
            <w:tcBorders>
              <w:top w:val="nil"/>
              <w:left w:val="nil"/>
              <w:bottom w:val="nil"/>
              <w:right w:val="nil"/>
            </w:tcBorders>
            <w:noWrap/>
            <w:vAlign w:val="center"/>
          </w:tcPr>
          <w:p w14:paraId="101581D9">
            <w:pPr>
              <w:rPr>
                <w:rFonts w:hint="eastAsia" w:ascii="宋体" w:hAnsi="宋体" w:eastAsia="宋体" w:cs="宋体"/>
                <w:i w:val="0"/>
                <w:iCs w:val="0"/>
                <w:color w:val="auto"/>
                <w:sz w:val="22"/>
                <w:szCs w:val="22"/>
                <w:highlight w:val="none"/>
                <w:u w:val="none"/>
              </w:rPr>
            </w:pPr>
          </w:p>
        </w:tc>
        <w:tc>
          <w:tcPr>
            <w:tcW w:w="1331" w:type="dxa"/>
            <w:tcBorders>
              <w:top w:val="nil"/>
              <w:left w:val="nil"/>
              <w:bottom w:val="nil"/>
              <w:right w:val="nil"/>
            </w:tcBorders>
            <w:noWrap/>
            <w:vAlign w:val="center"/>
          </w:tcPr>
          <w:p w14:paraId="7A3D91B4">
            <w:pPr>
              <w:rPr>
                <w:rFonts w:hint="eastAsia" w:ascii="宋体" w:hAnsi="宋体" w:eastAsia="宋体" w:cs="宋体"/>
                <w:i w:val="0"/>
                <w:iCs w:val="0"/>
                <w:color w:val="auto"/>
                <w:sz w:val="22"/>
                <w:szCs w:val="22"/>
                <w:highlight w:val="none"/>
                <w:u w:val="none"/>
              </w:rPr>
            </w:pPr>
          </w:p>
        </w:tc>
      </w:tr>
      <w:tr w14:paraId="0D765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13021" w:type="dxa"/>
            <w:gridSpan w:val="6"/>
            <w:tcBorders>
              <w:top w:val="nil"/>
              <w:left w:val="nil"/>
              <w:bottom w:val="nil"/>
              <w:right w:val="nil"/>
            </w:tcBorders>
            <w:noWrap/>
            <w:vAlign w:val="center"/>
          </w:tcPr>
          <w:p w14:paraId="176DC300">
            <w:pPr>
              <w:keepNext w:val="0"/>
              <w:keepLines w:val="0"/>
              <w:widowControl/>
              <w:suppressLineNumbers w:val="0"/>
              <w:jc w:val="center"/>
              <w:textAlignment w:val="center"/>
              <w:rPr>
                <w:rFonts w:hint="eastAsia" w:ascii="宋体" w:hAnsi="宋体" w:eastAsia="宋体" w:cs="宋体"/>
                <w:b/>
                <w:bCs/>
                <w:i w:val="0"/>
                <w:iCs w:val="0"/>
                <w:color w:val="auto"/>
                <w:sz w:val="36"/>
                <w:szCs w:val="36"/>
                <w:highlight w:val="none"/>
                <w:u w:val="none"/>
              </w:rPr>
            </w:pPr>
            <w:r>
              <w:rPr>
                <w:rFonts w:hint="eastAsia" w:ascii="宋体" w:hAnsi="宋体" w:eastAsia="宋体" w:cs="宋体"/>
                <w:b/>
                <w:bCs/>
                <w:i w:val="0"/>
                <w:iCs w:val="0"/>
                <w:color w:val="auto"/>
                <w:kern w:val="0"/>
                <w:sz w:val="36"/>
                <w:szCs w:val="36"/>
                <w:highlight w:val="none"/>
                <w:u w:val="none"/>
                <w:lang w:val="en-US" w:eastAsia="zh-CN"/>
              </w:rPr>
              <w:t>2024年城乡义务教育补助经费项目综合得分表</w:t>
            </w:r>
          </w:p>
        </w:tc>
      </w:tr>
      <w:tr w14:paraId="35680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345E3D7F">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指标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8A2850B">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项目决策</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3EF702A1">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项目过程</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24B51DCC">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项目产出</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1F3E38F2">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项目效益</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275ABCB8">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合计</w:t>
            </w:r>
          </w:p>
        </w:tc>
      </w:tr>
      <w:tr w14:paraId="23EAF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4CACC5E3">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权重</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09840323">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23.00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0AF6B0F">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12.00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4DC11FDD">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0489B3B9">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25.00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264613B7">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100.00 </w:t>
            </w:r>
          </w:p>
        </w:tc>
      </w:tr>
      <w:tr w14:paraId="4CF43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5E36E5CD">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得分</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1C46F0E6">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23.00 </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564888BB">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12.00 </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5ACF02ED">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40.00 </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297AE719">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25.00 </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3416B671">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 xml:space="preserve">100.00 </w:t>
            </w:r>
          </w:p>
        </w:tc>
      </w:tr>
      <w:tr w14:paraId="7FD07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363" w:type="dxa"/>
            <w:tcBorders>
              <w:top w:val="single" w:color="auto" w:sz="4" w:space="0"/>
              <w:left w:val="single" w:color="auto" w:sz="4" w:space="0"/>
              <w:bottom w:val="single" w:color="auto" w:sz="4" w:space="0"/>
              <w:right w:val="single" w:color="auto" w:sz="4" w:space="0"/>
            </w:tcBorders>
            <w:noWrap w:val="0"/>
            <w:vAlign w:val="center"/>
          </w:tcPr>
          <w:p w14:paraId="6AE8A665">
            <w:pPr>
              <w:widowControl/>
              <w:ind w:firstLine="0" w:firstLineChars="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kern w:val="0"/>
                <w:sz w:val="24"/>
                <w:szCs w:val="24"/>
              </w:rPr>
              <w:t>得分率</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55ECBBAF">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100.00%</w:t>
            </w:r>
          </w:p>
        </w:tc>
        <w:tc>
          <w:tcPr>
            <w:tcW w:w="2786" w:type="dxa"/>
            <w:tcBorders>
              <w:top w:val="single" w:color="auto" w:sz="4" w:space="0"/>
              <w:left w:val="single" w:color="auto" w:sz="4" w:space="0"/>
              <w:bottom w:val="single" w:color="auto" w:sz="4" w:space="0"/>
              <w:right w:val="single" w:color="auto" w:sz="4" w:space="0"/>
            </w:tcBorders>
            <w:noWrap w:val="0"/>
            <w:vAlign w:val="center"/>
          </w:tcPr>
          <w:p w14:paraId="369A3A0E">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100.00%</w:t>
            </w:r>
          </w:p>
        </w:tc>
        <w:tc>
          <w:tcPr>
            <w:tcW w:w="2314" w:type="dxa"/>
            <w:tcBorders>
              <w:top w:val="single" w:color="auto" w:sz="4" w:space="0"/>
              <w:left w:val="single" w:color="auto" w:sz="4" w:space="0"/>
              <w:bottom w:val="single" w:color="auto" w:sz="4" w:space="0"/>
              <w:right w:val="single" w:color="auto" w:sz="4" w:space="0"/>
            </w:tcBorders>
            <w:noWrap w:val="0"/>
            <w:vAlign w:val="center"/>
          </w:tcPr>
          <w:p w14:paraId="18D0439A">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100.00%</w:t>
            </w:r>
          </w:p>
        </w:tc>
        <w:tc>
          <w:tcPr>
            <w:tcW w:w="3449" w:type="dxa"/>
            <w:tcBorders>
              <w:top w:val="single" w:color="auto" w:sz="4" w:space="0"/>
              <w:left w:val="single" w:color="auto" w:sz="4" w:space="0"/>
              <w:bottom w:val="single" w:color="auto" w:sz="4" w:space="0"/>
              <w:right w:val="single" w:color="auto" w:sz="4" w:space="0"/>
            </w:tcBorders>
            <w:noWrap w:val="0"/>
            <w:vAlign w:val="center"/>
          </w:tcPr>
          <w:p w14:paraId="03938C8E">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100.00%</w:t>
            </w:r>
          </w:p>
        </w:tc>
        <w:tc>
          <w:tcPr>
            <w:tcW w:w="1331" w:type="dxa"/>
            <w:tcBorders>
              <w:top w:val="single" w:color="auto" w:sz="4" w:space="0"/>
              <w:left w:val="single" w:color="auto" w:sz="4" w:space="0"/>
              <w:bottom w:val="single" w:color="auto" w:sz="4" w:space="0"/>
              <w:right w:val="single" w:color="auto" w:sz="4" w:space="0"/>
            </w:tcBorders>
            <w:noWrap w:val="0"/>
            <w:vAlign w:val="center"/>
          </w:tcPr>
          <w:p w14:paraId="612B62CB">
            <w:pPr>
              <w:widowControl/>
              <w:ind w:firstLine="0" w:firstLineChars="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kern w:val="0"/>
                <w:sz w:val="24"/>
                <w:szCs w:val="24"/>
              </w:rPr>
              <w:t>100.00%</w:t>
            </w:r>
          </w:p>
        </w:tc>
      </w:tr>
    </w:tbl>
    <w:p w14:paraId="199705AE">
      <w:pPr>
        <w:pStyle w:val="10"/>
        <w:ind w:left="0" w:leftChars="0" w:firstLine="0" w:firstLineChars="0"/>
        <w:jc w:val="both"/>
        <w:rPr>
          <w:rFonts w:hint="eastAsia" w:ascii="宋体" w:hAnsi="宋体" w:eastAsia="宋体" w:cs="宋体"/>
          <w:color w:val="auto"/>
          <w:sz w:val="24"/>
          <w:szCs w:val="24"/>
          <w:highlight w:val="none"/>
          <w:lang w:eastAsia="zh-CN"/>
        </w:rPr>
        <w:sectPr>
          <w:pgSz w:w="16838" w:h="11906" w:orient="landscape"/>
          <w:pgMar w:top="1531" w:right="1985" w:bottom="1531" w:left="1701" w:header="851" w:footer="992" w:gutter="0"/>
          <w:pgNumType w:start="1"/>
          <w:cols w:space="720" w:num="1"/>
          <w:docGrid w:type="linesAndChars" w:linePitch="386" w:charSpace="0"/>
        </w:sectPr>
      </w:pPr>
    </w:p>
    <w:p w14:paraId="101ACB11">
      <w:pPr>
        <w:spacing w:line="360" w:lineRule="auto"/>
        <w:ind w:firstLine="482"/>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附件3：</w:t>
      </w:r>
    </w:p>
    <w:p w14:paraId="7B1A70EC">
      <w:pPr>
        <w:spacing w:line="360" w:lineRule="auto"/>
        <w:ind w:firstLine="482"/>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城乡义务教育经费保障机制-公用经费补助，营养改善 ，寄宿生生活补助 和地财教（2023）60号满意度调查问卷分析报告</w:t>
      </w:r>
    </w:p>
    <w:p w14:paraId="20CE9C9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both"/>
        <w:textAlignment w:val="auto"/>
        <w:rPr>
          <w:rFonts w:hint="eastAsia" w:ascii="宋体" w:hAnsi="宋体" w:eastAsia="宋体" w:cs="宋体"/>
          <w:b/>
          <w:bCs/>
          <w:color w:val="auto"/>
          <w:sz w:val="28"/>
          <w:szCs w:val="28"/>
          <w:highlight w:val="none"/>
        </w:rPr>
      </w:pPr>
    </w:p>
    <w:p w14:paraId="17ECF147">
      <w:pPr>
        <w:spacing w:line="360" w:lineRule="auto"/>
        <w:ind w:firstLine="480"/>
        <w:rPr>
          <w:rFonts w:hint="eastAsia" w:ascii="宋体" w:hAnsi="宋体" w:eastAsia="宋体" w:cs="宋体"/>
          <w:sz w:val="24"/>
          <w:szCs w:val="24"/>
          <w:lang w:eastAsia="zh-CN"/>
        </w:rPr>
      </w:pPr>
      <w:r>
        <w:rPr>
          <w:rFonts w:hint="eastAsia" w:ascii="宋体" w:hAnsi="宋体" w:eastAsia="宋体" w:cs="宋体"/>
          <w:sz w:val="24"/>
          <w:szCs w:val="24"/>
        </w:rPr>
        <w:t>为客观评价该项目的社会效果，了解</w:t>
      </w:r>
      <w:r>
        <w:rPr>
          <w:rFonts w:hint="eastAsia" w:ascii="宋体" w:hAnsi="宋体" w:eastAsia="宋体" w:cs="宋体"/>
          <w:sz w:val="24"/>
          <w:szCs w:val="24"/>
          <w:lang w:val="en-US" w:eastAsia="zh-CN"/>
        </w:rPr>
        <w:t>项目受益群体</w:t>
      </w:r>
      <w:r>
        <w:rPr>
          <w:rFonts w:hint="eastAsia" w:ascii="宋体" w:hAnsi="宋体" w:eastAsia="宋体" w:cs="宋体"/>
          <w:sz w:val="24"/>
          <w:szCs w:val="24"/>
        </w:rPr>
        <w:t>对项目</w:t>
      </w:r>
      <w:r>
        <w:rPr>
          <w:rFonts w:hint="eastAsia" w:ascii="宋体" w:hAnsi="宋体" w:eastAsia="宋体" w:cs="宋体"/>
          <w:sz w:val="24"/>
          <w:szCs w:val="24"/>
          <w:lang w:val="en-US" w:eastAsia="zh-CN"/>
        </w:rPr>
        <w:t>实施后</w:t>
      </w:r>
      <w:r>
        <w:rPr>
          <w:rFonts w:hint="eastAsia" w:ascii="宋体" w:hAnsi="宋体" w:eastAsia="宋体" w:cs="宋体"/>
          <w:sz w:val="24"/>
          <w:szCs w:val="24"/>
        </w:rPr>
        <w:t>的</w:t>
      </w:r>
      <w:r>
        <w:rPr>
          <w:rFonts w:hint="eastAsia" w:ascii="宋体" w:hAnsi="宋体" w:eastAsia="宋体" w:cs="宋体"/>
          <w:sz w:val="24"/>
          <w:szCs w:val="24"/>
          <w:lang w:val="en-US" w:eastAsia="zh-CN"/>
        </w:rPr>
        <w:t>真实</w:t>
      </w:r>
      <w:r>
        <w:rPr>
          <w:rFonts w:hint="eastAsia" w:ascii="宋体" w:hAnsi="宋体" w:eastAsia="宋体" w:cs="宋体"/>
          <w:sz w:val="24"/>
          <w:szCs w:val="24"/>
        </w:rPr>
        <w:t>评价情况，对本项目</w:t>
      </w:r>
      <w:r>
        <w:rPr>
          <w:rFonts w:hint="eastAsia" w:ascii="宋体" w:hAnsi="宋体" w:eastAsia="宋体" w:cs="宋体"/>
          <w:sz w:val="24"/>
          <w:szCs w:val="24"/>
          <w:lang w:eastAsia="zh-CN"/>
        </w:rPr>
        <w:t>开展</w:t>
      </w:r>
      <w:r>
        <w:rPr>
          <w:rFonts w:hint="eastAsia" w:ascii="宋体" w:hAnsi="宋体" w:eastAsia="宋体" w:cs="宋体"/>
          <w:sz w:val="24"/>
          <w:szCs w:val="24"/>
        </w:rPr>
        <w:t>满意度问卷调查。问卷调查工作情况如下。问卷调查工作情况如下：</w:t>
      </w:r>
    </w:p>
    <w:p w14:paraId="159365A9">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一、该问卷调查从2024年1月1日开始至2024年12月31日结束，调查问卷共设置3道题目。</w:t>
      </w:r>
    </w:p>
    <w:p w14:paraId="3B4A3326">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1.调查对象</w:t>
      </w:r>
    </w:p>
    <w:p w14:paraId="4819D72D">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本次调查的受益对象为学生，教职工。</w:t>
      </w:r>
    </w:p>
    <w:p w14:paraId="588C5D3C">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2.调查内容</w:t>
      </w:r>
    </w:p>
    <w:p w14:paraId="43721564">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①您对城乡义务教育经费保障机制-公用经费补助，营养改善  和地财教（2023）60号项目的公用经费，营养改善的使用和用途是否满意?</w:t>
      </w:r>
    </w:p>
    <w:p w14:paraId="10BF7634">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②您对城乡义务教育经费保障机制-公用经费补助  和地财教（2024）18号项目的公用经费的用途是否满意?</w:t>
      </w:r>
    </w:p>
    <w:p w14:paraId="077AB9A6">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③总的来说，您对目前城乡义务教育经费保障机制-公用经费补助，营养改善  和地财教（2023）60号项目实施后的整体满意程度如何？</w:t>
      </w:r>
    </w:p>
    <w:p w14:paraId="34553E11">
      <w:pPr>
        <w:pStyle w:val="10"/>
        <w:spacing w:before="0" w:after="0"/>
        <w:ind w:firstLine="482"/>
        <w:jc w:val="both"/>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3.调查方法</w:t>
      </w:r>
    </w:p>
    <w:p w14:paraId="3B3CD5E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问卷调查采取</w:t>
      </w:r>
      <w:r>
        <w:rPr>
          <w:rFonts w:hint="eastAsia" w:cs="宋体"/>
          <w:color w:val="auto"/>
          <w:sz w:val="24"/>
          <w:szCs w:val="24"/>
          <w:highlight w:val="none"/>
          <w:lang w:val="en-US" w:eastAsia="zh-CN"/>
        </w:rPr>
        <w:t>分层</w:t>
      </w:r>
      <w:r>
        <w:rPr>
          <w:rFonts w:hint="eastAsia" w:ascii="宋体" w:hAnsi="宋体" w:eastAsia="宋体" w:cs="宋体"/>
          <w:color w:val="auto"/>
          <w:sz w:val="24"/>
          <w:szCs w:val="24"/>
          <w:highlight w:val="none"/>
        </w:rPr>
        <w:t>抽样和</w:t>
      </w:r>
      <w:r>
        <w:rPr>
          <w:rFonts w:hint="eastAsia" w:cs="宋体"/>
          <w:color w:val="auto"/>
          <w:sz w:val="24"/>
          <w:szCs w:val="24"/>
          <w:highlight w:val="none"/>
          <w:lang w:val="en-US" w:eastAsia="zh-CN"/>
        </w:rPr>
        <w:t>随机抽样相结合</w:t>
      </w:r>
      <w:r>
        <w:rPr>
          <w:rFonts w:hint="eastAsia" w:ascii="宋体" w:hAnsi="宋体" w:eastAsia="宋体" w:cs="宋体"/>
          <w:color w:val="auto"/>
          <w:sz w:val="24"/>
          <w:szCs w:val="24"/>
          <w:highlight w:val="none"/>
        </w:rPr>
        <w:t>的方式进行。在全面</w:t>
      </w:r>
      <w:r>
        <w:rPr>
          <w:rFonts w:hint="eastAsia" w:cs="宋体"/>
          <w:color w:val="auto"/>
          <w:sz w:val="24"/>
          <w:szCs w:val="24"/>
          <w:highlight w:val="none"/>
          <w:lang w:eastAsia="zh-CN"/>
        </w:rPr>
        <w:t>调查</w:t>
      </w:r>
      <w:r>
        <w:rPr>
          <w:rFonts w:hint="eastAsia" w:ascii="宋体" w:hAnsi="宋体" w:eastAsia="宋体" w:cs="宋体"/>
          <w:color w:val="auto"/>
          <w:sz w:val="24"/>
          <w:szCs w:val="24"/>
          <w:highlight w:val="none"/>
        </w:rPr>
        <w:t>开展之前会先进行论证，依据论证结果对问卷和抽样方案再进行一次修改和调整</w:t>
      </w:r>
      <w:r>
        <w:rPr>
          <w:rFonts w:hint="eastAsia" w:cs="宋体"/>
          <w:color w:val="auto"/>
          <w:sz w:val="24"/>
          <w:szCs w:val="24"/>
          <w:highlight w:val="none"/>
          <w:lang w:val="en-US" w:eastAsia="zh-CN"/>
        </w:rPr>
        <w:t>之后再付诸实施</w:t>
      </w:r>
      <w:r>
        <w:rPr>
          <w:rFonts w:hint="eastAsia" w:ascii="宋体" w:hAnsi="宋体" w:eastAsia="宋体" w:cs="宋体"/>
          <w:color w:val="auto"/>
          <w:sz w:val="24"/>
          <w:szCs w:val="24"/>
          <w:highlight w:val="none"/>
        </w:rPr>
        <w:t>。</w:t>
      </w:r>
    </w:p>
    <w:p w14:paraId="26D84AC7">
      <w:pPr>
        <w:spacing w:line="360" w:lineRule="auto"/>
        <w:ind w:firstLine="48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抽样方式</w:t>
      </w:r>
    </w:p>
    <w:p w14:paraId="00C7EB93">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rPr>
        <w:t>为确保问卷</w:t>
      </w:r>
      <w:r>
        <w:rPr>
          <w:rFonts w:hint="eastAsia" w:ascii="宋体" w:hAnsi="宋体" w:eastAsia="宋体" w:cs="宋体"/>
          <w:sz w:val="24"/>
          <w:szCs w:val="24"/>
          <w:lang w:eastAsia="zh-CN"/>
        </w:rPr>
        <w:t>调查</w:t>
      </w:r>
      <w:r>
        <w:rPr>
          <w:rFonts w:hint="eastAsia" w:ascii="宋体" w:hAnsi="宋体" w:eastAsia="宋体" w:cs="宋体"/>
          <w:sz w:val="24"/>
          <w:szCs w:val="24"/>
        </w:rPr>
        <w:t>的全面性和代表性，本次</w:t>
      </w:r>
      <w:r>
        <w:rPr>
          <w:rFonts w:hint="eastAsia" w:ascii="宋体" w:hAnsi="宋体" w:eastAsia="宋体" w:cs="宋体"/>
          <w:sz w:val="24"/>
          <w:szCs w:val="24"/>
          <w:lang w:eastAsia="zh-CN"/>
        </w:rPr>
        <w:t>调查</w:t>
      </w:r>
      <w:r>
        <w:rPr>
          <w:rFonts w:hint="eastAsia" w:ascii="宋体" w:hAnsi="宋体" w:eastAsia="宋体" w:cs="宋体"/>
          <w:sz w:val="24"/>
          <w:szCs w:val="24"/>
        </w:rPr>
        <w:t>问卷调查采取</w:t>
      </w:r>
      <w:r>
        <w:rPr>
          <w:rFonts w:hint="eastAsia" w:ascii="宋体" w:hAnsi="宋体" w:eastAsia="宋体" w:cs="宋体"/>
          <w:sz w:val="24"/>
          <w:szCs w:val="24"/>
          <w:lang w:val="en-US" w:eastAsia="zh-CN"/>
        </w:rPr>
        <w:t>随机</w:t>
      </w:r>
      <w:r>
        <w:rPr>
          <w:rFonts w:hint="eastAsia" w:ascii="宋体" w:hAnsi="宋体" w:eastAsia="宋体" w:cs="宋体"/>
          <w:sz w:val="24"/>
          <w:szCs w:val="24"/>
        </w:rPr>
        <w:t>抽样和</w:t>
      </w:r>
      <w:r>
        <w:rPr>
          <w:rFonts w:hint="eastAsia" w:ascii="宋体" w:hAnsi="宋体" w:eastAsia="宋体" w:cs="宋体"/>
          <w:sz w:val="24"/>
          <w:szCs w:val="24"/>
          <w:lang w:val="en-US" w:eastAsia="zh-CN"/>
        </w:rPr>
        <w:t>分层抽样相结合</w:t>
      </w:r>
      <w:r>
        <w:rPr>
          <w:rFonts w:hint="eastAsia" w:ascii="宋体" w:hAnsi="宋体" w:eastAsia="宋体" w:cs="宋体"/>
          <w:sz w:val="24"/>
          <w:szCs w:val="24"/>
        </w:rPr>
        <w:t>方式进行。</w:t>
      </w:r>
    </w:p>
    <w:p w14:paraId="407D0630">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rPr>
        <w:t>5.问卷的发放和回收</w:t>
      </w:r>
    </w:p>
    <w:p w14:paraId="4A29BFCF">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为了给调查对象营造良好的作答环境，保证调查的科学性和严谨性，由我单位工作人员在线下发放问卷，邀请相应的调查对象填写问卷。到目前为止共回收问卷50份，其中有效问卷50份，有效问卷回收率为100%。</w:t>
      </w:r>
    </w:p>
    <w:p w14:paraId="6586B6C1">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6.问卷调查分析结果</w:t>
      </w:r>
    </w:p>
    <w:p w14:paraId="6046FEB5">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本次调查过程中，评价小组实际发放问卷50份，回收问卷50份，问卷回收率为100.00%，有效问卷50份，有效回收率100.00%，本次调查的整体情况如下：</w:t>
      </w:r>
    </w:p>
    <w:p w14:paraId="120DAF96">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第一个问题：该项统计有效问卷数量50份，选择非常满意的人数为49人。选择比较满意的人数为1人，选择一般的人数0人，选择不满意的人数0人，选择非常不满意的人数0人。</w:t>
      </w:r>
    </w:p>
    <w:p w14:paraId="35F62B2F">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第二个问题：该项统计有效问卷数量50份，选择非常满意的人数为50人。选择比较满意的人数为0人，选择一般的人数0人，选择不满意的人数0人，选择非常不满意的人数0人。</w:t>
      </w:r>
    </w:p>
    <w:p w14:paraId="6DA8688C">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第三个问题：该项统计有效问卷数量50份，选择非常满意的人数为48人。选择比较满意的人数为2人，选择一般的人数0人，选择不满意的人数0人，选择非常不满意的人数0人。</w:t>
      </w:r>
    </w:p>
    <w:p w14:paraId="563FE85B">
      <w:pPr>
        <w:spacing w:line="360" w:lineRule="auto"/>
        <w:ind w:firstLine="482"/>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二、调查结果统计</w:t>
      </w:r>
    </w:p>
    <w:p w14:paraId="5E1712E5">
      <w:pPr>
        <w:spacing w:line="360" w:lineRule="auto"/>
        <w:ind w:firstLine="48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城乡义务教育经费保障制度-公用经费 ，营养改善  和地财教【2023】60号项目针对受益人员发放50份调查问卷，最终统计受益人群满意度为100%。</w:t>
      </w:r>
    </w:p>
    <w:p w14:paraId="40ED87B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宋体"/>
          <w:color w:val="auto"/>
          <w:sz w:val="24"/>
          <w:szCs w:val="24"/>
          <w:highlight w:val="none"/>
          <w:lang w:val="en-US" w:eastAsia="zh-CN"/>
        </w:rPr>
      </w:pPr>
    </w:p>
    <w:p w14:paraId="4FD4AB1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right"/>
        <w:textAlignment w:val="auto"/>
        <w:rPr>
          <w:rFonts w:hint="eastAsia" w:ascii="Times New Roman" w:hAnsi="Times New Roman" w:cs="宋体"/>
          <w:color w:val="auto"/>
          <w:sz w:val="24"/>
          <w:szCs w:val="24"/>
          <w:highlight w:val="none"/>
          <w:lang w:val="en-US" w:eastAsia="zh-CN"/>
        </w:rPr>
      </w:pPr>
      <w:r>
        <w:rPr>
          <w:rFonts w:hint="eastAsia" w:ascii="Times New Roman" w:hAnsi="Times New Roman" w:cs="宋体"/>
          <w:color w:val="auto"/>
          <w:sz w:val="24"/>
          <w:szCs w:val="24"/>
          <w:highlight w:val="none"/>
          <w:lang w:val="en-US" w:eastAsia="zh-CN"/>
        </w:rPr>
        <w:t xml:space="preserve">  洛浦县恰尔巴格镇第一一贯制学校</w:t>
      </w:r>
    </w:p>
    <w:p w14:paraId="2F88E28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center"/>
        <w:textAlignment w:val="auto"/>
        <w:rPr>
          <w:rFonts w:hint="eastAsia" w:ascii="宋体" w:hAnsi="宋体" w:eastAsia="宋体" w:cs="宋体"/>
          <w:sz w:val="24"/>
          <w:szCs w:val="24"/>
          <w:lang w:eastAsia="zh-CN"/>
        </w:rPr>
      </w:pPr>
      <w:r>
        <w:rPr>
          <w:rFonts w:hint="eastAsia" w:ascii="Times New Roman" w:hAnsi="Times New Roman" w:cs="宋体"/>
          <w:color w:val="auto"/>
          <w:sz w:val="24"/>
          <w:szCs w:val="24"/>
          <w:highlight w:val="none"/>
          <w:lang w:val="en-US" w:eastAsia="zh-CN"/>
        </w:rPr>
        <w:t xml:space="preserve">                                          2025年3月18日</w:t>
      </w:r>
    </w:p>
    <w:sectPr>
      <w:pgSz w:w="11906" w:h="16838"/>
      <w:pgMar w:top="1985" w:right="1531" w:bottom="1701" w:left="1531" w:header="851" w:footer="992" w:gutter="0"/>
      <w:pgNumType w:start="1"/>
      <w:cols w:space="720" w:num="1"/>
      <w:docGrid w:type="linesAndChars" w:linePitch="38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DCE67AD-D54C-4B7B-BE35-F511D6381E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script"/>
    <w:pitch w:val="default"/>
    <w:sig w:usb0="A00002BF" w:usb1="38CF7CFA" w:usb2="00082016" w:usb3="00000000" w:csb0="00040001" w:csb1="00000000"/>
    <w:embedRegular r:id="rId2" w:fontKey="{D5D16AF9-A588-4A94-836D-B4C24E5C3F9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2FC63">
    <w:pPr>
      <w:pStyle w:val="1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560"/>
      </w:pPr>
      <w:r>
        <w:separator/>
      </w:r>
    </w:p>
  </w:footnote>
  <w:footnote w:type="continuationSeparator" w:id="1">
    <w:p>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8FBC4">
    <w:pPr>
      <w:pStyle w:val="16"/>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1"/>
      <w:numFmt w:val="decimal"/>
      <w:suff w:val="nothing"/>
      <w:lvlText w:val="（%1）"/>
      <w:lvlJc w:val="left"/>
    </w:lvl>
  </w:abstractNum>
  <w:abstractNum w:abstractNumId="1">
    <w:nsid w:val="CF092B84"/>
    <w:multiLevelType w:val="singleLevel"/>
    <w:tmpl w:val="CF092B84"/>
    <w:lvl w:ilvl="0" w:tentative="0">
      <w:start w:val="1"/>
      <w:numFmt w:val="decimal"/>
      <w:suff w:val="nothing"/>
      <w:lvlText w:val="%1）"/>
      <w:lvlJc w:val="left"/>
      <w:pPr>
        <w:ind w:left="80"/>
      </w:pPr>
    </w:lvl>
  </w:abstractNum>
  <w:abstractNum w:abstractNumId="2">
    <w:nsid w:val="0053208E"/>
    <w:multiLevelType w:val="singleLevel"/>
    <w:tmpl w:val="0053208E"/>
    <w:lvl w:ilvl="0" w:tentative="0">
      <w:start w:val="1"/>
      <w:numFmt w:val="decimal"/>
      <w:suff w:val="nothing"/>
      <w:lvlText w:val="（%1）"/>
      <w:lvlJc w:val="left"/>
    </w:lvl>
  </w:abstractNum>
  <w:abstractNum w:abstractNumId="3">
    <w:nsid w:val="59ADCABA"/>
    <w:multiLevelType w:val="singleLevel"/>
    <w:tmpl w:val="59ADCABA"/>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NotTrackMoves/>
  <w:documentProtection w:enforcement="0"/>
  <w:defaultTabStop w:val="420"/>
  <w:drawingGridHorizontalSpacing w:val="140"/>
  <w:drawingGridVerticalSpacing w:val="19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WIxNjU3YWVhNTUwOGJkYjc0ZDBkMDcwYTYyZmJhYmYifQ=="/>
    <w:docVar w:name="KSO_WPS_MARK_KEY" w:val="ef7627c0-688f-4241-b5c6-744817f9942f"/>
  </w:docVars>
  <w:rsids>
    <w:rsidRoot w:val="00000000"/>
    <w:rsid w:val="077D4747"/>
    <w:rsid w:val="2A6B7E0A"/>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Times New Roman" w:hAnsi="Times New Roman" w:eastAsia="仿宋_GB2312" w:cs="黑体"/>
      <w:kern w:val="2"/>
      <w:sz w:val="28"/>
      <w:szCs w:val="22"/>
      <w:lang w:val="en-US" w:eastAsia="zh-CN" w:bidi="ar-SA"/>
    </w:rPr>
  </w:style>
  <w:style w:type="paragraph" w:styleId="4">
    <w:name w:val="heading 1"/>
    <w:basedOn w:val="1"/>
    <w:next w:val="2"/>
    <w:link w:val="3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link w:val="33"/>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link w:val="34"/>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link w:val="35"/>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25">
    <w:name w:val="Default Paragraph Font"/>
    <w:unhideWhenUsed/>
    <w:uiPriority w:val="1"/>
  </w:style>
  <w:style w:type="table" w:default="1" w:styleId="23">
    <w:name w:val="Normal Table"/>
    <w:unhideWhenUsed/>
    <w:qFormat/>
    <w:uiPriority w:val="99"/>
    <w:tblPr>
      <w:tblCellMar>
        <w:top w:w="0" w:type="dxa"/>
        <w:left w:w="108" w:type="dxa"/>
        <w:bottom w:w="0" w:type="dxa"/>
        <w:right w:w="108" w:type="dxa"/>
      </w:tblCellMar>
    </w:tblPr>
  </w:style>
  <w:style w:type="paragraph" w:styleId="2">
    <w:name w:val="Body Text First Indent 2"/>
    <w:basedOn w:val="3"/>
    <w:link w:val="31"/>
    <w:unhideWhenUsed/>
    <w:qFormat/>
    <w:uiPriority w:val="0"/>
    <w:pPr>
      <w:ind w:firstLine="420"/>
    </w:pPr>
  </w:style>
  <w:style w:type="paragraph" w:styleId="3">
    <w:name w:val="Body Text Indent"/>
    <w:basedOn w:val="1"/>
    <w:link w:val="30"/>
    <w:unhideWhenUsed/>
    <w:uiPriority w:val="99"/>
    <w:pPr>
      <w:spacing w:after="120"/>
      <w:ind w:left="420" w:leftChars="200"/>
    </w:pPr>
    <w:rPr>
      <w:rFonts w:cs="Times New Roman"/>
      <w:kern w:val="0"/>
      <w:szCs w:val="20"/>
    </w:rPr>
  </w:style>
  <w:style w:type="paragraph" w:styleId="8">
    <w:name w:val="toc 7"/>
    <w:basedOn w:val="1"/>
    <w:next w:val="1"/>
    <w:unhideWhenUsed/>
    <w:uiPriority w:val="39"/>
    <w:pPr>
      <w:ind w:left="1680"/>
      <w:jc w:val="left"/>
    </w:pPr>
    <w:rPr>
      <w:rFonts w:ascii="Calibri" w:hAnsi="Calibri" w:cs="Calibri"/>
      <w:sz w:val="18"/>
      <w:szCs w:val="18"/>
    </w:rPr>
  </w:style>
  <w:style w:type="paragraph" w:styleId="9">
    <w:name w:val="Document Map"/>
    <w:basedOn w:val="1"/>
    <w:link w:val="36"/>
    <w:unhideWhenUsed/>
    <w:uiPriority w:val="99"/>
    <w:rPr>
      <w:rFonts w:ascii="宋体" w:eastAsia="宋体" w:cs="Times New Roman"/>
      <w:kern w:val="0"/>
      <w:sz w:val="18"/>
      <w:szCs w:val="18"/>
    </w:rPr>
  </w:style>
  <w:style w:type="paragraph" w:styleId="10">
    <w:name w:val="Body Text"/>
    <w:basedOn w:val="1"/>
    <w:qFormat/>
    <w:uiPriority w:val="0"/>
    <w:pPr>
      <w:spacing w:before="240" w:after="240" w:line="360" w:lineRule="auto"/>
      <w:jc w:val="center"/>
    </w:pPr>
    <w:rPr>
      <w:b/>
      <w:sz w:val="44"/>
    </w:rPr>
  </w:style>
  <w:style w:type="paragraph" w:styleId="11">
    <w:name w:val="toc 5"/>
    <w:basedOn w:val="1"/>
    <w:next w:val="1"/>
    <w:unhideWhenUsed/>
    <w:uiPriority w:val="39"/>
    <w:pPr>
      <w:ind w:left="1120"/>
      <w:jc w:val="left"/>
    </w:pPr>
    <w:rPr>
      <w:rFonts w:ascii="Calibri" w:hAnsi="Calibri" w:cs="Calibri"/>
      <w:sz w:val="18"/>
      <w:szCs w:val="18"/>
    </w:rPr>
  </w:style>
  <w:style w:type="paragraph" w:styleId="12">
    <w:name w:val="toc 3"/>
    <w:basedOn w:val="1"/>
    <w:next w:val="1"/>
    <w:unhideWhenUsed/>
    <w:uiPriority w:val="39"/>
    <w:pPr>
      <w:ind w:left="560"/>
      <w:jc w:val="left"/>
    </w:pPr>
    <w:rPr>
      <w:rFonts w:ascii="Calibri" w:hAnsi="Calibri" w:cs="Calibri"/>
      <w:i/>
      <w:iCs/>
      <w:sz w:val="20"/>
      <w:szCs w:val="20"/>
    </w:rPr>
  </w:style>
  <w:style w:type="paragraph" w:styleId="13">
    <w:name w:val="toc 8"/>
    <w:basedOn w:val="1"/>
    <w:next w:val="1"/>
    <w:unhideWhenUsed/>
    <w:uiPriority w:val="39"/>
    <w:pPr>
      <w:ind w:left="1960"/>
      <w:jc w:val="left"/>
    </w:pPr>
    <w:rPr>
      <w:rFonts w:ascii="Calibri" w:hAnsi="Calibri" w:cs="Calibri"/>
      <w:sz w:val="18"/>
      <w:szCs w:val="18"/>
    </w:rPr>
  </w:style>
  <w:style w:type="paragraph" w:styleId="14">
    <w:name w:val="Balloon Text"/>
    <w:basedOn w:val="1"/>
    <w:link w:val="38"/>
    <w:unhideWhenUsed/>
    <w:uiPriority w:val="99"/>
    <w:rPr>
      <w:rFonts w:cs="Times New Roman"/>
      <w:kern w:val="0"/>
      <w:sz w:val="18"/>
      <w:szCs w:val="18"/>
    </w:rPr>
  </w:style>
  <w:style w:type="paragraph" w:styleId="15">
    <w:name w:val="footer"/>
    <w:basedOn w:val="1"/>
    <w:link w:val="39"/>
    <w:unhideWhenUsed/>
    <w:qFormat/>
    <w:uiPriority w:val="99"/>
    <w:pPr>
      <w:tabs>
        <w:tab w:val="center" w:pos="4153"/>
        <w:tab w:val="right" w:pos="8306"/>
      </w:tabs>
      <w:snapToGrid w:val="0"/>
      <w:jc w:val="left"/>
    </w:pPr>
    <w:rPr>
      <w:rFonts w:cs="Times New Roman"/>
      <w:kern w:val="0"/>
      <w:sz w:val="18"/>
      <w:szCs w:val="18"/>
    </w:rPr>
  </w:style>
  <w:style w:type="paragraph" w:styleId="16">
    <w:name w:val="header"/>
    <w:basedOn w:val="1"/>
    <w:link w:val="40"/>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7">
    <w:name w:val="toc 1"/>
    <w:basedOn w:val="1"/>
    <w:next w:val="1"/>
    <w:unhideWhenUsed/>
    <w:uiPriority w:val="39"/>
    <w:pPr>
      <w:spacing w:before="120" w:after="120"/>
      <w:jc w:val="left"/>
    </w:pPr>
    <w:rPr>
      <w:rFonts w:ascii="Calibri" w:hAnsi="Calibri" w:cs="Calibri"/>
      <w:b/>
      <w:bCs/>
      <w:caps/>
      <w:sz w:val="20"/>
      <w:szCs w:val="20"/>
    </w:rPr>
  </w:style>
  <w:style w:type="paragraph" w:styleId="18">
    <w:name w:val="toc 4"/>
    <w:basedOn w:val="1"/>
    <w:next w:val="1"/>
    <w:unhideWhenUsed/>
    <w:uiPriority w:val="39"/>
    <w:pPr>
      <w:ind w:left="840"/>
      <w:jc w:val="left"/>
    </w:pPr>
    <w:rPr>
      <w:rFonts w:ascii="Calibri" w:hAnsi="Calibri" w:cs="Calibri"/>
      <w:sz w:val="18"/>
      <w:szCs w:val="18"/>
    </w:rPr>
  </w:style>
  <w:style w:type="paragraph" w:styleId="19">
    <w:name w:val="toc 6"/>
    <w:basedOn w:val="1"/>
    <w:next w:val="1"/>
    <w:unhideWhenUsed/>
    <w:uiPriority w:val="39"/>
    <w:pPr>
      <w:ind w:left="1400"/>
      <w:jc w:val="left"/>
    </w:pPr>
    <w:rPr>
      <w:rFonts w:ascii="Calibri" w:hAnsi="Calibri" w:cs="Calibri"/>
      <w:sz w:val="18"/>
      <w:szCs w:val="18"/>
    </w:rPr>
  </w:style>
  <w:style w:type="paragraph" w:styleId="20">
    <w:name w:val="toc 2"/>
    <w:basedOn w:val="1"/>
    <w:next w:val="1"/>
    <w:unhideWhenUsed/>
    <w:uiPriority w:val="39"/>
    <w:pPr>
      <w:ind w:left="280"/>
      <w:jc w:val="left"/>
    </w:pPr>
    <w:rPr>
      <w:rFonts w:ascii="Calibri" w:hAnsi="Calibri" w:cs="Calibri"/>
      <w:smallCaps/>
      <w:sz w:val="20"/>
      <w:szCs w:val="20"/>
    </w:rPr>
  </w:style>
  <w:style w:type="paragraph" w:styleId="21">
    <w:name w:val="toc 9"/>
    <w:basedOn w:val="1"/>
    <w:next w:val="1"/>
    <w:unhideWhenUsed/>
    <w:uiPriority w:val="39"/>
    <w:pPr>
      <w:ind w:left="2240"/>
      <w:jc w:val="left"/>
    </w:pPr>
    <w:rPr>
      <w:rFonts w:ascii="Calibri" w:hAnsi="Calibri" w:cs="Calibri"/>
      <w:sz w:val="18"/>
      <w:szCs w:val="18"/>
    </w:rPr>
  </w:style>
  <w:style w:type="paragraph" w:styleId="22">
    <w:name w:val="Title"/>
    <w:basedOn w:val="1"/>
    <w:next w:val="1"/>
    <w:link w:val="41"/>
    <w:qFormat/>
    <w:uiPriority w:val="10"/>
    <w:pPr>
      <w:spacing w:before="240" w:after="60"/>
      <w:jc w:val="center"/>
      <w:outlineLvl w:val="0"/>
    </w:pPr>
    <w:rPr>
      <w:rFonts w:ascii="Cambria" w:hAnsi="Cambria" w:eastAsia="宋体" w:cs="Times New Roman"/>
      <w:b/>
      <w:bCs/>
      <w:sz w:val="32"/>
      <w:szCs w:val="32"/>
    </w:rPr>
  </w:style>
  <w:style w:type="table" w:styleId="24">
    <w:name w:val="Table Grid"/>
    <w:basedOn w:val="2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Hyperlink"/>
    <w:unhideWhenUsed/>
    <w:uiPriority w:val="99"/>
    <w:rPr>
      <w:color w:val="0000FF"/>
      <w:u w:val="single"/>
    </w:rPr>
  </w:style>
  <w:style w:type="paragraph" w:customStyle="1" w:styleId="27">
    <w:name w:val="Comment Text"/>
    <w:basedOn w:val="1"/>
    <w:link w:val="37"/>
    <w:unhideWhenUsed/>
    <w:uiPriority w:val="99"/>
    <w:rPr>
      <w:rFonts w:cs="Times New Roman"/>
      <w:kern w:val="0"/>
      <w:sz w:val="20"/>
      <w:szCs w:val="20"/>
    </w:rPr>
  </w:style>
  <w:style w:type="paragraph" w:customStyle="1" w:styleId="28">
    <w:name w:val="Comment Subject"/>
    <w:basedOn w:val="27"/>
    <w:next w:val="27"/>
    <w:link w:val="42"/>
    <w:unhideWhenUsed/>
    <w:uiPriority w:val="99"/>
    <w:rPr>
      <w:b/>
      <w:bCs/>
    </w:rPr>
  </w:style>
  <w:style w:type="character" w:customStyle="1" w:styleId="29">
    <w:name w:val="Comment Reference"/>
    <w:unhideWhenUsed/>
    <w:uiPriority w:val="99"/>
    <w:rPr>
      <w:sz w:val="16"/>
      <w:szCs w:val="16"/>
    </w:rPr>
  </w:style>
  <w:style w:type="character" w:customStyle="1" w:styleId="30">
    <w:name w:val="正文文本缩进 Char"/>
    <w:link w:val="3"/>
    <w:semiHidden/>
    <w:uiPriority w:val="99"/>
    <w:rPr>
      <w:rFonts w:ascii="Calibri" w:hAnsi="Calibri" w:eastAsia="仿宋_GB2312" w:cs="黑体"/>
      <w:sz w:val="28"/>
    </w:rPr>
  </w:style>
  <w:style w:type="character" w:customStyle="1" w:styleId="31">
    <w:name w:val="正文首行缩进 2 Char"/>
    <w:link w:val="2"/>
    <w:uiPriority w:val="0"/>
    <w:rPr>
      <w:rFonts w:ascii="Calibri" w:hAnsi="Calibri" w:eastAsia="仿宋_GB2312" w:cs="黑体"/>
      <w:sz w:val="28"/>
    </w:rPr>
  </w:style>
  <w:style w:type="character" w:customStyle="1" w:styleId="32">
    <w:name w:val="标题 1 Char"/>
    <w:link w:val="4"/>
    <w:qFormat/>
    <w:uiPriority w:val="9"/>
    <w:rPr>
      <w:rFonts w:ascii="Times New Roman" w:hAnsi="Times New Roman" w:eastAsia="仿宋_GB2312" w:cs="Times New Roman"/>
      <w:b/>
      <w:bCs/>
      <w:kern w:val="44"/>
      <w:sz w:val="32"/>
      <w:szCs w:val="44"/>
    </w:rPr>
  </w:style>
  <w:style w:type="character" w:customStyle="1" w:styleId="33">
    <w:name w:val="标题 2 Char"/>
    <w:link w:val="5"/>
    <w:uiPriority w:val="0"/>
    <w:rPr>
      <w:rFonts w:ascii="Cambria" w:hAnsi="Cambria" w:eastAsia="仿宋_GB2312" w:cs="Times New Roman"/>
      <w:b/>
      <w:bCs/>
      <w:kern w:val="0"/>
      <w:sz w:val="30"/>
      <w:szCs w:val="32"/>
    </w:rPr>
  </w:style>
  <w:style w:type="character" w:customStyle="1" w:styleId="34">
    <w:name w:val="标题 3 Char"/>
    <w:link w:val="6"/>
    <w:uiPriority w:val="9"/>
    <w:rPr>
      <w:rFonts w:ascii="Calibri" w:hAnsi="Calibri" w:eastAsia="仿宋_GB2312" w:cs="黑体"/>
      <w:bCs/>
      <w:sz w:val="28"/>
      <w:szCs w:val="32"/>
    </w:rPr>
  </w:style>
  <w:style w:type="character" w:customStyle="1" w:styleId="35">
    <w:name w:val="标题 4 Char"/>
    <w:link w:val="7"/>
    <w:semiHidden/>
    <w:uiPriority w:val="9"/>
    <w:rPr>
      <w:rFonts w:ascii="Cambria" w:hAnsi="Cambria" w:eastAsia="宋体" w:cs="Times New Roman"/>
      <w:b/>
      <w:bCs/>
      <w:sz w:val="28"/>
      <w:szCs w:val="28"/>
    </w:rPr>
  </w:style>
  <w:style w:type="character" w:customStyle="1" w:styleId="36">
    <w:name w:val="文档结构图 Char"/>
    <w:link w:val="9"/>
    <w:semiHidden/>
    <w:uiPriority w:val="99"/>
    <w:rPr>
      <w:rFonts w:ascii="宋体" w:hAnsi="Calibri" w:eastAsia="宋体" w:cs="黑体"/>
      <w:sz w:val="18"/>
      <w:szCs w:val="18"/>
    </w:rPr>
  </w:style>
  <w:style w:type="character" w:customStyle="1" w:styleId="37">
    <w:name w:val="批注文字 Char"/>
    <w:link w:val="27"/>
    <w:semiHidden/>
    <w:uiPriority w:val="99"/>
    <w:rPr>
      <w:rFonts w:ascii="Calibri" w:hAnsi="Calibri" w:eastAsia="仿宋_GB2312" w:cs="黑体"/>
      <w:sz w:val="20"/>
      <w:szCs w:val="20"/>
    </w:rPr>
  </w:style>
  <w:style w:type="character" w:customStyle="1" w:styleId="38">
    <w:name w:val="批注框文本 Char"/>
    <w:link w:val="14"/>
    <w:semiHidden/>
    <w:uiPriority w:val="99"/>
    <w:rPr>
      <w:rFonts w:ascii="Calibri" w:hAnsi="Calibri" w:eastAsia="仿宋_GB2312" w:cs="黑体"/>
      <w:sz w:val="18"/>
      <w:szCs w:val="18"/>
    </w:rPr>
  </w:style>
  <w:style w:type="character" w:customStyle="1" w:styleId="39">
    <w:name w:val="页脚 Char"/>
    <w:link w:val="15"/>
    <w:uiPriority w:val="99"/>
    <w:rPr>
      <w:rFonts w:ascii="Calibri" w:hAnsi="Calibri" w:eastAsia="仿宋_GB2312" w:cs="黑体"/>
      <w:sz w:val="18"/>
      <w:szCs w:val="18"/>
    </w:rPr>
  </w:style>
  <w:style w:type="character" w:customStyle="1" w:styleId="40">
    <w:name w:val="页眉 Char"/>
    <w:link w:val="16"/>
    <w:uiPriority w:val="99"/>
    <w:rPr>
      <w:rFonts w:ascii="Calibri" w:hAnsi="Calibri" w:eastAsia="仿宋_GB2312" w:cs="黑体"/>
      <w:sz w:val="18"/>
      <w:szCs w:val="18"/>
    </w:rPr>
  </w:style>
  <w:style w:type="character" w:customStyle="1" w:styleId="41">
    <w:name w:val="标题 Char"/>
    <w:link w:val="22"/>
    <w:uiPriority w:val="10"/>
    <w:rPr>
      <w:rFonts w:ascii="Cambria" w:hAnsi="Cambria"/>
      <w:b/>
      <w:bCs/>
      <w:kern w:val="2"/>
      <w:sz w:val="32"/>
      <w:szCs w:val="32"/>
    </w:rPr>
  </w:style>
  <w:style w:type="character" w:customStyle="1" w:styleId="42">
    <w:name w:val="批注主题 Char"/>
    <w:link w:val="28"/>
    <w:semiHidden/>
    <w:uiPriority w:val="99"/>
    <w:rPr>
      <w:rFonts w:ascii="Calibri" w:hAnsi="Calibri" w:eastAsia="仿宋_GB2312" w:cs="黑体"/>
      <w:b/>
      <w:bCs/>
      <w:sz w:val="20"/>
      <w:szCs w:val="20"/>
    </w:rPr>
  </w:style>
  <w:style w:type="character" w:customStyle="1" w:styleId="43">
    <w:name w:val="font71"/>
    <w:basedOn w:val="25"/>
    <w:uiPriority w:val="0"/>
    <w:rPr>
      <w:rFonts w:hint="eastAsia" w:ascii="微软雅黑" w:hAnsi="微软雅黑" w:eastAsia="微软雅黑" w:cs="微软雅黑"/>
      <w:b/>
      <w:bCs/>
      <w:color w:val="000000"/>
      <w:sz w:val="32"/>
      <w:szCs w:val="32"/>
      <w:u w:val="none"/>
    </w:rPr>
  </w:style>
  <w:style w:type="character" w:customStyle="1" w:styleId="44">
    <w:name w:val="闻政-正文一级标题 Char"/>
    <w:link w:val="45"/>
    <w:uiPriority w:val="3"/>
    <w:rPr>
      <w:rFonts w:ascii="黑体" w:hAnsi="黑体" w:eastAsia="黑体"/>
      <w:bCs/>
      <w:sz w:val="32"/>
      <w:szCs w:val="32"/>
    </w:rPr>
  </w:style>
  <w:style w:type="paragraph" w:customStyle="1" w:styleId="45">
    <w:name w:val="闻政-正文一级标题"/>
    <w:basedOn w:val="6"/>
    <w:next w:val="46"/>
    <w:link w:val="44"/>
    <w:qFormat/>
    <w:uiPriority w:val="3"/>
    <w:pPr>
      <w:spacing w:before="120" w:after="60" w:line="500" w:lineRule="exact"/>
      <w:ind w:firstLine="0" w:firstLineChars="0"/>
      <w:outlineLvl w:val="0"/>
    </w:pPr>
    <w:rPr>
      <w:rFonts w:ascii="黑体" w:hAnsi="黑体" w:eastAsia="黑体"/>
      <w:sz w:val="32"/>
    </w:rPr>
  </w:style>
  <w:style w:type="paragraph" w:customStyle="1" w:styleId="46">
    <w:name w:val="闻政-正文段落文字"/>
    <w:basedOn w:val="1"/>
    <w:link w:val="47"/>
    <w:qFormat/>
    <w:uiPriority w:val="3"/>
    <w:pPr>
      <w:spacing w:line="500" w:lineRule="exact"/>
      <w:ind w:firstLine="200"/>
    </w:pPr>
    <w:rPr>
      <w:rFonts w:ascii="Times New Roman" w:hAnsi="Times New Roman" w:cs="Times New Roman"/>
      <w:kern w:val="0"/>
      <w:szCs w:val="28"/>
    </w:rPr>
  </w:style>
  <w:style w:type="character" w:customStyle="1" w:styleId="47">
    <w:name w:val="闻政-正文段落文字 Char"/>
    <w:link w:val="46"/>
    <w:uiPriority w:val="3"/>
    <w:rPr>
      <w:rFonts w:ascii="Times New Roman" w:hAnsi="Times New Roman" w:eastAsia="仿宋_GB2312"/>
      <w:sz w:val="28"/>
      <w:szCs w:val="28"/>
    </w:rPr>
  </w:style>
  <w:style w:type="character" w:customStyle="1" w:styleId="48">
    <w:name w:val="闻政-正文二级标题 Char"/>
    <w:link w:val="49"/>
    <w:uiPriority w:val="3"/>
    <w:rPr>
      <w:rFonts w:ascii="Times New Roman" w:hAnsi="Times New Roman" w:eastAsia="仿宋_GB2312"/>
      <w:b/>
      <w:bCs/>
      <w:sz w:val="28"/>
      <w:szCs w:val="32"/>
    </w:rPr>
  </w:style>
  <w:style w:type="paragraph" w:customStyle="1" w:styleId="49">
    <w:name w:val="闻政-正文二级标题"/>
    <w:basedOn w:val="5"/>
    <w:next w:val="46"/>
    <w:link w:val="48"/>
    <w:qFormat/>
    <w:uiPriority w:val="3"/>
    <w:pPr>
      <w:spacing w:before="120" w:after="60" w:line="500" w:lineRule="exact"/>
      <w:ind w:left="200" w:leftChars="200" w:firstLine="0" w:firstLineChars="0"/>
    </w:pPr>
    <w:rPr>
      <w:rFonts w:ascii="Times New Roman" w:hAnsi="Times New Roman"/>
      <w:sz w:val="28"/>
    </w:rPr>
  </w:style>
  <w:style w:type="character" w:customStyle="1" w:styleId="50">
    <w:name w:val="50"/>
    <w:qFormat/>
    <w:uiPriority w:val="0"/>
    <w:rPr>
      <w:b/>
      <w:bCs/>
      <w:smallCaps/>
      <w:color w:val="C0504D"/>
      <w:spacing w:val="5"/>
      <w:u w:val="single"/>
    </w:rPr>
  </w:style>
  <w:style w:type="character" w:customStyle="1" w:styleId="51">
    <w:name w:val="无间隔 Char"/>
    <w:link w:val="52"/>
    <w:uiPriority w:val="1"/>
    <w:rPr>
      <w:rFonts w:eastAsia="仿宋_GB2312" w:cs="黑体"/>
      <w:kern w:val="2"/>
      <w:sz w:val="28"/>
      <w:szCs w:val="22"/>
      <w:lang w:val="en-US" w:eastAsia="zh-CN" w:bidi="ar-SA"/>
    </w:rPr>
  </w:style>
  <w:style w:type="paragraph" w:styleId="52">
    <w:name w:val="No Spacing"/>
    <w:link w:val="51"/>
    <w:qFormat/>
    <w:uiPriority w:val="1"/>
    <w:pPr>
      <w:widowControl w:val="0"/>
      <w:ind w:firstLine="600" w:firstLineChars="200"/>
      <w:jc w:val="both"/>
    </w:pPr>
    <w:rPr>
      <w:rFonts w:ascii="Times New Roman" w:hAnsi="Times New Roman" w:eastAsia="仿宋_GB2312" w:cs="黑体"/>
      <w:kern w:val="2"/>
      <w:sz w:val="28"/>
      <w:szCs w:val="22"/>
      <w:lang w:val="en-US" w:eastAsia="zh-CN" w:bidi="ar-SA"/>
    </w:rPr>
  </w:style>
  <w:style w:type="character" w:customStyle="1" w:styleId="53">
    <w:name w:val="font21"/>
    <w:uiPriority w:val="0"/>
    <w:rPr>
      <w:rFonts w:hint="default" w:ascii="Times New Roman" w:hAnsi="Times New Roman" w:cs="Times New Roman"/>
      <w:color w:val="000000"/>
      <w:sz w:val="24"/>
      <w:szCs w:val="24"/>
      <w:u w:val="none"/>
    </w:rPr>
  </w:style>
  <w:style w:type="character" w:customStyle="1" w:styleId="54">
    <w:name w:val="闻政-正文三级标题 Char"/>
    <w:link w:val="55"/>
    <w:uiPriority w:val="3"/>
    <w:rPr>
      <w:rFonts w:ascii="Times New Roman" w:hAnsi="Times New Roman" w:eastAsia="仿宋_GB2312"/>
      <w:b/>
      <w:snapToGrid w:val="0"/>
      <w:sz w:val="28"/>
      <w:szCs w:val="28"/>
    </w:rPr>
  </w:style>
  <w:style w:type="paragraph" w:customStyle="1" w:styleId="55">
    <w:name w:val="闻政-正文三级标题"/>
    <w:basedOn w:val="1"/>
    <w:next w:val="46"/>
    <w:link w:val="54"/>
    <w:qFormat/>
    <w:uiPriority w:val="3"/>
    <w:pPr>
      <w:widowControl/>
      <w:spacing w:before="120" w:after="60" w:line="500" w:lineRule="exact"/>
      <w:ind w:left="200" w:leftChars="200" w:firstLine="0" w:firstLineChars="0"/>
    </w:pPr>
    <w:rPr>
      <w:rFonts w:ascii="Times New Roman" w:hAnsi="Times New Roman" w:cs="Times New Roman"/>
      <w:b/>
      <w:snapToGrid w:val="0"/>
      <w:kern w:val="0"/>
      <w:szCs w:val="28"/>
    </w:rPr>
  </w:style>
  <w:style w:type="character" w:customStyle="1" w:styleId="56">
    <w:name w:val="font11"/>
    <w:uiPriority w:val="0"/>
    <w:rPr>
      <w:rFonts w:hint="eastAsia" w:ascii="方正仿宋_GBK" w:hAnsi="方正仿宋_GBK" w:eastAsia="方正仿宋_GBK" w:cs="方正仿宋_GBK"/>
      <w:color w:val="000000"/>
      <w:sz w:val="24"/>
      <w:szCs w:val="24"/>
      <w:u w:val="none"/>
    </w:rPr>
  </w:style>
  <w:style w:type="paragraph" w:customStyle="1" w:styleId="57">
    <w:name w:val="和田正文1a"/>
    <w:basedOn w:val="1"/>
    <w:qFormat/>
    <w:uiPriority w:val="0"/>
    <w:pPr>
      <w:spacing w:line="560" w:lineRule="exact"/>
      <w:ind w:firstLine="1004" w:firstLineChars="200"/>
      <w:jc w:val="left"/>
    </w:pPr>
    <w:rPr>
      <w:rFonts w:ascii="Times New Roman" w:hAnsi="Times New Roman" w:cs="Times New Roman"/>
      <w:kern w:val="0"/>
      <w:sz w:val="32"/>
      <w:szCs w:val="32"/>
      <w:lang w:bidi="en-US"/>
    </w:rPr>
  </w:style>
  <w:style w:type="paragraph" w:styleId="58">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1C0C9F8C7B6D41F5847E7745451FA216_13</vt:lpwstr>
  </property>
  <property fmtid="{D5CDD505-2E9C-101B-9397-08002B2CF9AE}" pid="4" name="KSOTemplateDocerSaveRecord">
    <vt:lpwstr>eyJoZGlkIjoiMDljYzUzMWQ4OWI0YzBkYjYzMDRhZTY5ZjZkYmFmYTgiLCJ1c2VySWQiOiI2NTE5NDIwMjYifQ==</vt:lpwstr>
  </property>
</Properties>
</file>

<file path=customXml/itemProps1.xml><?xml version="1.0" encoding="utf-8"?>
<ds:datastoreItem xmlns:ds="http://schemas.openxmlformats.org/officeDocument/2006/customXml" ds:itemID="{95f089d2-5b03-4e7b-a92a-281f3edea43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13731</Words>
  <Characters>14748</Characters>
  <Lines>44</Lines>
  <Paragraphs>12</Paragraphs>
  <TotalTime>3</TotalTime>
  <ScaleCrop>false</ScaleCrop>
  <LinksUpToDate>false</LinksUpToDate>
  <CharactersWithSpaces>14831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2021-04-03T09:53:00Z</dcterms:created>
  <dc:creator>User</dc:creator>
  <cp:lastModifiedBy>白羊</cp:lastModifiedBy>
  <dcterms:modified xsi:type="dcterms:W3CDTF">2025-11-17T10:44:25Z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1C0C9F8C7B6D41F5847E7745451FA216_13</vt:lpwstr>
  </property>
  <property fmtid="{D5CDD505-2E9C-101B-9397-08002B2CF9AE}" pid="4" name="KSOTemplateDocerSaveRecord">
    <vt:lpwstr>eyJoZGlkIjoiYjM4NWYyMWE2NWU1OGNiMmIxMmZkYzA5MWEwNzJlZmIiLCJ1c2VySWQiOiI0MzE2NzY3NzkifQ==</vt:lpwstr>
  </property>
</Properties>
</file>