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洛浦县退役军人事务局2024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7BC1F96">
      <w:r>
        <w:br w:type="page"/>
      </w:r>
    </w:p>
    <w:p w14:paraId="1A97732C">
      <w:pPr>
        <w:spacing w:line="640" w:lineRule="exact"/>
        <w:jc w:val="center"/>
        <w:outlineLvl w:val="1"/>
      </w:pPr>
      <w:r>
        <w:rPr>
          <w:rFonts w:ascii="黑体" w:hAnsi="黑体" w:eastAsia="黑体"/>
          <w:sz w:val="32"/>
        </w:rPr>
        <w:t>第一部分 单位概况</w:t>
      </w:r>
    </w:p>
    <w:p w14:paraId="2D02928F">
      <w:pPr>
        <w:spacing w:line="640" w:lineRule="exact"/>
        <w:ind w:firstLine="640"/>
        <w:jc w:val="both"/>
        <w:outlineLvl w:val="2"/>
      </w:pPr>
      <w:r>
        <w:rPr>
          <w:rFonts w:ascii="黑体" w:hAnsi="黑体" w:eastAsia="黑体"/>
          <w:sz w:val="32"/>
        </w:rPr>
        <w:t>一、主要职能</w:t>
      </w:r>
    </w:p>
    <w:p w14:paraId="15C2CE3C">
      <w:pPr>
        <w:spacing w:line="580" w:lineRule="exact"/>
        <w:ind w:firstLine="640"/>
        <w:jc w:val="both"/>
      </w:pPr>
      <w:r>
        <w:rPr>
          <w:rFonts w:ascii="仿宋_GB2312" w:hAnsi="仿宋_GB2312" w:eastAsia="仿宋_GB2312"/>
          <w:sz w:val="32"/>
        </w:rPr>
        <w:t>(1)贯彻落实退役军人思想政治、管理保障和安置优抚等工作政策法规，褒扬彰显退役军人为党、国家和人民牺牲奉献的精神风范和价值导向，发挥退役军人在社会稳定和长治久安总目标中的作用。</w:t>
      </w:r>
    </w:p>
    <w:p w14:paraId="3687AD85">
      <w:pPr>
        <w:spacing w:line="580" w:lineRule="exact"/>
        <w:ind w:firstLine="640"/>
        <w:jc w:val="both"/>
      </w:pPr>
      <w:r>
        <w:rPr>
          <w:rFonts w:ascii="仿宋_GB2312" w:hAnsi="仿宋_GB2312" w:eastAsia="仿宋_GB2312"/>
          <w:sz w:val="32"/>
        </w:rPr>
        <w:t>(2)负责军队转业干部、复员干部、离休退休干部、退役士兵和无军籍退休退职职工的移交安置工作和自主择业、就业退役军人服务管理工作</w:t>
      </w:r>
      <w:bookmarkStart w:id="0" w:name="_GoBack"/>
      <w:r>
        <w:rPr>
          <w:rFonts w:ascii="仿宋_GB2312" w:hAnsi="仿宋_GB2312" w:eastAsia="仿宋_GB2312"/>
          <w:sz w:val="32"/>
        </w:rPr>
        <w:t>;</w:t>
      </w:r>
      <w:bookmarkEnd w:id="0"/>
      <w:r>
        <w:rPr>
          <w:rFonts w:ascii="仿宋_GB2312" w:hAnsi="仿宋_GB2312" w:eastAsia="仿宋_GB2312"/>
          <w:sz w:val="32"/>
        </w:rPr>
        <w:t>落实退役军人留疆安置优惠优待政策;促进退役军人留疆，奉献基层;配合做好招录退役士兵充实乡镇街道工作。</w:t>
      </w:r>
    </w:p>
    <w:p w14:paraId="5DAE92CC">
      <w:pPr>
        <w:spacing w:line="580" w:lineRule="exact"/>
        <w:ind w:firstLine="640"/>
        <w:jc w:val="both"/>
      </w:pPr>
      <w:r>
        <w:rPr>
          <w:rFonts w:ascii="仿宋_GB2312" w:hAnsi="仿宋_GB2312" w:eastAsia="仿宋_GB2312"/>
          <w:sz w:val="32"/>
        </w:rPr>
        <w:t>(3)组织开展退役军人教育培训工作;协调扶持退役军人和随军随调家属就业创业。</w:t>
      </w:r>
    </w:p>
    <w:p w14:paraId="02BB0520">
      <w:pPr>
        <w:spacing w:line="580" w:lineRule="exact"/>
        <w:ind w:firstLine="640"/>
        <w:jc w:val="both"/>
      </w:pPr>
      <w:r>
        <w:rPr>
          <w:rFonts w:ascii="仿宋_GB2312" w:hAnsi="仿宋_GB2312" w:eastAsia="仿宋_GB2312"/>
          <w:sz w:val="32"/>
        </w:rPr>
        <w:t>(4)会同有关部门贯彻落实退役军人特殊保障政策。</w:t>
      </w:r>
    </w:p>
    <w:p w14:paraId="328BAB0E">
      <w:pPr>
        <w:spacing w:line="580" w:lineRule="exact"/>
        <w:ind w:firstLine="640"/>
        <w:jc w:val="both"/>
      </w:pPr>
      <w:r>
        <w:rPr>
          <w:rFonts w:ascii="仿宋_GB2312" w:hAnsi="仿宋_GB2312" w:eastAsia="仿宋_GB2312"/>
          <w:sz w:val="32"/>
        </w:rPr>
        <w:t>(5)组织落实移交地方的离休退休军人、符合条件的其他退役军人和无军籍退休退职职工的住房保障，以及退役军人医疗保障、社会保险等待遇保障工作。</w:t>
      </w:r>
    </w:p>
    <w:p w14:paraId="18C94B4F">
      <w:pPr>
        <w:spacing w:line="580" w:lineRule="exact"/>
        <w:ind w:firstLine="640"/>
        <w:jc w:val="both"/>
      </w:pPr>
      <w:r>
        <w:rPr>
          <w:rFonts w:ascii="仿宋_GB2312" w:hAnsi="仿宋_GB2312" w:eastAsia="仿宋_GB2312"/>
          <w:sz w:val="32"/>
        </w:rPr>
        <w:t>(6)组织落实伤病残退役军人服务管理和抚恤工作，实施有关退役军人医疗、疗养、养老等机构的规划政策;承担不适宜继续服役的伤病残军人相关工作。</w:t>
      </w:r>
    </w:p>
    <w:p w14:paraId="76AB43F4">
      <w:pPr>
        <w:spacing w:line="580" w:lineRule="exact"/>
        <w:ind w:firstLine="640"/>
        <w:jc w:val="both"/>
      </w:pPr>
      <w:r>
        <w:rPr>
          <w:rFonts w:ascii="仿宋_GB2312" w:hAnsi="仿宋_GB2312" w:eastAsia="仿宋_GB2312"/>
          <w:sz w:val="32"/>
        </w:rPr>
        <w:t>(7)组织指导拥军优属工作。负责现役军人、退役军人、军队文职人员和军属优待、抚恤等工作，落实抗战老兵等有关人员优待政策并组织实施。</w:t>
      </w:r>
    </w:p>
    <w:p w14:paraId="27BB6581">
      <w:pPr>
        <w:spacing w:line="580" w:lineRule="exact"/>
        <w:ind w:firstLine="640"/>
        <w:jc w:val="both"/>
      </w:pPr>
      <w:r>
        <w:rPr>
          <w:rFonts w:ascii="仿宋_GB2312" w:hAnsi="仿宋_GB2312" w:eastAsia="仿宋_GB2312"/>
          <w:sz w:val="32"/>
        </w:rPr>
        <w:t>(8)负责烈士及退役军人荣誉奖励、军人公墓管理维护、纪念活动等工作;依法承担英雄烈士保护相关工作;审核拟列入全国、自治区、地区和县级重点保护单位的烈士纪念建筑物名录;总结表彰和宣扬退役军人、退役军人工作单位和个人先进典型事迹。</w:t>
      </w:r>
    </w:p>
    <w:p w14:paraId="58B533EC">
      <w:pPr>
        <w:spacing w:line="580" w:lineRule="exact"/>
        <w:ind w:firstLine="640"/>
        <w:jc w:val="both"/>
      </w:pPr>
      <w:r>
        <w:rPr>
          <w:rFonts w:ascii="仿宋_GB2312" w:hAnsi="仿宋_GB2312" w:eastAsia="仿宋_GB2312"/>
          <w:sz w:val="32"/>
        </w:rPr>
        <w:t>(9)指导并监督检查退役军人相关法律法规和政策措施的落实，组织指导退役军人权益维护和有关人员的帮扶援助工作。</w:t>
      </w:r>
    </w:p>
    <w:p w14:paraId="269B5C15">
      <w:pPr>
        <w:spacing w:line="580" w:lineRule="exact"/>
        <w:ind w:firstLine="640"/>
        <w:jc w:val="both"/>
      </w:pPr>
      <w:r>
        <w:rPr>
          <w:rFonts w:ascii="仿宋_GB2312" w:hAnsi="仿宋_GB2312" w:eastAsia="仿宋_GB2312"/>
          <w:sz w:val="32"/>
        </w:rPr>
        <w:t>(10)完成县委、县人民政府交办的其他任务。</w:t>
      </w:r>
    </w:p>
    <w:p w14:paraId="06E7A8A9">
      <w:pPr>
        <w:spacing w:line="640" w:lineRule="exact"/>
        <w:ind w:firstLine="640"/>
        <w:jc w:val="both"/>
        <w:outlineLvl w:val="2"/>
      </w:pPr>
      <w:r>
        <w:rPr>
          <w:rFonts w:ascii="黑体" w:hAnsi="黑体" w:eastAsia="黑体"/>
          <w:sz w:val="32"/>
        </w:rPr>
        <w:t>二、机构设置及人员情况</w:t>
      </w:r>
    </w:p>
    <w:p w14:paraId="3801C6A5">
      <w:pPr>
        <w:spacing w:line="580" w:lineRule="exact"/>
        <w:ind w:firstLine="640"/>
        <w:jc w:val="both"/>
      </w:pPr>
      <w:r>
        <w:rPr>
          <w:rFonts w:ascii="仿宋_GB2312" w:hAnsi="仿宋_GB2312" w:eastAsia="仿宋_GB2312"/>
          <w:sz w:val="32"/>
        </w:rPr>
        <w:t>洛浦县退役军人事务局2024年度，实有人数12人，其中：在职人员10人，增加0人；离休人员0人，增加0人；退休人员2人,增加0人。</w:t>
      </w:r>
    </w:p>
    <w:p w14:paraId="578D57DB">
      <w:pPr>
        <w:spacing w:line="580" w:lineRule="exact"/>
        <w:ind w:firstLine="640"/>
        <w:jc w:val="both"/>
      </w:pPr>
      <w:r>
        <w:rPr>
          <w:rFonts w:ascii="仿宋_GB2312" w:hAnsi="仿宋_GB2312" w:eastAsia="仿宋_GB2312"/>
          <w:sz w:val="32"/>
        </w:rPr>
        <w:t>洛浦县退役军人事务局无下属预算单位，下设3个科室，分别是：综合办公室、双拥办公室、财务室。</w:t>
      </w:r>
    </w:p>
    <w:p w14:paraId="5FD4A1D7">
      <w:r>
        <w:br w:type="page"/>
      </w:r>
    </w:p>
    <w:p w14:paraId="1BC61CBC">
      <w:pPr>
        <w:spacing w:line="240" w:lineRule="auto"/>
        <w:jc w:val="center"/>
        <w:outlineLvl w:val="1"/>
      </w:pPr>
      <w:r>
        <w:rPr>
          <w:rFonts w:ascii="黑体" w:hAnsi="黑体" w:eastAsia="黑体"/>
          <w:sz w:val="32"/>
        </w:rPr>
        <w:t>第二部分 部门决算情况说明</w:t>
      </w:r>
    </w:p>
    <w:p w14:paraId="74F6A71B">
      <w:pPr>
        <w:spacing w:line="640" w:lineRule="exact"/>
        <w:ind w:firstLine="640"/>
        <w:jc w:val="both"/>
        <w:outlineLvl w:val="2"/>
      </w:pPr>
      <w:r>
        <w:rPr>
          <w:rFonts w:ascii="黑体" w:hAnsi="黑体" w:eastAsia="黑体"/>
          <w:sz w:val="32"/>
        </w:rPr>
        <w:t>一、收入支出决算总体情况说明</w:t>
      </w:r>
    </w:p>
    <w:p w14:paraId="5C3D23C2">
      <w:pPr>
        <w:spacing w:line="580" w:lineRule="exact"/>
        <w:ind w:firstLine="640"/>
        <w:jc w:val="both"/>
      </w:pPr>
      <w:r>
        <w:rPr>
          <w:rFonts w:ascii="仿宋_GB2312" w:hAnsi="仿宋_GB2312" w:eastAsia="仿宋_GB2312"/>
          <w:b/>
          <w:sz w:val="32"/>
        </w:rPr>
        <w:t>2024年度收入总计674.44万元，</w:t>
      </w:r>
      <w:r>
        <w:rPr>
          <w:rFonts w:ascii="仿宋_GB2312" w:hAnsi="仿宋_GB2312" w:eastAsia="仿宋_GB2312"/>
          <w:b w:val="0"/>
          <w:sz w:val="32"/>
        </w:rPr>
        <w:t>其中：本年收入合计674.44万元，使用非财政拨款结余（含专用结余）0.00万元，年初结转和结余0.00万元。</w:t>
      </w:r>
    </w:p>
    <w:p w14:paraId="59475F19">
      <w:pPr>
        <w:spacing w:line="580" w:lineRule="exact"/>
        <w:ind w:firstLine="640"/>
        <w:jc w:val="both"/>
      </w:pPr>
      <w:r>
        <w:rPr>
          <w:rFonts w:ascii="仿宋_GB2312" w:hAnsi="仿宋_GB2312" w:eastAsia="仿宋_GB2312"/>
          <w:b/>
          <w:sz w:val="32"/>
        </w:rPr>
        <w:t>2024年度支出总计674.44万元，</w:t>
      </w:r>
      <w:r>
        <w:rPr>
          <w:rFonts w:ascii="仿宋_GB2312" w:hAnsi="仿宋_GB2312" w:eastAsia="仿宋_GB2312"/>
          <w:b w:val="0"/>
          <w:sz w:val="32"/>
        </w:rPr>
        <w:t>其中：本年支出合计674.44万元，结余分配0.00万元，年末结转和结余0.00万元。</w:t>
      </w:r>
    </w:p>
    <w:p w14:paraId="089A4AD7">
      <w:pPr>
        <w:spacing w:line="580" w:lineRule="exact"/>
        <w:ind w:firstLine="640"/>
        <w:jc w:val="both"/>
      </w:pPr>
      <w:r>
        <w:rPr>
          <w:rFonts w:ascii="仿宋_GB2312" w:hAnsi="仿宋_GB2312" w:eastAsia="仿宋_GB2312"/>
          <w:b w:val="0"/>
          <w:sz w:val="32"/>
        </w:rPr>
        <w:t>收入支出总体与上年相比，减少79.87万元，下降10.59%，主要原因是：一是本年度机构改革，副局长调出，人员经费减少；二是减少边防连慰问、减少对往年义务兵优待金及高原补助。</w:t>
      </w:r>
    </w:p>
    <w:p w14:paraId="259028AF">
      <w:pPr>
        <w:spacing w:line="640" w:lineRule="exact"/>
        <w:ind w:firstLine="640"/>
        <w:jc w:val="both"/>
        <w:outlineLvl w:val="2"/>
      </w:pPr>
      <w:r>
        <w:rPr>
          <w:rFonts w:ascii="黑体" w:hAnsi="黑体" w:eastAsia="黑体"/>
          <w:sz w:val="32"/>
        </w:rPr>
        <w:t>二、收入决算情况说明</w:t>
      </w:r>
    </w:p>
    <w:p w14:paraId="7EF484B0">
      <w:pPr>
        <w:spacing w:line="580" w:lineRule="exact"/>
        <w:ind w:firstLine="640"/>
        <w:jc w:val="both"/>
      </w:pPr>
      <w:r>
        <w:rPr>
          <w:rFonts w:ascii="仿宋_GB2312" w:hAnsi="仿宋_GB2312" w:eastAsia="仿宋_GB2312"/>
          <w:b/>
          <w:sz w:val="32"/>
        </w:rPr>
        <w:t>本年收入674.44万元，</w:t>
      </w:r>
      <w:r>
        <w:rPr>
          <w:rFonts w:ascii="仿宋_GB2312" w:hAnsi="仿宋_GB2312" w:eastAsia="仿宋_GB2312"/>
          <w:b w:val="0"/>
          <w:sz w:val="32"/>
        </w:rPr>
        <w:t>其中：财政拨款收入674.44万元，占100.00%；上级补助收入0.00万元，占0.00%；事业收入0.00万元，占0.00%；经营收入0.00万元，占0.00%；附属单位上缴收入0.00万元，占0.00%；其他收入0.00万元，占0.00%。</w:t>
      </w:r>
    </w:p>
    <w:p w14:paraId="2D1179B8">
      <w:pPr>
        <w:spacing w:line="640" w:lineRule="exact"/>
        <w:ind w:firstLine="640"/>
        <w:jc w:val="both"/>
        <w:outlineLvl w:val="2"/>
      </w:pPr>
      <w:r>
        <w:rPr>
          <w:rFonts w:ascii="黑体" w:hAnsi="黑体" w:eastAsia="黑体"/>
          <w:sz w:val="32"/>
        </w:rPr>
        <w:t>三、支出决算情况说明</w:t>
      </w:r>
    </w:p>
    <w:p w14:paraId="0D8F4334">
      <w:pPr>
        <w:spacing w:line="580" w:lineRule="exact"/>
        <w:ind w:firstLine="640"/>
        <w:jc w:val="both"/>
      </w:pPr>
      <w:r>
        <w:rPr>
          <w:rFonts w:ascii="仿宋_GB2312" w:hAnsi="仿宋_GB2312" w:eastAsia="仿宋_GB2312"/>
          <w:b/>
          <w:sz w:val="32"/>
        </w:rPr>
        <w:t>本年支出674.44万元，</w:t>
      </w:r>
      <w:r>
        <w:rPr>
          <w:rFonts w:ascii="仿宋_GB2312" w:hAnsi="仿宋_GB2312" w:eastAsia="仿宋_GB2312"/>
          <w:b w:val="0"/>
          <w:sz w:val="32"/>
        </w:rPr>
        <w:t>其中：基本支出213.80万元，占31.70%；项目支出460.64万元，占68.30%；上缴上级支出0.00万元，占0.00%；经营支出0.00万元，占0.00%；对附属单位补助支出0.00万元，占0.00%。</w:t>
      </w:r>
    </w:p>
    <w:p w14:paraId="09ABA938">
      <w:pPr>
        <w:spacing w:line="640" w:lineRule="exact"/>
        <w:ind w:firstLine="640"/>
        <w:jc w:val="both"/>
        <w:outlineLvl w:val="2"/>
      </w:pPr>
      <w:r>
        <w:rPr>
          <w:rFonts w:ascii="黑体" w:hAnsi="黑体" w:eastAsia="黑体"/>
          <w:sz w:val="32"/>
        </w:rPr>
        <w:t>四、财政拨款收入支出决算总体情况说明</w:t>
      </w:r>
    </w:p>
    <w:p w14:paraId="326E228C">
      <w:pPr>
        <w:spacing w:line="580" w:lineRule="exact"/>
        <w:ind w:firstLine="640"/>
        <w:jc w:val="both"/>
      </w:pPr>
      <w:r>
        <w:rPr>
          <w:rFonts w:ascii="仿宋_GB2312" w:hAnsi="仿宋_GB2312" w:eastAsia="仿宋_GB2312"/>
          <w:b/>
          <w:sz w:val="32"/>
        </w:rPr>
        <w:t>2024年度财政拨款收入总计674.44万元，</w:t>
      </w:r>
      <w:r>
        <w:rPr>
          <w:rFonts w:ascii="仿宋_GB2312" w:hAnsi="仿宋_GB2312" w:eastAsia="仿宋_GB2312"/>
          <w:b w:val="0"/>
          <w:sz w:val="32"/>
        </w:rPr>
        <w:t>其中：年初财政拨款结转和结余0.00万元，本年财政拨款收入674.44万元。</w:t>
      </w:r>
      <w:r>
        <w:rPr>
          <w:rFonts w:ascii="仿宋_GB2312" w:hAnsi="仿宋_GB2312" w:eastAsia="仿宋_GB2312"/>
          <w:b/>
          <w:sz w:val="32"/>
        </w:rPr>
        <w:t>财政拨款支出总计674.44万元，</w:t>
      </w:r>
      <w:r>
        <w:rPr>
          <w:rFonts w:ascii="仿宋_GB2312" w:hAnsi="仿宋_GB2312" w:eastAsia="仿宋_GB2312"/>
          <w:b w:val="0"/>
          <w:sz w:val="32"/>
        </w:rPr>
        <w:t>其中：年末财政拨款结转和结余0.00万元，本年财政拨款支出674.44万元。</w:t>
      </w:r>
    </w:p>
    <w:p w14:paraId="13376FA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减少76.87万元，下降10.23%，主要原因是：一是本年度机构改革，副局长调出，人员经费减少；二是减少边防连慰问、减少对往年义务兵优待金及高原补助。</w:t>
      </w:r>
      <w:r>
        <w:rPr>
          <w:rFonts w:ascii="仿宋_GB2312" w:hAnsi="仿宋_GB2312" w:eastAsia="仿宋_GB2312"/>
          <w:b/>
          <w:sz w:val="32"/>
        </w:rPr>
        <w:t>与年初预算相比，</w:t>
      </w:r>
      <w:r>
        <w:rPr>
          <w:rFonts w:ascii="仿宋_GB2312" w:hAnsi="仿宋_GB2312" w:eastAsia="仿宋_GB2312"/>
          <w:b w:val="0"/>
          <w:sz w:val="32"/>
        </w:rPr>
        <w:t>年初预算数962.20万元，决算数674.44万元，预决算差异率-29.91%，主要原因是：一是本年度机构改革，副局长调出，年中调减人员经费；二是边防连慰问、义务兵优待金及高原补助未执行完，年中调减经费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20F53CCF">
      <w:pPr>
        <w:spacing w:line="640" w:lineRule="exact"/>
        <w:ind w:firstLine="640"/>
        <w:jc w:val="both"/>
        <w:outlineLvl w:val="2"/>
      </w:pPr>
      <w:r>
        <w:rPr>
          <w:rFonts w:ascii="黑体" w:hAnsi="黑体" w:eastAsia="黑体"/>
          <w:sz w:val="32"/>
        </w:rPr>
        <w:t>五、一般公共预算财政拨款支出决算情况说明</w:t>
      </w:r>
    </w:p>
    <w:p w14:paraId="53D8A626">
      <w:pPr>
        <w:spacing w:line="640" w:lineRule="exact"/>
        <w:ind w:firstLine="640"/>
        <w:jc w:val="both"/>
        <w:outlineLvl w:val="3"/>
      </w:pPr>
      <w:r>
        <w:rPr>
          <w:rFonts w:ascii="楷体_GB2312" w:hAnsi="楷体_GB2312" w:eastAsia="楷体_GB2312"/>
          <w:b/>
          <w:sz w:val="32"/>
        </w:rPr>
        <w:t>（一）一般公共预算财政拨款支出决算总体情况</w:t>
      </w:r>
    </w:p>
    <w:p w14:paraId="342F1C77">
      <w:pPr>
        <w:spacing w:line="580" w:lineRule="exact"/>
        <w:ind w:firstLine="640"/>
        <w:jc w:val="both"/>
      </w:pPr>
      <w:r>
        <w:rPr>
          <w:rFonts w:ascii="仿宋_GB2312" w:hAnsi="仿宋_GB2312" w:eastAsia="仿宋_GB2312"/>
          <w:b/>
          <w:sz w:val="32"/>
        </w:rPr>
        <w:t>2024年度一般公共预算财政拨款支出674.44万元，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减少76.87万元，下降10.23%，主要原因是：一是本年度机构改革，副局长调出，人员经费减少；二是减少边防连慰问、减少对往年义务兵优待金及高原补助。</w:t>
      </w:r>
      <w:r>
        <w:rPr>
          <w:rFonts w:ascii="仿宋_GB2312" w:hAnsi="仿宋_GB2312" w:eastAsia="仿宋_GB2312"/>
          <w:b/>
          <w:sz w:val="32"/>
        </w:rPr>
        <w:t>与年初预算相比,</w:t>
      </w:r>
      <w:r>
        <w:rPr>
          <w:rFonts w:ascii="仿宋_GB2312" w:hAnsi="仿宋_GB2312" w:eastAsia="仿宋_GB2312"/>
          <w:b w:val="0"/>
          <w:sz w:val="32"/>
        </w:rPr>
        <w:t>年初预算数962.20万元，决算数674.44万元，预决算差异率-29.91%，主要原因是：一是本年度机构改革，副局长调出，年中调减人员经费；二是边防连慰问、义务兵优待金及高原补助未执行完，年中调减经费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19E31B28">
      <w:pPr>
        <w:spacing w:line="640" w:lineRule="exact"/>
        <w:ind w:firstLine="640"/>
        <w:jc w:val="both"/>
        <w:outlineLvl w:val="3"/>
      </w:pPr>
      <w:r>
        <w:rPr>
          <w:rFonts w:ascii="楷体_GB2312" w:hAnsi="楷体_GB2312" w:eastAsia="楷体_GB2312"/>
          <w:b/>
          <w:sz w:val="32"/>
        </w:rPr>
        <w:t>（二）一般公共预算财政拨款支出决算结构情况</w:t>
      </w:r>
    </w:p>
    <w:p w14:paraId="7A7B744F">
      <w:pPr>
        <w:spacing w:line="580" w:lineRule="exact"/>
        <w:ind w:firstLine="640"/>
        <w:jc w:val="both"/>
      </w:pPr>
      <w:r>
        <w:rPr>
          <w:rFonts w:ascii="仿宋_GB2312" w:hAnsi="仿宋_GB2312" w:eastAsia="仿宋_GB2312"/>
          <w:b w:val="0"/>
          <w:sz w:val="32"/>
        </w:rPr>
        <w:t>1.社会保障和就业支出(类)646.34万元,占95.83%。</w:t>
      </w:r>
    </w:p>
    <w:p w14:paraId="7B7801FC">
      <w:pPr>
        <w:spacing w:line="580" w:lineRule="exact"/>
        <w:ind w:firstLine="640"/>
        <w:jc w:val="both"/>
      </w:pPr>
      <w:r>
        <w:rPr>
          <w:rFonts w:ascii="仿宋_GB2312" w:hAnsi="仿宋_GB2312" w:eastAsia="仿宋_GB2312"/>
          <w:b w:val="0"/>
          <w:sz w:val="32"/>
        </w:rPr>
        <w:t>2.卫生健康支出(类)12.10万元,占1.79%。</w:t>
      </w:r>
    </w:p>
    <w:p w14:paraId="7EAF31E4">
      <w:pPr>
        <w:spacing w:line="580" w:lineRule="exact"/>
        <w:ind w:firstLine="640"/>
        <w:jc w:val="both"/>
      </w:pPr>
      <w:r>
        <w:rPr>
          <w:rFonts w:ascii="仿宋_GB2312" w:hAnsi="仿宋_GB2312" w:eastAsia="仿宋_GB2312"/>
          <w:b w:val="0"/>
          <w:sz w:val="32"/>
        </w:rPr>
        <w:t>3.住房保障支出(类)16.00万元,占2.37%。</w:t>
      </w:r>
    </w:p>
    <w:p w14:paraId="71559FF8">
      <w:pPr>
        <w:spacing w:line="640" w:lineRule="exact"/>
        <w:ind w:firstLine="640"/>
        <w:jc w:val="both"/>
        <w:outlineLvl w:val="3"/>
      </w:pPr>
      <w:r>
        <w:rPr>
          <w:rFonts w:ascii="楷体_GB2312" w:hAnsi="楷体_GB2312" w:eastAsia="楷体_GB2312"/>
          <w:b/>
          <w:sz w:val="32"/>
        </w:rPr>
        <w:t>（三）一般公共预算财政拨款支出决算具体情况</w:t>
      </w:r>
    </w:p>
    <w:p w14:paraId="343A6BA6">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3.14万元，比上年决算增加3.14万元，增长100.00%,主要原因是：本年功能科目调整，行政单位离退休上年度在主科目列支，本年单独列支，导致经费较上年增加。</w:t>
      </w:r>
    </w:p>
    <w:p w14:paraId="076E27DF">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21.15万元，比上年决算增加2.94万元，增长16.14%,主要原因是：本年在职人员工资基数调增，养老缴费基数上涨，相应支出增加。</w:t>
      </w:r>
    </w:p>
    <w:p w14:paraId="759179AF">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7.69万元，下降100.00%,主要原因是：2023年1人退休缴纳职业年金，本年无需做实职业年金人员。</w:t>
      </w:r>
    </w:p>
    <w:p w14:paraId="681207C5">
      <w:pPr>
        <w:spacing w:line="580" w:lineRule="exact"/>
        <w:ind w:firstLine="640"/>
        <w:jc w:val="both"/>
      </w:pPr>
      <w:r>
        <w:rPr>
          <w:rFonts w:ascii="仿宋_GB2312" w:hAnsi="仿宋_GB2312" w:eastAsia="仿宋_GB2312"/>
          <w:b w:val="0"/>
          <w:sz w:val="32"/>
        </w:rPr>
        <w:t>4.社会保障和就业支出(类)抚恤(款)死亡抚恤(项):支出决算数为34.09万元，比上年决算增加34.09万元，增长100.00%,主要原因是：本年功能科目调整，烈士遗属抚恤金从其他优抚支出科目调整至此科目列支</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导致经费增加</w:t>
      </w:r>
      <w:r>
        <w:rPr>
          <w:rFonts w:ascii="仿宋_GB2312" w:hAnsi="仿宋_GB2312" w:eastAsia="仿宋_GB2312"/>
          <w:b w:val="0"/>
          <w:sz w:val="32"/>
        </w:rPr>
        <w:t>。</w:t>
      </w:r>
    </w:p>
    <w:p w14:paraId="2147ABB8">
      <w:pPr>
        <w:spacing w:line="580" w:lineRule="exact"/>
        <w:ind w:firstLine="640"/>
        <w:jc w:val="both"/>
      </w:pPr>
      <w:r>
        <w:rPr>
          <w:rFonts w:ascii="仿宋_GB2312" w:hAnsi="仿宋_GB2312" w:eastAsia="仿宋_GB2312"/>
          <w:b w:val="0"/>
          <w:sz w:val="32"/>
        </w:rPr>
        <w:t>5.社会保障和就业支出(类)抚恤(款)伤残抚恤(项):支出决算数为12.57万元，比上年决算增加12.57万元，增长100.00%,主要原因是：本年功能科目调整，伤残军人抚恤金、伤残国家机关工作人员抚恤金、伤残人民警察抚恤金从其他优抚支出科目调整至此科目列支</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导致经费增加</w:t>
      </w:r>
      <w:r>
        <w:rPr>
          <w:rFonts w:ascii="仿宋_GB2312" w:hAnsi="仿宋_GB2312" w:eastAsia="仿宋_GB2312"/>
          <w:b w:val="0"/>
          <w:sz w:val="32"/>
        </w:rPr>
        <w:t>。</w:t>
      </w:r>
    </w:p>
    <w:p w14:paraId="356C2921">
      <w:pPr>
        <w:spacing w:line="580" w:lineRule="exact"/>
        <w:ind w:firstLine="640"/>
        <w:jc w:val="both"/>
      </w:pPr>
      <w:r>
        <w:rPr>
          <w:rFonts w:ascii="仿宋_GB2312" w:hAnsi="仿宋_GB2312" w:eastAsia="仿宋_GB2312"/>
          <w:b w:val="0"/>
          <w:sz w:val="32"/>
        </w:rPr>
        <w:t>6.社会保障和就业支出(类)抚恤(款)义务兵优待(项):支出决算数为128.41万元，比上年决算减少12.37万元，下降8.79%,主要原因是：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义务兵优待人员减少，义务兵优待金高原补贴减少。</w:t>
      </w:r>
    </w:p>
    <w:p w14:paraId="787D767F">
      <w:pPr>
        <w:spacing w:line="580" w:lineRule="exact"/>
        <w:ind w:firstLine="640"/>
        <w:jc w:val="both"/>
      </w:pPr>
      <w:r>
        <w:rPr>
          <w:rFonts w:ascii="仿宋_GB2312" w:hAnsi="仿宋_GB2312" w:eastAsia="仿宋_GB2312"/>
          <w:b w:val="0"/>
          <w:sz w:val="32"/>
        </w:rPr>
        <w:t>7.社会保障和就业支出(类)抚恤(款)农村籍退役士兵老年生活补助(项):支出决算数为149.10万元，比上年决算增加149.10万元，增长100.00%,主要原因是：本年功能科目调整，年满60岁农村籍退役士兵生活补助从其他优抚支出科目调整至此科目列支</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导致经费增加</w:t>
      </w:r>
      <w:r>
        <w:rPr>
          <w:rFonts w:ascii="仿宋_GB2312" w:hAnsi="仿宋_GB2312" w:eastAsia="仿宋_GB2312"/>
          <w:b w:val="0"/>
          <w:sz w:val="32"/>
        </w:rPr>
        <w:t>。</w:t>
      </w:r>
    </w:p>
    <w:p w14:paraId="1F6D236A">
      <w:pPr>
        <w:spacing w:line="580" w:lineRule="exact"/>
        <w:ind w:firstLine="640"/>
        <w:jc w:val="both"/>
      </w:pPr>
      <w:r>
        <w:rPr>
          <w:rFonts w:ascii="仿宋_GB2312" w:hAnsi="仿宋_GB2312" w:eastAsia="仿宋_GB2312"/>
          <w:b w:val="0"/>
          <w:sz w:val="32"/>
        </w:rPr>
        <w:t>8.社会保障和就业支出(类)抚恤(款)其他优抚支出(项):支出决算数为2.73万元，比上年决算减少198.64万元，下降98.64%,主要原因是：本年功能科目调整，优抚对象生活补助中烈士遗属抚恤金、伤残军人抚恤金、伤残国家机关工作人员抚恤金、伤残人民警察抚恤金、年满60岁农村籍退役士兵生活补助本年单独科目列支</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导致经费减少</w:t>
      </w:r>
      <w:r>
        <w:rPr>
          <w:rFonts w:ascii="仿宋_GB2312" w:hAnsi="仿宋_GB2312" w:eastAsia="仿宋_GB2312"/>
          <w:b w:val="0"/>
          <w:sz w:val="32"/>
        </w:rPr>
        <w:t>。</w:t>
      </w:r>
    </w:p>
    <w:p w14:paraId="0E646440">
      <w:pPr>
        <w:spacing w:line="580" w:lineRule="exact"/>
        <w:ind w:firstLine="640"/>
        <w:jc w:val="both"/>
      </w:pPr>
      <w:r>
        <w:rPr>
          <w:rFonts w:ascii="仿宋_GB2312" w:hAnsi="仿宋_GB2312" w:eastAsia="仿宋_GB2312"/>
          <w:b w:val="0"/>
          <w:sz w:val="32"/>
        </w:rPr>
        <w:t>9.社会保障和就业支出(类)退役安置(款)退役士兵管理教育(项):支出决算数为0.64万元，比上年决算增加0.64万元，增长100.00%,主要原因是：本年增加2023年中央财政退役安置补助经费。</w:t>
      </w:r>
    </w:p>
    <w:p w14:paraId="60AAE296">
      <w:pPr>
        <w:spacing w:line="580" w:lineRule="exact"/>
        <w:ind w:firstLine="640"/>
        <w:jc w:val="both"/>
      </w:pPr>
      <w:r>
        <w:rPr>
          <w:rFonts w:ascii="仿宋_GB2312" w:hAnsi="仿宋_GB2312" w:eastAsia="仿宋_GB2312"/>
          <w:b w:val="0"/>
          <w:sz w:val="32"/>
        </w:rPr>
        <w:t>10.社会保障和就业支出(类)退役安置(款)军队转业干部安置(项):支出决算数为1.60万元，比上年决算减少3.13万元，下降66.17%,主要原因是：本年军队转业干部缴纳医疗保险人数减少，军队转业干部安置费较上年减少。</w:t>
      </w:r>
    </w:p>
    <w:p w14:paraId="79FC6B13">
      <w:pPr>
        <w:spacing w:line="580" w:lineRule="exact"/>
        <w:ind w:firstLine="640"/>
        <w:jc w:val="both"/>
      </w:pPr>
      <w:r>
        <w:rPr>
          <w:rFonts w:ascii="仿宋_GB2312" w:hAnsi="仿宋_GB2312" w:eastAsia="仿宋_GB2312"/>
          <w:b w:val="0"/>
          <w:sz w:val="32"/>
        </w:rPr>
        <w:t>11.社会保障和就业支出(类)退役安置(款)其他退役安置支出(项):支出决算数为124.36万元，比上年决算增加122.01万元，增长5,191.91%,主要原因是：本年功能科目调整，退役士兵一次经济补助项目从其他退役军人事务管理支出科目调整至其他退役安置支出列支。</w:t>
      </w:r>
    </w:p>
    <w:p w14:paraId="34284D39">
      <w:pPr>
        <w:spacing w:line="580" w:lineRule="exact"/>
        <w:ind w:firstLine="640"/>
        <w:jc w:val="both"/>
      </w:pPr>
      <w:r>
        <w:rPr>
          <w:rFonts w:ascii="仿宋_GB2312" w:hAnsi="仿宋_GB2312" w:eastAsia="仿宋_GB2312"/>
          <w:b w:val="0"/>
          <w:sz w:val="32"/>
        </w:rPr>
        <w:t>12.社会保障和就业支出(类)其他生活救助(款)其他城市生活救助(项):支出决算数为0.00万元，比上年决算减少0.04万元，下降100.00%,主要原因是：本年减少中央困难群众救助补助资金。</w:t>
      </w:r>
    </w:p>
    <w:p w14:paraId="70E73B88">
      <w:pPr>
        <w:spacing w:line="580" w:lineRule="exact"/>
        <w:ind w:firstLine="640"/>
        <w:jc w:val="both"/>
      </w:pPr>
      <w:r>
        <w:rPr>
          <w:rFonts w:ascii="仿宋_GB2312" w:hAnsi="仿宋_GB2312" w:eastAsia="仿宋_GB2312"/>
          <w:b w:val="0"/>
          <w:sz w:val="32"/>
        </w:rPr>
        <w:t>13.社会保障和就业支出(类)其他生活救助(款)其他农村生活救助(项):支出决算数为0.00万元，比上年决算减少0.17万元，下降100.00%,主要原因是：本年减少中央困难群众救助补助资金。</w:t>
      </w:r>
    </w:p>
    <w:p w14:paraId="3E65A286">
      <w:pPr>
        <w:spacing w:line="580" w:lineRule="exact"/>
        <w:ind w:firstLine="640"/>
        <w:jc w:val="both"/>
      </w:pPr>
      <w:r>
        <w:rPr>
          <w:rFonts w:ascii="仿宋_GB2312" w:hAnsi="仿宋_GB2312" w:eastAsia="仿宋_GB2312"/>
          <w:b w:val="0"/>
          <w:sz w:val="32"/>
        </w:rPr>
        <w:t>14.社会保障和就业支出(类)退役军人管理事务(款)行政运行(项):支出决算数为161.43万元，比上年决算减少78.17万元，下降32.63%,主要原因是：上年度退休人员经费、在职人员医疗缴费、公务员医疗补助、住房公积金上年度在主科目列支，本年单独列支，导致本科目经费减少。</w:t>
      </w:r>
    </w:p>
    <w:p w14:paraId="48F1173D">
      <w:pPr>
        <w:spacing w:line="580" w:lineRule="exact"/>
        <w:ind w:firstLine="640"/>
        <w:jc w:val="both"/>
      </w:pPr>
      <w:r>
        <w:rPr>
          <w:rFonts w:ascii="仿宋_GB2312" w:hAnsi="仿宋_GB2312" w:eastAsia="仿宋_GB2312"/>
          <w:b w:val="0"/>
          <w:sz w:val="32"/>
        </w:rPr>
        <w:t>15.社会保障和就业支出(类)退役军人管理事务(款)拥军优属(项):支出决算数为7.10万元，比上年决算增加7.10万元，增长100.00%,主要原因是：本年增加双拥工作经费项目支出。</w:t>
      </w:r>
    </w:p>
    <w:p w14:paraId="5AB2B579">
      <w:pPr>
        <w:spacing w:line="580" w:lineRule="exact"/>
        <w:ind w:firstLine="640"/>
        <w:jc w:val="both"/>
      </w:pPr>
      <w:r>
        <w:rPr>
          <w:rFonts w:ascii="仿宋_GB2312" w:hAnsi="仿宋_GB2312" w:eastAsia="仿宋_GB2312"/>
          <w:b w:val="0"/>
          <w:sz w:val="32"/>
        </w:rPr>
        <w:t>16.社会保障和就业支出(类)退役军人管理事务(款)其他退役军人事务管理支出(项):支出决算数为0.00万元，比上年决算减少136.30万元，下降100.00%,主要原因是：本年县配套-自主就业退役士兵一次性经济补助从本科目调整至其他退役安置支出科目列支</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导致经费减少</w:t>
      </w:r>
      <w:r>
        <w:rPr>
          <w:rFonts w:ascii="仿宋_GB2312" w:hAnsi="仿宋_GB2312" w:eastAsia="仿宋_GB2312"/>
          <w:b w:val="0"/>
          <w:sz w:val="32"/>
        </w:rPr>
        <w:t>。</w:t>
      </w:r>
    </w:p>
    <w:p w14:paraId="12DE81FB">
      <w:pPr>
        <w:spacing w:line="580" w:lineRule="exact"/>
        <w:ind w:firstLine="640"/>
        <w:jc w:val="both"/>
      </w:pPr>
      <w:r>
        <w:rPr>
          <w:rFonts w:ascii="仿宋_GB2312" w:hAnsi="仿宋_GB2312" w:eastAsia="仿宋_GB2312"/>
          <w:b w:val="0"/>
          <w:sz w:val="32"/>
        </w:rPr>
        <w:t>17.卫生健康支出(类)行政事业单位医疗(款)行政单位医疗(项):支出决算数为8.59万元，比上年决算增加8.59万元，增长100.00%,主要原因是：本年功能科目调整，职工基本医疗保险缴费上年在主科目列支，本年单独列支。</w:t>
      </w:r>
    </w:p>
    <w:p w14:paraId="14041568">
      <w:pPr>
        <w:spacing w:line="580" w:lineRule="exact"/>
        <w:ind w:firstLine="640"/>
        <w:jc w:val="both"/>
      </w:pPr>
      <w:r>
        <w:rPr>
          <w:rFonts w:ascii="仿宋_GB2312" w:hAnsi="仿宋_GB2312" w:eastAsia="仿宋_GB2312"/>
          <w:b w:val="0"/>
          <w:sz w:val="32"/>
        </w:rPr>
        <w:t>18.卫生健康支出(类)行政事业单位医疗(款)公务员医疗补助(项):支出决算数为3.48万元，比上年决算增加3.48万元，增长100.00%,主要原因是：本年功能科目调整，公务员医疗补助上年在主科目列支，本年单独列支。</w:t>
      </w:r>
    </w:p>
    <w:p w14:paraId="1F9D0C9D">
      <w:pPr>
        <w:spacing w:line="580" w:lineRule="exact"/>
        <w:ind w:firstLine="640"/>
        <w:jc w:val="both"/>
      </w:pPr>
      <w:r>
        <w:rPr>
          <w:rFonts w:ascii="仿宋_GB2312" w:hAnsi="仿宋_GB2312" w:eastAsia="仿宋_GB2312"/>
          <w:b w:val="0"/>
          <w:sz w:val="32"/>
        </w:rPr>
        <w:t>19.卫生健康支出(类)优抚对象医疗(款)其他优抚对象医疗支出(项):支出决算数为0.03万元，比上年决算减少0.04万元，下降57.14%,主要原因是：本年中央财政优抚对象医疗保障经费较上年减少。</w:t>
      </w:r>
    </w:p>
    <w:p w14:paraId="16005C3E">
      <w:pPr>
        <w:spacing w:line="580" w:lineRule="exact"/>
        <w:ind w:firstLine="640"/>
        <w:jc w:val="both"/>
      </w:pPr>
      <w:r>
        <w:rPr>
          <w:rFonts w:ascii="仿宋_GB2312" w:hAnsi="仿宋_GB2312" w:eastAsia="仿宋_GB2312"/>
          <w:b w:val="0"/>
          <w:sz w:val="32"/>
        </w:rPr>
        <w:t>20.住房保障支出(类)住房改革支出(款)住房公积金(项):支出决算数为16.00万元，比上年决算增加16.00万元，增长100.00%,主要原因是：本年功能科目调整，住房公积金上年在主科目列支，本年单独列支。</w:t>
      </w:r>
    </w:p>
    <w:p w14:paraId="70F5C12B">
      <w:pPr>
        <w:spacing w:line="640" w:lineRule="exact"/>
        <w:ind w:firstLine="640"/>
        <w:jc w:val="both"/>
        <w:outlineLvl w:val="2"/>
      </w:pPr>
      <w:r>
        <w:rPr>
          <w:rFonts w:ascii="黑体" w:hAnsi="黑体" w:eastAsia="黑体"/>
          <w:sz w:val="32"/>
        </w:rPr>
        <w:t>六、一般公共预算财政拨款基本支出决算情况说明</w:t>
      </w:r>
    </w:p>
    <w:p w14:paraId="7D80020D">
      <w:pPr>
        <w:spacing w:line="580" w:lineRule="exact"/>
        <w:ind w:firstLine="640"/>
        <w:jc w:val="both"/>
      </w:pPr>
      <w:r>
        <w:rPr>
          <w:rFonts w:ascii="仿宋_GB2312" w:hAnsi="仿宋_GB2312" w:eastAsia="仿宋_GB2312"/>
          <w:b w:val="0"/>
          <w:sz w:val="32"/>
        </w:rPr>
        <w:t>2024年度一般公共预算财政拨款基本支出213.80万元，其中：</w:t>
      </w:r>
      <w:r>
        <w:rPr>
          <w:rFonts w:ascii="仿宋_GB2312" w:hAnsi="仿宋_GB2312" w:eastAsia="仿宋_GB2312"/>
          <w:b/>
          <w:sz w:val="32"/>
        </w:rPr>
        <w:t>人员经费210.61万元，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包括：基本工资、津贴补贴、奖金、机关事业单位基本养老保险缴费、职工基本医疗保险缴费、公务员医疗补助缴费、其他社会保障缴费、住房公积金、退休费、生活补助、医疗费补助。</w:t>
      </w:r>
    </w:p>
    <w:p w14:paraId="2709CDD4">
      <w:pPr>
        <w:spacing w:line="580" w:lineRule="exact"/>
        <w:ind w:firstLine="640"/>
        <w:jc w:val="both"/>
      </w:pPr>
      <w:r>
        <w:rPr>
          <w:rFonts w:ascii="仿宋_GB2312" w:hAnsi="仿宋_GB2312" w:eastAsia="仿宋_GB2312"/>
          <w:b/>
          <w:sz w:val="32"/>
        </w:rPr>
        <w:t>公用经费3.18万元，</w:t>
      </w:r>
      <w:r>
        <w:rPr>
          <w:rFonts w:ascii="仿宋_GB2312" w:hAnsi="仿宋_GB2312" w:eastAsia="仿宋_GB2312"/>
          <w:b w:val="0"/>
          <w:sz w:val="32"/>
        </w:rPr>
        <w:t>包括：办公费、邮电费、差旅费、工会经费、公务用车运行维护费。</w:t>
      </w:r>
    </w:p>
    <w:p w14:paraId="368101FB">
      <w:pPr>
        <w:spacing w:line="640" w:lineRule="exact"/>
        <w:ind w:firstLine="640"/>
        <w:jc w:val="both"/>
        <w:outlineLvl w:val="2"/>
      </w:pPr>
      <w:r>
        <w:rPr>
          <w:rFonts w:ascii="黑体" w:hAnsi="黑体" w:eastAsia="黑体"/>
          <w:sz w:val="32"/>
        </w:rPr>
        <w:t>七、政府性基金预算财政拨款收入支出决算情况说明</w:t>
      </w:r>
    </w:p>
    <w:p w14:paraId="64970B4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A8AB4D5">
      <w:pPr>
        <w:spacing w:line="640" w:lineRule="exact"/>
        <w:ind w:firstLine="640"/>
        <w:jc w:val="both"/>
        <w:outlineLvl w:val="2"/>
      </w:pPr>
      <w:r>
        <w:rPr>
          <w:rFonts w:ascii="黑体" w:hAnsi="黑体" w:eastAsia="黑体"/>
          <w:sz w:val="32"/>
        </w:rPr>
        <w:t>八、国有资本经营预算财政拨款收入支出决算情况说明</w:t>
      </w:r>
    </w:p>
    <w:p w14:paraId="2E794D2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41847DF">
      <w:pPr>
        <w:spacing w:line="640" w:lineRule="exact"/>
        <w:ind w:firstLine="640"/>
        <w:jc w:val="both"/>
        <w:outlineLvl w:val="2"/>
      </w:pPr>
      <w:r>
        <w:rPr>
          <w:rFonts w:ascii="黑体" w:hAnsi="黑体" w:eastAsia="黑体"/>
          <w:sz w:val="32"/>
        </w:rPr>
        <w:t>九、财政拨款“三公”经费支出决算情况说明</w:t>
      </w:r>
    </w:p>
    <w:p w14:paraId="2E834D6D">
      <w:pPr>
        <w:spacing w:line="580" w:lineRule="exact"/>
        <w:ind w:firstLine="640"/>
        <w:jc w:val="both"/>
      </w:pPr>
      <w:r>
        <w:rPr>
          <w:rFonts w:ascii="仿宋_GB2312" w:hAnsi="仿宋_GB2312" w:eastAsia="仿宋_GB2312"/>
          <w:b/>
          <w:sz w:val="32"/>
        </w:rPr>
        <w:t>2024年度财政拨款“三公”经费支出0.93万元，</w:t>
      </w:r>
      <w:r>
        <w:rPr>
          <w:rFonts w:ascii="仿宋_GB2312" w:hAnsi="仿宋_GB2312" w:eastAsia="仿宋_GB2312"/>
          <w:b w:val="0"/>
          <w:sz w:val="32"/>
        </w:rPr>
        <w:t>比上年增加0.09万元，增长10.71%，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0.93万元，占100.00%，比上年增加0.09万元，增长10.71%，主要原因是：本年因业务需求，用车次数增加，燃油费增加，导致公务用车运行维护费较上年增加。公务接待费支出0.00万元，占0.00%，比上年增加0.00万元，增长0.00%，主要原因是：2023年与2024年均未安排公务接待费支出。</w:t>
      </w:r>
    </w:p>
    <w:p w14:paraId="28EB5ADA">
      <w:pPr>
        <w:spacing w:line="580" w:lineRule="exact"/>
        <w:ind w:firstLine="640"/>
        <w:jc w:val="both"/>
      </w:pPr>
      <w:r>
        <w:rPr>
          <w:rFonts w:ascii="仿宋_GB2312" w:hAnsi="仿宋_GB2312" w:eastAsia="仿宋_GB2312"/>
          <w:b/>
          <w:sz w:val="32"/>
        </w:rPr>
        <w:t>具体情况如下：</w:t>
      </w:r>
    </w:p>
    <w:p w14:paraId="744B6C3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930BC1B">
      <w:pPr>
        <w:spacing w:line="580" w:lineRule="exact"/>
        <w:ind w:firstLine="640"/>
        <w:jc w:val="both"/>
      </w:pPr>
      <w:r>
        <w:rPr>
          <w:rFonts w:ascii="仿宋_GB2312" w:hAnsi="仿宋_GB2312" w:eastAsia="仿宋_GB2312"/>
          <w:b w:val="0"/>
          <w:sz w:val="32"/>
        </w:rPr>
        <w:t>公务用车购置及运行维护费0.93万元，其中：公务用车购置费0.00万元，公务用车运行维护费0.93万元。公务用车运行维护费开支内容包括车辆加油费、车辆维修费、车辆保险费。公务用车购置数0辆，公务用车保有量1辆。国有资产占用情况中固定资产车辆1辆，与公务用车保有量差异原因是：本单位固定资产车辆与公务用车保有量一致无差异。</w:t>
      </w:r>
    </w:p>
    <w:p w14:paraId="0C0D9B9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03762A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0.93万元，决算数0.93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0.93万元，决算数0.93万元，预决算差异率0.00%，主要原因是：严格按照预算执行，预决算无差异。公务接待费全年预算数0.00万元，决算数0.00万元，预决算差异率0.00%，主要原因是：本单位无公务接待费。</w:t>
      </w:r>
    </w:p>
    <w:p w14:paraId="3817FA32">
      <w:pPr>
        <w:spacing w:line="640" w:lineRule="exact"/>
        <w:ind w:firstLine="640"/>
        <w:jc w:val="both"/>
        <w:outlineLvl w:val="2"/>
      </w:pPr>
      <w:r>
        <w:rPr>
          <w:rFonts w:ascii="黑体" w:hAnsi="黑体" w:eastAsia="黑体"/>
          <w:sz w:val="32"/>
        </w:rPr>
        <w:t>十、其他重要事项的情况说明</w:t>
      </w:r>
    </w:p>
    <w:p w14:paraId="13F8CB7D">
      <w:pPr>
        <w:spacing w:line="640" w:lineRule="exact"/>
        <w:ind w:firstLine="640"/>
        <w:jc w:val="both"/>
        <w:outlineLvl w:val="3"/>
      </w:pPr>
      <w:r>
        <w:rPr>
          <w:rFonts w:ascii="楷体_GB2312" w:hAnsi="楷体_GB2312" w:eastAsia="楷体_GB2312"/>
          <w:b/>
          <w:sz w:val="32"/>
        </w:rPr>
        <w:t>（一）机关运行经费及公用经费支出情况</w:t>
      </w:r>
    </w:p>
    <w:p w14:paraId="22938EE4">
      <w:pPr>
        <w:spacing w:line="580" w:lineRule="exact"/>
        <w:ind w:firstLine="640"/>
        <w:jc w:val="both"/>
      </w:pPr>
      <w:r>
        <w:rPr>
          <w:rFonts w:ascii="仿宋_GB2312" w:hAnsi="仿宋_GB2312" w:eastAsia="仿宋_GB2312"/>
          <w:b w:val="0"/>
          <w:sz w:val="32"/>
        </w:rPr>
        <w:t>2024年度洛浦县退役军人事务局（行政单位和参照公务员法管理事业单位）机关运行经费支出3.18万元，比上年减少8.58万元，下降72.96%，主要原因是：本年度减少边防连慰问经费。</w:t>
      </w:r>
    </w:p>
    <w:p w14:paraId="42DC563F">
      <w:pPr>
        <w:spacing w:line="640" w:lineRule="exact"/>
        <w:ind w:firstLine="640"/>
        <w:jc w:val="both"/>
        <w:outlineLvl w:val="3"/>
      </w:pPr>
      <w:r>
        <w:rPr>
          <w:rFonts w:ascii="楷体_GB2312" w:hAnsi="楷体_GB2312" w:eastAsia="楷体_GB2312"/>
          <w:b/>
          <w:sz w:val="32"/>
        </w:rPr>
        <w:t>（二）政府采购情况</w:t>
      </w:r>
    </w:p>
    <w:p w14:paraId="52857861">
      <w:pPr>
        <w:spacing w:line="580" w:lineRule="exact"/>
        <w:ind w:firstLine="640"/>
        <w:jc w:val="both"/>
      </w:pPr>
      <w:r>
        <w:rPr>
          <w:rFonts w:ascii="仿宋_GB2312" w:hAnsi="仿宋_GB2312" w:eastAsia="仿宋_GB2312"/>
          <w:b w:val="0"/>
          <w:sz w:val="32"/>
        </w:rPr>
        <w:t>2024年度政府采购支出总额2.73万元，其中：政府采购货物支出2.14万元、政府采购工程支出0.00万元、政府采购服务支出0.59万元。</w:t>
      </w:r>
    </w:p>
    <w:p w14:paraId="266AFED0">
      <w:pPr>
        <w:spacing w:line="580" w:lineRule="exact"/>
        <w:ind w:firstLine="640"/>
        <w:jc w:val="both"/>
      </w:pPr>
      <w:r>
        <w:rPr>
          <w:rFonts w:ascii="仿宋_GB2312" w:hAnsi="仿宋_GB2312" w:eastAsia="仿宋_GB2312"/>
          <w:b w:val="0"/>
          <w:sz w:val="32"/>
        </w:rPr>
        <w:t>授予中小企业合同金额2.60万元，占政府采购支出总额的95.24%，其中：授予小微企业合同金额2.15万元，占政府采购支出总额的78.75%。</w:t>
      </w:r>
    </w:p>
    <w:p w14:paraId="5DB53F88">
      <w:pPr>
        <w:spacing w:line="640" w:lineRule="exact"/>
        <w:ind w:firstLine="640"/>
        <w:jc w:val="both"/>
        <w:outlineLvl w:val="3"/>
      </w:pPr>
      <w:r>
        <w:rPr>
          <w:rFonts w:ascii="楷体_GB2312" w:hAnsi="楷体_GB2312" w:eastAsia="楷体_GB2312"/>
          <w:b/>
          <w:sz w:val="32"/>
        </w:rPr>
        <w:t>（三）国有资产占用情况说明</w:t>
      </w:r>
    </w:p>
    <w:p w14:paraId="6A6D8A23">
      <w:pPr>
        <w:spacing w:line="580" w:lineRule="exact"/>
        <w:ind w:firstLine="640"/>
        <w:jc w:val="both"/>
      </w:pPr>
      <w:r>
        <w:rPr>
          <w:rFonts w:ascii="仿宋_GB2312" w:hAnsi="仿宋_GB2312" w:eastAsia="仿宋_GB2312"/>
          <w:b w:val="0"/>
          <w:sz w:val="32"/>
        </w:rPr>
        <w:t>截至2024年12月31日，房屋0.00平方米，价值0.00万元。车辆1辆，价值6.98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1A51702F">
      <w:pPr>
        <w:spacing w:line="640" w:lineRule="exact"/>
        <w:ind w:firstLine="640"/>
        <w:jc w:val="both"/>
        <w:outlineLvl w:val="2"/>
      </w:pPr>
      <w:r>
        <w:rPr>
          <w:rFonts w:ascii="黑体" w:hAnsi="黑体" w:eastAsia="黑体"/>
          <w:sz w:val="32"/>
        </w:rPr>
        <w:t>十一、预算绩效的情况说明</w:t>
      </w:r>
    </w:p>
    <w:p w14:paraId="77F6B5F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w:t>
      </w:r>
      <w:r>
        <w:rPr>
          <w:rFonts w:hint="eastAsia" w:ascii="仿宋_GB2312" w:hAnsi="仿宋_GB2312" w:eastAsia="仿宋_GB2312"/>
          <w:b w:val="0"/>
          <w:sz w:val="32"/>
        </w:rPr>
        <w:t>674.44</w:t>
      </w:r>
      <w:r>
        <w:rPr>
          <w:rFonts w:ascii="仿宋_GB2312" w:hAnsi="仿宋_GB2312" w:eastAsia="仿宋_GB2312"/>
          <w:b w:val="0"/>
          <w:sz w:val="32"/>
        </w:rPr>
        <w:t>万元，实际执行总额</w:t>
      </w:r>
      <w:r>
        <w:rPr>
          <w:rFonts w:hint="eastAsia" w:ascii="仿宋_GB2312" w:hAnsi="仿宋_GB2312" w:eastAsia="仿宋_GB2312"/>
          <w:b w:val="0"/>
          <w:sz w:val="32"/>
        </w:rPr>
        <w:t>674.44</w:t>
      </w:r>
      <w:r>
        <w:rPr>
          <w:rFonts w:ascii="仿宋_GB2312" w:hAnsi="仿宋_GB2312" w:eastAsia="仿宋_GB2312"/>
          <w:b w:val="0"/>
          <w:sz w:val="32"/>
        </w:rPr>
        <w:t>万元；预算绩效评价项目17个，全年预算数461.45万元，全年执行数460.85万元。预算绩效管理取得的成效：本单位预算绩效项目SM不予公开。发现的问题及原因：本单位预算绩效项目SM不予公开。下一步改进措施：本单位预算绩效项目SM不予公开。</w:t>
      </w:r>
    </w:p>
    <w:p w14:paraId="56A29A41">
      <w:r>
        <w:br w:type="page"/>
      </w:r>
    </w:p>
    <w:p w14:paraId="46BFD752">
      <w:pPr>
        <w:spacing w:line="640" w:lineRule="exact"/>
        <w:ind w:firstLine="640"/>
        <w:jc w:val="both"/>
        <w:outlineLvl w:val="2"/>
      </w:pPr>
      <w:r>
        <w:rPr>
          <w:rFonts w:ascii="黑体" w:hAnsi="黑体" w:eastAsia="黑体"/>
          <w:sz w:val="32"/>
        </w:rPr>
        <w:t>十二、其他需说明的事项</w:t>
      </w:r>
    </w:p>
    <w:p w14:paraId="3A7E7D25">
      <w:pPr>
        <w:spacing w:line="580" w:lineRule="exact"/>
        <w:ind w:firstLine="640"/>
        <w:jc w:val="both"/>
      </w:pPr>
      <w:r>
        <w:rPr>
          <w:rFonts w:ascii="仿宋_GB2312" w:hAnsi="仿宋_GB2312" w:eastAsia="仿宋_GB2312"/>
          <w:b w:val="0"/>
          <w:sz w:val="32"/>
        </w:rPr>
        <w:t>本年度本单位整体绩效自评表不予公开。</w:t>
      </w:r>
    </w:p>
    <w:p w14:paraId="4DF94053">
      <w:pPr>
        <w:spacing w:line="580" w:lineRule="exact"/>
        <w:ind w:firstLine="640"/>
        <w:jc w:val="both"/>
      </w:pPr>
      <w:r>
        <w:rPr>
          <w:rFonts w:ascii="仿宋_GB2312" w:hAnsi="仿宋_GB2312" w:eastAsia="仿宋_GB2312"/>
          <w:b w:val="0"/>
          <w:sz w:val="32"/>
        </w:rPr>
        <w:t>本年本单位SM项目17个，全年预算数461.45万元，全年执行数460.85万元。</w:t>
      </w:r>
    </w:p>
    <w:p w14:paraId="5EB6032B">
      <w:r>
        <w:br w:type="page"/>
      </w:r>
    </w:p>
    <w:p w14:paraId="37F21751">
      <w:pPr>
        <w:spacing w:line="240" w:lineRule="auto"/>
        <w:jc w:val="center"/>
        <w:outlineLvl w:val="1"/>
      </w:pPr>
      <w:r>
        <w:rPr>
          <w:rFonts w:ascii="黑体" w:hAnsi="黑体" w:eastAsia="黑体"/>
          <w:sz w:val="32"/>
        </w:rPr>
        <w:t>第三部分 专业名词解释</w:t>
      </w:r>
    </w:p>
    <w:p w14:paraId="323498A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B63805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030106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FFD71E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2C591B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EE53F6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BD8A72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AB93E7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AC420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D1627A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EDF09F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59C7CE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2B0D5C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B72B12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95DDEB2">
      <w:r>
        <w:br w:type="page"/>
      </w:r>
    </w:p>
    <w:p w14:paraId="0844F9F1">
      <w:pPr>
        <w:spacing w:line="240" w:lineRule="auto"/>
        <w:jc w:val="center"/>
        <w:outlineLvl w:val="1"/>
      </w:pPr>
      <w:r>
        <w:rPr>
          <w:rFonts w:ascii="黑体" w:hAnsi="黑体" w:eastAsia="黑体"/>
          <w:sz w:val="32"/>
        </w:rPr>
        <w:t>第四部分 部门决算报表（见附表）</w:t>
      </w:r>
    </w:p>
    <w:p w14:paraId="78867777">
      <w:pPr>
        <w:spacing w:line="240" w:lineRule="auto"/>
        <w:ind w:firstLine="640"/>
        <w:jc w:val="both"/>
      </w:pPr>
      <w:r>
        <w:rPr>
          <w:rFonts w:ascii="仿宋_GB2312" w:hAnsi="仿宋_GB2312" w:eastAsia="仿宋_GB2312"/>
          <w:b w:val="0"/>
          <w:sz w:val="32"/>
        </w:rPr>
        <w:t>一、《收入支出决算总表》</w:t>
      </w:r>
    </w:p>
    <w:p w14:paraId="0245765B">
      <w:pPr>
        <w:spacing w:line="240" w:lineRule="auto"/>
        <w:ind w:firstLine="640"/>
        <w:jc w:val="both"/>
      </w:pPr>
      <w:r>
        <w:rPr>
          <w:rFonts w:ascii="仿宋_GB2312" w:hAnsi="仿宋_GB2312" w:eastAsia="仿宋_GB2312"/>
          <w:b w:val="0"/>
          <w:sz w:val="32"/>
        </w:rPr>
        <w:t>二、《收入决算表》</w:t>
      </w:r>
    </w:p>
    <w:p w14:paraId="471F9548">
      <w:pPr>
        <w:spacing w:line="240" w:lineRule="auto"/>
        <w:ind w:firstLine="640"/>
        <w:jc w:val="both"/>
      </w:pPr>
      <w:r>
        <w:rPr>
          <w:rFonts w:ascii="仿宋_GB2312" w:hAnsi="仿宋_GB2312" w:eastAsia="仿宋_GB2312"/>
          <w:b w:val="0"/>
          <w:sz w:val="32"/>
        </w:rPr>
        <w:t>三、《支出决算表》</w:t>
      </w:r>
    </w:p>
    <w:p w14:paraId="718C332F">
      <w:pPr>
        <w:spacing w:line="240" w:lineRule="auto"/>
        <w:ind w:firstLine="640"/>
        <w:jc w:val="both"/>
      </w:pPr>
      <w:r>
        <w:rPr>
          <w:rFonts w:ascii="仿宋_GB2312" w:hAnsi="仿宋_GB2312" w:eastAsia="仿宋_GB2312"/>
          <w:b w:val="0"/>
          <w:sz w:val="32"/>
        </w:rPr>
        <w:t>四、《财政拨款收入支出决算总表》</w:t>
      </w:r>
    </w:p>
    <w:p w14:paraId="1C307E8E">
      <w:pPr>
        <w:spacing w:line="240" w:lineRule="auto"/>
        <w:ind w:firstLine="640"/>
        <w:jc w:val="both"/>
      </w:pPr>
      <w:r>
        <w:rPr>
          <w:rFonts w:ascii="仿宋_GB2312" w:hAnsi="仿宋_GB2312" w:eastAsia="仿宋_GB2312"/>
          <w:b w:val="0"/>
          <w:sz w:val="32"/>
        </w:rPr>
        <w:t>五、《一般公共预算财政拨款支出决算表》</w:t>
      </w:r>
    </w:p>
    <w:p w14:paraId="6FB0CE90">
      <w:pPr>
        <w:spacing w:line="240" w:lineRule="auto"/>
        <w:ind w:firstLine="640"/>
        <w:jc w:val="both"/>
      </w:pPr>
      <w:r>
        <w:rPr>
          <w:rFonts w:ascii="仿宋_GB2312" w:hAnsi="仿宋_GB2312" w:eastAsia="仿宋_GB2312"/>
          <w:b w:val="0"/>
          <w:sz w:val="32"/>
        </w:rPr>
        <w:t>六、《一般公共预算财政拨款基本支出决算表》</w:t>
      </w:r>
    </w:p>
    <w:p w14:paraId="0535391B">
      <w:pPr>
        <w:spacing w:line="240" w:lineRule="auto"/>
        <w:ind w:firstLine="640"/>
        <w:jc w:val="both"/>
      </w:pPr>
      <w:r>
        <w:rPr>
          <w:rFonts w:ascii="仿宋_GB2312" w:hAnsi="仿宋_GB2312" w:eastAsia="仿宋_GB2312"/>
          <w:b w:val="0"/>
          <w:sz w:val="32"/>
        </w:rPr>
        <w:t>七、《政府性基金预算财政拨款收入支出决算表》</w:t>
      </w:r>
    </w:p>
    <w:p w14:paraId="4DB871B3">
      <w:pPr>
        <w:spacing w:line="240" w:lineRule="auto"/>
        <w:ind w:firstLine="640"/>
        <w:jc w:val="both"/>
      </w:pPr>
      <w:r>
        <w:rPr>
          <w:rFonts w:ascii="仿宋_GB2312" w:hAnsi="仿宋_GB2312" w:eastAsia="仿宋_GB2312"/>
          <w:b w:val="0"/>
          <w:sz w:val="32"/>
        </w:rPr>
        <w:t>八、《国有资本经营预算财政拨款收入支出决算表》</w:t>
      </w:r>
    </w:p>
    <w:p w14:paraId="15849205">
      <w:pPr>
        <w:spacing w:line="240" w:lineRule="auto"/>
        <w:ind w:firstLine="640"/>
        <w:jc w:val="both"/>
      </w:pPr>
      <w:r>
        <w:rPr>
          <w:rFonts w:ascii="仿宋_GB2312" w:hAnsi="仿宋_GB2312" w:eastAsia="仿宋_GB2312"/>
          <w:b w:val="0"/>
          <w:sz w:val="32"/>
        </w:rPr>
        <w:t>九、《财政拨款“三公”经费支出决算表》</w:t>
      </w:r>
    </w:p>
    <w:p w14:paraId="0311334B">
      <w:pPr>
        <w:spacing w:line="240" w:lineRule="auto"/>
        <w:ind w:firstLine="640"/>
        <w:jc w:val="both"/>
      </w:pPr>
    </w:p>
    <w:p w14:paraId="19A64E9B">
      <w:pPr>
        <w:spacing w:line="240" w:lineRule="auto"/>
        <w:ind w:firstLine="640"/>
        <w:jc w:val="both"/>
      </w:pPr>
    </w:p>
    <w:p w14:paraId="24310CDF">
      <w:pPr>
        <w:spacing w:line="240" w:lineRule="auto"/>
        <w:ind w:firstLine="640"/>
        <w:jc w:val="both"/>
      </w:pPr>
    </w:p>
    <w:p w14:paraId="3B2AAAA7">
      <w:pPr>
        <w:spacing w:line="240" w:lineRule="auto"/>
        <w:ind w:firstLine="640"/>
        <w:jc w:val="both"/>
      </w:pPr>
    </w:p>
    <w:p w14:paraId="16FAE58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C7C04D2-00C7-4207-B7C8-0446C1BC788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96611815-0AFE-47A7-A192-30B908583CA4}"/>
  </w:font>
  <w:font w:name="仿宋_GB2312">
    <w:panose1 w:val="02010609030101010101"/>
    <w:charset w:val="86"/>
    <w:family w:val="modern"/>
    <w:pitch w:val="default"/>
    <w:sig w:usb0="00000001" w:usb1="080E0000" w:usb2="00000000" w:usb3="00000000" w:csb0="00040000" w:csb1="00000000"/>
    <w:embedRegular r:id="rId3" w:fontKey="{68B3D84E-CD6C-4556-B09D-CD806B92C57A}"/>
  </w:font>
  <w:font w:name="楷体_GB2312">
    <w:panose1 w:val="02010609030101010101"/>
    <w:charset w:val="86"/>
    <w:family w:val="auto"/>
    <w:pitch w:val="default"/>
    <w:sig w:usb0="00000001" w:usb1="080E0000" w:usb2="00000000" w:usb3="00000000" w:csb0="00040000" w:csb1="00000000"/>
    <w:embedRegular r:id="rId4" w:fontKey="{3A7DB131-50C4-42F1-8FD9-06E3922F357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720AFB"/>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3D1179"/>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7018</Words>
  <Characters>7907</Characters>
  <Lines>0</Lines>
  <Paragraphs>0</Paragraphs>
  <TotalTime>4</TotalTime>
  <ScaleCrop>false</ScaleCrop>
  <LinksUpToDate>false</LinksUpToDate>
  <CharactersWithSpaces>7917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2025-09-17T10:22:41Z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