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8C22AC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洛浦县维吾尔医医院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1BE16F6">
      <w:r>
        <w:br w:type="page"/>
      </w:r>
    </w:p>
    <w:p w14:paraId="159C6F04">
      <w:pPr>
        <w:spacing w:line="640" w:lineRule="exact"/>
        <w:jc w:val="center"/>
        <w:outlineLvl w:val="1"/>
      </w:pPr>
      <w:r>
        <w:rPr>
          <w:rFonts w:ascii="黑体" w:hAnsi="黑体" w:eastAsia="黑体"/>
          <w:sz w:val="32"/>
        </w:rPr>
        <w:t>第一部分 单位概况</w:t>
      </w:r>
    </w:p>
    <w:p w14:paraId="6D26CCAC">
      <w:pPr>
        <w:spacing w:line="640" w:lineRule="exact"/>
        <w:ind w:firstLine="640"/>
        <w:jc w:val="both"/>
        <w:outlineLvl w:val="2"/>
      </w:pPr>
      <w:r>
        <w:rPr>
          <w:rFonts w:ascii="黑体" w:hAnsi="黑体" w:eastAsia="黑体"/>
          <w:sz w:val="32"/>
        </w:rPr>
        <w:t>一、主要职能</w:t>
      </w:r>
    </w:p>
    <w:p w14:paraId="03929739">
      <w:pPr>
        <w:spacing w:line="580" w:lineRule="exact"/>
        <w:ind w:firstLine="640"/>
        <w:jc w:val="both"/>
      </w:pPr>
      <w:r>
        <w:rPr>
          <w:rFonts w:ascii="仿宋_GB2312" w:hAnsi="仿宋_GB2312" w:eastAsia="仿宋_GB2312"/>
          <w:sz w:val="32"/>
        </w:rPr>
        <w:t>我院以中医中药为主，为人民身体健康提供中西医疗，预防，保</w:t>
      </w:r>
      <w:r>
        <w:rPr>
          <w:rFonts w:hint="eastAsia" w:ascii="仿宋_GB2312" w:hAnsi="仿宋_GB2312" w:eastAsia="仿宋_GB2312"/>
          <w:sz w:val="32"/>
          <w:lang w:eastAsia="zh-CN"/>
        </w:rPr>
        <w:t>健、康</w:t>
      </w:r>
      <w:r>
        <w:rPr>
          <w:rFonts w:ascii="仿宋_GB2312" w:hAnsi="仿宋_GB2312" w:eastAsia="仿宋_GB2312"/>
          <w:sz w:val="32"/>
        </w:rPr>
        <w:t>复等医疗卫生服务。</w:t>
      </w:r>
    </w:p>
    <w:p w14:paraId="0BF1DD2F">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贯彻落实医药卫生体制改革、中西医并重方针和国家中医药法律法规，执行中医药政策</w:t>
      </w:r>
      <w:r>
        <w:rPr>
          <w:rFonts w:hint="eastAsia" w:ascii="仿宋_GB2312" w:hAnsi="仿宋_GB2312" w:eastAsia="仿宋_GB2312"/>
          <w:sz w:val="32"/>
          <w:lang w:eastAsia="zh-CN"/>
        </w:rPr>
        <w:t>；</w:t>
      </w:r>
      <w:r>
        <w:rPr>
          <w:rFonts w:ascii="仿宋_GB2312" w:hAnsi="仿宋_GB2312" w:eastAsia="仿宋_GB2312"/>
          <w:sz w:val="32"/>
        </w:rPr>
        <w:t>拟定实施中医药、民族医药和中西医结合发展战略、规划</w:t>
      </w:r>
      <w:r>
        <w:rPr>
          <w:rFonts w:hint="eastAsia" w:ascii="仿宋_GB2312" w:hAnsi="仿宋_GB2312" w:eastAsia="仿宋_GB2312"/>
          <w:sz w:val="32"/>
          <w:lang w:eastAsia="zh-CN"/>
        </w:rPr>
        <w:t>；</w:t>
      </w:r>
      <w:r>
        <w:rPr>
          <w:rFonts w:ascii="仿宋_GB2312" w:hAnsi="仿宋_GB2312" w:eastAsia="仿宋_GB2312"/>
          <w:sz w:val="32"/>
        </w:rPr>
        <w:t>指导全县各医疗机构发展中医药和中西医结合业务建设。</w:t>
      </w:r>
    </w:p>
    <w:p w14:paraId="6457DBB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确保全县人民中西医疗健康需求，建立与地方经济发展相适应的中西医结合医疗环境。加强中医医院标准化管理。</w:t>
      </w:r>
    </w:p>
    <w:p w14:paraId="702B631A">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贯彻落实国家基本药物制度和药品集中采购工作，执行医用耗材集中采购工作</w:t>
      </w:r>
      <w:r>
        <w:rPr>
          <w:rFonts w:hint="eastAsia" w:ascii="仿宋_GB2312" w:hAnsi="仿宋_GB2312" w:eastAsia="仿宋_GB2312"/>
          <w:sz w:val="32"/>
          <w:lang w:eastAsia="zh-CN"/>
        </w:rPr>
        <w:t>；</w:t>
      </w:r>
      <w:r>
        <w:rPr>
          <w:rFonts w:ascii="仿宋_GB2312" w:hAnsi="仿宋_GB2312" w:eastAsia="仿宋_GB2312"/>
          <w:sz w:val="32"/>
        </w:rPr>
        <w:t>负责医院</w:t>
      </w:r>
      <w:r>
        <w:rPr>
          <w:rFonts w:hint="eastAsia" w:ascii="仿宋_GB2312" w:hAnsi="仿宋_GB2312" w:eastAsia="仿宋_GB2312"/>
          <w:sz w:val="32"/>
          <w:lang w:eastAsia="zh-CN"/>
        </w:rPr>
        <w:t>内</w:t>
      </w:r>
      <w:r>
        <w:rPr>
          <w:rFonts w:ascii="仿宋_GB2312" w:hAnsi="仿宋_GB2312" w:eastAsia="仿宋_GB2312"/>
          <w:sz w:val="32"/>
        </w:rPr>
        <w:t>部的药品和医疗器楲管理工作。</w:t>
      </w:r>
    </w:p>
    <w:p w14:paraId="6C620C3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承担意外灾害事故等突发公共卫生事件的医疗急救及社区预防、保健和康复医疗服务工作，开展各种医疗保健。</w:t>
      </w:r>
    </w:p>
    <w:p w14:paraId="78164CE8">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承担意外灾害事故等突发公共卫生事件的医疗急救及社区预防、保健和康复医疗服务工作，开展各种医疗保健卫生知识宣传普及。</w:t>
      </w:r>
    </w:p>
    <w:p w14:paraId="1A030B2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充分发挥中医药在国家基本公共卫生服务中的优势和作用，负责全县基本公共卫生服务中医药健康管理项目的实施和日常管理。</w:t>
      </w:r>
    </w:p>
    <w:p w14:paraId="0F713329">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组织实施中西医药科学研究，推进医学科技成果转化和推广应用</w:t>
      </w:r>
      <w:r>
        <w:rPr>
          <w:rFonts w:hint="eastAsia" w:ascii="仿宋_GB2312" w:hAnsi="仿宋_GB2312" w:eastAsia="仿宋_GB2312"/>
          <w:sz w:val="32"/>
          <w:lang w:eastAsia="zh-CN"/>
        </w:rPr>
        <w:t>；</w:t>
      </w:r>
      <w:r>
        <w:rPr>
          <w:rFonts w:ascii="仿宋_GB2312" w:hAnsi="仿宋_GB2312" w:eastAsia="仿宋_GB2312"/>
          <w:sz w:val="32"/>
        </w:rPr>
        <w:t>承担中医药人才培养，中医药继续医学教育工作。</w:t>
      </w:r>
    </w:p>
    <w:p w14:paraId="54800D0E">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做好城镇职工基本医疗保险、城镇居民基本医疗保险和新型农村合作医疗保险等定点医疗机构的各项工作。</w:t>
      </w:r>
    </w:p>
    <w:p w14:paraId="7B186E8E">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参与卫生扶贫、重要会议与重大活动的医疗卫生保障工作。</w:t>
      </w:r>
    </w:p>
    <w:p w14:paraId="2D48EDC1">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承担县委、县政府及县卫生局交办的其他卫生工作。</w:t>
      </w:r>
    </w:p>
    <w:p w14:paraId="3B8D880B">
      <w:pPr>
        <w:spacing w:line="640" w:lineRule="exact"/>
        <w:ind w:firstLine="640"/>
        <w:jc w:val="both"/>
        <w:outlineLvl w:val="2"/>
      </w:pPr>
      <w:r>
        <w:rPr>
          <w:rFonts w:ascii="黑体" w:hAnsi="黑体" w:eastAsia="黑体"/>
          <w:sz w:val="32"/>
        </w:rPr>
        <w:t>二、机构设置及人员情况</w:t>
      </w:r>
    </w:p>
    <w:p w14:paraId="0DFB0F3E">
      <w:pPr>
        <w:spacing w:line="580" w:lineRule="exact"/>
        <w:ind w:firstLine="640"/>
        <w:jc w:val="both"/>
      </w:pPr>
      <w:r>
        <w:rPr>
          <w:rFonts w:ascii="仿宋_GB2312" w:hAnsi="仿宋_GB2312" w:eastAsia="仿宋_GB2312"/>
          <w:sz w:val="32"/>
        </w:rPr>
        <w:t>洛浦县维吾尔医医院2024年度，实有人数90人，其中：在职人员80人，减少5人；离休人员0人，增加0人；退休人员10人,增加4人。</w:t>
      </w:r>
    </w:p>
    <w:p w14:paraId="6461FB8E">
      <w:pPr>
        <w:spacing w:line="580" w:lineRule="exact"/>
        <w:ind w:firstLine="640"/>
        <w:jc w:val="both"/>
      </w:pPr>
      <w:r>
        <w:rPr>
          <w:rFonts w:ascii="仿宋_GB2312" w:hAnsi="仿宋_GB2312" w:eastAsia="仿宋_GB2312"/>
          <w:sz w:val="32"/>
        </w:rPr>
        <w:t>洛浦县维吾尔医医院无下属预算单位，下设27个科室，分别是：办公室、党建办、纪检办、财务科、项目采购办、设备科、后勤科、妇科、骨关节疼痛科、骨伤科、发热门诊（急诊科）、普外科、脾胃肺病老年病科、内儿科、门诊、皮肤性病科、手术麻醉科、康复医学病科、心血管脑病科、风湿病科、影像科、检验科、中医适宜技术推广中心、制剂室、煎药室、药库、库房。</w:t>
      </w:r>
    </w:p>
    <w:p w14:paraId="02638370">
      <w:r>
        <w:br w:type="page"/>
      </w:r>
    </w:p>
    <w:p w14:paraId="2C2B6399">
      <w:pPr>
        <w:spacing w:line="240" w:lineRule="auto"/>
        <w:jc w:val="center"/>
        <w:outlineLvl w:val="1"/>
      </w:pPr>
      <w:r>
        <w:rPr>
          <w:rFonts w:ascii="黑体" w:hAnsi="黑体" w:eastAsia="黑体"/>
          <w:sz w:val="32"/>
        </w:rPr>
        <w:t>第二部分 部门决算情况说明</w:t>
      </w:r>
    </w:p>
    <w:p w14:paraId="0834D662">
      <w:pPr>
        <w:spacing w:line="640" w:lineRule="exact"/>
        <w:ind w:firstLine="640"/>
        <w:jc w:val="both"/>
        <w:outlineLvl w:val="2"/>
      </w:pPr>
      <w:r>
        <w:rPr>
          <w:rFonts w:ascii="黑体" w:hAnsi="黑体" w:eastAsia="黑体"/>
          <w:sz w:val="32"/>
        </w:rPr>
        <w:t>一、收入支出决算总体情况说明</w:t>
      </w:r>
    </w:p>
    <w:p w14:paraId="565E3018">
      <w:pPr>
        <w:spacing w:line="580" w:lineRule="exact"/>
        <w:ind w:firstLine="640"/>
        <w:jc w:val="both"/>
      </w:pPr>
      <w:r>
        <w:rPr>
          <w:rFonts w:ascii="仿宋_GB2312" w:hAnsi="仿宋_GB2312" w:eastAsia="仿宋_GB2312"/>
          <w:b/>
          <w:sz w:val="32"/>
        </w:rPr>
        <w:t>2024年度收入总计8,606.80万元，</w:t>
      </w:r>
      <w:r>
        <w:rPr>
          <w:rFonts w:ascii="仿宋_GB2312" w:hAnsi="仿宋_GB2312" w:eastAsia="仿宋_GB2312"/>
          <w:b w:val="0"/>
          <w:sz w:val="32"/>
        </w:rPr>
        <w:t>其中：本年收入合计8,606.80万元，使用非财政拨款结余（含专用结余）0.00万元，年初结转和结余0.00万元。</w:t>
      </w:r>
    </w:p>
    <w:p w14:paraId="2C08DE4C">
      <w:pPr>
        <w:spacing w:line="580" w:lineRule="exact"/>
        <w:ind w:firstLine="640"/>
        <w:jc w:val="both"/>
      </w:pPr>
      <w:r>
        <w:rPr>
          <w:rFonts w:ascii="仿宋_GB2312" w:hAnsi="仿宋_GB2312" w:eastAsia="仿宋_GB2312"/>
          <w:b/>
          <w:sz w:val="32"/>
        </w:rPr>
        <w:t>2024年度支出总计8,606.80万元，</w:t>
      </w:r>
      <w:r>
        <w:rPr>
          <w:rFonts w:ascii="仿宋_GB2312" w:hAnsi="仿宋_GB2312" w:eastAsia="仿宋_GB2312"/>
          <w:b w:val="0"/>
          <w:sz w:val="32"/>
        </w:rPr>
        <w:t>其中：本年支出合计8,606.80万元，结余分配0.00万元，年末结转和结余0.00万元。</w:t>
      </w:r>
    </w:p>
    <w:p w14:paraId="254D49DA">
      <w:pPr>
        <w:spacing w:line="580" w:lineRule="exact"/>
        <w:ind w:firstLine="640"/>
        <w:jc w:val="both"/>
      </w:pPr>
      <w:r>
        <w:rPr>
          <w:rFonts w:ascii="仿宋_GB2312" w:hAnsi="仿宋_GB2312" w:eastAsia="仿宋_GB2312"/>
          <w:b w:val="0"/>
          <w:sz w:val="32"/>
        </w:rPr>
        <w:t>收入支出总体与上年相比，减少1,457.73万元，下降14.48%，主要原因是：事业收入较上年减少，在职人员人数减少，人员经费减少，减关于拨付2022年中央基本公共卫生服务补助资金（第二批）的通知、2023年新冠患者救治费用中央财政预拨补助资金、中央YQ防控财力补助等项目经费，导致相关经费减少。</w:t>
      </w:r>
    </w:p>
    <w:p w14:paraId="562DBF33">
      <w:pPr>
        <w:spacing w:line="640" w:lineRule="exact"/>
        <w:ind w:firstLine="640"/>
        <w:jc w:val="both"/>
        <w:outlineLvl w:val="2"/>
      </w:pPr>
      <w:r>
        <w:rPr>
          <w:rFonts w:ascii="黑体" w:hAnsi="黑体" w:eastAsia="黑体"/>
          <w:sz w:val="32"/>
        </w:rPr>
        <w:t>二、收入决算情况说明</w:t>
      </w:r>
    </w:p>
    <w:p w14:paraId="1F41E8F2">
      <w:pPr>
        <w:spacing w:line="580" w:lineRule="exact"/>
        <w:ind w:firstLine="640"/>
        <w:jc w:val="both"/>
      </w:pPr>
      <w:r>
        <w:rPr>
          <w:rFonts w:ascii="仿宋_GB2312" w:hAnsi="仿宋_GB2312" w:eastAsia="仿宋_GB2312"/>
          <w:b/>
          <w:sz w:val="32"/>
        </w:rPr>
        <w:t>本年收入8,606.80万元，</w:t>
      </w:r>
      <w:r>
        <w:rPr>
          <w:rFonts w:ascii="仿宋_GB2312" w:hAnsi="仿宋_GB2312" w:eastAsia="仿宋_GB2312"/>
          <w:b w:val="0"/>
          <w:sz w:val="32"/>
        </w:rPr>
        <w:t>其中：财政拨款收入1,250.63万元，占14.53%；上级补助收入0.00万元，占0.00%；事业收入7,335.39万元，占85.23%；经营收入0.00万元，占0.00%；附属单位上缴收入0.00万元，占0.00%；其他收入20.77万元，占0.24%。</w:t>
      </w:r>
    </w:p>
    <w:p w14:paraId="4F8C416F">
      <w:pPr>
        <w:spacing w:line="640" w:lineRule="exact"/>
        <w:ind w:firstLine="640"/>
        <w:jc w:val="both"/>
        <w:outlineLvl w:val="2"/>
      </w:pPr>
      <w:r>
        <w:rPr>
          <w:rFonts w:ascii="黑体" w:hAnsi="黑体" w:eastAsia="黑体"/>
          <w:sz w:val="32"/>
        </w:rPr>
        <w:t>三、支出决算情况说明</w:t>
      </w:r>
    </w:p>
    <w:p w14:paraId="57785C11">
      <w:pPr>
        <w:spacing w:line="580" w:lineRule="exact"/>
        <w:ind w:firstLine="640"/>
        <w:jc w:val="both"/>
      </w:pPr>
      <w:r>
        <w:rPr>
          <w:rFonts w:ascii="仿宋_GB2312" w:hAnsi="仿宋_GB2312" w:eastAsia="仿宋_GB2312"/>
          <w:b/>
          <w:sz w:val="32"/>
        </w:rPr>
        <w:t>本年支出8,606.80万元，</w:t>
      </w:r>
      <w:r>
        <w:rPr>
          <w:rFonts w:ascii="仿宋_GB2312" w:hAnsi="仿宋_GB2312" w:eastAsia="仿宋_GB2312"/>
          <w:b w:val="0"/>
          <w:sz w:val="32"/>
        </w:rPr>
        <w:t>其中：基本支出8,476.24万元，占98.48%；项目支出130.56万元，占1.52%；上缴上级支出0.00万元，占0.00%；经营支出0.00万元，占0.00%；对附属单位补助支出0.00万元，占0.00%。</w:t>
      </w:r>
    </w:p>
    <w:p w14:paraId="580820C4">
      <w:pPr>
        <w:spacing w:line="640" w:lineRule="exact"/>
        <w:ind w:firstLine="640"/>
        <w:jc w:val="both"/>
        <w:outlineLvl w:val="2"/>
      </w:pPr>
      <w:r>
        <w:rPr>
          <w:rFonts w:ascii="黑体" w:hAnsi="黑体" w:eastAsia="黑体"/>
          <w:sz w:val="32"/>
        </w:rPr>
        <w:t>四、财政拨款收入支出决算总体情况说明</w:t>
      </w:r>
    </w:p>
    <w:p w14:paraId="13A51B39">
      <w:pPr>
        <w:spacing w:line="580" w:lineRule="exact"/>
        <w:ind w:firstLine="640"/>
        <w:jc w:val="both"/>
      </w:pPr>
      <w:r>
        <w:rPr>
          <w:rFonts w:ascii="仿宋_GB2312" w:hAnsi="仿宋_GB2312" w:eastAsia="仿宋_GB2312"/>
          <w:b/>
          <w:sz w:val="32"/>
        </w:rPr>
        <w:t>2024年度财政拨款收入总计1,250.63万元，</w:t>
      </w:r>
      <w:r>
        <w:rPr>
          <w:rFonts w:ascii="仿宋_GB2312" w:hAnsi="仿宋_GB2312" w:eastAsia="仿宋_GB2312"/>
          <w:b w:val="0"/>
          <w:sz w:val="32"/>
        </w:rPr>
        <w:t>其中：年初财政拨款结转和结余0.00万元，本年财政拨款收入1,250.63万元。</w:t>
      </w:r>
      <w:r>
        <w:rPr>
          <w:rFonts w:ascii="仿宋_GB2312" w:hAnsi="仿宋_GB2312" w:eastAsia="仿宋_GB2312"/>
          <w:b/>
          <w:sz w:val="32"/>
        </w:rPr>
        <w:t>财政拨款支出总计1,250.63万元，</w:t>
      </w:r>
      <w:r>
        <w:rPr>
          <w:rFonts w:ascii="仿宋_GB2312" w:hAnsi="仿宋_GB2312" w:eastAsia="仿宋_GB2312"/>
          <w:b w:val="0"/>
          <w:sz w:val="32"/>
        </w:rPr>
        <w:t>其中：年末财政拨款结转和结余0.00万元，本年财政拨款支出1,250.63万元。</w:t>
      </w:r>
    </w:p>
    <w:p w14:paraId="51A1AA2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441.62万元，下降26.10%，主要原因是：在职人员人数减少，人员经费减少，减关于拨付2022年中央基本公共卫生服务补助资金（第二批）的通知、2023年新冠患者救治费用中央财政预拨补助资金、中央YQ防控财力补助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年初预算数1,386.65万元，决算数1,250.63万元，预决算差异率-9.81%，主要原因是：本年在职人员减少，年中调减人员经费，导致预决算存在差异。</w:t>
      </w:r>
    </w:p>
    <w:p w14:paraId="288A2007">
      <w:pPr>
        <w:spacing w:line="640" w:lineRule="exact"/>
        <w:ind w:firstLine="640"/>
        <w:jc w:val="both"/>
        <w:outlineLvl w:val="2"/>
      </w:pPr>
      <w:r>
        <w:rPr>
          <w:rFonts w:ascii="黑体" w:hAnsi="黑体" w:eastAsia="黑体"/>
          <w:sz w:val="32"/>
        </w:rPr>
        <w:t>五、一般公共预算财政拨款支出决算情况说明</w:t>
      </w:r>
    </w:p>
    <w:p w14:paraId="2661869C">
      <w:pPr>
        <w:spacing w:line="640" w:lineRule="exact"/>
        <w:ind w:firstLine="640"/>
        <w:jc w:val="both"/>
        <w:outlineLvl w:val="3"/>
      </w:pPr>
      <w:r>
        <w:rPr>
          <w:rFonts w:ascii="楷体_GB2312" w:hAnsi="楷体_GB2312" w:eastAsia="楷体_GB2312"/>
          <w:b/>
          <w:sz w:val="32"/>
        </w:rPr>
        <w:t>（一）一般公共预算财政拨款支出决算总体情况</w:t>
      </w:r>
    </w:p>
    <w:p w14:paraId="5EE98557">
      <w:pPr>
        <w:spacing w:line="580" w:lineRule="exact"/>
        <w:ind w:firstLine="640"/>
        <w:jc w:val="both"/>
      </w:pPr>
      <w:r>
        <w:rPr>
          <w:rFonts w:ascii="仿宋_GB2312" w:hAnsi="仿宋_GB2312" w:eastAsia="仿宋_GB2312"/>
          <w:b/>
          <w:sz w:val="32"/>
        </w:rPr>
        <w:t>2024年度一般公共预算财政拨款支出1,210.40万元，</w:t>
      </w:r>
      <w:r>
        <w:rPr>
          <w:rFonts w:ascii="仿宋_GB2312" w:hAnsi="仿宋_GB2312" w:eastAsia="仿宋_GB2312"/>
          <w:b w:val="0"/>
          <w:sz w:val="32"/>
        </w:rPr>
        <w:t>占本年支出合计的14.06%。</w:t>
      </w:r>
      <w:r>
        <w:rPr>
          <w:rFonts w:ascii="仿宋_GB2312" w:hAnsi="仿宋_GB2312" w:eastAsia="仿宋_GB2312"/>
          <w:b/>
          <w:sz w:val="32"/>
        </w:rPr>
        <w:t>与上年相比，</w:t>
      </w:r>
      <w:r>
        <w:rPr>
          <w:rFonts w:ascii="仿宋_GB2312" w:hAnsi="仿宋_GB2312" w:eastAsia="仿宋_GB2312"/>
          <w:b w:val="0"/>
          <w:sz w:val="32"/>
        </w:rPr>
        <w:t>减少481.85万元，下降28.47%，主要原因是：在职人员人数减少，人员经费减少，减关于拨付2022年中央基本公共卫生服务补助资金（第二批）的通知、2023年新冠患者救治费用中央财政预拨补助资金、中央YQ防控财力补助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年初预算数1,386.65万元，决算数1,210.40万元，预决算差异率-12.71%，主要原因是：本年在职人员减少，年中调减人员经费，导致预决算存在差异。</w:t>
      </w:r>
    </w:p>
    <w:p w14:paraId="48DBC5FE">
      <w:pPr>
        <w:spacing w:line="640" w:lineRule="exact"/>
        <w:ind w:firstLine="640"/>
        <w:jc w:val="both"/>
        <w:outlineLvl w:val="3"/>
      </w:pPr>
      <w:r>
        <w:rPr>
          <w:rFonts w:ascii="楷体_GB2312" w:hAnsi="楷体_GB2312" w:eastAsia="楷体_GB2312"/>
          <w:b/>
          <w:sz w:val="32"/>
        </w:rPr>
        <w:t>（二）一般公共预算财政拨款支出决算结构情况</w:t>
      </w:r>
    </w:p>
    <w:p w14:paraId="21AA8D13">
      <w:pPr>
        <w:spacing w:line="580" w:lineRule="exact"/>
        <w:ind w:firstLine="640"/>
        <w:jc w:val="both"/>
      </w:pPr>
      <w:r>
        <w:rPr>
          <w:rFonts w:ascii="仿宋_GB2312" w:hAnsi="仿宋_GB2312" w:eastAsia="仿宋_GB2312"/>
          <w:b w:val="0"/>
          <w:sz w:val="32"/>
        </w:rPr>
        <w:t>1.社会保障和就业支出(类)155.03万元,占12.81%。</w:t>
      </w:r>
    </w:p>
    <w:p w14:paraId="67400F21">
      <w:pPr>
        <w:spacing w:line="580" w:lineRule="exact"/>
        <w:ind w:firstLine="640"/>
        <w:jc w:val="both"/>
      </w:pPr>
      <w:r>
        <w:rPr>
          <w:rFonts w:ascii="仿宋_GB2312" w:hAnsi="仿宋_GB2312" w:eastAsia="仿宋_GB2312"/>
          <w:b w:val="0"/>
          <w:sz w:val="32"/>
        </w:rPr>
        <w:t>2.卫生健康支出(类)1,029.19万元,占85.03%。</w:t>
      </w:r>
    </w:p>
    <w:p w14:paraId="46999C47">
      <w:pPr>
        <w:spacing w:line="580" w:lineRule="exact"/>
        <w:ind w:firstLine="640"/>
        <w:jc w:val="both"/>
      </w:pPr>
      <w:r>
        <w:rPr>
          <w:rFonts w:ascii="仿宋_GB2312" w:hAnsi="仿宋_GB2312" w:eastAsia="仿宋_GB2312"/>
          <w:b w:val="0"/>
          <w:sz w:val="32"/>
        </w:rPr>
        <w:t>3.其他支出(类)26.18万元,占2.16%。</w:t>
      </w:r>
    </w:p>
    <w:p w14:paraId="55722441">
      <w:pPr>
        <w:spacing w:line="640" w:lineRule="exact"/>
        <w:ind w:firstLine="640"/>
        <w:jc w:val="both"/>
        <w:outlineLvl w:val="3"/>
      </w:pPr>
      <w:r>
        <w:rPr>
          <w:rFonts w:ascii="楷体_GB2312" w:hAnsi="楷体_GB2312" w:eastAsia="楷体_GB2312"/>
          <w:b/>
          <w:sz w:val="32"/>
        </w:rPr>
        <w:t>（三）一般公共预算财政拨款支出决算具体情况</w:t>
      </w:r>
    </w:p>
    <w:p w14:paraId="4DC0A139">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10.45万元，比上年决算增加10.45万元，增长100.00%,主要原因是：本年功能科目调整，事业单位离退休上年度在主科目列支，本年单独列支，导致经费较上年增加。</w:t>
      </w:r>
    </w:p>
    <w:p w14:paraId="3AEDD604">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144.58万元，比上年决算增加23.32万元，增长19.23%,主要原因是：本年在职人员工资基数调增，养老缴费基数上涨，相应支出增加。</w:t>
      </w:r>
    </w:p>
    <w:p w14:paraId="1B998118">
      <w:pPr>
        <w:spacing w:line="580" w:lineRule="exact"/>
        <w:ind w:firstLine="640"/>
        <w:jc w:val="both"/>
      </w:pPr>
      <w:r>
        <w:rPr>
          <w:rFonts w:ascii="仿宋_GB2312" w:hAnsi="仿宋_GB2312" w:eastAsia="仿宋_GB2312"/>
          <w:b w:val="0"/>
          <w:sz w:val="32"/>
        </w:rPr>
        <w:t>3.卫生健康支出(类)公立医院(款)中医（民族）医院(项):支出决算数为911.24万元，比上年决算减少156.47万元，下降14.65%,主要原因是：在职人员人数减少，人员经费减少，本年科目调整，事业单位医疗，事业单位离退休上年度在主科目列支，本年单独列支，导致经费较上年减少。</w:t>
      </w:r>
    </w:p>
    <w:p w14:paraId="44464CDE">
      <w:pPr>
        <w:spacing w:line="580" w:lineRule="exact"/>
        <w:ind w:firstLine="640"/>
        <w:jc w:val="both"/>
      </w:pPr>
      <w:r>
        <w:rPr>
          <w:rFonts w:ascii="仿宋_GB2312" w:hAnsi="仿宋_GB2312" w:eastAsia="仿宋_GB2312"/>
          <w:b w:val="0"/>
          <w:sz w:val="32"/>
        </w:rPr>
        <w:t>4.卫生健康支出(类)公立医院(款)其他公立医院支出(项):支出决算数为44.14万元，比上年决算增加27.49万元，增长165.11%,主要原因是：本年增加疾控中心历年供暖欠费资金取暖费</w:t>
      </w:r>
      <w:r>
        <w:rPr>
          <w:rFonts w:hint="eastAsia" w:ascii="仿宋_GB2312" w:hAnsi="仿宋_GB2312" w:eastAsia="仿宋_GB2312"/>
          <w:b w:val="0"/>
          <w:sz w:val="32"/>
          <w:lang w:eastAsia="zh-CN"/>
        </w:rPr>
        <w:t>项目</w:t>
      </w:r>
      <w:r>
        <w:rPr>
          <w:rFonts w:ascii="仿宋_GB2312" w:hAnsi="仿宋_GB2312" w:eastAsia="仿宋_GB2312"/>
          <w:b w:val="0"/>
          <w:sz w:val="32"/>
        </w:rPr>
        <w:t>，导致相关经费增加。</w:t>
      </w:r>
    </w:p>
    <w:p w14:paraId="5578AFFF">
      <w:pPr>
        <w:spacing w:line="580" w:lineRule="exact"/>
        <w:ind w:firstLine="640"/>
        <w:jc w:val="both"/>
      </w:pPr>
      <w:r>
        <w:rPr>
          <w:rFonts w:ascii="仿宋_GB2312" w:hAnsi="仿宋_GB2312" w:eastAsia="仿宋_GB2312"/>
          <w:b w:val="0"/>
          <w:sz w:val="32"/>
        </w:rPr>
        <w:t>5.卫生健康支出(类)公共卫生(款)基本公共卫生服务(项):支出决算数为0.00万元，比上年决算减少104.00万元，下降100.00%,主要原因是：本年减</w:t>
      </w:r>
      <w:r>
        <w:rPr>
          <w:rFonts w:hint="eastAsia" w:ascii="仿宋_GB2312" w:hAnsi="仿宋_GB2312" w:eastAsia="仿宋_GB2312"/>
          <w:b w:val="0"/>
          <w:sz w:val="32"/>
          <w:lang w:val="en-US" w:eastAsia="zh-CN"/>
        </w:rPr>
        <w:t>少</w:t>
      </w:r>
      <w:r>
        <w:rPr>
          <w:rFonts w:ascii="仿宋_GB2312" w:hAnsi="仿宋_GB2312" w:eastAsia="仿宋_GB2312"/>
          <w:b w:val="0"/>
          <w:sz w:val="32"/>
        </w:rPr>
        <w:t>中央基本公共卫生服务补助资金（第二批）的通知项目经费，导致相关经费减少。</w:t>
      </w:r>
    </w:p>
    <w:p w14:paraId="64339EF2">
      <w:pPr>
        <w:spacing w:line="580" w:lineRule="exact"/>
        <w:ind w:firstLine="640"/>
        <w:jc w:val="both"/>
      </w:pPr>
      <w:r>
        <w:rPr>
          <w:rFonts w:ascii="仿宋_GB2312" w:hAnsi="仿宋_GB2312" w:eastAsia="仿宋_GB2312"/>
          <w:b w:val="0"/>
          <w:sz w:val="32"/>
        </w:rPr>
        <w:t>6.卫生健康支出(类)公共卫生(款)突发公共卫生事件应急处理(项):支出决算数为0.00万元，比上年决算减少38.88万元，下降100.00%,主要原因是：本年减少2023年新冠患者救治费用中央财政预拨补助资金，导致相关经费减少。</w:t>
      </w:r>
    </w:p>
    <w:p w14:paraId="11976503">
      <w:pPr>
        <w:spacing w:line="580" w:lineRule="exact"/>
        <w:ind w:firstLine="640"/>
        <w:jc w:val="both"/>
      </w:pPr>
      <w:r>
        <w:rPr>
          <w:rFonts w:ascii="仿宋_GB2312" w:hAnsi="仿宋_GB2312" w:eastAsia="仿宋_GB2312"/>
          <w:b w:val="0"/>
          <w:sz w:val="32"/>
        </w:rPr>
        <w:t>7.卫生健康支出(类)行政事业单位医疗(款)事业单位医疗(项):支出决算数为73.81万元，比上年决算增加73.81万元，增长100.00%,主要原因是：本年功能科目调整，事业单位医疗支出上年度在主科目列支，本年单独列支，导致经费较上年增加。</w:t>
      </w:r>
    </w:p>
    <w:p w14:paraId="51D13AFD">
      <w:pPr>
        <w:spacing w:line="580" w:lineRule="exact"/>
        <w:ind w:firstLine="640"/>
        <w:jc w:val="both"/>
      </w:pPr>
      <w:r>
        <w:rPr>
          <w:rFonts w:ascii="仿宋_GB2312" w:hAnsi="仿宋_GB2312" w:eastAsia="仿宋_GB2312"/>
          <w:b w:val="0"/>
          <w:sz w:val="32"/>
        </w:rPr>
        <w:t>8.其他支出(类)其他支出(款)其他支出(项):支出决算数为26.18万元，比上年决算减少317.56万元，下降92.38%,主要原因是：本年减少中央YQ防控财力补助项目经费，导致相关经费减少。</w:t>
      </w:r>
    </w:p>
    <w:p w14:paraId="5793AE20">
      <w:pPr>
        <w:spacing w:line="640" w:lineRule="exact"/>
        <w:ind w:firstLine="640"/>
        <w:jc w:val="both"/>
        <w:outlineLvl w:val="2"/>
      </w:pPr>
      <w:r>
        <w:rPr>
          <w:rFonts w:ascii="黑体" w:hAnsi="黑体" w:eastAsia="黑体"/>
          <w:sz w:val="32"/>
        </w:rPr>
        <w:t>六、一般公共预算财政拨款基本支出决算情况说明</w:t>
      </w:r>
    </w:p>
    <w:p w14:paraId="78968AE6">
      <w:pPr>
        <w:spacing w:line="580" w:lineRule="exact"/>
        <w:ind w:firstLine="640"/>
        <w:jc w:val="both"/>
      </w:pPr>
      <w:r>
        <w:rPr>
          <w:rFonts w:ascii="仿宋_GB2312" w:hAnsi="仿宋_GB2312" w:eastAsia="仿宋_GB2312"/>
          <w:b w:val="0"/>
          <w:sz w:val="32"/>
        </w:rPr>
        <w:t>2024年度一般公共预算财政拨款基本支出1,140.08万元，其中：</w:t>
      </w:r>
      <w:r>
        <w:rPr>
          <w:rFonts w:ascii="仿宋_GB2312" w:hAnsi="仿宋_GB2312" w:eastAsia="仿宋_GB2312"/>
          <w:b/>
          <w:sz w:val="32"/>
        </w:rPr>
        <w:t>人员经费1,140.08万元，</w:t>
      </w:r>
      <w:r>
        <w:rPr>
          <w:rFonts w:ascii="仿宋_GB2312" w:hAnsi="仿宋_GB2312" w:eastAsia="仿宋_GB2312"/>
          <w:b w:val="0"/>
          <w:sz w:val="32"/>
        </w:rPr>
        <w:t>包括：基本工资、津贴补贴、绩效工资、机关事业单位基本养老保险缴费、职工基本医疗保险缴费、退休费、抚恤金、医疗费补助。</w:t>
      </w:r>
    </w:p>
    <w:p w14:paraId="7EA8F5AC">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9E2C126">
      <w:pPr>
        <w:spacing w:line="640" w:lineRule="exact"/>
        <w:ind w:firstLine="640"/>
        <w:jc w:val="both"/>
        <w:outlineLvl w:val="2"/>
      </w:pPr>
      <w:r>
        <w:rPr>
          <w:rFonts w:ascii="黑体" w:hAnsi="黑体" w:eastAsia="黑体"/>
          <w:sz w:val="32"/>
        </w:rPr>
        <w:t>七、政府性基金预算财政拨款收入支出决算情况说明</w:t>
      </w:r>
    </w:p>
    <w:p w14:paraId="58E80009">
      <w:pPr>
        <w:spacing w:line="580" w:lineRule="exact"/>
        <w:ind w:firstLine="640"/>
        <w:jc w:val="both"/>
      </w:pPr>
      <w:r>
        <w:rPr>
          <w:rFonts w:ascii="仿宋_GB2312" w:hAnsi="仿宋_GB2312" w:eastAsia="仿宋_GB2312"/>
          <w:b/>
          <w:sz w:val="32"/>
        </w:rPr>
        <w:t>2024年度政府性基金预算财政拨款收入总计40.24万元，</w:t>
      </w:r>
      <w:r>
        <w:rPr>
          <w:rFonts w:ascii="仿宋_GB2312" w:hAnsi="仿宋_GB2312" w:eastAsia="仿宋_GB2312"/>
          <w:b w:val="0"/>
          <w:sz w:val="32"/>
        </w:rPr>
        <w:t>其中：年初结转和结余0.00万元，本年收入40.24万元。</w:t>
      </w:r>
      <w:r>
        <w:rPr>
          <w:rFonts w:ascii="仿宋_GB2312" w:hAnsi="仿宋_GB2312" w:eastAsia="仿宋_GB2312"/>
          <w:b/>
          <w:sz w:val="32"/>
        </w:rPr>
        <w:t>政府性基金预算财政拨款支出总计40.24万元，</w:t>
      </w:r>
      <w:r>
        <w:rPr>
          <w:rFonts w:ascii="仿宋_GB2312" w:hAnsi="仿宋_GB2312" w:eastAsia="仿宋_GB2312"/>
          <w:b w:val="0"/>
          <w:sz w:val="32"/>
        </w:rPr>
        <w:t>其中：年末结转和结余0.00万元，本年支出40.24万元。</w:t>
      </w:r>
    </w:p>
    <w:p w14:paraId="56AF7F5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增加40.24万元，增长100.00%，主要原因是：本年增加发热门诊房屋改造项目经费，导致相关经费增加。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年初预算数0.00万元，决算数40.24万元，预决算差异率100.00%，主要原因是：年中追加发热门诊房屋改造项目经费，导致预决算存在差异。</w:t>
      </w:r>
    </w:p>
    <w:p w14:paraId="05AC5147">
      <w:pPr>
        <w:spacing w:line="580" w:lineRule="exact"/>
        <w:ind w:firstLine="640"/>
        <w:jc w:val="both"/>
      </w:pPr>
      <w:r>
        <w:rPr>
          <w:rFonts w:ascii="仿宋_GB2312" w:hAnsi="仿宋_GB2312" w:eastAsia="仿宋_GB2312"/>
          <w:b w:val="0"/>
          <w:sz w:val="32"/>
        </w:rPr>
        <w:t>政府性基金预算财政拨款支出40.24万元。</w:t>
      </w:r>
    </w:p>
    <w:p w14:paraId="21101A51">
      <w:pPr>
        <w:spacing w:line="580" w:lineRule="exact"/>
        <w:ind w:firstLine="640"/>
        <w:jc w:val="both"/>
      </w:pPr>
      <w:r>
        <w:rPr>
          <w:rFonts w:ascii="仿宋_GB2312" w:hAnsi="仿宋_GB2312" w:eastAsia="仿宋_GB2312"/>
          <w:b w:val="0"/>
          <w:sz w:val="32"/>
        </w:rPr>
        <w:t>1.城乡社区支出(类)国有土地使用权出让收入安排的支出(款)城市建设支出(项):支出决算数为40.24万元，比上年决算增加40.24万元，增长100.00%,主要原因是：本年增加发热门诊房屋改造项目经费，导致相关经费增加。</w:t>
      </w:r>
    </w:p>
    <w:p w14:paraId="53C737D5">
      <w:pPr>
        <w:spacing w:line="640" w:lineRule="exact"/>
        <w:ind w:firstLine="640"/>
        <w:jc w:val="both"/>
        <w:outlineLvl w:val="2"/>
      </w:pPr>
      <w:r>
        <w:rPr>
          <w:rFonts w:ascii="黑体" w:hAnsi="黑体" w:eastAsia="黑体"/>
          <w:sz w:val="32"/>
        </w:rPr>
        <w:t>八、国有资本经营预算财政拨款收入支出决算情况说明</w:t>
      </w:r>
    </w:p>
    <w:p w14:paraId="2802CD3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8FCBB86">
      <w:pPr>
        <w:spacing w:line="640" w:lineRule="exact"/>
        <w:ind w:firstLine="640"/>
        <w:jc w:val="both"/>
        <w:outlineLvl w:val="2"/>
      </w:pPr>
      <w:r>
        <w:rPr>
          <w:rFonts w:ascii="黑体" w:hAnsi="黑体" w:eastAsia="黑体"/>
          <w:sz w:val="32"/>
        </w:rPr>
        <w:t>九、财政拨款“三公”经费支出决算情况说明</w:t>
      </w:r>
    </w:p>
    <w:p w14:paraId="329A1B3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DE7265C">
      <w:pPr>
        <w:spacing w:line="580" w:lineRule="exact"/>
        <w:ind w:firstLine="640"/>
        <w:jc w:val="both"/>
      </w:pPr>
      <w:r>
        <w:rPr>
          <w:rFonts w:ascii="仿宋_GB2312" w:hAnsi="仿宋_GB2312" w:eastAsia="仿宋_GB2312"/>
          <w:b/>
          <w:sz w:val="32"/>
        </w:rPr>
        <w:t>具体情况如下：</w:t>
      </w:r>
    </w:p>
    <w:p w14:paraId="2377284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0D4DD9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6辆，与公务用车保有量差异原因是：单位业务用车，车辆费用未使用财政拨款公务用车运行维护费支付，由医疗收入经费保障。</w:t>
      </w:r>
    </w:p>
    <w:p w14:paraId="4998907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EB6046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09DFD2A">
      <w:pPr>
        <w:spacing w:line="640" w:lineRule="exact"/>
        <w:ind w:firstLine="640"/>
        <w:jc w:val="both"/>
        <w:outlineLvl w:val="2"/>
      </w:pPr>
      <w:r>
        <w:rPr>
          <w:rFonts w:ascii="黑体" w:hAnsi="黑体" w:eastAsia="黑体"/>
          <w:sz w:val="32"/>
        </w:rPr>
        <w:t>十、其他重要事项的情况说明</w:t>
      </w:r>
    </w:p>
    <w:p w14:paraId="792B7046">
      <w:pPr>
        <w:spacing w:line="640" w:lineRule="exact"/>
        <w:ind w:firstLine="640"/>
        <w:jc w:val="both"/>
        <w:outlineLvl w:val="3"/>
      </w:pPr>
      <w:r>
        <w:rPr>
          <w:rFonts w:ascii="楷体_GB2312" w:hAnsi="楷体_GB2312" w:eastAsia="楷体_GB2312"/>
          <w:b/>
          <w:sz w:val="32"/>
        </w:rPr>
        <w:t>（一）机关运行经费及公用经费支出情况</w:t>
      </w:r>
    </w:p>
    <w:p w14:paraId="6E9CF6B0">
      <w:pPr>
        <w:spacing w:line="580" w:lineRule="exact"/>
        <w:ind w:firstLine="640"/>
        <w:jc w:val="both"/>
      </w:pPr>
      <w:r>
        <w:rPr>
          <w:rFonts w:ascii="仿宋_GB2312" w:hAnsi="仿宋_GB2312" w:eastAsia="仿宋_GB2312"/>
          <w:b w:val="0"/>
          <w:sz w:val="32"/>
        </w:rPr>
        <w:t>2024年度洛浦县维吾尔医医院（事业单位）公用经费支出0.00万元，比上年增加0.00万元，增长0.00%，主要原因是：2023年与2024年均未安排公用经费支出。</w:t>
      </w:r>
    </w:p>
    <w:p w14:paraId="0FC71DC3">
      <w:pPr>
        <w:spacing w:line="640" w:lineRule="exact"/>
        <w:ind w:firstLine="640"/>
        <w:jc w:val="both"/>
        <w:outlineLvl w:val="3"/>
      </w:pPr>
      <w:r>
        <w:rPr>
          <w:rFonts w:ascii="楷体_GB2312" w:hAnsi="楷体_GB2312" w:eastAsia="楷体_GB2312"/>
          <w:b/>
          <w:sz w:val="32"/>
        </w:rPr>
        <w:t>（二）政府采购情况</w:t>
      </w:r>
    </w:p>
    <w:p w14:paraId="3974815B">
      <w:pPr>
        <w:spacing w:line="580" w:lineRule="exact"/>
        <w:ind w:firstLine="640"/>
        <w:jc w:val="both"/>
      </w:pPr>
      <w:r>
        <w:rPr>
          <w:rFonts w:ascii="仿宋_GB2312" w:hAnsi="仿宋_GB2312" w:eastAsia="仿宋_GB2312"/>
          <w:b w:val="0"/>
          <w:sz w:val="32"/>
        </w:rPr>
        <w:t>2024年度政府采购支出总额2,952.92万元，其中：政府采购货物支出1,339.82万元、政府采购工程支出123.75万元、政府采购服务支出1,489.36万元。</w:t>
      </w:r>
    </w:p>
    <w:p w14:paraId="63965803">
      <w:pPr>
        <w:spacing w:line="580" w:lineRule="exact"/>
        <w:ind w:firstLine="640"/>
        <w:jc w:val="both"/>
      </w:pPr>
      <w:r>
        <w:rPr>
          <w:rFonts w:ascii="仿宋_GB2312" w:hAnsi="仿宋_GB2312" w:eastAsia="仿宋_GB2312"/>
          <w:b w:val="0"/>
          <w:sz w:val="32"/>
        </w:rPr>
        <w:t>授予中小企业合同金额2,052.65万元，占政府采购支出总额的69.51%，其中：授予小微企业合同金额2,052.65万元，占政府采购支出总额的69.51%。</w:t>
      </w:r>
    </w:p>
    <w:p w14:paraId="6AB38A8B">
      <w:pPr>
        <w:spacing w:line="640" w:lineRule="exact"/>
        <w:ind w:firstLine="640"/>
        <w:jc w:val="both"/>
        <w:outlineLvl w:val="3"/>
      </w:pPr>
      <w:r>
        <w:rPr>
          <w:rFonts w:ascii="楷体_GB2312" w:hAnsi="楷体_GB2312" w:eastAsia="楷体_GB2312"/>
          <w:b/>
          <w:sz w:val="32"/>
        </w:rPr>
        <w:t>（三）国有资产占用情况说明</w:t>
      </w:r>
    </w:p>
    <w:p w14:paraId="01E8543F">
      <w:pPr>
        <w:spacing w:line="580" w:lineRule="exact"/>
        <w:ind w:firstLine="640"/>
        <w:jc w:val="both"/>
      </w:pPr>
      <w:r>
        <w:rPr>
          <w:rFonts w:ascii="仿宋_GB2312" w:hAnsi="仿宋_GB2312" w:eastAsia="仿宋_GB2312"/>
          <w:b w:val="0"/>
          <w:sz w:val="32"/>
        </w:rPr>
        <w:t>截至2024年12月31日，房屋39,080.14平方米，价值12,533.55万元。车辆6辆，价值103.98万元，其中：副部（省）级及以上领导用车0辆、主要负责人用车0辆、机要通信用车0辆、应急保障用车0辆、执法执勤用车0辆、特种专业技术用车3辆、离退休干部服务用车0辆、其他用车3辆，其他用车主要是：单位业务用车。单价100万元（含）以上设备（不含车辆）5台（套）。</w:t>
      </w:r>
    </w:p>
    <w:p w14:paraId="701CA529">
      <w:pPr>
        <w:spacing w:line="640" w:lineRule="exact"/>
        <w:ind w:firstLine="640"/>
        <w:jc w:val="both"/>
        <w:outlineLvl w:val="2"/>
      </w:pPr>
      <w:r>
        <w:rPr>
          <w:rFonts w:ascii="黑体" w:hAnsi="黑体" w:eastAsia="黑体"/>
          <w:sz w:val="32"/>
        </w:rPr>
        <w:t>十一、预算绩效的情况说明</w:t>
      </w:r>
    </w:p>
    <w:p w14:paraId="4E568A1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8,606.80万元，实际执行总额8,606.80万元；预算绩效评价项目4个，全年预算数102.56万元，全年执行数102.56万元。预算绩效管理取得的成效：一是项目实施过程中，洛浦县维吾尔医院根据相关实施方案等要求保障了项目的顺利实施</w:t>
      </w:r>
      <w:r>
        <w:rPr>
          <w:rFonts w:hint="eastAsia" w:ascii="仿宋_GB2312" w:hAnsi="仿宋_GB2312" w:eastAsia="仿宋_GB2312"/>
          <w:b w:val="0"/>
          <w:sz w:val="32"/>
          <w:lang w:eastAsia="zh-CN"/>
        </w:rPr>
        <w:t>，</w:t>
      </w:r>
      <w:r>
        <w:rPr>
          <w:rFonts w:ascii="仿宋_GB2312" w:hAnsi="仿宋_GB2312" w:eastAsia="仿宋_GB2312"/>
          <w:b w:val="0"/>
          <w:sz w:val="32"/>
        </w:rPr>
        <w:t>项目的实施遵守相关法律法规和业务管理规定，不定期对项目进度情况进行督导检查，对检查过程中发现的问题及时督促整改，确保了项目按时保质完成。二是资金的拨付有完整的审批程序和手续，不存在截留、挤占、挪用等情况。三是实施本项目过程中，采取积极有效的措施，在用好、管好项目资金的同时，制定切实可行的资金使用方案，保证项目能够如期完成。为保证项目的顺利实施，洛浦县维吾尔医院按照有关条款实施该项目，保证项目顺利进行。发现的问题及原因：一是对项目绩效管理工作不够重视。二是对项目自评工作欠积极性，资料不及时，敷衍了事。下一步改进措施：一是进一步理顺责任关系，完善项目实施机制，提高项目管理规范性。建立健全项目管理机制，明确各级管理部门对项目管理的责任。二是进一步完善项目监督管理机制，加强对项目实施。具体附整体支出绩效自评表，项目支出绩效自评表和评价报告。</w:t>
      </w:r>
    </w:p>
    <w:p w14:paraId="011333B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42A74AE">
        <w:tblPrEx>
          <w:tblCellMar>
            <w:top w:w="0" w:type="dxa"/>
            <w:left w:w="108" w:type="dxa"/>
            <w:bottom w:w="0" w:type="dxa"/>
            <w:right w:w="108" w:type="dxa"/>
          </w:tblCellMar>
        </w:tblPrEx>
        <w:tc>
          <w:tcPr>
            <w:tcW w:w="8847" w:type="dxa"/>
            <w:gridSpan w:val="9"/>
            <w:vAlign w:val="center"/>
          </w:tcPr>
          <w:p w14:paraId="474A7BDB">
            <w:pPr>
              <w:jc w:val="center"/>
            </w:pPr>
            <w:r>
              <w:rPr>
                <w:rFonts w:ascii="宋体" w:hAnsi="宋体" w:eastAsia="宋体"/>
                <w:sz w:val="24"/>
              </w:rPr>
              <w:t>单位整体支出绩效自评表</w:t>
            </w:r>
          </w:p>
        </w:tc>
      </w:tr>
      <w:tr w14:paraId="580B62D7">
        <w:tblPrEx>
          <w:tblCellMar>
            <w:top w:w="0" w:type="dxa"/>
            <w:left w:w="108" w:type="dxa"/>
            <w:bottom w:w="0" w:type="dxa"/>
            <w:right w:w="108" w:type="dxa"/>
          </w:tblCellMar>
        </w:tblPrEx>
        <w:tc>
          <w:tcPr>
            <w:tcW w:w="8847" w:type="dxa"/>
            <w:gridSpan w:val="9"/>
            <w:vAlign w:val="center"/>
          </w:tcPr>
          <w:p w14:paraId="44177F29">
            <w:pPr>
              <w:jc w:val="center"/>
            </w:pPr>
            <w:r>
              <w:rPr>
                <w:rFonts w:ascii="宋体" w:hAnsi="宋体" w:eastAsia="宋体"/>
                <w:sz w:val="24"/>
              </w:rPr>
              <w:t>（2024年度）</w:t>
            </w:r>
          </w:p>
        </w:tc>
      </w:tr>
      <w:tr w14:paraId="768D26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A61E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960F09">
            <w:pPr>
              <w:jc w:val="center"/>
            </w:pPr>
            <w:r>
              <w:rPr>
                <w:rFonts w:ascii="宋体" w:hAnsi="宋体" w:eastAsia="宋体"/>
                <w:sz w:val="16"/>
              </w:rPr>
              <w:t>洛浦县维吾尔医医院</w:t>
            </w:r>
          </w:p>
        </w:tc>
      </w:tr>
      <w:tr w14:paraId="73B102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768B8">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443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FA25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38E0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6587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EA0E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AEC1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15ED4">
            <w:pPr>
              <w:jc w:val="center"/>
            </w:pPr>
            <w:r>
              <w:rPr>
                <w:rFonts w:ascii="宋体" w:hAnsi="宋体" w:eastAsia="宋体"/>
                <w:sz w:val="16"/>
              </w:rPr>
              <w:t>得分</w:t>
            </w:r>
          </w:p>
        </w:tc>
      </w:tr>
      <w:tr w14:paraId="44A26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517B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7CB3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E5FF1">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6D58C">
            <w:pPr>
              <w:jc w:val="center"/>
            </w:pPr>
            <w:r>
              <w:rPr>
                <w:rFonts w:ascii="宋体" w:hAnsi="宋体" w:eastAsia="宋体"/>
                <w:sz w:val="16"/>
              </w:rPr>
              <w:t>28.00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D6E5D">
            <w:pPr>
              <w:jc w:val="center"/>
            </w:pPr>
            <w:r>
              <w:rPr>
                <w:rFonts w:ascii="宋体" w:hAnsi="宋体" w:eastAsia="宋体"/>
                <w:sz w:val="16"/>
              </w:rPr>
              <w:t>28.00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EC53D">
            <w:pPr>
              <w:jc w:val="center"/>
            </w:pPr>
            <w:r>
              <w:rPr>
                <w:rFonts w:ascii="宋体" w:hAnsi="宋体" w:eastAsia="宋体"/>
                <w:sz w:val="16"/>
              </w:rPr>
              <w:t>28.00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B69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A43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78698">
            <w:pPr>
              <w:jc w:val="center"/>
            </w:pPr>
            <w:r>
              <w:rPr>
                <w:rFonts w:ascii="宋体" w:hAnsi="宋体" w:eastAsia="宋体"/>
                <w:sz w:val="16"/>
              </w:rPr>
              <w:t>-</w:t>
            </w:r>
          </w:p>
        </w:tc>
      </w:tr>
      <w:tr w14:paraId="56A12C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098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DDC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E74FA">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824C7">
            <w:pPr>
              <w:jc w:val="center"/>
            </w:pPr>
            <w:r>
              <w:rPr>
                <w:rFonts w:ascii="宋体" w:hAnsi="宋体" w:eastAsia="宋体"/>
                <w:sz w:val="16"/>
              </w:rPr>
              <w:t>1,265.66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96E28">
            <w:pPr>
              <w:jc w:val="center"/>
            </w:pPr>
            <w:r>
              <w:rPr>
                <w:rFonts w:ascii="宋体" w:hAnsi="宋体" w:eastAsia="宋体"/>
                <w:sz w:val="16"/>
              </w:rPr>
              <w:t>1,265.66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162CF">
            <w:pPr>
              <w:jc w:val="center"/>
            </w:pPr>
            <w:r>
              <w:rPr>
                <w:rFonts w:ascii="宋体" w:hAnsi="宋体" w:eastAsia="宋体"/>
                <w:sz w:val="16"/>
              </w:rPr>
              <w:t>1,265.66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0D4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F3B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43B20">
            <w:pPr>
              <w:jc w:val="center"/>
            </w:pPr>
            <w:r>
              <w:rPr>
                <w:rFonts w:ascii="宋体" w:hAnsi="宋体" w:eastAsia="宋体"/>
                <w:sz w:val="16"/>
              </w:rPr>
              <w:t>-</w:t>
            </w:r>
          </w:p>
        </w:tc>
      </w:tr>
      <w:tr w14:paraId="3057A3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BED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3F9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F7246">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7D6D0">
            <w:pPr>
              <w:jc w:val="center"/>
            </w:pPr>
            <w:r>
              <w:rPr>
                <w:rFonts w:ascii="宋体" w:hAnsi="宋体" w:eastAsia="宋体"/>
                <w:sz w:val="16"/>
              </w:rPr>
              <w:t>10,753.95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60B6B">
            <w:pPr>
              <w:jc w:val="center"/>
            </w:pPr>
            <w:r>
              <w:rPr>
                <w:rFonts w:ascii="宋体" w:hAnsi="宋体" w:eastAsia="宋体"/>
                <w:sz w:val="16"/>
              </w:rPr>
              <w:t>7,313.14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143BF">
            <w:pPr>
              <w:jc w:val="center"/>
            </w:pPr>
            <w:r>
              <w:rPr>
                <w:rFonts w:ascii="宋体" w:hAnsi="宋体" w:eastAsia="宋体"/>
                <w:sz w:val="16"/>
              </w:rPr>
              <w:t>7,313.14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C82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597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DD554">
            <w:pPr>
              <w:jc w:val="center"/>
            </w:pPr>
            <w:r>
              <w:rPr>
                <w:rFonts w:ascii="宋体" w:hAnsi="宋体" w:eastAsia="宋体"/>
                <w:sz w:val="16"/>
              </w:rPr>
              <w:t>-</w:t>
            </w:r>
          </w:p>
        </w:tc>
      </w:tr>
      <w:tr w14:paraId="56DA3F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8A3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1735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DDD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F1D92">
            <w:pPr>
              <w:jc w:val="center"/>
            </w:pPr>
            <w:r>
              <w:rPr>
                <w:rFonts w:ascii="宋体" w:hAnsi="宋体" w:eastAsia="宋体"/>
                <w:sz w:val="16"/>
              </w:rPr>
              <w:t>12,047.61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49700">
            <w:pPr>
              <w:jc w:val="center"/>
            </w:pPr>
            <w:r>
              <w:rPr>
                <w:rFonts w:ascii="宋体" w:hAnsi="宋体" w:eastAsia="宋体"/>
                <w:sz w:val="16"/>
              </w:rPr>
              <w:t>8,606.80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879C7">
            <w:pPr>
              <w:jc w:val="center"/>
            </w:pPr>
            <w:r>
              <w:rPr>
                <w:rFonts w:ascii="宋体" w:hAnsi="宋体" w:eastAsia="宋体"/>
                <w:sz w:val="16"/>
              </w:rPr>
              <w:t>8,606.80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717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0F31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F29A5">
            <w:pPr>
              <w:jc w:val="center"/>
            </w:pPr>
            <w:r>
              <w:rPr>
                <w:rFonts w:ascii="宋体" w:hAnsi="宋体" w:eastAsia="宋体"/>
                <w:sz w:val="16"/>
              </w:rPr>
              <w:t>10</w:t>
            </w:r>
          </w:p>
        </w:tc>
      </w:tr>
      <w:tr w14:paraId="607745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F885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5BED5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3EA135">
            <w:pPr>
              <w:jc w:val="center"/>
            </w:pPr>
            <w:r>
              <w:rPr>
                <w:rFonts w:ascii="宋体" w:hAnsi="宋体" w:eastAsia="宋体"/>
                <w:sz w:val="16"/>
              </w:rPr>
              <w:t>实际完成情况</w:t>
            </w:r>
          </w:p>
        </w:tc>
      </w:tr>
      <w:tr w14:paraId="42748A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8458B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451545">
            <w:pPr>
              <w:jc w:val="both"/>
            </w:pPr>
            <w:r>
              <w:rPr>
                <w:rFonts w:ascii="宋体" w:hAnsi="宋体" w:eastAsia="宋体"/>
                <w:sz w:val="16"/>
              </w:rPr>
              <w:t>目标：成立医疗中心，形成特色优势。如神经外科治疗中心、卒中中心、康复医疗中心、急救中心、疼痛治疗中心、检验中心、影像中心等。医院重点开展和田地区洛浦县维吾尔医医院发热门诊建设项目与2024年中央医疗服务与保障能力提升项目。加强医疗质量，强化医疗安全，</w:t>
            </w:r>
            <w:r>
              <w:rPr>
                <w:rFonts w:hint="eastAsia" w:ascii="宋体" w:hAnsi="宋体"/>
                <w:sz w:val="16"/>
                <w:lang w:eastAsia="zh-CN"/>
              </w:rPr>
              <w:t>逐步</w:t>
            </w:r>
            <w:r>
              <w:rPr>
                <w:rFonts w:ascii="宋体" w:hAnsi="宋体" w:eastAsia="宋体"/>
                <w:sz w:val="16"/>
              </w:rPr>
              <w:t>建立分级诊疗制度，构建基层首诊、双向转诊、急慢分治、上下联动的分级诊疗模式。逐步完善用药管理，</w:t>
            </w:r>
            <w:r>
              <w:rPr>
                <w:rFonts w:hint="eastAsia" w:ascii="宋体" w:hAnsi="宋体"/>
                <w:sz w:val="16"/>
                <w:lang w:eastAsia="zh-CN"/>
              </w:rPr>
              <w:t>加强</w:t>
            </w:r>
            <w:r>
              <w:rPr>
                <w:rFonts w:ascii="宋体" w:hAnsi="宋体" w:eastAsia="宋体"/>
                <w:sz w:val="16"/>
              </w:rPr>
              <w:t>帮扶工作，提升服务质量，提高医务人员的诊疗水平和能力</w:t>
            </w:r>
            <w:r>
              <w:rPr>
                <w:rFonts w:hint="eastAsia" w:ascii="宋体" w:hAnsi="宋体"/>
                <w:sz w:val="16"/>
                <w:lang w:eastAsia="zh-CN"/>
              </w:rPr>
              <w:t>，完</w:t>
            </w:r>
            <w:r>
              <w:rPr>
                <w:rFonts w:ascii="宋体" w:hAnsi="宋体" w:eastAsia="宋体"/>
                <w:sz w:val="16"/>
              </w:rPr>
              <w:t>善人才评价机制，强调人才队伍建设，创新合作模式，提升学科建设力度。强化医院信息化建设，进一步优化服务环境与流程，改善服务态度，持续改善医疗服务。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2A8074">
            <w:pPr>
              <w:jc w:val="both"/>
            </w:pPr>
            <w:r>
              <w:rPr>
                <w:rFonts w:ascii="宋体" w:hAnsi="宋体" w:eastAsia="宋体"/>
                <w:sz w:val="16"/>
              </w:rPr>
              <w:t>成立医疗中心，形成特色优势。如神经外科治疗中心、卒中中心、康复医疗中心、急救中心、疼痛治疗中心、检验中心、影像中心等。医院重点开展和田地区洛浦县维吾尔医医院发热门诊建设项目与2024年中央医疗服务与保障能力提升项目。加强医疗质量，强化医疗安全，</w:t>
            </w:r>
            <w:r>
              <w:rPr>
                <w:rFonts w:hint="eastAsia" w:ascii="宋体" w:hAnsi="宋体"/>
                <w:sz w:val="16"/>
                <w:lang w:eastAsia="zh-CN"/>
              </w:rPr>
              <w:t>逐步</w:t>
            </w:r>
            <w:r>
              <w:rPr>
                <w:rFonts w:ascii="宋体" w:hAnsi="宋体" w:eastAsia="宋体"/>
                <w:sz w:val="16"/>
              </w:rPr>
              <w:t>建立分级诊疗制度，构建基层首诊、双向转诊、急慢分治、上下联动的分级诊疗模式。逐步完善用药管理，</w:t>
            </w:r>
            <w:r>
              <w:rPr>
                <w:rFonts w:hint="eastAsia" w:ascii="宋体" w:hAnsi="宋体"/>
                <w:sz w:val="16"/>
                <w:lang w:eastAsia="zh-CN"/>
              </w:rPr>
              <w:t>加强</w:t>
            </w:r>
            <w:r>
              <w:rPr>
                <w:rFonts w:ascii="宋体" w:hAnsi="宋体" w:eastAsia="宋体"/>
                <w:sz w:val="16"/>
              </w:rPr>
              <w:t>帮扶工作，提升服务质量，提高医务人员的诊疗水平和能力</w:t>
            </w:r>
            <w:r>
              <w:rPr>
                <w:rFonts w:hint="eastAsia" w:ascii="宋体" w:hAnsi="宋体"/>
                <w:sz w:val="16"/>
                <w:lang w:eastAsia="zh-CN"/>
              </w:rPr>
              <w:t>，完</w:t>
            </w:r>
            <w:r>
              <w:rPr>
                <w:rFonts w:ascii="宋体" w:hAnsi="宋体" w:eastAsia="宋体"/>
                <w:sz w:val="16"/>
              </w:rPr>
              <w:t>善人才评价机制，强调人才队伍建设，创新合作模式，提升学科建设力度。强化医院信息化建设，进一步优化服务环境与流程，改善服务态度，持续改善医疗服务。</w:t>
            </w:r>
          </w:p>
        </w:tc>
      </w:tr>
      <w:tr w14:paraId="2F9E48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059A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316B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DB79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6A18C">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6EDA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0F2C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3CE3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DE015">
            <w:pPr>
              <w:jc w:val="center"/>
            </w:pPr>
            <w:r>
              <w:rPr>
                <w:rFonts w:ascii="宋体" w:hAnsi="宋体" w:eastAsia="宋体"/>
                <w:sz w:val="16"/>
              </w:rPr>
              <w:t>得分</w:t>
            </w:r>
          </w:p>
        </w:tc>
      </w:tr>
      <w:tr w14:paraId="27CAE8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5183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C026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7FC20">
            <w:pPr>
              <w:jc w:val="center"/>
            </w:pPr>
            <w:r>
              <w:rPr>
                <w:rFonts w:ascii="宋体" w:hAnsi="宋体" w:eastAsia="宋体"/>
                <w:sz w:val="16"/>
              </w:rPr>
              <w:t>成立医疗中心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37A10">
            <w:pPr>
              <w:jc w:val="center"/>
            </w:pPr>
            <w:r>
              <w:rPr>
                <w:rFonts w:ascii="宋体" w:hAnsi="宋体" w:eastAsia="宋体"/>
                <w:sz w:val="16"/>
              </w:rPr>
              <w:t>&lt;=7项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FA46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91A2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D6871">
            <w:pPr>
              <w:jc w:val="center"/>
            </w:pPr>
            <w:r>
              <w:rPr>
                <w:rFonts w:ascii="宋体" w:hAnsi="宋体" w:eastAsia="宋体"/>
                <w:sz w:val="16"/>
              </w:rPr>
              <w:t>7项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3C67F">
            <w:pPr>
              <w:jc w:val="center"/>
            </w:pPr>
            <w:r>
              <w:rPr>
                <w:rFonts w:ascii="宋体" w:hAnsi="宋体" w:eastAsia="宋体"/>
                <w:sz w:val="16"/>
              </w:rPr>
              <w:t>20</w:t>
            </w:r>
          </w:p>
        </w:tc>
      </w:tr>
      <w:tr w14:paraId="076A00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3E8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AEB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6BCCA">
            <w:pPr>
              <w:jc w:val="center"/>
            </w:pPr>
            <w:r>
              <w:rPr>
                <w:rFonts w:ascii="宋体" w:hAnsi="宋体" w:eastAsia="宋体"/>
                <w:sz w:val="16"/>
              </w:rPr>
              <w:t>和田地区洛浦县维吾尔医医院发热门诊建设项目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D400D">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B4C0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6DBAB">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4DDF9">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5A048">
            <w:pPr>
              <w:jc w:val="center"/>
            </w:pPr>
            <w:r>
              <w:rPr>
                <w:rFonts w:ascii="宋体" w:hAnsi="宋体" w:eastAsia="宋体"/>
                <w:sz w:val="16"/>
              </w:rPr>
              <w:t>25</w:t>
            </w:r>
          </w:p>
        </w:tc>
      </w:tr>
      <w:tr w14:paraId="1AB0D5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15C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96C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07AA7">
            <w:pPr>
              <w:jc w:val="center"/>
            </w:pPr>
            <w:r>
              <w:rPr>
                <w:rFonts w:ascii="宋体" w:hAnsi="宋体" w:eastAsia="宋体"/>
                <w:sz w:val="16"/>
              </w:rPr>
              <w:t>2024年中央医疗服务与保障能力提升项目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082A2">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E68F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22B03">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B891E">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87434">
            <w:pPr>
              <w:jc w:val="center"/>
            </w:pPr>
            <w:r>
              <w:rPr>
                <w:rFonts w:ascii="宋体" w:hAnsi="宋体" w:eastAsia="宋体"/>
                <w:sz w:val="16"/>
              </w:rPr>
              <w:t>25</w:t>
            </w:r>
          </w:p>
        </w:tc>
      </w:tr>
      <w:tr w14:paraId="1B8740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5A6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E8280">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804BE">
            <w:pPr>
              <w:jc w:val="center"/>
            </w:pPr>
            <w:r>
              <w:rPr>
                <w:rFonts w:ascii="宋体" w:hAnsi="宋体" w:eastAsia="宋体"/>
                <w:sz w:val="16"/>
              </w:rPr>
              <w:t>医护人员持证上岗率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8D02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7769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35C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2FB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DD486">
            <w:pPr>
              <w:jc w:val="center"/>
            </w:pPr>
            <w:r>
              <w:rPr>
                <w:rFonts w:ascii="宋体" w:hAnsi="宋体" w:eastAsia="宋体"/>
                <w:sz w:val="16"/>
              </w:rPr>
              <w:t>20</w:t>
            </w:r>
          </w:p>
        </w:tc>
      </w:tr>
    </w:tbl>
    <w:p w14:paraId="0B03FB9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531969">
        <w:tblPrEx>
          <w:tblCellMar>
            <w:top w:w="0" w:type="dxa"/>
            <w:left w:w="108" w:type="dxa"/>
            <w:bottom w:w="0" w:type="dxa"/>
            <w:right w:w="108" w:type="dxa"/>
          </w:tblCellMar>
        </w:tblPrEx>
        <w:tc>
          <w:tcPr>
            <w:tcW w:w="8847" w:type="dxa"/>
            <w:gridSpan w:val="9"/>
            <w:vAlign w:val="center"/>
          </w:tcPr>
          <w:p w14:paraId="23BFAAEC">
            <w:pPr>
              <w:jc w:val="center"/>
            </w:pPr>
            <w:r>
              <w:rPr>
                <w:rFonts w:ascii="宋体" w:hAnsi="宋体" w:eastAsia="宋体"/>
                <w:sz w:val="24"/>
              </w:rPr>
              <w:t>项目支出绩效自评表</w:t>
            </w:r>
          </w:p>
        </w:tc>
      </w:tr>
      <w:tr w14:paraId="42DF6D50">
        <w:tblPrEx>
          <w:tblCellMar>
            <w:top w:w="0" w:type="dxa"/>
            <w:left w:w="108" w:type="dxa"/>
            <w:bottom w:w="0" w:type="dxa"/>
            <w:right w:w="108" w:type="dxa"/>
          </w:tblCellMar>
        </w:tblPrEx>
        <w:tc>
          <w:tcPr>
            <w:tcW w:w="8847" w:type="dxa"/>
            <w:gridSpan w:val="9"/>
            <w:vAlign w:val="center"/>
          </w:tcPr>
          <w:p w14:paraId="697132C5">
            <w:pPr>
              <w:jc w:val="center"/>
            </w:pPr>
            <w:r>
              <w:rPr>
                <w:rFonts w:ascii="宋体" w:hAnsi="宋体" w:eastAsia="宋体"/>
                <w:sz w:val="24"/>
              </w:rPr>
              <w:t>(2024年度)</w:t>
            </w:r>
          </w:p>
        </w:tc>
      </w:tr>
      <w:tr w14:paraId="5BDC55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25BB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C141CF">
            <w:pPr>
              <w:jc w:val="center"/>
            </w:pPr>
            <w:r>
              <w:rPr>
                <w:rFonts w:ascii="宋体" w:hAnsi="宋体" w:eastAsia="宋体"/>
                <w:sz w:val="16"/>
              </w:rPr>
              <w:t>和田地区洛浦县维吾尔医医院发热门诊建设项目</w:t>
            </w:r>
          </w:p>
        </w:tc>
      </w:tr>
      <w:tr w14:paraId="0C52A4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3343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9B9843">
            <w:pPr>
              <w:jc w:val="center"/>
            </w:pPr>
            <w:r>
              <w:rPr>
                <w:rFonts w:ascii="宋体" w:hAnsi="宋体" w:eastAsia="宋体"/>
                <w:sz w:val="16"/>
              </w:rPr>
              <w:t>洛浦县维吾尔医医院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3ADA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EB579C">
            <w:pPr>
              <w:jc w:val="center"/>
            </w:pPr>
            <w:r>
              <w:rPr>
                <w:rFonts w:ascii="宋体" w:hAnsi="宋体" w:eastAsia="宋体"/>
                <w:sz w:val="16"/>
              </w:rPr>
              <w:t>洛浦县维吾尔医医院</w:t>
            </w:r>
          </w:p>
        </w:tc>
      </w:tr>
      <w:tr w14:paraId="2FA7DA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0564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D3F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BFC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BB1F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BEE1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A9ED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1F55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6BDE4">
            <w:pPr>
              <w:jc w:val="center"/>
            </w:pPr>
            <w:r>
              <w:rPr>
                <w:rFonts w:ascii="宋体" w:hAnsi="宋体" w:eastAsia="宋体"/>
                <w:sz w:val="16"/>
              </w:rPr>
              <w:t>得分</w:t>
            </w:r>
          </w:p>
        </w:tc>
      </w:tr>
      <w:tr w14:paraId="402B90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DB3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1003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155A2">
            <w:pPr>
              <w:jc w:val="center"/>
            </w:pPr>
            <w:r>
              <w:rPr>
                <w:rFonts w:ascii="宋体" w:hAnsi="宋体" w:eastAsia="宋体"/>
                <w:sz w:val="16"/>
              </w:rPr>
              <w:t>40.24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312BE">
            <w:pPr>
              <w:jc w:val="center"/>
            </w:pPr>
            <w:r>
              <w:rPr>
                <w:rFonts w:ascii="宋体" w:hAnsi="宋体" w:eastAsia="宋体"/>
                <w:sz w:val="16"/>
              </w:rPr>
              <w:t>40.24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48F01">
            <w:pPr>
              <w:jc w:val="center"/>
            </w:pPr>
            <w:r>
              <w:rPr>
                <w:rFonts w:ascii="宋体" w:hAnsi="宋体" w:eastAsia="宋体"/>
                <w:sz w:val="16"/>
              </w:rPr>
              <w:t>40.24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59E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C3BF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AF00C">
            <w:pPr>
              <w:jc w:val="center"/>
            </w:pPr>
            <w:r>
              <w:rPr>
                <w:rFonts w:ascii="宋体" w:hAnsi="宋体" w:eastAsia="宋体"/>
                <w:sz w:val="16"/>
              </w:rPr>
              <w:t>10.00分</w:t>
            </w:r>
          </w:p>
        </w:tc>
      </w:tr>
      <w:tr w14:paraId="743A62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BC9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86CA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AD136">
            <w:pPr>
              <w:jc w:val="center"/>
            </w:pPr>
            <w:r>
              <w:rPr>
                <w:rFonts w:ascii="宋体" w:hAnsi="宋体" w:eastAsia="宋体"/>
                <w:sz w:val="16"/>
              </w:rPr>
              <w:t>40.24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E5882">
            <w:pPr>
              <w:jc w:val="center"/>
            </w:pPr>
            <w:r>
              <w:rPr>
                <w:rFonts w:ascii="宋体" w:hAnsi="宋体" w:eastAsia="宋体"/>
                <w:sz w:val="16"/>
              </w:rPr>
              <w:t>40.24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BE0D1">
            <w:pPr>
              <w:jc w:val="center"/>
            </w:pPr>
            <w:r>
              <w:rPr>
                <w:rFonts w:ascii="宋体" w:hAnsi="宋体" w:eastAsia="宋体"/>
                <w:sz w:val="16"/>
              </w:rPr>
              <w:t>40.24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E11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41C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B5805">
            <w:pPr>
              <w:jc w:val="center"/>
            </w:pPr>
            <w:r>
              <w:rPr>
                <w:rFonts w:ascii="宋体" w:hAnsi="宋体" w:eastAsia="宋体"/>
                <w:sz w:val="16"/>
              </w:rPr>
              <w:t>—</w:t>
            </w:r>
          </w:p>
        </w:tc>
      </w:tr>
      <w:tr w14:paraId="26F50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507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71EF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884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A8B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DF3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D8C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ACE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D543D">
            <w:pPr>
              <w:jc w:val="center"/>
            </w:pPr>
            <w:r>
              <w:rPr>
                <w:rFonts w:ascii="宋体" w:hAnsi="宋体" w:eastAsia="宋体"/>
                <w:sz w:val="16"/>
              </w:rPr>
              <w:t>—</w:t>
            </w:r>
          </w:p>
        </w:tc>
      </w:tr>
      <w:tr w14:paraId="7D0E77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C16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0E89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CCB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251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F1E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6C3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EBF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414EC">
            <w:pPr>
              <w:jc w:val="center"/>
            </w:pPr>
            <w:r>
              <w:rPr>
                <w:rFonts w:ascii="宋体" w:hAnsi="宋体" w:eastAsia="宋体"/>
                <w:sz w:val="16"/>
              </w:rPr>
              <w:t>—</w:t>
            </w:r>
          </w:p>
        </w:tc>
      </w:tr>
      <w:tr w14:paraId="66FCDD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DEA8B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C265E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4A9CC5">
            <w:pPr>
              <w:jc w:val="center"/>
            </w:pPr>
            <w:r>
              <w:rPr>
                <w:rFonts w:ascii="宋体" w:hAnsi="宋体" w:eastAsia="宋体"/>
                <w:sz w:val="16"/>
              </w:rPr>
              <w:t>实际完成情况</w:t>
            </w:r>
          </w:p>
        </w:tc>
      </w:tr>
      <w:tr w14:paraId="61488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0210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2DE9B3">
            <w:pPr>
              <w:jc w:val="both"/>
            </w:pPr>
            <w:r>
              <w:rPr>
                <w:rFonts w:ascii="宋体" w:hAnsi="宋体" w:eastAsia="宋体"/>
                <w:sz w:val="16"/>
              </w:rPr>
              <w:t>项目本年度计划投资402376.04元，主要用途为如下：</w:t>
            </w:r>
            <w:r>
              <w:rPr>
                <w:rFonts w:ascii="宋体" w:hAnsi="宋体" w:eastAsia="宋体"/>
                <w:sz w:val="16"/>
              </w:rPr>
              <w:br w:type="textWrapping"/>
            </w:r>
            <w:r>
              <w:rPr>
                <w:rFonts w:ascii="宋体" w:hAnsi="宋体" w:eastAsia="宋体"/>
                <w:sz w:val="16"/>
              </w:rPr>
              <w:t>1.新建发热门诊2921.27平方米，新建留观病房36间，配套附属设施，购置医疗设备等。</w:t>
            </w:r>
            <w:r>
              <w:rPr>
                <w:rFonts w:ascii="宋体" w:hAnsi="宋体" w:eastAsia="宋体"/>
                <w:sz w:val="16"/>
              </w:rPr>
              <w:br w:type="textWrapping"/>
            </w:r>
            <w:r>
              <w:rPr>
                <w:rFonts w:ascii="宋体" w:hAnsi="宋体" w:eastAsia="宋体"/>
                <w:sz w:val="16"/>
              </w:rPr>
              <w:t>2.项目建成后可为洛浦县人民群众提供优质、高效、安全、便捷和经济的医疗卫生服务，营造“以人为本，病人为中心”的医疗环境，创造提高医疗服务水平和质量，成为适应社会经济发展的现代化医院。</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F7C352">
            <w:pPr>
              <w:jc w:val="both"/>
            </w:pPr>
            <w:r>
              <w:rPr>
                <w:rFonts w:hint="eastAsia" w:ascii="宋体" w:hAnsi="宋体"/>
                <w:sz w:val="16"/>
                <w:lang w:eastAsia="zh-CN"/>
              </w:rPr>
              <w:t>截至</w:t>
            </w:r>
            <w:r>
              <w:rPr>
                <w:rFonts w:ascii="宋体" w:hAnsi="宋体" w:eastAsia="宋体"/>
                <w:sz w:val="16"/>
              </w:rPr>
              <w:t>2024年12月31日，资金已使用40.24万元。通过项目的实施，有效提高医疗服务水平和质量。</w:t>
            </w:r>
          </w:p>
        </w:tc>
      </w:tr>
      <w:tr w14:paraId="5C3623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819ED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57B0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EED4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A00B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7E85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BB51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A998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E720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07312">
            <w:pPr>
              <w:jc w:val="center"/>
            </w:pPr>
            <w:r>
              <w:rPr>
                <w:rFonts w:ascii="宋体" w:hAnsi="宋体" w:eastAsia="宋体"/>
                <w:sz w:val="16"/>
              </w:rPr>
              <w:t>偏差原因分析及改进措施</w:t>
            </w:r>
          </w:p>
        </w:tc>
      </w:tr>
      <w:tr w14:paraId="087599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0E7F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7EDC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105D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0A6AB">
            <w:pPr>
              <w:jc w:val="center"/>
            </w:pPr>
            <w:r>
              <w:rPr>
                <w:rFonts w:ascii="宋体" w:hAnsi="宋体" w:eastAsia="宋体"/>
                <w:sz w:val="16"/>
              </w:rPr>
              <w:t>支付往年欠款项目个数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39E2E">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F2BF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1F03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9687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EC712">
            <w:pPr>
              <w:jc w:val="center"/>
            </w:pPr>
          </w:p>
        </w:tc>
      </w:tr>
      <w:tr w14:paraId="49BC96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4313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B6F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59A8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1D507">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ADE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0F3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E4A7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9BE7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5845F">
            <w:pPr>
              <w:jc w:val="center"/>
            </w:pPr>
          </w:p>
        </w:tc>
      </w:tr>
      <w:tr w14:paraId="2EB528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021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7BD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9E1C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6DAF5">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8A6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44E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69D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FA2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A8780">
            <w:pPr>
              <w:jc w:val="center"/>
            </w:pPr>
          </w:p>
        </w:tc>
      </w:tr>
      <w:tr w14:paraId="3C6643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1FC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A08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330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3BE28">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FD492">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8BB86">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466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9B1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D4ABC">
            <w:pPr>
              <w:jc w:val="center"/>
            </w:pPr>
          </w:p>
        </w:tc>
      </w:tr>
      <w:tr w14:paraId="222888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340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6629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BEE9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7DD3D">
            <w:pPr>
              <w:jc w:val="center"/>
            </w:pPr>
            <w:r>
              <w:rPr>
                <w:rFonts w:ascii="宋体" w:hAnsi="宋体" w:eastAsia="宋体"/>
                <w:sz w:val="16"/>
              </w:rPr>
              <w:t>支付往年欠款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C709">
            <w:pPr>
              <w:jc w:val="center"/>
            </w:pPr>
            <w:r>
              <w:rPr>
                <w:rFonts w:ascii="宋体" w:hAnsi="宋体" w:eastAsia="宋体"/>
                <w:sz w:val="16"/>
              </w:rPr>
              <w:t>=40.24万元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7F622">
            <w:pPr>
              <w:jc w:val="center"/>
            </w:pPr>
            <w:r>
              <w:rPr>
                <w:rFonts w:ascii="宋体" w:hAnsi="宋体" w:eastAsia="宋体"/>
                <w:sz w:val="16"/>
              </w:rPr>
              <w:t>=40.24万元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D6F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E25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CC69E">
            <w:pPr>
              <w:jc w:val="center"/>
            </w:pPr>
          </w:p>
        </w:tc>
      </w:tr>
      <w:tr w14:paraId="7A708C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D1C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59BB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8EB7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DE080">
            <w:pPr>
              <w:jc w:val="center"/>
            </w:pPr>
            <w:r>
              <w:rPr>
                <w:rFonts w:ascii="宋体" w:hAnsi="宋体" w:eastAsia="宋体"/>
                <w:sz w:val="16"/>
              </w:rPr>
              <w:t>提高医疗服务水平和质量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B280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7033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4C8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123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1279C">
            <w:pPr>
              <w:jc w:val="center"/>
            </w:pPr>
          </w:p>
        </w:tc>
      </w:tr>
      <w:tr w14:paraId="6346AA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9C4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D8F9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10EB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A4679">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14CA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489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77D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50D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97370">
            <w:pPr>
              <w:jc w:val="center"/>
            </w:pPr>
          </w:p>
        </w:tc>
      </w:tr>
      <w:tr w14:paraId="41CA0D4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8C858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9CCC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E82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D314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B6FBB9"/>
        </w:tc>
      </w:tr>
    </w:tbl>
    <w:p w14:paraId="0128F7F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5E9A1A">
        <w:tblPrEx>
          <w:tblCellMar>
            <w:top w:w="0" w:type="dxa"/>
            <w:left w:w="108" w:type="dxa"/>
            <w:bottom w:w="0" w:type="dxa"/>
            <w:right w:w="108" w:type="dxa"/>
          </w:tblCellMar>
        </w:tblPrEx>
        <w:tc>
          <w:tcPr>
            <w:tcW w:w="8847" w:type="dxa"/>
            <w:gridSpan w:val="9"/>
            <w:vAlign w:val="center"/>
          </w:tcPr>
          <w:p w14:paraId="5F5DFAB9">
            <w:pPr>
              <w:jc w:val="center"/>
            </w:pPr>
            <w:r>
              <w:rPr>
                <w:rFonts w:ascii="宋体" w:hAnsi="宋体" w:eastAsia="宋体"/>
                <w:sz w:val="24"/>
              </w:rPr>
              <w:t>项目支出绩效自评表</w:t>
            </w:r>
          </w:p>
        </w:tc>
      </w:tr>
      <w:tr w14:paraId="63BA687F">
        <w:tblPrEx>
          <w:tblCellMar>
            <w:top w:w="0" w:type="dxa"/>
            <w:left w:w="108" w:type="dxa"/>
            <w:bottom w:w="0" w:type="dxa"/>
            <w:right w:w="108" w:type="dxa"/>
          </w:tblCellMar>
        </w:tblPrEx>
        <w:tc>
          <w:tcPr>
            <w:tcW w:w="8847" w:type="dxa"/>
            <w:gridSpan w:val="9"/>
            <w:vAlign w:val="center"/>
          </w:tcPr>
          <w:p w14:paraId="7A3C4471">
            <w:pPr>
              <w:jc w:val="center"/>
            </w:pPr>
            <w:r>
              <w:rPr>
                <w:rFonts w:ascii="宋体" w:hAnsi="宋体" w:eastAsia="宋体"/>
                <w:sz w:val="24"/>
              </w:rPr>
              <w:t>(2024年度)</w:t>
            </w:r>
          </w:p>
        </w:tc>
      </w:tr>
      <w:tr w14:paraId="44A801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ACCA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96B55D">
            <w:pPr>
              <w:jc w:val="center"/>
            </w:pPr>
            <w:r>
              <w:rPr>
                <w:rFonts w:ascii="宋体" w:hAnsi="宋体" w:eastAsia="宋体"/>
                <w:sz w:val="16"/>
              </w:rPr>
              <w:t>存量资金</w:t>
            </w:r>
            <w:r>
              <w:rPr>
                <w:rFonts w:hint="eastAsia" w:ascii="宋体" w:hAnsi="宋体"/>
                <w:sz w:val="16"/>
                <w:lang w:eastAsia="zh-CN"/>
              </w:rPr>
              <w:t>－</w:t>
            </w:r>
            <w:bookmarkStart w:id="0" w:name="_GoBack"/>
            <w:r>
              <w:rPr>
                <w:rFonts w:ascii="宋体" w:hAnsi="宋体" w:eastAsia="宋体"/>
                <w:sz w:val="16"/>
              </w:rPr>
              <w:t>疫情</w:t>
            </w:r>
            <w:bookmarkEnd w:id="0"/>
            <w:r>
              <w:rPr>
                <w:rFonts w:ascii="宋体" w:hAnsi="宋体" w:eastAsia="宋体"/>
                <w:sz w:val="16"/>
              </w:rPr>
              <w:t>防控经费中药饮片和药材包款-洛财纪字</w:t>
            </w:r>
            <w:r>
              <w:rPr>
                <w:rFonts w:hint="eastAsia" w:ascii="宋体" w:hAnsi="宋体"/>
                <w:sz w:val="16"/>
                <w:lang w:eastAsia="zh-CN"/>
              </w:rPr>
              <w:t>〔2024〕3号</w:t>
            </w:r>
          </w:p>
        </w:tc>
      </w:tr>
      <w:tr w14:paraId="7EEA2C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A22E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16537C">
            <w:pPr>
              <w:jc w:val="center"/>
            </w:pPr>
            <w:r>
              <w:rPr>
                <w:rFonts w:ascii="宋体" w:hAnsi="宋体" w:eastAsia="宋体"/>
                <w:sz w:val="16"/>
              </w:rPr>
              <w:t>洛浦县维吾尔医医院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6CC0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6514E4">
            <w:pPr>
              <w:jc w:val="center"/>
            </w:pPr>
            <w:r>
              <w:rPr>
                <w:rFonts w:ascii="宋体" w:hAnsi="宋体" w:eastAsia="宋体"/>
                <w:sz w:val="16"/>
              </w:rPr>
              <w:t>洛浦县维吾尔医医院</w:t>
            </w:r>
          </w:p>
        </w:tc>
      </w:tr>
      <w:tr w14:paraId="7AD291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1375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F5A7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AC0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1755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0BA8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34B9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78AA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BD594">
            <w:pPr>
              <w:jc w:val="center"/>
            </w:pPr>
            <w:r>
              <w:rPr>
                <w:rFonts w:ascii="宋体" w:hAnsi="宋体" w:eastAsia="宋体"/>
                <w:sz w:val="16"/>
              </w:rPr>
              <w:t>得分</w:t>
            </w:r>
          </w:p>
        </w:tc>
      </w:tr>
      <w:tr w14:paraId="6D9417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989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07E8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13B78">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96B40">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D5C92">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0B5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E5C8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3E65B">
            <w:pPr>
              <w:jc w:val="center"/>
            </w:pPr>
            <w:r>
              <w:rPr>
                <w:rFonts w:ascii="宋体" w:hAnsi="宋体" w:eastAsia="宋体"/>
                <w:sz w:val="16"/>
              </w:rPr>
              <w:t>10.00分</w:t>
            </w:r>
          </w:p>
        </w:tc>
      </w:tr>
      <w:tr w14:paraId="58F132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6DE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4D44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D6173">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DE86B">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10D83">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820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7E5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BEBA9">
            <w:pPr>
              <w:jc w:val="center"/>
            </w:pPr>
            <w:r>
              <w:rPr>
                <w:rFonts w:ascii="宋体" w:hAnsi="宋体" w:eastAsia="宋体"/>
                <w:sz w:val="16"/>
              </w:rPr>
              <w:t>—</w:t>
            </w:r>
          </w:p>
        </w:tc>
      </w:tr>
      <w:tr w14:paraId="20D1CD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62F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0ACA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90D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92A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B56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376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AEC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CA392">
            <w:pPr>
              <w:jc w:val="center"/>
            </w:pPr>
            <w:r>
              <w:rPr>
                <w:rFonts w:ascii="宋体" w:hAnsi="宋体" w:eastAsia="宋体"/>
                <w:sz w:val="16"/>
              </w:rPr>
              <w:t>—</w:t>
            </w:r>
          </w:p>
        </w:tc>
      </w:tr>
      <w:tr w14:paraId="114E1A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29C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DD3A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4E1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993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6A5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AED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393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79F44">
            <w:pPr>
              <w:jc w:val="center"/>
            </w:pPr>
            <w:r>
              <w:rPr>
                <w:rFonts w:ascii="宋体" w:hAnsi="宋体" w:eastAsia="宋体"/>
                <w:sz w:val="16"/>
              </w:rPr>
              <w:t>—</w:t>
            </w:r>
          </w:p>
        </w:tc>
      </w:tr>
      <w:tr w14:paraId="6724D2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B40D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5F984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112DC3">
            <w:pPr>
              <w:jc w:val="center"/>
            </w:pPr>
            <w:r>
              <w:rPr>
                <w:rFonts w:ascii="宋体" w:hAnsi="宋体" w:eastAsia="宋体"/>
                <w:sz w:val="16"/>
              </w:rPr>
              <w:t>实际完成情况</w:t>
            </w:r>
          </w:p>
        </w:tc>
      </w:tr>
      <w:tr w14:paraId="4131AF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20D6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48562B">
            <w:pPr>
              <w:jc w:val="both"/>
            </w:pPr>
            <w:r>
              <w:rPr>
                <w:rFonts w:ascii="宋体" w:hAnsi="宋体" w:eastAsia="宋体"/>
                <w:sz w:val="16"/>
              </w:rPr>
              <w:t>根据洛财纪字</w:t>
            </w:r>
            <w:r>
              <w:rPr>
                <w:rFonts w:hint="eastAsia" w:ascii="宋体" w:hAnsi="宋体"/>
                <w:sz w:val="16"/>
                <w:lang w:eastAsia="zh-CN"/>
              </w:rPr>
              <w:t>〔2024〕3号</w:t>
            </w:r>
            <w:r>
              <w:rPr>
                <w:rFonts w:ascii="宋体" w:hAnsi="宋体" w:eastAsia="宋体"/>
                <w:sz w:val="16"/>
              </w:rPr>
              <w:t>文件实施此项目，采购中药饮片和药材1批，支付疫情药品，保障政府公信力。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5860A1">
            <w:pPr>
              <w:jc w:val="both"/>
            </w:pPr>
            <w:r>
              <w:rPr>
                <w:rFonts w:ascii="宋体" w:hAnsi="宋体" w:eastAsia="宋体"/>
                <w:sz w:val="16"/>
              </w:rPr>
              <w:t>采购中药饮片和药材1批，支付疫情药品，保障政府公信力。</w:t>
            </w:r>
          </w:p>
        </w:tc>
      </w:tr>
      <w:tr w14:paraId="6554D0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E9607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8884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D482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8351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7B5A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08C3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4F0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AB8E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2151E">
            <w:pPr>
              <w:jc w:val="center"/>
            </w:pPr>
            <w:r>
              <w:rPr>
                <w:rFonts w:ascii="宋体" w:hAnsi="宋体" w:eastAsia="宋体"/>
                <w:sz w:val="16"/>
              </w:rPr>
              <w:t>偏差原因分析及改进措施</w:t>
            </w:r>
          </w:p>
        </w:tc>
      </w:tr>
      <w:tr w14:paraId="4E6634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11AB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18C3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686E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71A99">
            <w:pPr>
              <w:jc w:val="center"/>
            </w:pPr>
            <w:r>
              <w:rPr>
                <w:rFonts w:ascii="宋体" w:hAnsi="宋体" w:eastAsia="宋体"/>
                <w:sz w:val="16"/>
              </w:rPr>
              <w:t>支付往年欠款项目个数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71587">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C3BC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AF4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1ED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A1C9D">
            <w:pPr>
              <w:jc w:val="center"/>
            </w:pPr>
          </w:p>
        </w:tc>
      </w:tr>
      <w:tr w14:paraId="23443F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A82A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94D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7C98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D5410">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2E2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8E5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3E9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99B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9D5ED">
            <w:pPr>
              <w:jc w:val="center"/>
            </w:pPr>
          </w:p>
        </w:tc>
      </w:tr>
      <w:tr w14:paraId="2273C7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3F1E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CCC7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1AF2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1D2A8">
            <w:pPr>
              <w:jc w:val="center"/>
            </w:pPr>
            <w:r>
              <w:rPr>
                <w:rFonts w:ascii="宋体" w:hAnsi="宋体" w:eastAsia="宋体"/>
                <w:sz w:val="16"/>
              </w:rPr>
              <w:t>资金拨付及时性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8E2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BD1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2CA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F2F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B270C">
            <w:pPr>
              <w:jc w:val="center"/>
            </w:pPr>
          </w:p>
        </w:tc>
      </w:tr>
      <w:tr w14:paraId="6FA6E7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EF56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7B4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F64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F9B76">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59A2B">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12049">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39D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0E6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993BA">
            <w:pPr>
              <w:jc w:val="center"/>
            </w:pPr>
          </w:p>
        </w:tc>
      </w:tr>
      <w:tr w14:paraId="49689D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9DB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F396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A407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BCB13">
            <w:pPr>
              <w:jc w:val="center"/>
            </w:pPr>
            <w:r>
              <w:rPr>
                <w:rFonts w:ascii="宋体" w:hAnsi="宋体" w:eastAsia="宋体"/>
                <w:sz w:val="16"/>
              </w:rPr>
              <w:t>支付往年欠款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A2F16">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E0704">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A6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4562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6BA13">
            <w:pPr>
              <w:jc w:val="center"/>
            </w:pPr>
          </w:p>
        </w:tc>
      </w:tr>
      <w:tr w14:paraId="6A891A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9C9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07B9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AB1E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6DEA4">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8793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6C8C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405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6106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5FDBB">
            <w:pPr>
              <w:jc w:val="center"/>
            </w:pPr>
          </w:p>
        </w:tc>
      </w:tr>
      <w:tr w14:paraId="5A06B0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CB4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45C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3C4D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5F711">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E556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D3B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449C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948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FFCB3">
            <w:pPr>
              <w:jc w:val="center"/>
            </w:pPr>
          </w:p>
        </w:tc>
      </w:tr>
      <w:tr w14:paraId="66DC87A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3C04F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09B0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E68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6A3E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600BAB"/>
        </w:tc>
      </w:tr>
    </w:tbl>
    <w:p w14:paraId="24CCA07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C8AB7D">
        <w:tblPrEx>
          <w:tblCellMar>
            <w:top w:w="0" w:type="dxa"/>
            <w:left w:w="108" w:type="dxa"/>
            <w:bottom w:w="0" w:type="dxa"/>
            <w:right w:w="108" w:type="dxa"/>
          </w:tblCellMar>
        </w:tblPrEx>
        <w:tc>
          <w:tcPr>
            <w:tcW w:w="8847" w:type="dxa"/>
            <w:gridSpan w:val="9"/>
            <w:vAlign w:val="center"/>
          </w:tcPr>
          <w:p w14:paraId="628BED8E">
            <w:pPr>
              <w:jc w:val="center"/>
            </w:pPr>
            <w:r>
              <w:rPr>
                <w:rFonts w:ascii="宋体" w:hAnsi="宋体" w:eastAsia="宋体"/>
                <w:sz w:val="24"/>
              </w:rPr>
              <w:t>项目支出绩效自评表</w:t>
            </w:r>
          </w:p>
        </w:tc>
      </w:tr>
      <w:tr w14:paraId="14776AF7">
        <w:tblPrEx>
          <w:tblCellMar>
            <w:top w:w="0" w:type="dxa"/>
            <w:left w:w="108" w:type="dxa"/>
            <w:bottom w:w="0" w:type="dxa"/>
            <w:right w:w="108" w:type="dxa"/>
          </w:tblCellMar>
        </w:tblPrEx>
        <w:tc>
          <w:tcPr>
            <w:tcW w:w="8847" w:type="dxa"/>
            <w:gridSpan w:val="9"/>
            <w:vAlign w:val="center"/>
          </w:tcPr>
          <w:p w14:paraId="290A017F">
            <w:pPr>
              <w:jc w:val="center"/>
            </w:pPr>
            <w:r>
              <w:rPr>
                <w:rFonts w:ascii="宋体" w:hAnsi="宋体" w:eastAsia="宋体"/>
                <w:sz w:val="24"/>
              </w:rPr>
              <w:t>(2024年度)</w:t>
            </w:r>
          </w:p>
        </w:tc>
      </w:tr>
      <w:tr w14:paraId="011D6BE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AB3F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A52851">
            <w:pPr>
              <w:jc w:val="center"/>
            </w:pPr>
            <w:r>
              <w:rPr>
                <w:rFonts w:ascii="宋体" w:hAnsi="宋体" w:eastAsia="宋体"/>
                <w:sz w:val="16"/>
              </w:rPr>
              <w:t>疾控中心历年供暖欠费资金（取暖费）-洛财纪字</w:t>
            </w:r>
            <w:r>
              <w:rPr>
                <w:rFonts w:hint="eastAsia" w:ascii="宋体" w:hAnsi="宋体"/>
                <w:sz w:val="16"/>
                <w:lang w:eastAsia="zh-CN"/>
              </w:rPr>
              <w:t>〔2024〕10号</w:t>
            </w:r>
          </w:p>
        </w:tc>
      </w:tr>
      <w:tr w14:paraId="7BEAE2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C53C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A258BB">
            <w:pPr>
              <w:jc w:val="center"/>
            </w:pPr>
            <w:r>
              <w:rPr>
                <w:rFonts w:ascii="宋体" w:hAnsi="宋体" w:eastAsia="宋体"/>
                <w:sz w:val="16"/>
              </w:rPr>
              <w:t>洛浦县维吾尔医医院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DCE3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A27A06">
            <w:pPr>
              <w:jc w:val="center"/>
            </w:pPr>
            <w:r>
              <w:rPr>
                <w:rFonts w:ascii="宋体" w:hAnsi="宋体" w:eastAsia="宋体"/>
                <w:sz w:val="16"/>
              </w:rPr>
              <w:t>洛浦县维吾尔医医院</w:t>
            </w:r>
          </w:p>
        </w:tc>
      </w:tr>
      <w:tr w14:paraId="3AFD12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809C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512F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6447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0ACF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8B5E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46D9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205E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A8247">
            <w:pPr>
              <w:jc w:val="center"/>
            </w:pPr>
            <w:r>
              <w:rPr>
                <w:rFonts w:ascii="宋体" w:hAnsi="宋体" w:eastAsia="宋体"/>
                <w:sz w:val="16"/>
              </w:rPr>
              <w:t>得分</w:t>
            </w:r>
          </w:p>
        </w:tc>
      </w:tr>
      <w:tr w14:paraId="34F2A8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7CDB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2A4F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00730">
            <w:pPr>
              <w:jc w:val="center"/>
            </w:pPr>
            <w:r>
              <w:rPr>
                <w:rFonts w:ascii="宋体" w:hAnsi="宋体" w:eastAsia="宋体"/>
                <w:sz w:val="16"/>
              </w:rPr>
              <w:t>16.14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59DC3">
            <w:pPr>
              <w:jc w:val="center"/>
            </w:pPr>
            <w:r>
              <w:rPr>
                <w:rFonts w:ascii="宋体" w:hAnsi="宋体" w:eastAsia="宋体"/>
                <w:sz w:val="16"/>
              </w:rPr>
              <w:t>16.14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C1DB2">
            <w:pPr>
              <w:jc w:val="center"/>
            </w:pPr>
            <w:r>
              <w:rPr>
                <w:rFonts w:ascii="宋体" w:hAnsi="宋体" w:eastAsia="宋体"/>
                <w:sz w:val="16"/>
              </w:rPr>
              <w:t>16.14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4A7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B1E3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E3DEF">
            <w:pPr>
              <w:jc w:val="center"/>
            </w:pPr>
            <w:r>
              <w:rPr>
                <w:rFonts w:ascii="宋体" w:hAnsi="宋体" w:eastAsia="宋体"/>
                <w:sz w:val="16"/>
              </w:rPr>
              <w:t>10.00分</w:t>
            </w:r>
          </w:p>
        </w:tc>
      </w:tr>
      <w:tr w14:paraId="6AE95C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8D48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2BD4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0FDED">
            <w:pPr>
              <w:jc w:val="center"/>
            </w:pPr>
            <w:r>
              <w:rPr>
                <w:rFonts w:ascii="宋体" w:hAnsi="宋体" w:eastAsia="宋体"/>
                <w:sz w:val="16"/>
              </w:rPr>
              <w:t>16.14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7FDED">
            <w:pPr>
              <w:jc w:val="center"/>
            </w:pPr>
            <w:r>
              <w:rPr>
                <w:rFonts w:ascii="宋体" w:hAnsi="宋体" w:eastAsia="宋体"/>
                <w:sz w:val="16"/>
              </w:rPr>
              <w:t>16.14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8BDD8">
            <w:pPr>
              <w:jc w:val="center"/>
            </w:pPr>
            <w:r>
              <w:rPr>
                <w:rFonts w:ascii="宋体" w:hAnsi="宋体" w:eastAsia="宋体"/>
                <w:sz w:val="16"/>
              </w:rPr>
              <w:t>16.14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C23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19E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A47BD">
            <w:pPr>
              <w:jc w:val="center"/>
            </w:pPr>
            <w:r>
              <w:rPr>
                <w:rFonts w:ascii="宋体" w:hAnsi="宋体" w:eastAsia="宋体"/>
                <w:sz w:val="16"/>
              </w:rPr>
              <w:t>—</w:t>
            </w:r>
          </w:p>
        </w:tc>
      </w:tr>
      <w:tr w14:paraId="4F9AF3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3C0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7CDD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B4E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EC1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EA7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0FB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8CB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B6E15">
            <w:pPr>
              <w:jc w:val="center"/>
            </w:pPr>
            <w:r>
              <w:rPr>
                <w:rFonts w:ascii="宋体" w:hAnsi="宋体" w:eastAsia="宋体"/>
                <w:sz w:val="16"/>
              </w:rPr>
              <w:t>—</w:t>
            </w:r>
          </w:p>
        </w:tc>
      </w:tr>
      <w:tr w14:paraId="05A7AC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E7C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58AA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2BC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3BA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FA0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3F3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4EC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3A59E">
            <w:pPr>
              <w:jc w:val="center"/>
            </w:pPr>
            <w:r>
              <w:rPr>
                <w:rFonts w:ascii="宋体" w:hAnsi="宋体" w:eastAsia="宋体"/>
                <w:sz w:val="16"/>
              </w:rPr>
              <w:t>—</w:t>
            </w:r>
          </w:p>
        </w:tc>
      </w:tr>
      <w:tr w14:paraId="20190F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9EF6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11F39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C5E4E7">
            <w:pPr>
              <w:jc w:val="center"/>
            </w:pPr>
            <w:r>
              <w:rPr>
                <w:rFonts w:ascii="宋体" w:hAnsi="宋体" w:eastAsia="宋体"/>
                <w:sz w:val="16"/>
              </w:rPr>
              <w:t>实际完成情况</w:t>
            </w:r>
          </w:p>
        </w:tc>
      </w:tr>
      <w:tr w14:paraId="5AE267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090A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3578C7">
            <w:pPr>
              <w:jc w:val="both"/>
            </w:pPr>
            <w:r>
              <w:rPr>
                <w:rFonts w:ascii="宋体" w:hAnsi="宋体" w:eastAsia="宋体"/>
                <w:sz w:val="16"/>
              </w:rPr>
              <w:t>按照洛财纪字</w:t>
            </w:r>
            <w:r>
              <w:rPr>
                <w:rFonts w:hint="eastAsia" w:ascii="宋体" w:hAnsi="宋体"/>
                <w:sz w:val="16"/>
                <w:lang w:eastAsia="zh-CN"/>
              </w:rPr>
              <w:t>〔2024〕10号</w:t>
            </w:r>
            <w:r>
              <w:rPr>
                <w:rFonts w:ascii="宋体" w:hAnsi="宋体" w:eastAsia="宋体"/>
                <w:sz w:val="16"/>
              </w:rPr>
              <w:t>文件要求，支付历年供暖欠款，恢复正常供暖。通过项目的实施，提高工作人员工作效率和满意度。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3A900F">
            <w:pPr>
              <w:jc w:val="both"/>
            </w:pPr>
            <w:r>
              <w:rPr>
                <w:rFonts w:ascii="宋体" w:hAnsi="宋体" w:eastAsia="宋体"/>
                <w:sz w:val="16"/>
              </w:rPr>
              <w:t>支付历年供暖欠款，恢复正常供暖。通过项目的实施，提高工作人员工作效率和满意度。</w:t>
            </w:r>
          </w:p>
        </w:tc>
      </w:tr>
      <w:tr w14:paraId="43C767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42886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123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8942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B7C7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C1AE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248E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7DC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E61D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5BFDD">
            <w:pPr>
              <w:jc w:val="center"/>
            </w:pPr>
            <w:r>
              <w:rPr>
                <w:rFonts w:ascii="宋体" w:hAnsi="宋体" w:eastAsia="宋体"/>
                <w:sz w:val="16"/>
              </w:rPr>
              <w:t>偏差原因分析及改进措施</w:t>
            </w:r>
          </w:p>
        </w:tc>
      </w:tr>
      <w:tr w14:paraId="65774E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9E95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BE38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D5C6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A1B4B">
            <w:pPr>
              <w:jc w:val="center"/>
            </w:pPr>
            <w:r>
              <w:rPr>
                <w:rFonts w:ascii="宋体" w:hAnsi="宋体" w:eastAsia="宋体"/>
                <w:sz w:val="16"/>
              </w:rPr>
              <w:t>供暖欠费年数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CE9D7">
            <w:pPr>
              <w:jc w:val="center"/>
            </w:pPr>
            <w:r>
              <w:rPr>
                <w:rFonts w:ascii="宋体" w:hAnsi="宋体" w:eastAsia="宋体"/>
                <w:sz w:val="16"/>
              </w:rPr>
              <w:t>=3年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3577F">
            <w:pPr>
              <w:jc w:val="center"/>
            </w:pPr>
            <w:r>
              <w:rPr>
                <w:rFonts w:ascii="宋体" w:hAnsi="宋体" w:eastAsia="宋体"/>
                <w:sz w:val="16"/>
              </w:rPr>
              <w:t>=3年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028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E0A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17C9A">
            <w:pPr>
              <w:jc w:val="center"/>
            </w:pPr>
          </w:p>
        </w:tc>
      </w:tr>
      <w:tr w14:paraId="15B990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0E06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CBB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26F6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4B62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C33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1D1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1F2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4D9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66DD7">
            <w:pPr>
              <w:jc w:val="center"/>
            </w:pPr>
          </w:p>
        </w:tc>
      </w:tr>
      <w:tr w14:paraId="3CAD0A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97F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650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82E5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822F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67C6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F45D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E30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DB5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8E035">
            <w:pPr>
              <w:jc w:val="center"/>
            </w:pPr>
          </w:p>
        </w:tc>
      </w:tr>
      <w:tr w14:paraId="740534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039C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CE6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5F60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C44F2">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354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B85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A96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E1D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32910">
            <w:pPr>
              <w:jc w:val="center"/>
            </w:pPr>
          </w:p>
        </w:tc>
      </w:tr>
      <w:tr w14:paraId="3CF5B9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D8B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7F32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0DFA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34B2B">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5FF8">
            <w:pPr>
              <w:jc w:val="center"/>
            </w:pPr>
            <w:r>
              <w:rPr>
                <w:rFonts w:ascii="宋体" w:hAnsi="宋体" w:eastAsia="宋体"/>
                <w:sz w:val="16"/>
              </w:rPr>
              <w:t>&lt;=16.14万元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984BC">
            <w:pPr>
              <w:jc w:val="center"/>
            </w:pPr>
            <w:r>
              <w:rPr>
                <w:rFonts w:ascii="宋体" w:hAnsi="宋体" w:eastAsia="宋体"/>
                <w:sz w:val="16"/>
              </w:rPr>
              <w:t>=16.14万元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AA0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EFE7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439DF">
            <w:pPr>
              <w:jc w:val="center"/>
            </w:pPr>
          </w:p>
        </w:tc>
      </w:tr>
      <w:tr w14:paraId="67D143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128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E5D0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EFE2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783A1">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59B2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2DFC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5C5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6DB5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C2F8D">
            <w:pPr>
              <w:jc w:val="center"/>
            </w:pPr>
          </w:p>
        </w:tc>
      </w:tr>
      <w:tr w14:paraId="58AD9E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00F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76C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7B55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D071C">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44FD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502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F31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C42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0A859">
            <w:pPr>
              <w:jc w:val="center"/>
            </w:pPr>
          </w:p>
        </w:tc>
      </w:tr>
      <w:tr w14:paraId="4A1C73D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90050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73B73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A99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556C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C6E43FB"/>
        </w:tc>
      </w:tr>
    </w:tbl>
    <w:p w14:paraId="0703D03B">
      <w:r>
        <w:br w:type="page"/>
      </w:r>
    </w:p>
    <w:p w14:paraId="1850D0D8">
      <w:pPr>
        <w:spacing w:line="640" w:lineRule="exact"/>
        <w:ind w:firstLine="640"/>
        <w:jc w:val="both"/>
        <w:outlineLvl w:val="2"/>
      </w:pPr>
      <w:r>
        <w:rPr>
          <w:rFonts w:ascii="黑体" w:hAnsi="黑体" w:eastAsia="黑体"/>
          <w:sz w:val="32"/>
        </w:rPr>
        <w:t>十二、其他需说明的事项</w:t>
      </w:r>
    </w:p>
    <w:p w14:paraId="2B194566">
      <w:pPr>
        <w:spacing w:line="580" w:lineRule="exact"/>
        <w:ind w:firstLine="640"/>
        <w:jc w:val="both"/>
      </w:pPr>
      <w:r>
        <w:rPr>
          <w:rFonts w:ascii="仿宋_GB2312" w:hAnsi="仿宋_GB2312" w:eastAsia="仿宋_GB2312"/>
          <w:b w:val="0"/>
          <w:sz w:val="32"/>
        </w:rPr>
        <w:t>本年本单位SM项目1个，全年预算数26.18万元，全年执行数26.18万元。</w:t>
      </w:r>
    </w:p>
    <w:p w14:paraId="1B479EF5">
      <w:r>
        <w:br w:type="page"/>
      </w:r>
    </w:p>
    <w:p w14:paraId="3A25B2E1">
      <w:pPr>
        <w:spacing w:line="240" w:lineRule="auto"/>
        <w:jc w:val="center"/>
        <w:outlineLvl w:val="1"/>
      </w:pPr>
      <w:r>
        <w:rPr>
          <w:rFonts w:ascii="黑体" w:hAnsi="黑体" w:eastAsia="黑体"/>
          <w:sz w:val="32"/>
        </w:rPr>
        <w:t>第三部分 专业名词解释</w:t>
      </w:r>
    </w:p>
    <w:p w14:paraId="5E71BFF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92C747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E36CD6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830619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3C6C9A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CD57AE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410A9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701B78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CC64F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9E2BEC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F74ACF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8B9DA0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F4A06C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1BE23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37FE123">
      <w:r>
        <w:br w:type="page"/>
      </w:r>
    </w:p>
    <w:p w14:paraId="219BB23F">
      <w:pPr>
        <w:spacing w:line="240" w:lineRule="auto"/>
        <w:jc w:val="center"/>
        <w:outlineLvl w:val="1"/>
      </w:pPr>
      <w:r>
        <w:rPr>
          <w:rFonts w:ascii="黑体" w:hAnsi="黑体" w:eastAsia="黑体"/>
          <w:sz w:val="32"/>
        </w:rPr>
        <w:t>第四部分 部门决算报表（见附表）</w:t>
      </w:r>
    </w:p>
    <w:p w14:paraId="5BF96F70">
      <w:pPr>
        <w:spacing w:line="240" w:lineRule="auto"/>
        <w:ind w:firstLine="640"/>
        <w:jc w:val="both"/>
      </w:pPr>
      <w:r>
        <w:rPr>
          <w:rFonts w:ascii="仿宋_GB2312" w:hAnsi="仿宋_GB2312" w:eastAsia="仿宋_GB2312"/>
          <w:b w:val="0"/>
          <w:sz w:val="32"/>
        </w:rPr>
        <w:t>一、《收入支出决算总表》</w:t>
      </w:r>
    </w:p>
    <w:p w14:paraId="35345EA3">
      <w:pPr>
        <w:spacing w:line="240" w:lineRule="auto"/>
        <w:ind w:firstLine="640"/>
        <w:jc w:val="both"/>
      </w:pPr>
      <w:r>
        <w:rPr>
          <w:rFonts w:ascii="仿宋_GB2312" w:hAnsi="仿宋_GB2312" w:eastAsia="仿宋_GB2312"/>
          <w:b w:val="0"/>
          <w:sz w:val="32"/>
        </w:rPr>
        <w:t>二、《收入决算表》</w:t>
      </w:r>
    </w:p>
    <w:p w14:paraId="1A8DBC25">
      <w:pPr>
        <w:spacing w:line="240" w:lineRule="auto"/>
        <w:ind w:firstLine="640"/>
        <w:jc w:val="both"/>
      </w:pPr>
      <w:r>
        <w:rPr>
          <w:rFonts w:ascii="仿宋_GB2312" w:hAnsi="仿宋_GB2312" w:eastAsia="仿宋_GB2312"/>
          <w:b w:val="0"/>
          <w:sz w:val="32"/>
        </w:rPr>
        <w:t>三、《支出决算表》</w:t>
      </w:r>
    </w:p>
    <w:p w14:paraId="4C1F5AB1">
      <w:pPr>
        <w:spacing w:line="240" w:lineRule="auto"/>
        <w:ind w:firstLine="640"/>
        <w:jc w:val="both"/>
      </w:pPr>
      <w:r>
        <w:rPr>
          <w:rFonts w:ascii="仿宋_GB2312" w:hAnsi="仿宋_GB2312" w:eastAsia="仿宋_GB2312"/>
          <w:b w:val="0"/>
          <w:sz w:val="32"/>
        </w:rPr>
        <w:t>四、《财政拨款收入支出决算总表》</w:t>
      </w:r>
    </w:p>
    <w:p w14:paraId="1360A0C3">
      <w:pPr>
        <w:spacing w:line="240" w:lineRule="auto"/>
        <w:ind w:firstLine="640"/>
        <w:jc w:val="both"/>
      </w:pPr>
      <w:r>
        <w:rPr>
          <w:rFonts w:ascii="仿宋_GB2312" w:hAnsi="仿宋_GB2312" w:eastAsia="仿宋_GB2312"/>
          <w:b w:val="0"/>
          <w:sz w:val="32"/>
        </w:rPr>
        <w:t>五、《一般公共预算财政拨款支出决算表》</w:t>
      </w:r>
    </w:p>
    <w:p w14:paraId="15A62290">
      <w:pPr>
        <w:spacing w:line="240" w:lineRule="auto"/>
        <w:ind w:firstLine="640"/>
        <w:jc w:val="both"/>
      </w:pPr>
      <w:r>
        <w:rPr>
          <w:rFonts w:ascii="仿宋_GB2312" w:hAnsi="仿宋_GB2312" w:eastAsia="仿宋_GB2312"/>
          <w:b w:val="0"/>
          <w:sz w:val="32"/>
        </w:rPr>
        <w:t>六、《一般公共预算财政拨款基本支出决算表》</w:t>
      </w:r>
    </w:p>
    <w:p w14:paraId="763B8CEC">
      <w:pPr>
        <w:spacing w:line="240" w:lineRule="auto"/>
        <w:ind w:firstLine="640"/>
        <w:jc w:val="both"/>
      </w:pPr>
      <w:r>
        <w:rPr>
          <w:rFonts w:ascii="仿宋_GB2312" w:hAnsi="仿宋_GB2312" w:eastAsia="仿宋_GB2312"/>
          <w:b w:val="0"/>
          <w:sz w:val="32"/>
        </w:rPr>
        <w:t>七、《政府性基金预算财政拨款收入支出决算表》</w:t>
      </w:r>
    </w:p>
    <w:p w14:paraId="00B5612F">
      <w:pPr>
        <w:spacing w:line="240" w:lineRule="auto"/>
        <w:ind w:firstLine="640"/>
        <w:jc w:val="both"/>
      </w:pPr>
      <w:r>
        <w:rPr>
          <w:rFonts w:ascii="仿宋_GB2312" w:hAnsi="仿宋_GB2312" w:eastAsia="仿宋_GB2312"/>
          <w:b w:val="0"/>
          <w:sz w:val="32"/>
        </w:rPr>
        <w:t>八、《国有资本经营预算财政拨款收入支出决算表》</w:t>
      </w:r>
    </w:p>
    <w:p w14:paraId="38A487F8">
      <w:pPr>
        <w:spacing w:line="240" w:lineRule="auto"/>
        <w:ind w:firstLine="640"/>
        <w:jc w:val="both"/>
      </w:pPr>
      <w:r>
        <w:rPr>
          <w:rFonts w:ascii="仿宋_GB2312" w:hAnsi="仿宋_GB2312" w:eastAsia="仿宋_GB2312"/>
          <w:b w:val="0"/>
          <w:sz w:val="32"/>
        </w:rPr>
        <w:t>九、《财政拨款“三公”经费支出决算表》</w:t>
      </w:r>
    </w:p>
    <w:p w14:paraId="313F67FF">
      <w:pPr>
        <w:spacing w:line="240" w:lineRule="auto"/>
        <w:ind w:firstLine="640"/>
        <w:jc w:val="both"/>
      </w:pPr>
    </w:p>
    <w:p w14:paraId="664121C9">
      <w:pPr>
        <w:spacing w:line="240" w:lineRule="auto"/>
        <w:ind w:firstLine="640"/>
        <w:jc w:val="both"/>
      </w:pPr>
    </w:p>
    <w:p w14:paraId="34997162">
      <w:pPr>
        <w:spacing w:line="240" w:lineRule="auto"/>
        <w:ind w:firstLine="640"/>
        <w:jc w:val="both"/>
      </w:pPr>
    </w:p>
    <w:p w14:paraId="3AE2B60E">
      <w:pPr>
        <w:spacing w:line="240" w:lineRule="auto"/>
        <w:ind w:firstLine="640"/>
        <w:jc w:val="both"/>
      </w:pPr>
    </w:p>
    <w:p w14:paraId="6D3628B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6DC813-40E6-4403-84A0-D1843256A40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F6DAB35-7EA3-446F-8D52-6B6988A0B56B}"/>
  </w:font>
  <w:font w:name="仿宋_GB2312">
    <w:panose1 w:val="02010609030101010101"/>
    <w:charset w:val="86"/>
    <w:family w:val="modern"/>
    <w:pitch w:val="default"/>
    <w:sig w:usb0="00000001" w:usb1="080E0000" w:usb2="00000000" w:usb3="00000000" w:csb0="00040000" w:csb1="00000000"/>
    <w:embedRegular r:id="rId3" w:fontKey="{812FAFE4-4109-4357-BA24-3B80DC4AEA17}"/>
  </w:font>
  <w:font w:name="楷体_GB2312">
    <w:panose1 w:val="02010609030101010101"/>
    <w:charset w:val="86"/>
    <w:family w:val="auto"/>
    <w:pitch w:val="default"/>
    <w:sig w:usb0="00000001" w:usb1="080E0000" w:usb2="00000000" w:usb3="00000000" w:csb0="00040000" w:csb1="00000000"/>
    <w:embedRegular r:id="rId4" w:fontKey="{CA7B2659-671D-442C-B118-F4844EAC864F}"/>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665902"/>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E10366"/>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785</Words>
  <Characters>791</Characters>
  <Lines>0</Lines>
  <Paragraphs>0</Paragraphs>
  <TotalTime>7</TotalTime>
  <ScaleCrop>false</ScaleCrop>
  <LinksUpToDate>false</LinksUpToDate>
  <CharactersWithSpaces>798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2025-09-17T09:31:36Z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