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B71D5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洛浦县统计局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4613161">
      <w:r>
        <w:br w:type="page"/>
      </w:r>
    </w:p>
    <w:p w14:paraId="02A48CCD">
      <w:pPr>
        <w:spacing w:line="640" w:lineRule="exact"/>
        <w:jc w:val="center"/>
        <w:outlineLvl w:val="1"/>
      </w:pPr>
      <w:r>
        <w:rPr>
          <w:rFonts w:ascii="黑体" w:hAnsi="黑体" w:eastAsia="黑体"/>
          <w:sz w:val="32"/>
        </w:rPr>
        <w:t>第一部分 单位概况</w:t>
      </w:r>
    </w:p>
    <w:p w14:paraId="2D54C1AE">
      <w:pPr>
        <w:spacing w:line="640" w:lineRule="exact"/>
        <w:ind w:firstLine="640"/>
        <w:jc w:val="both"/>
        <w:outlineLvl w:val="2"/>
      </w:pPr>
      <w:r>
        <w:rPr>
          <w:rFonts w:ascii="黑体" w:hAnsi="黑体" w:eastAsia="黑体"/>
          <w:sz w:val="32"/>
        </w:rPr>
        <w:t>一、主要职能</w:t>
      </w:r>
    </w:p>
    <w:p w14:paraId="102E3561">
      <w:pPr>
        <w:spacing w:line="580" w:lineRule="exact"/>
        <w:ind w:firstLine="640"/>
        <w:jc w:val="both"/>
      </w:pPr>
      <w:r>
        <w:rPr>
          <w:rFonts w:ascii="仿宋_GB2312" w:hAnsi="仿宋_GB2312" w:eastAsia="仿宋_GB2312"/>
          <w:sz w:val="32"/>
        </w:rPr>
        <w:t>（1）组织领导和统一协调全县统计工作，确保统计数据真实、准确及时；依照国家和自治区的法律、法规、政策拟订地方性规章草案，制定部门规范性文件，并监督检查执行情况。</w:t>
      </w:r>
    </w:p>
    <w:p w14:paraId="3628B402">
      <w:pPr>
        <w:spacing w:line="580" w:lineRule="exact"/>
        <w:ind w:firstLine="640"/>
        <w:jc w:val="both"/>
      </w:pPr>
      <w:r>
        <w:rPr>
          <w:rFonts w:ascii="仿宋_GB2312" w:hAnsi="仿宋_GB2312" w:eastAsia="仿宋_GB2312"/>
          <w:sz w:val="32"/>
        </w:rPr>
        <w:t>（2）负责《</w:t>
      </w:r>
      <w:r>
        <w:rPr>
          <w:rFonts w:hint="eastAsia" w:ascii="仿宋_GB2312" w:hAnsi="仿宋_GB2312" w:eastAsia="仿宋_GB2312"/>
          <w:sz w:val="32"/>
          <w:lang w:eastAsia="zh-CN"/>
        </w:rPr>
        <w:t>中华人民共和国统计法》《</w:t>
      </w:r>
      <w:r>
        <w:rPr>
          <w:rFonts w:ascii="仿宋_GB2312" w:hAnsi="仿宋_GB2312" w:eastAsia="仿宋_GB2312"/>
          <w:sz w:val="32"/>
        </w:rPr>
        <w:t>统计违法违纪行为处分规定》贯彻执行情况的监督管理；负责对提供不真实统计资料和不配合统计调查等统计违法违纪案件的调查、立案和查处工作。</w:t>
      </w:r>
    </w:p>
    <w:p w14:paraId="1AE9D104">
      <w:pPr>
        <w:spacing w:line="580" w:lineRule="exact"/>
        <w:ind w:firstLine="640"/>
        <w:jc w:val="both"/>
      </w:pPr>
      <w:r>
        <w:rPr>
          <w:rFonts w:ascii="仿宋_GB2312" w:hAnsi="仿宋_GB2312" w:eastAsia="仿宋_GB2312"/>
          <w:sz w:val="32"/>
        </w:rPr>
        <w:t>（3）建立健全全县国民经济核算体系；组织实施全县国民经济核算制度和投入产出调查；核算全县生产总值，汇编提供国民经济核算资料工作。</w:t>
      </w:r>
    </w:p>
    <w:p w14:paraId="37ED91AC">
      <w:pPr>
        <w:spacing w:line="580" w:lineRule="exact"/>
        <w:ind w:firstLine="640"/>
        <w:jc w:val="both"/>
      </w:pPr>
      <w:r>
        <w:rPr>
          <w:rFonts w:ascii="仿宋_GB2312" w:hAnsi="仿宋_GB2312" w:eastAsia="仿宋_GB2312"/>
          <w:sz w:val="32"/>
        </w:rPr>
        <w:t>（4）按照国家、自治区和地区的要求，会同有关部门拟订重大国情国力普查计划、方案；组织实施全县人口、经济、农业等国情国力普查和重大专项调查；汇总、整理和提供有关国情国力、区情区力方面的统计数据。</w:t>
      </w:r>
    </w:p>
    <w:p w14:paraId="3955BADC">
      <w:pPr>
        <w:spacing w:line="580" w:lineRule="exact"/>
        <w:ind w:firstLine="640"/>
        <w:jc w:val="both"/>
      </w:pPr>
      <w:r>
        <w:rPr>
          <w:rFonts w:ascii="仿宋_GB2312" w:hAnsi="仿宋_GB2312" w:eastAsia="仿宋_GB2312"/>
          <w:sz w:val="32"/>
        </w:rPr>
        <w:t>（5）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等统计调查，收集、汇总、整理和提供有关调查的统计数据，综合整理和提供旅游、交通运输、邮政、教育、卫生、社会保障、公用事业等全县性基本统计数据。</w:t>
      </w:r>
    </w:p>
    <w:p w14:paraId="2F00C696">
      <w:pPr>
        <w:spacing w:line="580" w:lineRule="exact"/>
        <w:ind w:firstLine="640"/>
        <w:jc w:val="both"/>
      </w:pPr>
      <w:r>
        <w:rPr>
          <w:rFonts w:ascii="仿宋_GB2312" w:hAnsi="仿宋_GB2312" w:eastAsia="仿宋_GB2312"/>
          <w:sz w:val="32"/>
        </w:rPr>
        <w:t>（6）组织实施能源、投资、消费、科技、人口、劳动力、社会发展基本情况、环境基本状况等统计调查，收集、汇总、整理和提供有关调查的统计数据，综合整理和提供资源环境、城乡建设、对外经济等全县性基本统计数据。</w:t>
      </w:r>
    </w:p>
    <w:p w14:paraId="0787C92D">
      <w:pPr>
        <w:spacing w:line="580" w:lineRule="exact"/>
        <w:ind w:firstLine="640"/>
        <w:jc w:val="both"/>
      </w:pPr>
      <w:r>
        <w:rPr>
          <w:rFonts w:ascii="仿宋_GB2312" w:hAnsi="仿宋_GB2312" w:eastAsia="仿宋_GB2312"/>
          <w:sz w:val="32"/>
        </w:rPr>
        <w:t>（7）组织各乡（镇）、行署各部门的经济、社会、科技和资源环境统计调查，统一核定、管理、公布全县性基本统计资料，定期发布全县国民经济和社会发展情况的统计信息，组织建立服务业统计信息管理、共享和发布制度。</w:t>
      </w:r>
    </w:p>
    <w:p w14:paraId="74A086A3">
      <w:pPr>
        <w:spacing w:line="580" w:lineRule="exact"/>
        <w:ind w:firstLine="640"/>
        <w:jc w:val="both"/>
      </w:pPr>
      <w:r>
        <w:rPr>
          <w:rFonts w:ascii="仿宋_GB2312" w:hAnsi="仿宋_GB2312" w:eastAsia="仿宋_GB2312"/>
          <w:sz w:val="32"/>
        </w:rPr>
        <w:t>（8）对国民经济、社会发展、科技进步和资源环境等情况进行统计调查、统计分析和统计监督，向县委、县人民政府及有关部门提供统计信息和咨询建议。</w:t>
      </w:r>
    </w:p>
    <w:p w14:paraId="15CA53B1">
      <w:pPr>
        <w:spacing w:line="580" w:lineRule="exact"/>
        <w:ind w:firstLine="640"/>
        <w:jc w:val="both"/>
      </w:pPr>
      <w:r>
        <w:rPr>
          <w:rFonts w:ascii="仿宋_GB2312" w:hAnsi="仿宋_GB2312" w:eastAsia="仿宋_GB2312"/>
          <w:sz w:val="32"/>
        </w:rPr>
        <w:t>（9）贯彻落实全国基本统计制度和国家统计标准；依法审批或备案各乡（镇）、县直各部门统计调查项目；审批部门统计调查计划、调查方案；指导专业统计基础工作、统计基层业务基础建设；组织建立统计信息管理制度，建立健全统计数据质量审核、监控和评估制度，开展对重要统计数据的审核、监控和评估，依法监督管理涉外调查活动。</w:t>
      </w:r>
    </w:p>
    <w:p w14:paraId="5076BB6B">
      <w:pPr>
        <w:spacing w:line="580" w:lineRule="exact"/>
        <w:ind w:firstLine="640"/>
        <w:jc w:val="both"/>
      </w:pPr>
      <w:r>
        <w:rPr>
          <w:rFonts w:ascii="仿宋_GB2312" w:hAnsi="仿宋_GB2312" w:eastAsia="仿宋_GB2312"/>
          <w:sz w:val="32"/>
        </w:rPr>
        <w:t>（10）组织开展统计信息自动化建设，建立健全统计信息自动化系统。</w:t>
      </w:r>
    </w:p>
    <w:p w14:paraId="50B7FCC5">
      <w:pPr>
        <w:spacing w:line="580" w:lineRule="exact"/>
        <w:ind w:firstLine="640"/>
        <w:jc w:val="both"/>
      </w:pPr>
      <w:r>
        <w:rPr>
          <w:rFonts w:ascii="仿宋_GB2312" w:hAnsi="仿宋_GB2312" w:eastAsia="仿宋_GB2312"/>
          <w:sz w:val="32"/>
        </w:rPr>
        <w:t>（11）负责组织城镇住户、劳动力、群众安全感、1%人口抽样等各项抽样调查工作。</w:t>
      </w:r>
    </w:p>
    <w:p w14:paraId="3749C68D">
      <w:pPr>
        <w:spacing w:line="580" w:lineRule="exact"/>
        <w:ind w:firstLine="640"/>
        <w:jc w:val="both"/>
      </w:pPr>
      <w:r>
        <w:rPr>
          <w:rFonts w:ascii="仿宋_GB2312" w:hAnsi="仿宋_GB2312" w:eastAsia="仿宋_GB2312"/>
          <w:sz w:val="32"/>
        </w:rPr>
        <w:t>（12）承办县委、县人民政府及上级业务部门交办的其他事项。</w:t>
      </w:r>
    </w:p>
    <w:p w14:paraId="63C43A54">
      <w:pPr>
        <w:spacing w:line="640" w:lineRule="exact"/>
        <w:ind w:firstLine="640"/>
        <w:jc w:val="both"/>
        <w:outlineLvl w:val="2"/>
      </w:pPr>
      <w:r>
        <w:rPr>
          <w:rFonts w:ascii="黑体" w:hAnsi="黑体" w:eastAsia="黑体"/>
          <w:sz w:val="32"/>
        </w:rPr>
        <w:t>二、机构设置及人员情况</w:t>
      </w:r>
    </w:p>
    <w:p w14:paraId="618CDFC8">
      <w:pPr>
        <w:spacing w:line="580" w:lineRule="exact"/>
        <w:ind w:firstLine="640"/>
        <w:jc w:val="both"/>
      </w:pPr>
      <w:r>
        <w:rPr>
          <w:rFonts w:ascii="仿宋_GB2312" w:hAnsi="仿宋_GB2312" w:eastAsia="仿宋_GB2312"/>
          <w:sz w:val="32"/>
        </w:rPr>
        <w:t>洛浦县统计局2024年度，实有人数14人，其中：在职人员10人，增加0人；离休人员0人，增加0人；退休人员4人,增加0人。</w:t>
      </w:r>
    </w:p>
    <w:p w14:paraId="0467BE2F">
      <w:pPr>
        <w:spacing w:line="580" w:lineRule="exact"/>
        <w:ind w:firstLine="640"/>
        <w:jc w:val="both"/>
      </w:pPr>
      <w:r>
        <w:rPr>
          <w:rFonts w:ascii="仿宋_GB2312" w:hAnsi="仿宋_GB2312" w:eastAsia="仿宋_GB2312"/>
          <w:sz w:val="32"/>
        </w:rPr>
        <w:t>洛浦县统计局无下属预算单位，下设4个科室，分别是：办公室、综合科、工业科、财务室。</w:t>
      </w:r>
    </w:p>
    <w:p w14:paraId="4D3C1584">
      <w:r>
        <w:br w:type="page"/>
      </w:r>
    </w:p>
    <w:p w14:paraId="4356C316">
      <w:pPr>
        <w:spacing w:line="240" w:lineRule="auto"/>
        <w:jc w:val="center"/>
        <w:outlineLvl w:val="1"/>
      </w:pPr>
      <w:r>
        <w:rPr>
          <w:rFonts w:ascii="黑体" w:hAnsi="黑体" w:eastAsia="黑体"/>
          <w:sz w:val="32"/>
        </w:rPr>
        <w:t>第二部分 部门决算情况说明</w:t>
      </w:r>
    </w:p>
    <w:p w14:paraId="0BCE91FD">
      <w:pPr>
        <w:spacing w:line="640" w:lineRule="exact"/>
        <w:ind w:firstLine="640"/>
        <w:jc w:val="both"/>
        <w:outlineLvl w:val="2"/>
      </w:pPr>
      <w:r>
        <w:rPr>
          <w:rFonts w:ascii="黑体" w:hAnsi="黑体" w:eastAsia="黑体"/>
          <w:sz w:val="32"/>
        </w:rPr>
        <w:t>一、收入支出决算总体情况说明</w:t>
      </w:r>
    </w:p>
    <w:p w14:paraId="618DF316">
      <w:pPr>
        <w:spacing w:line="580" w:lineRule="exact"/>
        <w:ind w:firstLine="640"/>
        <w:jc w:val="both"/>
      </w:pPr>
      <w:r>
        <w:rPr>
          <w:rFonts w:ascii="仿宋_GB2312" w:hAnsi="仿宋_GB2312" w:eastAsia="仿宋_GB2312"/>
          <w:b/>
          <w:sz w:val="32"/>
        </w:rPr>
        <w:t>2024年度收入总计304.06万元，</w:t>
      </w:r>
      <w:r>
        <w:rPr>
          <w:rFonts w:ascii="仿宋_GB2312" w:hAnsi="仿宋_GB2312" w:eastAsia="仿宋_GB2312"/>
          <w:b w:val="0"/>
          <w:sz w:val="32"/>
        </w:rPr>
        <w:t>其中：本年收入合计304.06万元，使用非财政拨款结余（含专用结余）0.00万元，年初结转和结余0.00万元。</w:t>
      </w:r>
    </w:p>
    <w:p w14:paraId="59EB83C0">
      <w:pPr>
        <w:spacing w:line="580" w:lineRule="exact"/>
        <w:ind w:firstLine="640"/>
        <w:jc w:val="both"/>
      </w:pPr>
      <w:r>
        <w:rPr>
          <w:rFonts w:ascii="仿宋_GB2312" w:hAnsi="仿宋_GB2312" w:eastAsia="仿宋_GB2312"/>
          <w:b/>
          <w:sz w:val="32"/>
        </w:rPr>
        <w:t>2024年度支出总计304.06万元，</w:t>
      </w:r>
      <w:r>
        <w:rPr>
          <w:rFonts w:ascii="仿宋_GB2312" w:hAnsi="仿宋_GB2312" w:eastAsia="仿宋_GB2312"/>
          <w:b w:val="0"/>
          <w:sz w:val="32"/>
        </w:rPr>
        <w:t>其中：本年支出合计303.74万元，结余分配0.00万元，年末结转和结余0.32万元。</w:t>
      </w:r>
    </w:p>
    <w:p w14:paraId="6D83DAF8">
      <w:pPr>
        <w:spacing w:line="580" w:lineRule="exact"/>
        <w:ind w:firstLine="640"/>
        <w:jc w:val="both"/>
      </w:pPr>
      <w:r>
        <w:rPr>
          <w:rFonts w:ascii="仿宋_GB2312" w:hAnsi="仿宋_GB2312" w:eastAsia="仿宋_GB2312"/>
          <w:b w:val="0"/>
          <w:sz w:val="32"/>
        </w:rPr>
        <w:t>收入支出总体与上年相比，增加28.38万元，增长10.29%，主要原因是：本年增加2024年城乡居民可支配收入调查工作、自治区第五次全国经济普查、为民办实事等项目经费，导致相关经费增加。</w:t>
      </w:r>
    </w:p>
    <w:p w14:paraId="3F683336">
      <w:pPr>
        <w:spacing w:line="640" w:lineRule="exact"/>
        <w:ind w:firstLine="640"/>
        <w:jc w:val="both"/>
        <w:outlineLvl w:val="2"/>
      </w:pPr>
      <w:r>
        <w:rPr>
          <w:rFonts w:ascii="黑体" w:hAnsi="黑体" w:eastAsia="黑体"/>
          <w:sz w:val="32"/>
        </w:rPr>
        <w:t>二、收入决算情况说明</w:t>
      </w:r>
    </w:p>
    <w:p w14:paraId="09DBCB75">
      <w:pPr>
        <w:spacing w:line="580" w:lineRule="exact"/>
        <w:ind w:firstLine="640"/>
        <w:jc w:val="both"/>
      </w:pPr>
      <w:r>
        <w:rPr>
          <w:rFonts w:ascii="仿宋_GB2312" w:hAnsi="仿宋_GB2312" w:eastAsia="仿宋_GB2312"/>
          <w:b/>
          <w:sz w:val="32"/>
        </w:rPr>
        <w:t>本年收入304.06万元，</w:t>
      </w:r>
      <w:r>
        <w:rPr>
          <w:rFonts w:ascii="仿宋_GB2312" w:hAnsi="仿宋_GB2312" w:eastAsia="仿宋_GB2312"/>
          <w:b w:val="0"/>
          <w:sz w:val="32"/>
        </w:rPr>
        <w:t>其中：财政拨款收入297.81万元，占97.94%；上级补助收入0.00万元，占0.00%；事业收入0.00万元，占0.00%；经营收入0.00万元，占0.00%；附属单位上缴收入0.00万元，占0.00%；其他收入6.26万元，占2.06%。</w:t>
      </w:r>
    </w:p>
    <w:p w14:paraId="4543DA17">
      <w:pPr>
        <w:spacing w:line="640" w:lineRule="exact"/>
        <w:ind w:firstLine="640"/>
        <w:jc w:val="both"/>
        <w:outlineLvl w:val="2"/>
      </w:pPr>
      <w:r>
        <w:rPr>
          <w:rFonts w:ascii="黑体" w:hAnsi="黑体" w:eastAsia="黑体"/>
          <w:sz w:val="32"/>
        </w:rPr>
        <w:t>三、支出决算情况说明</w:t>
      </w:r>
    </w:p>
    <w:p w14:paraId="449271F3">
      <w:pPr>
        <w:spacing w:line="580" w:lineRule="exact"/>
        <w:ind w:firstLine="640"/>
        <w:jc w:val="both"/>
      </w:pPr>
      <w:r>
        <w:rPr>
          <w:rFonts w:ascii="仿宋_GB2312" w:hAnsi="仿宋_GB2312" w:eastAsia="仿宋_GB2312"/>
          <w:b/>
          <w:sz w:val="32"/>
        </w:rPr>
        <w:t>本年支出303.74万元，</w:t>
      </w:r>
      <w:r>
        <w:rPr>
          <w:rFonts w:ascii="仿宋_GB2312" w:hAnsi="仿宋_GB2312" w:eastAsia="仿宋_GB2312"/>
          <w:b w:val="0"/>
          <w:sz w:val="32"/>
        </w:rPr>
        <w:t>其中：基本支出207.14万元，占68.20%；项目支出96.60万元，占31.80%；上缴上级支出0.00万元，占0.00%；经营支出0.00万元，占0.00%；对附属单位补助支出0.00万元，占0.00%。</w:t>
      </w:r>
    </w:p>
    <w:p w14:paraId="5F52464F">
      <w:pPr>
        <w:spacing w:line="640" w:lineRule="exact"/>
        <w:ind w:firstLine="640"/>
        <w:jc w:val="both"/>
        <w:outlineLvl w:val="2"/>
      </w:pPr>
      <w:r>
        <w:rPr>
          <w:rFonts w:ascii="黑体" w:hAnsi="黑体" w:eastAsia="黑体"/>
          <w:sz w:val="32"/>
        </w:rPr>
        <w:t>四、财政拨款收入支出决算总体情况说明</w:t>
      </w:r>
    </w:p>
    <w:p w14:paraId="24D366BE">
      <w:pPr>
        <w:spacing w:line="580" w:lineRule="exact"/>
        <w:ind w:firstLine="640"/>
        <w:jc w:val="both"/>
      </w:pPr>
      <w:r>
        <w:rPr>
          <w:rFonts w:ascii="仿宋_GB2312" w:hAnsi="仿宋_GB2312" w:eastAsia="仿宋_GB2312"/>
          <w:b/>
          <w:sz w:val="32"/>
        </w:rPr>
        <w:t>2024年度财政拨款收入总计297.81万元，</w:t>
      </w:r>
      <w:r>
        <w:rPr>
          <w:rFonts w:ascii="仿宋_GB2312" w:hAnsi="仿宋_GB2312" w:eastAsia="仿宋_GB2312"/>
          <w:b w:val="0"/>
          <w:sz w:val="32"/>
        </w:rPr>
        <w:t>其中：年初财政拨款结转和结余0.00万元，本年财政拨款收入297.81万元。</w:t>
      </w:r>
      <w:r>
        <w:rPr>
          <w:rFonts w:ascii="仿宋_GB2312" w:hAnsi="仿宋_GB2312" w:eastAsia="仿宋_GB2312"/>
          <w:b/>
          <w:sz w:val="32"/>
        </w:rPr>
        <w:t>财政拨款支出总计297.81万元，</w:t>
      </w:r>
      <w:r>
        <w:rPr>
          <w:rFonts w:ascii="仿宋_GB2312" w:hAnsi="仿宋_GB2312" w:eastAsia="仿宋_GB2312"/>
          <w:b w:val="0"/>
          <w:sz w:val="32"/>
        </w:rPr>
        <w:t>其中：年末财政拨款结转和结余0.00万元，本年财政拨款支出297.81万元。</w:t>
      </w:r>
    </w:p>
    <w:p w14:paraId="27AE65E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增加29.39万元，增长10.95%，主要原因是：本年增加2024年城乡居民可支配收入调查工作、自治区第五次全国经济普查、为民办实事等项目经费，导致相关经费增加。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年初预算数208.09万元，决算数297.81万元，预决算差异率43.12%，主要原因是：年中追加人员工资、社保、公积金基数调增部分资金，追加自治区第五次经济普查两员补助等项目经费，导致预决算存在差异。</w:t>
      </w:r>
    </w:p>
    <w:p w14:paraId="6D73BAD9">
      <w:pPr>
        <w:spacing w:line="640" w:lineRule="exact"/>
        <w:ind w:firstLine="640"/>
        <w:jc w:val="both"/>
        <w:outlineLvl w:val="2"/>
      </w:pPr>
      <w:r>
        <w:rPr>
          <w:rFonts w:ascii="黑体" w:hAnsi="黑体" w:eastAsia="黑体"/>
          <w:sz w:val="32"/>
        </w:rPr>
        <w:t>五、一般公共预算财政拨款支出决算情况说明</w:t>
      </w:r>
    </w:p>
    <w:p w14:paraId="4C7E2D72">
      <w:pPr>
        <w:spacing w:line="640" w:lineRule="exact"/>
        <w:ind w:firstLine="640"/>
        <w:jc w:val="both"/>
        <w:outlineLvl w:val="3"/>
      </w:pPr>
      <w:r>
        <w:rPr>
          <w:rFonts w:ascii="楷体_GB2312" w:hAnsi="楷体_GB2312" w:eastAsia="楷体_GB2312"/>
          <w:b/>
          <w:sz w:val="32"/>
        </w:rPr>
        <w:t>（一）一般公共预算财政拨款支出决算总体情况</w:t>
      </w:r>
    </w:p>
    <w:p w14:paraId="00D1A311">
      <w:pPr>
        <w:spacing w:line="580" w:lineRule="exact"/>
        <w:ind w:firstLine="640"/>
        <w:jc w:val="both"/>
      </w:pPr>
      <w:r>
        <w:rPr>
          <w:rFonts w:ascii="仿宋_GB2312" w:hAnsi="仿宋_GB2312" w:eastAsia="仿宋_GB2312"/>
          <w:b/>
          <w:sz w:val="32"/>
        </w:rPr>
        <w:t>2024年度一般公共预算财政拨款支出297.81万元，</w:t>
      </w:r>
      <w:r>
        <w:rPr>
          <w:rFonts w:ascii="仿宋_GB2312" w:hAnsi="仿宋_GB2312" w:eastAsia="仿宋_GB2312"/>
          <w:b w:val="0"/>
          <w:sz w:val="32"/>
        </w:rPr>
        <w:t>占本年支出合计的98.05%。</w:t>
      </w:r>
      <w:r>
        <w:rPr>
          <w:rFonts w:ascii="仿宋_GB2312" w:hAnsi="仿宋_GB2312" w:eastAsia="仿宋_GB2312"/>
          <w:b/>
          <w:sz w:val="32"/>
        </w:rPr>
        <w:t>与上年相比，</w:t>
      </w:r>
      <w:r>
        <w:rPr>
          <w:rFonts w:ascii="仿宋_GB2312" w:hAnsi="仿宋_GB2312" w:eastAsia="仿宋_GB2312"/>
          <w:b w:val="0"/>
          <w:sz w:val="32"/>
        </w:rPr>
        <w:t>增加29.39万元，增长10.95%，主要原因是：本年增加2024年城乡居民可支配收入调查工作、自治区第五次全国经济普查、为民办实事等项目经费，导致相关经费增加。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年初预算数208.09万元，决算数297.81万元，预决算差异率43.12%，主要原因是：年中追加人员工资、社保、公积金基数调增部分资金，追加自治区第五次经济普查两员补助等项目经费，导致预决算存在差异。</w:t>
      </w:r>
    </w:p>
    <w:p w14:paraId="09D06311">
      <w:pPr>
        <w:spacing w:line="640" w:lineRule="exact"/>
        <w:ind w:firstLine="640"/>
        <w:jc w:val="both"/>
        <w:outlineLvl w:val="3"/>
      </w:pPr>
      <w:r>
        <w:rPr>
          <w:rFonts w:ascii="楷体_GB2312" w:hAnsi="楷体_GB2312" w:eastAsia="楷体_GB2312"/>
          <w:b/>
          <w:sz w:val="32"/>
        </w:rPr>
        <w:t>（二）一般公共预算财政拨款支出决算结构情况</w:t>
      </w:r>
    </w:p>
    <w:p w14:paraId="45C0EF4D">
      <w:pPr>
        <w:spacing w:line="580" w:lineRule="exact"/>
        <w:ind w:firstLine="640"/>
        <w:jc w:val="both"/>
      </w:pPr>
      <w:r>
        <w:rPr>
          <w:rFonts w:ascii="仿宋_GB2312" w:hAnsi="仿宋_GB2312" w:eastAsia="仿宋_GB2312"/>
          <w:b w:val="0"/>
          <w:sz w:val="32"/>
        </w:rPr>
        <w:t>1.一般公共服务支出(类)233.26万元,占78.33%。</w:t>
      </w:r>
    </w:p>
    <w:p w14:paraId="4140AEF6">
      <w:pPr>
        <w:spacing w:line="580" w:lineRule="exact"/>
        <w:ind w:firstLine="640"/>
        <w:jc w:val="both"/>
      </w:pPr>
      <w:r>
        <w:rPr>
          <w:rFonts w:ascii="仿宋_GB2312" w:hAnsi="仿宋_GB2312" w:eastAsia="仿宋_GB2312"/>
          <w:b w:val="0"/>
          <w:sz w:val="32"/>
        </w:rPr>
        <w:t>2.社会保障和就业支出(类)25.78万元,占8.66%。</w:t>
      </w:r>
    </w:p>
    <w:p w14:paraId="06363636">
      <w:pPr>
        <w:spacing w:line="580" w:lineRule="exact"/>
        <w:ind w:firstLine="640"/>
        <w:jc w:val="both"/>
      </w:pPr>
      <w:r>
        <w:rPr>
          <w:rFonts w:ascii="仿宋_GB2312" w:hAnsi="仿宋_GB2312" w:eastAsia="仿宋_GB2312"/>
          <w:b w:val="0"/>
          <w:sz w:val="32"/>
        </w:rPr>
        <w:t>3.卫生健康支出(类)10.25万元,占3.44%。</w:t>
      </w:r>
    </w:p>
    <w:p w14:paraId="6ADDFB79">
      <w:pPr>
        <w:spacing w:line="580" w:lineRule="exact"/>
        <w:ind w:firstLine="640"/>
        <w:jc w:val="both"/>
      </w:pPr>
      <w:r>
        <w:rPr>
          <w:rFonts w:ascii="仿宋_GB2312" w:hAnsi="仿宋_GB2312" w:eastAsia="仿宋_GB2312"/>
          <w:b w:val="0"/>
          <w:sz w:val="32"/>
        </w:rPr>
        <w:t>4.住房保障支出(类)15.18万元,占5.10%。</w:t>
      </w:r>
    </w:p>
    <w:p w14:paraId="66524912">
      <w:pPr>
        <w:spacing w:line="580" w:lineRule="exact"/>
        <w:ind w:firstLine="640"/>
        <w:jc w:val="both"/>
      </w:pPr>
      <w:r>
        <w:rPr>
          <w:rFonts w:ascii="仿宋_GB2312" w:hAnsi="仿宋_GB2312" w:eastAsia="仿宋_GB2312"/>
          <w:b w:val="0"/>
          <w:sz w:val="32"/>
        </w:rPr>
        <w:t>5.其他支出(类)13.34万元,占4.48%。</w:t>
      </w:r>
    </w:p>
    <w:p w14:paraId="2597C5B1">
      <w:pPr>
        <w:spacing w:line="640" w:lineRule="exact"/>
        <w:ind w:firstLine="640"/>
        <w:jc w:val="both"/>
        <w:outlineLvl w:val="3"/>
      </w:pPr>
      <w:r>
        <w:rPr>
          <w:rFonts w:ascii="楷体_GB2312" w:hAnsi="楷体_GB2312" w:eastAsia="楷体_GB2312"/>
          <w:b/>
          <w:sz w:val="32"/>
        </w:rPr>
        <w:t>（三）一般公共预算财政拨款支出决算具体情况</w:t>
      </w:r>
    </w:p>
    <w:p w14:paraId="17C53B38">
      <w:pPr>
        <w:spacing w:line="580" w:lineRule="exact"/>
        <w:ind w:firstLine="640"/>
        <w:jc w:val="both"/>
      </w:pPr>
      <w:r>
        <w:rPr>
          <w:rFonts w:ascii="仿宋_GB2312" w:hAnsi="仿宋_GB2312" w:eastAsia="仿宋_GB2312"/>
          <w:b w:val="0"/>
          <w:sz w:val="32"/>
        </w:rPr>
        <w:t>1.一般公共服务支出(类)统计信息事务(款)行政运行(项):支出决算数为150.00万元，比上年决算减少31.34万元，下降17.28%,主要原因是：本年科目调整，在职人员医疗缴费、公务员医疗补助、住房公积金上年度在主科目列支，本年单独列支，导致相关经费减少。</w:t>
      </w:r>
    </w:p>
    <w:p w14:paraId="37DC2BF5">
      <w:pPr>
        <w:spacing w:line="580" w:lineRule="exact"/>
        <w:ind w:firstLine="640"/>
        <w:jc w:val="both"/>
      </w:pPr>
      <w:r>
        <w:rPr>
          <w:rFonts w:ascii="仿宋_GB2312" w:hAnsi="仿宋_GB2312" w:eastAsia="仿宋_GB2312"/>
          <w:b w:val="0"/>
          <w:sz w:val="32"/>
        </w:rPr>
        <w:t>2.一般公共服务支出(类)统计信息事务(款)专项普查活动(项):支出决算数为54.42万元，比上年决算增加37.83万元，增长228.03%,主要原因是：本年增加自治区第五次全国经济普查经费，导致相关经费增加。</w:t>
      </w:r>
    </w:p>
    <w:p w14:paraId="5FCAF2C5">
      <w:pPr>
        <w:spacing w:line="580" w:lineRule="exact"/>
        <w:ind w:firstLine="640"/>
        <w:jc w:val="both"/>
      </w:pPr>
      <w:r>
        <w:rPr>
          <w:rFonts w:ascii="仿宋_GB2312" w:hAnsi="仿宋_GB2312" w:eastAsia="仿宋_GB2312"/>
          <w:b w:val="0"/>
          <w:sz w:val="32"/>
        </w:rPr>
        <w:t>3.一般公共服务支出(类)统计信息事务(款)统计抽样调查(项):支出决算数为2.83万元，比上年决算减少3.45万元，下降54.94%,主要原因是：本年减少自治区2022年人口抽样调查经费，导致相关经费减少。</w:t>
      </w:r>
    </w:p>
    <w:p w14:paraId="54822FAC">
      <w:pPr>
        <w:spacing w:line="580" w:lineRule="exact"/>
        <w:ind w:firstLine="640"/>
        <w:jc w:val="both"/>
      </w:pPr>
      <w:r>
        <w:rPr>
          <w:rFonts w:ascii="仿宋_GB2312" w:hAnsi="仿宋_GB2312" w:eastAsia="仿宋_GB2312"/>
          <w:b w:val="0"/>
          <w:sz w:val="32"/>
        </w:rPr>
        <w:t>4.一般公共服务支出(类)统计信息事务(款)其他统计信息事务支出(项):支出决算数为26.01万元，比上年决算增加3.51万元，增长15.60%,主要原因是：本年增加2024年城乡居民可支配收入调查工作经费项目经费，导致相关经费增加。</w:t>
      </w:r>
    </w:p>
    <w:p w14:paraId="380D577A">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5.63万元，比上年决算增加5.63万元，增长100.00%,主要原因是：本年功能科目调整，行政单位离退休上年度在主科目列支，本年单独列支，导致经费较上年增加。</w:t>
      </w:r>
    </w:p>
    <w:p w14:paraId="783E27AF">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20.15万元，比上年决算增加0.99万元，增长5.17%,主要原因是：本年在职人员工资基数调增，养老缴费基数上涨，相应支出增加。</w:t>
      </w:r>
    </w:p>
    <w:p w14:paraId="36ED4E23">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7.社会保障和就业支出(类)行政事业单位养老支出(款)机关事业单位职业年金缴费支出(项):支出决算数为0.00万元，比上年决算减少14.40万元，下降100.00%,主要原因是：本年未安排机关事业单位职业年金缴费支出。</w:t>
      </w:r>
    </w:p>
    <w:p w14:paraId="0C907EA2">
      <w:pPr>
        <w:spacing w:line="580" w:lineRule="exact"/>
        <w:ind w:firstLine="640"/>
        <w:jc w:val="both"/>
      </w:pPr>
      <w:r>
        <w:rPr>
          <w:rFonts w:ascii="仿宋_GB2312" w:hAnsi="仿宋_GB2312" w:eastAsia="仿宋_GB2312"/>
          <w:b w:val="0"/>
          <w:sz w:val="32"/>
        </w:rPr>
        <w:t>8.卫生健康支出(类)行政事业单位医疗(款)行政单位医疗(项):支出决算数为8.12万元，比上年决算增加8.12万元，增长100.00%,主要原因是：本年功能科目调整，行政单位医疗上年度在主科目列支，本年单独列支，导致经费较上年增加。</w:t>
      </w:r>
    </w:p>
    <w:p w14:paraId="5D7FFCD9">
      <w:pPr>
        <w:spacing w:line="580" w:lineRule="exact"/>
        <w:ind w:firstLine="640"/>
        <w:jc w:val="both"/>
      </w:pPr>
      <w:r>
        <w:rPr>
          <w:rFonts w:ascii="仿宋_GB2312" w:hAnsi="仿宋_GB2312" w:eastAsia="仿宋_GB2312"/>
          <w:b w:val="0"/>
          <w:sz w:val="32"/>
        </w:rPr>
        <w:t>9.卫生健康支出(类)行政事业单位医疗(款)公务员医疗补助(项):支出决算数为2.13万元，比上年决算增加2.13万元，增长100.00%,主要原因是：本年功能科目调整，公务员医疗补助上年度在主科目列支，本年单独列支，导致经费较上年增加。</w:t>
      </w:r>
    </w:p>
    <w:p w14:paraId="19BFC1FA">
      <w:pPr>
        <w:spacing w:line="580" w:lineRule="exact"/>
        <w:ind w:firstLine="640"/>
        <w:jc w:val="both"/>
      </w:pPr>
      <w:r>
        <w:rPr>
          <w:rFonts w:ascii="仿宋_GB2312" w:hAnsi="仿宋_GB2312" w:eastAsia="仿宋_GB2312"/>
          <w:b w:val="0"/>
          <w:sz w:val="32"/>
        </w:rPr>
        <w:t>10.住房保障支出(类)住房改革支出(款)住房公积金(项):支出决算数为15.18万元，比上年决算增加15.18万元，增长100.00%,主要原因是：本年功能科目调整，住房公积金上年度在主科目列支，本年单独列支，导致经费较上年增加。</w:t>
      </w:r>
    </w:p>
    <w:p w14:paraId="341E6314">
      <w:pPr>
        <w:spacing w:line="580" w:lineRule="exact"/>
        <w:ind w:firstLine="640"/>
        <w:jc w:val="both"/>
      </w:pPr>
      <w:r>
        <w:rPr>
          <w:rFonts w:ascii="仿宋_GB2312" w:hAnsi="仿宋_GB2312" w:eastAsia="仿宋_GB2312"/>
          <w:b w:val="0"/>
          <w:sz w:val="32"/>
        </w:rPr>
        <w:t>11.其他支出(类)其他支出(款)其他支出(项):支出决算数为13.34万元，比上年决算增加5.19万元，增长63.68%,主要原因是：本年增加为民办实事项目经费，导致相关经费增加。</w:t>
      </w:r>
    </w:p>
    <w:p w14:paraId="6735AA07">
      <w:pPr>
        <w:spacing w:line="640" w:lineRule="exact"/>
        <w:ind w:firstLine="640"/>
        <w:jc w:val="both"/>
        <w:outlineLvl w:val="2"/>
      </w:pPr>
      <w:r>
        <w:rPr>
          <w:rFonts w:ascii="黑体" w:hAnsi="黑体" w:eastAsia="黑体"/>
          <w:sz w:val="32"/>
        </w:rPr>
        <w:t>六、一般公共预算财政拨款基本支出决算情况说明</w:t>
      </w:r>
    </w:p>
    <w:p w14:paraId="68E690C4">
      <w:pPr>
        <w:spacing w:line="580" w:lineRule="exact"/>
        <w:ind w:firstLine="640"/>
        <w:jc w:val="both"/>
      </w:pPr>
      <w:r>
        <w:rPr>
          <w:rFonts w:ascii="仿宋_GB2312" w:hAnsi="仿宋_GB2312" w:eastAsia="仿宋_GB2312"/>
          <w:b w:val="0"/>
          <w:sz w:val="32"/>
        </w:rPr>
        <w:t>2024年度一般公共预算财政拨款基本支出201.21万元，其中：</w:t>
      </w:r>
      <w:r>
        <w:rPr>
          <w:rFonts w:ascii="仿宋_GB2312" w:hAnsi="仿宋_GB2312" w:eastAsia="仿宋_GB2312"/>
          <w:b/>
          <w:sz w:val="32"/>
        </w:rPr>
        <w:t>人员经费198.14万元，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包括：基本工资、津贴补贴、奖金、机关事业单位基本养老保险缴费、职工基本医疗保险缴费、公务员医疗补助缴费、其他社会保障缴费、住房公积金、退休费、医疗费补助。</w:t>
      </w:r>
    </w:p>
    <w:p w14:paraId="225A4C92">
      <w:pPr>
        <w:spacing w:line="580" w:lineRule="exact"/>
        <w:ind w:firstLine="640"/>
        <w:jc w:val="both"/>
      </w:pPr>
      <w:r>
        <w:rPr>
          <w:rFonts w:ascii="仿宋_GB2312" w:hAnsi="仿宋_GB2312" w:eastAsia="仿宋_GB2312"/>
          <w:b/>
          <w:sz w:val="32"/>
        </w:rPr>
        <w:t>公用经费3.06万元，</w:t>
      </w:r>
      <w:r>
        <w:rPr>
          <w:rFonts w:ascii="仿宋_GB2312" w:hAnsi="仿宋_GB2312" w:eastAsia="仿宋_GB2312"/>
          <w:b w:val="0"/>
          <w:sz w:val="32"/>
        </w:rPr>
        <w:t>包括：办公费、邮电费、工会经费、公务用车运行维护费。</w:t>
      </w:r>
    </w:p>
    <w:p w14:paraId="20CCF91A">
      <w:pPr>
        <w:spacing w:line="640" w:lineRule="exact"/>
        <w:ind w:firstLine="640"/>
        <w:jc w:val="both"/>
        <w:outlineLvl w:val="2"/>
      </w:pPr>
      <w:r>
        <w:rPr>
          <w:rFonts w:ascii="黑体" w:hAnsi="黑体" w:eastAsia="黑体"/>
          <w:sz w:val="32"/>
        </w:rPr>
        <w:t>七、政府性基金预算财政拨款收入支出决算情况说明</w:t>
      </w:r>
    </w:p>
    <w:p w14:paraId="2A7FF23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5DECEB0">
      <w:pPr>
        <w:spacing w:line="640" w:lineRule="exact"/>
        <w:ind w:firstLine="640"/>
        <w:jc w:val="both"/>
        <w:outlineLvl w:val="2"/>
      </w:pPr>
      <w:r>
        <w:rPr>
          <w:rFonts w:ascii="黑体" w:hAnsi="黑体" w:eastAsia="黑体"/>
          <w:sz w:val="32"/>
        </w:rPr>
        <w:t>八、国有资本经营预算财政拨款收入支出决算情况说明</w:t>
      </w:r>
    </w:p>
    <w:p w14:paraId="68B1768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9388F3E">
      <w:pPr>
        <w:spacing w:line="640" w:lineRule="exact"/>
        <w:ind w:firstLine="640"/>
        <w:jc w:val="both"/>
        <w:outlineLvl w:val="2"/>
      </w:pPr>
      <w:r>
        <w:rPr>
          <w:rFonts w:ascii="黑体" w:hAnsi="黑体" w:eastAsia="黑体"/>
          <w:sz w:val="32"/>
        </w:rPr>
        <w:t>九、财政拨款“三公”经费支出决算情况说明</w:t>
      </w:r>
    </w:p>
    <w:p w14:paraId="4A541EAF">
      <w:pPr>
        <w:spacing w:line="580" w:lineRule="exact"/>
        <w:ind w:firstLine="640"/>
        <w:jc w:val="both"/>
      </w:pPr>
      <w:r>
        <w:rPr>
          <w:rFonts w:ascii="仿宋_GB2312" w:hAnsi="仿宋_GB2312" w:eastAsia="仿宋_GB2312"/>
          <w:b/>
          <w:sz w:val="32"/>
        </w:rPr>
        <w:t>2024年度财政拨款“三公”经费支出0.75万元，</w:t>
      </w:r>
      <w:r>
        <w:rPr>
          <w:rFonts w:ascii="仿宋_GB2312" w:hAnsi="仿宋_GB2312" w:eastAsia="仿宋_GB2312"/>
          <w:b w:val="0"/>
          <w:sz w:val="32"/>
        </w:rPr>
        <w:t>比上年减少1.03万元，下降57.87%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0.75万元，占100.00%，比上年减少1.03万元，下降57.87%，主要原因是：严格落实中央八项规定精神，厉行节约，减少公务用车运行维护费。公务接待费支出0.00万元，占0.00%，比上年增加0.00万元，增长0.00%，主要原因是：2023年与2024年均未安排公务接待费支出。</w:t>
      </w:r>
    </w:p>
    <w:p w14:paraId="03BD8FE4">
      <w:pPr>
        <w:spacing w:line="580" w:lineRule="exact"/>
        <w:ind w:firstLine="640"/>
        <w:jc w:val="both"/>
      </w:pPr>
      <w:r>
        <w:rPr>
          <w:rFonts w:ascii="仿宋_GB2312" w:hAnsi="仿宋_GB2312" w:eastAsia="仿宋_GB2312"/>
          <w:b/>
          <w:sz w:val="32"/>
        </w:rPr>
        <w:t>具体情况如下：</w:t>
      </w:r>
    </w:p>
    <w:p w14:paraId="02EDE46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316A2B2">
      <w:pPr>
        <w:spacing w:line="580" w:lineRule="exact"/>
        <w:ind w:firstLine="640"/>
        <w:jc w:val="both"/>
      </w:pPr>
      <w:r>
        <w:rPr>
          <w:rFonts w:ascii="仿宋_GB2312" w:hAnsi="仿宋_GB2312" w:eastAsia="仿宋_GB2312"/>
          <w:b w:val="0"/>
          <w:sz w:val="32"/>
        </w:rPr>
        <w:t>公务用车购置及运行维护费0.75万元，其中：公务用车购置费0.00万元，公务用车运行维护费0.75万元。公务用车运行维护费开支内容包括车辆加油费、保险费、审车费。公务用车购置数0辆，公务用车保有量1辆。国有资产占用情况中固定资产车辆1辆，与公务用车保有量差异原因是：本单位固定资产车辆与公务用车保有量一致无差异。</w:t>
      </w:r>
    </w:p>
    <w:p w14:paraId="2E4431B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4C881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0.75万元，决算数0.75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0.75万元，决算数0.75万元，预决算差异率0.00%，主要原因是：严格按照预算执行，预决算无差异。公务接待费全年预算数0.00万元，决算数0.00万元，预决算差异率0.00%，主要原因是：本单位无公务接待费。</w:t>
      </w:r>
    </w:p>
    <w:p w14:paraId="63DF03E0">
      <w:pPr>
        <w:spacing w:line="640" w:lineRule="exact"/>
        <w:ind w:firstLine="640"/>
        <w:jc w:val="both"/>
        <w:outlineLvl w:val="2"/>
      </w:pPr>
      <w:r>
        <w:rPr>
          <w:rFonts w:ascii="黑体" w:hAnsi="黑体" w:eastAsia="黑体"/>
          <w:sz w:val="32"/>
        </w:rPr>
        <w:t>十、其他重要事项的情况说明</w:t>
      </w:r>
    </w:p>
    <w:p w14:paraId="6357542E">
      <w:pPr>
        <w:spacing w:line="640" w:lineRule="exact"/>
        <w:ind w:firstLine="640"/>
        <w:jc w:val="both"/>
        <w:outlineLvl w:val="3"/>
      </w:pPr>
      <w:r>
        <w:rPr>
          <w:rFonts w:ascii="楷体_GB2312" w:hAnsi="楷体_GB2312" w:eastAsia="楷体_GB2312"/>
          <w:b/>
          <w:sz w:val="32"/>
        </w:rPr>
        <w:t>（一）机关运行经费及公用经费支出情况</w:t>
      </w:r>
    </w:p>
    <w:p w14:paraId="012E9C0B">
      <w:pPr>
        <w:spacing w:line="580" w:lineRule="exact"/>
        <w:ind w:firstLine="640"/>
        <w:jc w:val="both"/>
      </w:pPr>
      <w:r>
        <w:rPr>
          <w:rFonts w:ascii="仿宋_GB2312" w:hAnsi="仿宋_GB2312" w:eastAsia="仿宋_GB2312"/>
          <w:b w:val="0"/>
          <w:sz w:val="32"/>
        </w:rPr>
        <w:t>2024年度洛浦县统计局（行政单位和参照公务员法管理事业单位）机关运行经费支出3.06万元，比上年增加0.82万元，增长36.61%，主要原因是：本年业务量增加，机关运行经费增加。</w:t>
      </w:r>
    </w:p>
    <w:p w14:paraId="04024644">
      <w:pPr>
        <w:spacing w:line="640" w:lineRule="exact"/>
        <w:ind w:firstLine="640"/>
        <w:jc w:val="both"/>
        <w:outlineLvl w:val="3"/>
      </w:pPr>
      <w:r>
        <w:rPr>
          <w:rFonts w:ascii="楷体_GB2312" w:hAnsi="楷体_GB2312" w:eastAsia="楷体_GB2312"/>
          <w:b/>
          <w:sz w:val="32"/>
        </w:rPr>
        <w:t>（二）政府采购情况</w:t>
      </w:r>
    </w:p>
    <w:p w14:paraId="2A136ADF">
      <w:pPr>
        <w:spacing w:line="580" w:lineRule="exact"/>
        <w:ind w:firstLine="640"/>
        <w:jc w:val="both"/>
      </w:pPr>
      <w:r>
        <w:rPr>
          <w:rFonts w:ascii="仿宋_GB2312" w:hAnsi="仿宋_GB2312" w:eastAsia="仿宋_GB2312"/>
          <w:b w:val="0"/>
          <w:sz w:val="32"/>
        </w:rPr>
        <w:t>2024年度政府采购支出总额3.23万元，其中：政府采购货物支出0.95万元、政府采购工程支出0.00万元、政府采购服务支出2.28万元。</w:t>
      </w:r>
    </w:p>
    <w:p w14:paraId="7DA0097B">
      <w:pPr>
        <w:spacing w:line="580" w:lineRule="exact"/>
        <w:ind w:firstLine="640"/>
        <w:jc w:val="both"/>
      </w:pPr>
      <w:r>
        <w:rPr>
          <w:rFonts w:ascii="仿宋_GB2312" w:hAnsi="仿宋_GB2312" w:eastAsia="仿宋_GB2312"/>
          <w:b w:val="0"/>
          <w:sz w:val="32"/>
        </w:rPr>
        <w:t>授予中小企业合同金额3.23万元，占政府采购支出总额的100.00%，其中：授予小微企业合同金额2.17万元，占政府采购支出总额的67.18%。</w:t>
      </w:r>
    </w:p>
    <w:p w14:paraId="4C609B75">
      <w:pPr>
        <w:spacing w:line="640" w:lineRule="exact"/>
        <w:ind w:firstLine="640"/>
        <w:jc w:val="both"/>
        <w:outlineLvl w:val="3"/>
      </w:pPr>
      <w:r>
        <w:rPr>
          <w:rFonts w:ascii="楷体_GB2312" w:hAnsi="楷体_GB2312" w:eastAsia="楷体_GB2312"/>
          <w:b/>
          <w:sz w:val="32"/>
        </w:rPr>
        <w:t>（三）国有资产占用情况说明</w:t>
      </w:r>
    </w:p>
    <w:p w14:paraId="102FC370">
      <w:pPr>
        <w:spacing w:line="580" w:lineRule="exact"/>
        <w:ind w:firstLine="640"/>
        <w:jc w:val="both"/>
      </w:pPr>
      <w:r>
        <w:rPr>
          <w:rFonts w:ascii="仿宋_GB2312" w:hAnsi="仿宋_GB2312" w:eastAsia="仿宋_GB2312"/>
          <w:b w:val="0"/>
          <w:sz w:val="32"/>
        </w:rPr>
        <w:t>截至2024年12月31日，房屋0.00平方米，价值0.00万元。车辆1辆，价值14.57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E774521">
      <w:pPr>
        <w:spacing w:line="640" w:lineRule="exact"/>
        <w:ind w:firstLine="640"/>
        <w:jc w:val="both"/>
        <w:outlineLvl w:val="2"/>
      </w:pPr>
      <w:r>
        <w:rPr>
          <w:rFonts w:ascii="黑体" w:hAnsi="黑体" w:eastAsia="黑体"/>
          <w:sz w:val="32"/>
        </w:rPr>
        <w:t>十一、预算绩效的情况说明</w:t>
      </w:r>
    </w:p>
    <w:p w14:paraId="6C710EE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根据预算绩效管理要求，本单位2024年度预算绩效管理形成整体支出绩效自评表1个，全年预算总额304.06万元，实际执行总额303.74万元；预算绩效评价项目</w:t>
      </w:r>
      <w:r>
        <w:rPr>
          <w:rFonts w:hint="eastAsia" w:ascii="仿宋_GB2312" w:hAnsi="仿宋_GB2312" w:eastAsia="仿宋_GB2312"/>
          <w:b w:val="0"/>
          <w:sz w:val="32"/>
          <w:lang w:val="en-US" w:eastAsia="zh-CN"/>
        </w:rPr>
        <w:t>5</w:t>
      </w:r>
      <w:r>
        <w:rPr>
          <w:rFonts w:ascii="仿宋_GB2312" w:hAnsi="仿宋_GB2312" w:eastAsia="仿宋_GB2312"/>
          <w:b w:val="0"/>
          <w:sz w:val="32"/>
        </w:rPr>
        <w:t>个，全年预算数</w:t>
      </w:r>
      <w:r>
        <w:rPr>
          <w:rFonts w:hint="eastAsia" w:ascii="仿宋_GB2312" w:hAnsi="仿宋_GB2312" w:eastAsia="仿宋_GB2312"/>
          <w:b w:val="0"/>
          <w:sz w:val="32"/>
        </w:rPr>
        <w:t>98.02</w:t>
      </w:r>
      <w:r>
        <w:rPr>
          <w:rFonts w:ascii="仿宋_GB2312" w:hAnsi="仿宋_GB2312" w:eastAsia="仿宋_GB2312"/>
          <w:b w:val="0"/>
          <w:sz w:val="32"/>
        </w:rPr>
        <w:t>万元，全年执行数</w:t>
      </w:r>
      <w:r>
        <w:rPr>
          <w:rFonts w:hint="eastAsia" w:ascii="仿宋_GB2312" w:hAnsi="仿宋_GB2312" w:eastAsia="仿宋_GB2312"/>
          <w:b w:val="0"/>
          <w:sz w:val="32"/>
        </w:rPr>
        <w:t>98.02</w:t>
      </w:r>
      <w:r>
        <w:rPr>
          <w:rFonts w:ascii="仿宋_GB2312" w:hAnsi="仿宋_GB2312" w:eastAsia="仿宋_GB2312"/>
          <w:b w:val="0"/>
          <w:sz w:val="32"/>
        </w:rPr>
        <w:t>万元。预算绩效管理取得的成效：一是预算编制精准性提升，结合业务需求细化指标，资金投向更贴合统计工作要点，基础调查，数据监测等核心任务保障有力。二是绩效监控机制完善，通过定期跟踪预算执行进度与绩效目标匹配度，及时发现并纠偏资金使用偏差，全年预算执行率达95%以上。发现的问题及原因：一是部分绩效指标设置不够细化，如“数据质量提升”等指标缺乏量化标准，导致考核评价针对性不足，原因是对绩效指标的科学性论证不够充分。二是绩效评价结果应用范围较窄，未完全与下年度预算编制深度挂钩，主要因评价结果反馈与预算调整机制衔接不够紧密。下一步改进措施：一是优化绩效指标体系，结合统计业务特点，将笼统指标拆解为可量化、可衡量的具体标准，强化指标与工作实效的关联性。二是健全绩效评价结果应用机制，建立评价结果与预算分配、项目调整的联动机制，将结果作为下年度预算安排的重要依据，提升资金使用效益。具体附整体支出绩效自评表，项目支出绩效自评表和评价报告。</w:t>
      </w:r>
    </w:p>
    <w:p w14:paraId="0E51C9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39585E">
        <w:tblPrEx>
          <w:tblCellMar>
            <w:top w:w="0" w:type="dxa"/>
            <w:left w:w="108" w:type="dxa"/>
            <w:bottom w:w="0" w:type="dxa"/>
            <w:right w:w="108" w:type="dxa"/>
          </w:tblCellMar>
        </w:tblPrEx>
        <w:tc>
          <w:tcPr>
            <w:tcW w:w="8847" w:type="dxa"/>
            <w:gridSpan w:val="9"/>
            <w:vAlign w:val="center"/>
          </w:tcPr>
          <w:p w14:paraId="3D578125">
            <w:pPr>
              <w:jc w:val="center"/>
            </w:pPr>
            <w:r>
              <w:rPr>
                <w:rFonts w:ascii="宋体" w:hAnsi="宋体" w:eastAsia="宋体"/>
                <w:sz w:val="24"/>
              </w:rPr>
              <w:t>单位整体支出绩效自评表</w:t>
            </w:r>
          </w:p>
        </w:tc>
      </w:tr>
      <w:tr w14:paraId="2110DA60">
        <w:tblPrEx>
          <w:tblCellMar>
            <w:top w:w="0" w:type="dxa"/>
            <w:left w:w="108" w:type="dxa"/>
            <w:bottom w:w="0" w:type="dxa"/>
            <w:right w:w="108" w:type="dxa"/>
          </w:tblCellMar>
        </w:tblPrEx>
        <w:tc>
          <w:tcPr>
            <w:tcW w:w="8847" w:type="dxa"/>
            <w:gridSpan w:val="9"/>
            <w:vAlign w:val="center"/>
          </w:tcPr>
          <w:p w14:paraId="691ACFA5">
            <w:pPr>
              <w:jc w:val="center"/>
            </w:pPr>
            <w:r>
              <w:rPr>
                <w:rFonts w:ascii="宋体" w:hAnsi="宋体" w:eastAsia="宋体"/>
                <w:sz w:val="24"/>
              </w:rPr>
              <w:t>（2024年度）</w:t>
            </w:r>
          </w:p>
        </w:tc>
      </w:tr>
      <w:tr w14:paraId="481C26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0A6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F8DFB3">
            <w:pPr>
              <w:jc w:val="center"/>
            </w:pPr>
            <w:r>
              <w:rPr>
                <w:rFonts w:ascii="宋体" w:hAnsi="宋体" w:eastAsia="宋体"/>
                <w:sz w:val="16"/>
              </w:rPr>
              <w:t>洛浦县统计局</w:t>
            </w:r>
          </w:p>
        </w:tc>
      </w:tr>
      <w:tr w14:paraId="3F74DD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80F0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9A4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CC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DC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34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9FDE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7566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61153">
            <w:pPr>
              <w:jc w:val="center"/>
            </w:pPr>
            <w:r>
              <w:rPr>
                <w:rFonts w:ascii="宋体" w:hAnsi="宋体" w:eastAsia="宋体"/>
                <w:sz w:val="16"/>
              </w:rPr>
              <w:t>得分</w:t>
            </w:r>
          </w:p>
        </w:tc>
      </w:tr>
      <w:tr w14:paraId="54EBB2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3BA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7C8E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12C9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C9C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5E41D">
            <w:pPr>
              <w:jc w:val="center"/>
            </w:pPr>
            <w:r>
              <w:rPr>
                <w:rFonts w:ascii="宋体" w:hAnsi="宋体" w:eastAsia="宋体"/>
                <w:sz w:val="16"/>
              </w:rPr>
              <w:t>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610F">
            <w:pPr>
              <w:jc w:val="center"/>
            </w:pPr>
            <w:r>
              <w:rPr>
                <w:rFonts w:ascii="宋体" w:hAnsi="宋体" w:eastAsia="宋体"/>
                <w:sz w:val="16"/>
              </w:rPr>
              <w:t>70.59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33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2F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D846A">
            <w:pPr>
              <w:jc w:val="center"/>
            </w:pPr>
            <w:r>
              <w:rPr>
                <w:rFonts w:ascii="宋体" w:hAnsi="宋体" w:eastAsia="宋体"/>
                <w:sz w:val="16"/>
              </w:rPr>
              <w:t>-</w:t>
            </w:r>
          </w:p>
        </w:tc>
      </w:tr>
      <w:tr w14:paraId="228041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C52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AE45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743D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66E08">
            <w:pPr>
              <w:jc w:val="center"/>
            </w:pPr>
            <w:r>
              <w:rPr>
                <w:rFonts w:ascii="宋体" w:hAnsi="宋体" w:eastAsia="宋体"/>
                <w:sz w:val="16"/>
              </w:rPr>
              <w:t>208.90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AC167">
            <w:pPr>
              <w:jc w:val="center"/>
            </w:pPr>
            <w:r>
              <w:rPr>
                <w:rFonts w:ascii="宋体" w:hAnsi="宋体" w:eastAsia="宋体"/>
                <w:sz w:val="16"/>
              </w:rPr>
              <w:t>227.21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39867">
            <w:pPr>
              <w:jc w:val="center"/>
            </w:pPr>
            <w:r>
              <w:rPr>
                <w:rFonts w:ascii="宋体" w:hAnsi="宋体" w:eastAsia="宋体"/>
                <w:sz w:val="16"/>
              </w:rPr>
              <w:t>227.21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565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A0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C7BE0">
            <w:pPr>
              <w:jc w:val="center"/>
            </w:pPr>
            <w:r>
              <w:rPr>
                <w:rFonts w:ascii="宋体" w:hAnsi="宋体" w:eastAsia="宋体"/>
                <w:sz w:val="16"/>
              </w:rPr>
              <w:t>-</w:t>
            </w:r>
          </w:p>
        </w:tc>
      </w:tr>
      <w:tr w14:paraId="5E1BE7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23C2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C05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F7BF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2F4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6B352">
            <w:pPr>
              <w:jc w:val="center"/>
            </w:pPr>
            <w:r>
              <w:rPr>
                <w:rFonts w:ascii="宋体" w:hAnsi="宋体" w:eastAsia="宋体"/>
                <w:sz w:val="16"/>
              </w:rPr>
              <w:t>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2AD95">
            <w:pPr>
              <w:jc w:val="center"/>
            </w:pPr>
            <w:r>
              <w:rPr>
                <w:rFonts w:ascii="宋体" w:hAnsi="宋体" w:eastAsia="宋体"/>
                <w:sz w:val="16"/>
              </w:rPr>
              <w:t>5.94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AD6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A8E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1E86">
            <w:pPr>
              <w:jc w:val="center"/>
            </w:pPr>
            <w:r>
              <w:rPr>
                <w:rFonts w:ascii="宋体" w:hAnsi="宋体" w:eastAsia="宋体"/>
                <w:sz w:val="16"/>
              </w:rPr>
              <w:t>-</w:t>
            </w:r>
          </w:p>
        </w:tc>
      </w:tr>
      <w:tr w14:paraId="175965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7C3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9320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39F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8072">
            <w:pPr>
              <w:jc w:val="center"/>
            </w:pPr>
            <w:r>
              <w:rPr>
                <w:rFonts w:ascii="宋体" w:hAnsi="宋体" w:eastAsia="宋体"/>
                <w:sz w:val="16"/>
              </w:rPr>
              <w:t>208.90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3E7FA">
            <w:pPr>
              <w:jc w:val="center"/>
            </w:pPr>
            <w:r>
              <w:rPr>
                <w:rFonts w:ascii="宋体" w:hAnsi="宋体" w:eastAsia="宋体"/>
                <w:sz w:val="16"/>
              </w:rPr>
              <w:t>304.06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4AC5C">
            <w:pPr>
              <w:jc w:val="center"/>
            </w:pPr>
            <w:r>
              <w:rPr>
                <w:rFonts w:ascii="宋体" w:hAnsi="宋体" w:eastAsia="宋体"/>
                <w:sz w:val="16"/>
              </w:rPr>
              <w:t>303.74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4E5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A7FB">
            <w:pPr>
              <w:jc w:val="center"/>
            </w:pPr>
            <w:r>
              <w:rPr>
                <w:rFonts w:ascii="宋体" w:hAnsi="宋体" w:eastAsia="宋体"/>
                <w:sz w:val="16"/>
              </w:rPr>
              <w:t>99.89%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1F935">
            <w:pPr>
              <w:jc w:val="center"/>
            </w:pPr>
            <w:r>
              <w:rPr>
                <w:rFonts w:ascii="宋体" w:hAnsi="宋体" w:eastAsia="宋体"/>
                <w:sz w:val="16"/>
              </w:rPr>
              <w:t>10</w:t>
            </w:r>
          </w:p>
        </w:tc>
      </w:tr>
      <w:tr w14:paraId="17DD19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2663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CA89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3791E3">
            <w:pPr>
              <w:jc w:val="center"/>
            </w:pPr>
            <w:r>
              <w:rPr>
                <w:rFonts w:ascii="宋体" w:hAnsi="宋体" w:eastAsia="宋体"/>
                <w:sz w:val="16"/>
              </w:rPr>
              <w:t>实际完成情况</w:t>
            </w:r>
          </w:p>
        </w:tc>
      </w:tr>
      <w:tr w14:paraId="47EC4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051A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5FC7EC">
            <w:pPr>
              <w:jc w:val="both"/>
            </w:pPr>
            <w:r>
              <w:rPr>
                <w:rFonts w:ascii="宋体" w:hAnsi="宋体" w:eastAsia="宋体"/>
                <w:sz w:val="16"/>
              </w:rPr>
              <w:t>单位基本职能：组织领导和统一协调全县统计工作，确保统计数据真实、准确及时；依照国家和自治区的法律、法规、政策拟订地方性规章草案，制定部门规范性文件，并监督检查执行情况。负责《</w:t>
            </w:r>
            <w:r>
              <w:rPr>
                <w:rFonts w:hint="eastAsia" w:ascii="宋体" w:hAnsi="宋体"/>
                <w:sz w:val="16"/>
                <w:lang w:eastAsia="zh-CN"/>
              </w:rPr>
              <w:t>中华人民共和国统计法》《</w:t>
            </w:r>
            <w:r>
              <w:rPr>
                <w:rFonts w:ascii="宋体" w:hAnsi="宋体" w:eastAsia="宋体"/>
                <w:sz w:val="16"/>
              </w:rPr>
              <w:t>统计违法违纪行为处分规定》贯彻执行情况的监督管理；负责对提供不真实统计资料和不配合统计调查等统计违法违纪案件的调查、立案和查处工作。建立健全全县国民经济核算体系；组织实施全县国民经济核算制度和投入产出调查；核算全县生产总值，汇编提供国民经济核算资料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按照国家、自治区和地区的要求，会同有关部门拟订重大国情国力普查计划、方案；组织实施全县人口、经济、农业等国情国力普查和重大专项调查；汇总、整理和提供有关国情国力、区情区力方面的统计数据</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机构设置及人员配置：无下属预算单位，下设4个科室，编制数10人，实有人数10人，在职10人，退休4人。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做好统计服务：确保统计数据真实、准确完整及时的前提下，进行统计分析、统计预测，向县委、县人民政府及相关部门提供统计信息和咨询建议。做好生产总值核算：一是加强各行业部门之间的沟通和联系，认真做好基础数据的收集、上报，加大对各行业部门数据的审核，确保各部门基础数据真实、可靠，为地区统计局生产总值（GDP）统一核算提供可靠的数据支撑；二是各专业人员积极对接地区统计局，全力配合生产总值下算一级核算工作，并掌握地区统计局统一核算动态，适时提出合理建议，力争实现全县生产总值增长。做好农村经济统计：按照农业统计制度，积极对接农业农村局，全面掌握全县粮食、畜牧业、林果业生产情况，全力做好农业统计，真实</w:t>
            </w:r>
            <w:r>
              <w:rPr>
                <w:rFonts w:hint="eastAsia" w:ascii="宋体" w:hAnsi="宋体"/>
                <w:sz w:val="16"/>
                <w:lang w:eastAsia="zh-CN"/>
              </w:rPr>
              <w:t>反映</w:t>
            </w:r>
            <w:r>
              <w:rPr>
                <w:rFonts w:ascii="宋体" w:hAnsi="宋体" w:eastAsia="宋体"/>
                <w:sz w:val="16"/>
              </w:rPr>
              <w:t>农业产业成果。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目标1：保障单位在职10人，退休4人的工资福利及各项补助正常发放及部门正常运转；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目标2：做好第五次全国经济普查工作，加强统计培训，乡镇统计员业务培训不少于2次，各企业统计员业务培训不少于4次，开展统计分析不少于4次。</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53322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完成单位在职10人，退休4人的工资福利及各项补助正常发放及部门正常运转；保障资金发放及时率达到100%。截至目前第五次经济普查工作</w:t>
            </w:r>
            <w:r>
              <w:rPr>
                <w:rFonts w:hint="eastAsia" w:ascii="宋体" w:hAnsi="宋体"/>
                <w:sz w:val="16"/>
                <w:lang w:eastAsia="zh-CN"/>
              </w:rPr>
              <w:t>圆满</w:t>
            </w:r>
            <w:r>
              <w:rPr>
                <w:rFonts w:ascii="宋体" w:hAnsi="宋体" w:eastAsia="宋体"/>
                <w:sz w:val="16"/>
              </w:rPr>
              <w:t>完成了加强了统计培训，乡镇统计员业务培训2次，各企业统计员业务培训4次，开展统计分析4次。</w:t>
            </w:r>
          </w:p>
        </w:tc>
      </w:tr>
      <w:tr w14:paraId="6CE693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444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495D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F6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E405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E8EE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4BA8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4F08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585C">
            <w:pPr>
              <w:jc w:val="center"/>
            </w:pPr>
            <w:r>
              <w:rPr>
                <w:rFonts w:ascii="宋体" w:hAnsi="宋体" w:eastAsia="宋体"/>
                <w:sz w:val="16"/>
              </w:rPr>
              <w:t>得分</w:t>
            </w:r>
          </w:p>
        </w:tc>
      </w:tr>
      <w:tr w14:paraId="33F82A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D72B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4C2D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A284B">
            <w:pPr>
              <w:jc w:val="center"/>
            </w:pPr>
            <w:r>
              <w:rPr>
                <w:rFonts w:ascii="宋体" w:hAnsi="宋体" w:eastAsia="宋体"/>
                <w:sz w:val="16"/>
              </w:rPr>
              <w:t>乡镇统计员业务培训次数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4016">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FDE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77A9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43C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B211E">
            <w:pPr>
              <w:jc w:val="center"/>
            </w:pPr>
            <w:r>
              <w:rPr>
                <w:rFonts w:ascii="宋体" w:hAnsi="宋体" w:eastAsia="宋体"/>
                <w:sz w:val="16"/>
              </w:rPr>
              <w:t>20</w:t>
            </w:r>
          </w:p>
        </w:tc>
      </w:tr>
      <w:tr w14:paraId="78D5AD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D2C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CB9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85BB3">
            <w:pPr>
              <w:jc w:val="center"/>
            </w:pPr>
            <w:r>
              <w:rPr>
                <w:rFonts w:ascii="宋体" w:hAnsi="宋体" w:eastAsia="宋体"/>
                <w:sz w:val="16"/>
              </w:rPr>
              <w:t>各企业统计员业务培训次数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07FD8">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9B8E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F1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A486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74DA9">
            <w:pPr>
              <w:jc w:val="center"/>
            </w:pPr>
            <w:r>
              <w:rPr>
                <w:rFonts w:ascii="宋体" w:hAnsi="宋体" w:eastAsia="宋体"/>
                <w:sz w:val="16"/>
              </w:rPr>
              <w:t>20</w:t>
            </w:r>
          </w:p>
        </w:tc>
      </w:tr>
      <w:tr w14:paraId="71F47A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999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B3A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EC8DA">
            <w:pPr>
              <w:jc w:val="center"/>
            </w:pPr>
            <w:r>
              <w:rPr>
                <w:rFonts w:ascii="宋体" w:hAnsi="宋体" w:eastAsia="宋体"/>
                <w:sz w:val="16"/>
              </w:rPr>
              <w:t>开展统计分析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239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8A05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64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8FE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8D09B">
            <w:pPr>
              <w:jc w:val="center"/>
            </w:pPr>
            <w:r>
              <w:rPr>
                <w:rFonts w:ascii="宋体" w:hAnsi="宋体" w:eastAsia="宋体"/>
                <w:sz w:val="16"/>
              </w:rPr>
              <w:t>20</w:t>
            </w:r>
          </w:p>
        </w:tc>
      </w:tr>
      <w:tr w14:paraId="1B03B8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FD9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32E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30BA6">
            <w:pPr>
              <w:jc w:val="center"/>
            </w:pPr>
            <w:r>
              <w:rPr>
                <w:rFonts w:ascii="宋体" w:hAnsi="宋体" w:eastAsia="宋体"/>
                <w:sz w:val="16"/>
              </w:rPr>
              <w:t>规上企业数据联网直报数量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69D7D">
            <w:pPr>
              <w:jc w:val="center"/>
            </w:pPr>
            <w:r>
              <w:rPr>
                <w:rFonts w:ascii="宋体" w:hAnsi="宋体" w:eastAsia="宋体"/>
                <w:sz w:val="16"/>
              </w:rPr>
              <w:t>&gt;=48家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495C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94A0">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11BF0">
            <w:pPr>
              <w:jc w:val="center"/>
            </w:pPr>
            <w:r>
              <w:rPr>
                <w:rFonts w:ascii="宋体" w:hAnsi="宋体" w:eastAsia="宋体"/>
                <w:sz w:val="16"/>
              </w:rPr>
              <w:t>48家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9B2A9">
            <w:pPr>
              <w:jc w:val="center"/>
            </w:pPr>
            <w:r>
              <w:rPr>
                <w:rFonts w:ascii="宋体" w:hAnsi="宋体" w:eastAsia="宋体"/>
                <w:sz w:val="16"/>
              </w:rPr>
              <w:t>30</w:t>
            </w:r>
          </w:p>
        </w:tc>
      </w:tr>
    </w:tbl>
    <w:p w14:paraId="2EDF965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1139EE">
        <w:tc>
          <w:tcPr>
            <w:tcW w:w="8847" w:type="dxa"/>
            <w:gridSpan w:val="9"/>
            <w:vAlign w:val="center"/>
          </w:tcPr>
          <w:p w14:paraId="742DB44F">
            <w:pPr>
              <w:jc w:val="center"/>
            </w:pPr>
            <w:r>
              <w:rPr>
                <w:rFonts w:ascii="宋体" w:hAnsi="宋体" w:eastAsia="宋体"/>
                <w:sz w:val="24"/>
              </w:rPr>
              <w:t>项目支出绩效自评表</w:t>
            </w:r>
          </w:p>
        </w:tc>
      </w:tr>
      <w:tr w14:paraId="1E7611C5">
        <w:tblPrEx>
          <w:tblCellMar>
            <w:top w:w="0" w:type="dxa"/>
            <w:left w:w="108" w:type="dxa"/>
            <w:bottom w:w="0" w:type="dxa"/>
            <w:right w:w="108" w:type="dxa"/>
          </w:tblCellMar>
        </w:tblPrEx>
        <w:tc>
          <w:tcPr>
            <w:tcW w:w="8847" w:type="dxa"/>
            <w:gridSpan w:val="9"/>
            <w:vAlign w:val="center"/>
          </w:tcPr>
          <w:p w14:paraId="509D47AC">
            <w:pPr>
              <w:jc w:val="center"/>
            </w:pPr>
            <w:r>
              <w:rPr>
                <w:rFonts w:ascii="宋体" w:hAnsi="宋体" w:eastAsia="宋体"/>
                <w:sz w:val="24"/>
              </w:rPr>
              <w:t>(2024年度)</w:t>
            </w:r>
          </w:p>
        </w:tc>
      </w:tr>
      <w:tr w14:paraId="50DDF9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92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9AA316">
            <w:pPr>
              <w:jc w:val="center"/>
            </w:pPr>
            <w:r>
              <w:rPr>
                <w:rFonts w:ascii="宋体" w:hAnsi="宋体" w:eastAsia="宋体"/>
                <w:sz w:val="16"/>
              </w:rPr>
              <w:t>2024年城乡居民可支配收入调查工作经费项目</w:t>
            </w:r>
          </w:p>
        </w:tc>
      </w:tr>
      <w:tr w14:paraId="3042CF8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FE8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224D90">
            <w:pPr>
              <w:jc w:val="center"/>
            </w:pPr>
            <w:r>
              <w:rPr>
                <w:rFonts w:ascii="宋体" w:hAnsi="宋体" w:eastAsia="宋体"/>
                <w:sz w:val="16"/>
              </w:rPr>
              <w:t>洛浦县统计局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C77D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E465F8">
            <w:pPr>
              <w:jc w:val="center"/>
            </w:pPr>
            <w:r>
              <w:rPr>
                <w:rFonts w:ascii="宋体" w:hAnsi="宋体" w:eastAsia="宋体"/>
                <w:sz w:val="16"/>
              </w:rPr>
              <w:t>洛浦县统计局</w:t>
            </w:r>
          </w:p>
        </w:tc>
      </w:tr>
      <w:tr w14:paraId="7E5B53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680E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841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EBD8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CE08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2F7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9F3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885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98C43">
            <w:pPr>
              <w:jc w:val="center"/>
            </w:pPr>
            <w:r>
              <w:rPr>
                <w:rFonts w:ascii="宋体" w:hAnsi="宋体" w:eastAsia="宋体"/>
                <w:sz w:val="16"/>
              </w:rPr>
              <w:t>得分</w:t>
            </w:r>
          </w:p>
        </w:tc>
      </w:tr>
      <w:tr w14:paraId="305B4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BAD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6AAE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66568">
            <w:pPr>
              <w:jc w:val="center"/>
            </w:pPr>
            <w:r>
              <w:rPr>
                <w:rFonts w:ascii="宋体" w:hAnsi="宋体" w:eastAsia="宋体"/>
                <w:sz w:val="16"/>
              </w:rPr>
              <w:t>36.72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9D41B">
            <w:pPr>
              <w:jc w:val="center"/>
            </w:pPr>
            <w:r>
              <w:rPr>
                <w:rFonts w:ascii="宋体" w:hAnsi="宋体" w:eastAsia="宋体"/>
                <w:sz w:val="16"/>
              </w:rPr>
              <w:t>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0CCF7">
            <w:pPr>
              <w:jc w:val="center"/>
            </w:pPr>
            <w:r>
              <w:rPr>
                <w:rFonts w:ascii="宋体" w:hAnsi="宋体" w:eastAsia="宋体"/>
                <w:sz w:val="16"/>
              </w:rPr>
              <w:t>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CED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8F6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4961">
            <w:pPr>
              <w:jc w:val="center"/>
            </w:pPr>
            <w:r>
              <w:rPr>
                <w:rFonts w:ascii="宋体" w:hAnsi="宋体" w:eastAsia="宋体"/>
                <w:sz w:val="16"/>
              </w:rPr>
              <w:t>10.00分</w:t>
            </w:r>
          </w:p>
        </w:tc>
      </w:tr>
      <w:tr w14:paraId="19A7B1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3B7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447B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A3813">
            <w:pPr>
              <w:jc w:val="center"/>
            </w:pPr>
            <w:r>
              <w:rPr>
                <w:rFonts w:ascii="宋体" w:hAnsi="宋体" w:eastAsia="宋体"/>
                <w:sz w:val="16"/>
              </w:rPr>
              <w:t>36.72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7F8AB">
            <w:pPr>
              <w:jc w:val="center"/>
            </w:pPr>
            <w:r>
              <w:rPr>
                <w:rFonts w:ascii="宋体" w:hAnsi="宋体" w:eastAsia="宋体"/>
                <w:sz w:val="16"/>
              </w:rPr>
              <w:t>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AD38A">
            <w:pPr>
              <w:jc w:val="center"/>
            </w:pPr>
            <w:r>
              <w:rPr>
                <w:rFonts w:ascii="宋体" w:hAnsi="宋体" w:eastAsia="宋体"/>
                <w:sz w:val="16"/>
              </w:rPr>
              <w:t>26.01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28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66E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F8EB">
            <w:pPr>
              <w:jc w:val="center"/>
            </w:pPr>
            <w:r>
              <w:rPr>
                <w:rFonts w:ascii="宋体" w:hAnsi="宋体" w:eastAsia="宋体"/>
                <w:sz w:val="16"/>
              </w:rPr>
              <w:t>—</w:t>
            </w:r>
          </w:p>
        </w:tc>
      </w:tr>
      <w:tr w14:paraId="1B7CF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367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9382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35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FB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D5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1D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2F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971E">
            <w:pPr>
              <w:jc w:val="center"/>
            </w:pPr>
            <w:r>
              <w:rPr>
                <w:rFonts w:ascii="宋体" w:hAnsi="宋体" w:eastAsia="宋体"/>
                <w:sz w:val="16"/>
              </w:rPr>
              <w:t>—</w:t>
            </w:r>
          </w:p>
        </w:tc>
      </w:tr>
      <w:tr w14:paraId="20B7E4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6EA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9C7C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F9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7A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2F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7C4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5FE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9E638">
            <w:pPr>
              <w:jc w:val="center"/>
            </w:pPr>
            <w:r>
              <w:rPr>
                <w:rFonts w:ascii="宋体" w:hAnsi="宋体" w:eastAsia="宋体"/>
                <w:sz w:val="16"/>
              </w:rPr>
              <w:t>—</w:t>
            </w:r>
          </w:p>
        </w:tc>
      </w:tr>
      <w:tr w14:paraId="593367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CA81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4DE6DE">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36A359">
            <w:pPr>
              <w:jc w:val="center"/>
            </w:pPr>
            <w:r>
              <w:rPr>
                <w:rFonts w:ascii="宋体" w:hAnsi="宋体" w:eastAsia="宋体"/>
                <w:sz w:val="16"/>
              </w:rPr>
              <w:t>实际完成情况</w:t>
            </w:r>
          </w:p>
        </w:tc>
      </w:tr>
      <w:tr w14:paraId="5F51D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3FD1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A86C5F">
            <w:pPr>
              <w:jc w:val="both"/>
            </w:pPr>
            <w:r>
              <w:rPr>
                <w:rFonts w:ascii="宋体" w:hAnsi="宋体" w:eastAsia="宋体"/>
                <w:sz w:val="16"/>
              </w:rPr>
              <w:t>根据《洛浦县财经委员会会议纪要》2024年城乡居民可支配收入调查工作经费项目-洛财纪字</w:t>
            </w:r>
            <w:r>
              <w:rPr>
                <w:rFonts w:hint="eastAsia" w:ascii="宋体" w:hAnsi="宋体"/>
                <w:sz w:val="16"/>
                <w:lang w:eastAsia="zh-CN"/>
              </w:rPr>
              <w:t>〔2024〕3号</w:t>
            </w:r>
            <w:r>
              <w:rPr>
                <w:rFonts w:ascii="宋体" w:hAnsi="宋体" w:eastAsia="宋体"/>
                <w:sz w:val="16"/>
              </w:rPr>
              <w:t>文件实施此项目，项目主要内容为：国家统计局洛浦调查队12名调查员对分省和分市县地方</w:t>
            </w:r>
            <w:r>
              <w:rPr>
                <w:rFonts w:hint="eastAsia" w:ascii="宋体" w:hAnsi="宋体"/>
                <w:sz w:val="16"/>
                <w:lang w:eastAsia="zh-CN"/>
              </w:rPr>
              <w:t>住点</w:t>
            </w:r>
            <w:r>
              <w:rPr>
                <w:rFonts w:ascii="宋体" w:hAnsi="宋体" w:eastAsia="宋体"/>
                <w:sz w:val="16"/>
              </w:rPr>
              <w:t>120户进行调查，并对调查员及被调查对象发放补助12个月。通过项目实施，全面、准确及时了解洛浦县城乡居民收入、消费和其他生活状态，保障全区城乡一体化调查工作有序开展。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9AD20E">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已完成国家统计局洛浦调查队12名调查员对分省和分市县地方点住120户进行调查，并对调查员及被调查对象发放补助12个月。通过项目的实施，通过项</w:t>
            </w:r>
            <w:r>
              <w:rPr>
                <w:rFonts w:hint="eastAsia" w:ascii="宋体" w:hAnsi="宋体"/>
                <w:sz w:val="16"/>
                <w:lang w:eastAsia="zh-CN"/>
              </w:rPr>
              <w:t>目的</w:t>
            </w:r>
            <w:r>
              <w:rPr>
                <w:rFonts w:ascii="宋体" w:hAnsi="宋体" w:eastAsia="宋体"/>
                <w:sz w:val="16"/>
              </w:rPr>
              <w:t>实施，全面、准确及时了解洛浦县城乡居民收入、消费和其他生活状态，保障全区城乡一体化调查工作有序开展。</w:t>
            </w:r>
          </w:p>
        </w:tc>
      </w:tr>
      <w:tr w14:paraId="0B39B6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2AEF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A4A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584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642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3AB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FA6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0B3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A12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C5A4">
            <w:pPr>
              <w:jc w:val="center"/>
            </w:pPr>
            <w:r>
              <w:rPr>
                <w:rFonts w:ascii="宋体" w:hAnsi="宋体" w:eastAsia="宋体"/>
                <w:sz w:val="16"/>
              </w:rPr>
              <w:t>偏差原因分析及改进措施</w:t>
            </w:r>
          </w:p>
        </w:tc>
      </w:tr>
      <w:tr w14:paraId="68FDA5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3C9D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0D14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30BF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262E">
            <w:pPr>
              <w:jc w:val="center"/>
            </w:pPr>
            <w:r>
              <w:rPr>
                <w:rFonts w:ascii="宋体" w:hAnsi="宋体" w:eastAsia="宋体"/>
                <w:sz w:val="16"/>
              </w:rPr>
              <w:t>地方点住调查户数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9462F">
            <w:pPr>
              <w:jc w:val="center"/>
            </w:pPr>
            <w:r>
              <w:rPr>
                <w:rFonts w:ascii="宋体" w:hAnsi="宋体" w:eastAsia="宋体"/>
                <w:sz w:val="16"/>
              </w:rPr>
              <w:t>&gt;=120户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ED309">
            <w:pPr>
              <w:jc w:val="center"/>
            </w:pPr>
            <w:r>
              <w:rPr>
                <w:rFonts w:ascii="宋体" w:hAnsi="宋体" w:eastAsia="宋体"/>
                <w:sz w:val="16"/>
              </w:rPr>
              <w:t>=120户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A0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2F6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C3B4">
            <w:pPr>
              <w:jc w:val="center"/>
            </w:pPr>
          </w:p>
        </w:tc>
      </w:tr>
      <w:tr w14:paraId="7C1A9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911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675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FD7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A1FBB">
            <w:pPr>
              <w:jc w:val="center"/>
            </w:pPr>
            <w:r>
              <w:rPr>
                <w:rFonts w:ascii="宋体" w:hAnsi="宋体" w:eastAsia="宋体"/>
                <w:sz w:val="16"/>
              </w:rPr>
              <w:t>补助调查员人数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088EE">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DCC3D">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9E0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E3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12C99">
            <w:pPr>
              <w:jc w:val="center"/>
            </w:pPr>
          </w:p>
        </w:tc>
      </w:tr>
      <w:tr w14:paraId="7E3FC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BE4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3D8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26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D773">
            <w:pPr>
              <w:jc w:val="center"/>
            </w:pPr>
            <w:r>
              <w:rPr>
                <w:rFonts w:ascii="宋体" w:hAnsi="宋体" w:eastAsia="宋体"/>
                <w:sz w:val="16"/>
              </w:rPr>
              <w:t>调查覆盖率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049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18F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B51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E1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39878">
            <w:pPr>
              <w:jc w:val="center"/>
            </w:pPr>
          </w:p>
        </w:tc>
      </w:tr>
      <w:tr w14:paraId="4B013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524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CE1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3C29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9D8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610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6E8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DD6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8A5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F61EC">
            <w:pPr>
              <w:jc w:val="center"/>
            </w:pPr>
          </w:p>
        </w:tc>
      </w:tr>
      <w:tr w14:paraId="4BE56F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368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EE8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18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C31C8">
            <w:pPr>
              <w:jc w:val="center"/>
            </w:pPr>
            <w:r>
              <w:rPr>
                <w:rFonts w:ascii="宋体" w:hAnsi="宋体" w:eastAsia="宋体"/>
                <w:sz w:val="16"/>
              </w:rPr>
              <w:t>调查补助资金支付时性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E01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375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5FD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9B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9B368">
            <w:pPr>
              <w:jc w:val="center"/>
            </w:pPr>
          </w:p>
        </w:tc>
      </w:tr>
      <w:tr w14:paraId="2DFBB5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F542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5353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11D9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B6E05">
            <w:pPr>
              <w:jc w:val="center"/>
            </w:pPr>
            <w:r>
              <w:rPr>
                <w:rFonts w:ascii="宋体" w:hAnsi="宋体" w:eastAsia="宋体"/>
                <w:sz w:val="16"/>
              </w:rPr>
              <w:t>调查户补助标准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2C698">
            <w:pPr>
              <w:jc w:val="center"/>
            </w:pPr>
            <w:r>
              <w:rPr>
                <w:rFonts w:ascii="宋体" w:hAnsi="宋体" w:eastAsia="宋体"/>
                <w:sz w:val="16"/>
              </w:rPr>
              <w:t>&lt;=200/户/月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8F66B">
            <w:pPr>
              <w:jc w:val="center"/>
            </w:pPr>
            <w:r>
              <w:rPr>
                <w:rFonts w:ascii="宋体" w:hAnsi="宋体" w:eastAsia="宋体"/>
                <w:sz w:val="16"/>
              </w:rPr>
              <w:t>=200/户/月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24A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E20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D45C6">
            <w:pPr>
              <w:jc w:val="center"/>
            </w:pPr>
          </w:p>
        </w:tc>
      </w:tr>
      <w:tr w14:paraId="030B1E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F95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56F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746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FB2C">
            <w:pPr>
              <w:jc w:val="center"/>
            </w:pPr>
            <w:r>
              <w:rPr>
                <w:rFonts w:ascii="宋体" w:hAnsi="宋体" w:eastAsia="宋体"/>
                <w:sz w:val="16"/>
              </w:rPr>
              <w:t>调查员补助标准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7D08">
            <w:pPr>
              <w:jc w:val="center"/>
            </w:pPr>
            <w:r>
              <w:rPr>
                <w:rFonts w:ascii="宋体" w:hAnsi="宋体" w:eastAsia="宋体"/>
                <w:sz w:val="16"/>
              </w:rPr>
              <w:t>&lt;=550人/月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FA77">
            <w:pPr>
              <w:jc w:val="center"/>
            </w:pPr>
            <w:r>
              <w:rPr>
                <w:rFonts w:ascii="宋体" w:hAnsi="宋体" w:eastAsia="宋体"/>
                <w:sz w:val="16"/>
              </w:rPr>
              <w:t>=550人/月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47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256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09CEA">
            <w:pPr>
              <w:jc w:val="center"/>
            </w:pPr>
          </w:p>
        </w:tc>
      </w:tr>
      <w:tr w14:paraId="46F57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F14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023E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059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9CC8D">
            <w:pPr>
              <w:jc w:val="center"/>
            </w:pPr>
            <w:r>
              <w:rPr>
                <w:rFonts w:ascii="宋体" w:hAnsi="宋体" w:eastAsia="宋体"/>
                <w:sz w:val="16"/>
              </w:rPr>
              <w:t>保障全区城乡一体化调查工作有序开展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340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47F4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C85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39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6AD2">
            <w:pPr>
              <w:jc w:val="center"/>
            </w:pPr>
          </w:p>
        </w:tc>
      </w:tr>
      <w:tr w14:paraId="44C2B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15D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1A26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FCEF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F34A9">
            <w:pPr>
              <w:jc w:val="center"/>
            </w:pPr>
            <w:r>
              <w:rPr>
                <w:rFonts w:ascii="宋体" w:hAnsi="宋体" w:eastAsia="宋体"/>
                <w:sz w:val="16"/>
              </w:rPr>
              <w:t>调查户满意度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72DD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B34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EB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E54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9720">
            <w:pPr>
              <w:jc w:val="center"/>
            </w:pPr>
          </w:p>
        </w:tc>
      </w:tr>
      <w:tr w14:paraId="2A6E5C6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8FB74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F0E2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3C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E178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2D1E7A8"/>
        </w:tc>
      </w:tr>
    </w:tbl>
    <w:p w14:paraId="33D4B6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BC9143">
        <w:tblPrEx>
          <w:tblCellMar>
            <w:top w:w="0" w:type="dxa"/>
            <w:left w:w="108" w:type="dxa"/>
            <w:bottom w:w="0" w:type="dxa"/>
            <w:right w:w="108" w:type="dxa"/>
          </w:tblCellMar>
        </w:tblPrEx>
        <w:tc>
          <w:tcPr>
            <w:tcW w:w="8847" w:type="dxa"/>
            <w:gridSpan w:val="9"/>
            <w:vAlign w:val="center"/>
          </w:tcPr>
          <w:p w14:paraId="47285055">
            <w:pPr>
              <w:jc w:val="center"/>
            </w:pPr>
            <w:r>
              <w:rPr>
                <w:rFonts w:ascii="宋体" w:hAnsi="宋体" w:eastAsia="宋体"/>
                <w:sz w:val="24"/>
              </w:rPr>
              <w:t>项目支出绩效自评表</w:t>
            </w:r>
          </w:p>
        </w:tc>
      </w:tr>
      <w:tr w14:paraId="68514B32">
        <w:tblPrEx>
          <w:tblCellMar>
            <w:top w:w="0" w:type="dxa"/>
            <w:left w:w="108" w:type="dxa"/>
            <w:bottom w:w="0" w:type="dxa"/>
            <w:right w:w="108" w:type="dxa"/>
          </w:tblCellMar>
        </w:tblPrEx>
        <w:tc>
          <w:tcPr>
            <w:tcW w:w="8847" w:type="dxa"/>
            <w:gridSpan w:val="9"/>
            <w:vAlign w:val="center"/>
          </w:tcPr>
          <w:p w14:paraId="4A81F2C1">
            <w:pPr>
              <w:jc w:val="center"/>
            </w:pPr>
            <w:r>
              <w:rPr>
                <w:rFonts w:ascii="宋体" w:hAnsi="宋体" w:eastAsia="宋体"/>
                <w:sz w:val="24"/>
              </w:rPr>
              <w:t>(2024年度)</w:t>
            </w:r>
          </w:p>
        </w:tc>
      </w:tr>
      <w:tr w14:paraId="3F18FA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0C82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43BB1B">
            <w:pPr>
              <w:jc w:val="center"/>
            </w:pPr>
            <w:r>
              <w:rPr>
                <w:rFonts w:ascii="宋体" w:hAnsi="宋体" w:eastAsia="宋体"/>
                <w:sz w:val="16"/>
              </w:rPr>
              <w:t>2024年自治区人口抽样调查工作经费</w:t>
            </w:r>
          </w:p>
        </w:tc>
      </w:tr>
      <w:tr w14:paraId="5161B5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4DDA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49514B">
            <w:pPr>
              <w:jc w:val="center"/>
            </w:pPr>
            <w:r>
              <w:rPr>
                <w:rFonts w:ascii="宋体" w:hAnsi="宋体" w:eastAsia="宋体"/>
                <w:sz w:val="16"/>
              </w:rPr>
              <w:t>洛浦县统计局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5BFF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8C97FF">
            <w:pPr>
              <w:jc w:val="center"/>
            </w:pPr>
            <w:r>
              <w:rPr>
                <w:rFonts w:ascii="宋体" w:hAnsi="宋体" w:eastAsia="宋体"/>
                <w:sz w:val="16"/>
              </w:rPr>
              <w:t>洛浦县统计局</w:t>
            </w:r>
          </w:p>
        </w:tc>
      </w:tr>
      <w:tr w14:paraId="2774AD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3281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F328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A71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881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46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66E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14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A3688">
            <w:pPr>
              <w:jc w:val="center"/>
            </w:pPr>
            <w:r>
              <w:rPr>
                <w:rFonts w:ascii="宋体" w:hAnsi="宋体" w:eastAsia="宋体"/>
                <w:sz w:val="16"/>
              </w:rPr>
              <w:t>得分</w:t>
            </w:r>
          </w:p>
        </w:tc>
      </w:tr>
      <w:tr w14:paraId="47D54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684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6B92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0B552">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DF9D5">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A55E">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A27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280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ABD53">
            <w:pPr>
              <w:jc w:val="center"/>
            </w:pPr>
            <w:r>
              <w:rPr>
                <w:rFonts w:ascii="宋体" w:hAnsi="宋体" w:eastAsia="宋体"/>
                <w:sz w:val="16"/>
              </w:rPr>
              <w:t>10.00分</w:t>
            </w:r>
          </w:p>
        </w:tc>
      </w:tr>
      <w:tr w14:paraId="534711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6D2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EE4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9071">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ADF5A">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1033">
            <w:pPr>
              <w:jc w:val="center"/>
            </w:pPr>
            <w:r>
              <w:rPr>
                <w:rFonts w:ascii="宋体" w:hAnsi="宋体" w:eastAsia="宋体"/>
                <w:sz w:val="16"/>
              </w:rPr>
              <w:t>2.83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522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853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14B8">
            <w:pPr>
              <w:jc w:val="center"/>
            </w:pPr>
            <w:r>
              <w:rPr>
                <w:rFonts w:ascii="宋体" w:hAnsi="宋体" w:eastAsia="宋体"/>
                <w:sz w:val="16"/>
              </w:rPr>
              <w:t>—</w:t>
            </w:r>
          </w:p>
        </w:tc>
      </w:tr>
      <w:tr w14:paraId="08FBD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59C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0964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80D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76A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99A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5D3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75D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53680">
            <w:pPr>
              <w:jc w:val="center"/>
            </w:pPr>
            <w:r>
              <w:rPr>
                <w:rFonts w:ascii="宋体" w:hAnsi="宋体" w:eastAsia="宋体"/>
                <w:sz w:val="16"/>
              </w:rPr>
              <w:t>—</w:t>
            </w:r>
          </w:p>
        </w:tc>
      </w:tr>
      <w:tr w14:paraId="09D347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C7C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28B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6A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7C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F27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B4F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C2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CEC56">
            <w:pPr>
              <w:jc w:val="center"/>
            </w:pPr>
            <w:r>
              <w:rPr>
                <w:rFonts w:ascii="宋体" w:hAnsi="宋体" w:eastAsia="宋体"/>
                <w:sz w:val="16"/>
              </w:rPr>
              <w:t>—</w:t>
            </w:r>
          </w:p>
        </w:tc>
      </w:tr>
      <w:tr w14:paraId="4291AD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D6BA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6BC59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751439">
            <w:pPr>
              <w:jc w:val="center"/>
            </w:pPr>
            <w:r>
              <w:rPr>
                <w:rFonts w:ascii="宋体" w:hAnsi="宋体" w:eastAsia="宋体"/>
                <w:sz w:val="16"/>
              </w:rPr>
              <w:t>实际完成情况</w:t>
            </w:r>
          </w:p>
        </w:tc>
      </w:tr>
      <w:tr w14:paraId="460770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96ED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23B31A">
            <w:pPr>
              <w:jc w:val="both"/>
            </w:pPr>
            <w:r>
              <w:rPr>
                <w:rFonts w:ascii="宋体" w:hAnsi="宋体" w:eastAsia="宋体"/>
                <w:sz w:val="16"/>
              </w:rPr>
              <w:t>根据《关于下达2024年人口抽样调查经费的通知》（和地财行〔2024〕12号）文件实施此项目，项目主要内容为：在自治区统计局统一安排下，组织乡级统计机构开展人口抽样调查的宣传工作，调查指导员、调查员的选聘、培训工作、调查登记</w:t>
            </w:r>
            <w:r>
              <w:rPr>
                <w:rFonts w:hint="eastAsia" w:ascii="宋体" w:hAnsi="宋体"/>
                <w:sz w:val="16"/>
                <w:lang w:eastAsia="zh-CN"/>
              </w:rPr>
              <w:t>与</w:t>
            </w:r>
            <w:r>
              <w:rPr>
                <w:rFonts w:ascii="宋体" w:hAnsi="宋体" w:eastAsia="宋体"/>
                <w:sz w:val="16"/>
              </w:rPr>
              <w:t>复查工作，督促乡镇按时发放调查员补贴资金。通过项目的实施，有效提高项目单位干部的积极性。</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CB3AFF">
            <w:pPr>
              <w:jc w:val="both"/>
            </w:pPr>
            <w:r>
              <w:rPr>
                <w:rFonts w:hint="eastAsia" w:ascii="宋体" w:hAnsi="宋体"/>
                <w:sz w:val="16"/>
                <w:lang w:eastAsia="zh-CN"/>
              </w:rPr>
              <w:t>截至</w:t>
            </w:r>
            <w:r>
              <w:rPr>
                <w:rFonts w:ascii="宋体" w:hAnsi="宋体" w:eastAsia="宋体"/>
                <w:sz w:val="16"/>
              </w:rPr>
              <w:t>2024年12月31日，完成组织乡级统计机构开展人口抽样调查的宣传工作，调查指导员、调查员的选聘、培训工作、调查登记</w:t>
            </w:r>
            <w:r>
              <w:rPr>
                <w:rFonts w:hint="eastAsia" w:ascii="宋体" w:hAnsi="宋体"/>
                <w:sz w:val="16"/>
                <w:lang w:eastAsia="zh-CN"/>
              </w:rPr>
              <w:t>与</w:t>
            </w:r>
            <w:r>
              <w:rPr>
                <w:rFonts w:ascii="宋体" w:hAnsi="宋体" w:eastAsia="宋体"/>
                <w:sz w:val="16"/>
              </w:rPr>
              <w:t>复查工作，按时发放调查员补贴资金。资金已使用2.83万元。通过项目的实施，有效提高项目单位干部的积极性。</w:t>
            </w:r>
          </w:p>
        </w:tc>
      </w:tr>
      <w:tr w14:paraId="08973C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E7DF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BB0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4F4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B306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8720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C4C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2A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B26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8E5F9">
            <w:pPr>
              <w:jc w:val="center"/>
            </w:pPr>
            <w:r>
              <w:rPr>
                <w:rFonts w:ascii="宋体" w:hAnsi="宋体" w:eastAsia="宋体"/>
                <w:sz w:val="16"/>
              </w:rPr>
              <w:t>偏差原因分析及改进措施</w:t>
            </w:r>
          </w:p>
        </w:tc>
      </w:tr>
      <w:tr w14:paraId="591B5B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944E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D9D1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AD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2BF5">
            <w:pPr>
              <w:jc w:val="center"/>
            </w:pPr>
            <w:r>
              <w:rPr>
                <w:rFonts w:ascii="宋体" w:hAnsi="宋体" w:eastAsia="宋体"/>
                <w:sz w:val="16"/>
              </w:rPr>
              <w:t>保障项目个数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B6C4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8D156">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320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B2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98F1D">
            <w:pPr>
              <w:jc w:val="center"/>
            </w:pPr>
          </w:p>
        </w:tc>
      </w:tr>
      <w:tr w14:paraId="2184AA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B3A4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BF0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852D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A5DDF">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CB0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E8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27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6C1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03E14">
            <w:pPr>
              <w:jc w:val="center"/>
            </w:pPr>
          </w:p>
        </w:tc>
      </w:tr>
      <w:tr w14:paraId="6C891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CCD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0B6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2F9B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CA94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09C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0DA7">
            <w:pPr>
              <w:jc w:val="center"/>
            </w:pPr>
            <w:r>
              <w:rPr>
                <w:rFonts w:ascii="宋体" w:hAnsi="宋体" w:eastAsia="宋体"/>
                <w:sz w:val="16"/>
              </w:rPr>
              <w:t>=2024年11月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6DC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B56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B162">
            <w:pPr>
              <w:jc w:val="center"/>
            </w:pPr>
          </w:p>
        </w:tc>
      </w:tr>
      <w:tr w14:paraId="010D66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B4C7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9E4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832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5AC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7BE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E3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1D4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682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14646">
            <w:pPr>
              <w:jc w:val="center"/>
            </w:pPr>
          </w:p>
        </w:tc>
      </w:tr>
      <w:tr w14:paraId="202686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E49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BCDB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5623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5ADE">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3B6C">
            <w:pPr>
              <w:jc w:val="center"/>
            </w:pPr>
            <w:r>
              <w:rPr>
                <w:rFonts w:ascii="宋体" w:hAnsi="宋体" w:eastAsia="宋体"/>
                <w:sz w:val="16"/>
              </w:rPr>
              <w:t>&lt;=2.83万元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1DAB4">
            <w:pPr>
              <w:jc w:val="center"/>
            </w:pPr>
            <w:r>
              <w:rPr>
                <w:rFonts w:ascii="宋体" w:hAnsi="宋体" w:eastAsia="宋体"/>
                <w:sz w:val="16"/>
              </w:rPr>
              <w:t>=2.83万元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490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26D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D07CE">
            <w:pPr>
              <w:jc w:val="center"/>
            </w:pPr>
          </w:p>
        </w:tc>
      </w:tr>
      <w:tr w14:paraId="64F3D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2FD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929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9A8E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23F97">
            <w:pPr>
              <w:jc w:val="center"/>
            </w:pPr>
            <w:r>
              <w:rPr>
                <w:rFonts w:ascii="宋体" w:hAnsi="宋体" w:eastAsia="宋体"/>
                <w:sz w:val="16"/>
              </w:rPr>
              <w:t>提高项目单位干部的积极性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B4C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5789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D2B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26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ACE77">
            <w:pPr>
              <w:jc w:val="center"/>
            </w:pPr>
          </w:p>
        </w:tc>
      </w:tr>
      <w:tr w14:paraId="64ECE9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EFA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402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482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393F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6E36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591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3F6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711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C20B0">
            <w:pPr>
              <w:jc w:val="center"/>
            </w:pPr>
          </w:p>
        </w:tc>
      </w:tr>
      <w:tr w14:paraId="03E2EEB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8A6B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0524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430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BB3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15B242"/>
        </w:tc>
      </w:tr>
    </w:tbl>
    <w:p w14:paraId="36F7CBB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B364B0">
        <w:tblPrEx>
          <w:tblCellMar>
            <w:top w:w="0" w:type="dxa"/>
            <w:left w:w="108" w:type="dxa"/>
            <w:bottom w:w="0" w:type="dxa"/>
            <w:right w:w="108" w:type="dxa"/>
          </w:tblCellMar>
        </w:tblPrEx>
        <w:tc>
          <w:tcPr>
            <w:tcW w:w="8847" w:type="dxa"/>
            <w:gridSpan w:val="9"/>
            <w:vAlign w:val="center"/>
          </w:tcPr>
          <w:p w14:paraId="3EA9F6A4">
            <w:pPr>
              <w:jc w:val="center"/>
            </w:pPr>
            <w:r>
              <w:rPr>
                <w:rFonts w:ascii="宋体" w:hAnsi="宋体" w:eastAsia="宋体"/>
                <w:sz w:val="24"/>
              </w:rPr>
              <w:t>项目支出绩效自评表</w:t>
            </w:r>
          </w:p>
        </w:tc>
      </w:tr>
      <w:tr w14:paraId="2BE6C3DD">
        <w:tblPrEx>
          <w:tblCellMar>
            <w:top w:w="0" w:type="dxa"/>
            <w:left w:w="108" w:type="dxa"/>
            <w:bottom w:w="0" w:type="dxa"/>
            <w:right w:w="108" w:type="dxa"/>
          </w:tblCellMar>
        </w:tblPrEx>
        <w:tc>
          <w:tcPr>
            <w:tcW w:w="8847" w:type="dxa"/>
            <w:gridSpan w:val="9"/>
            <w:vAlign w:val="center"/>
          </w:tcPr>
          <w:p w14:paraId="31DC7BEC">
            <w:pPr>
              <w:jc w:val="center"/>
            </w:pPr>
            <w:r>
              <w:rPr>
                <w:rFonts w:ascii="宋体" w:hAnsi="宋体" w:eastAsia="宋体"/>
                <w:sz w:val="24"/>
              </w:rPr>
              <w:t>(2024年度)</w:t>
            </w:r>
          </w:p>
        </w:tc>
      </w:tr>
      <w:tr w14:paraId="796ADD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76E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2AFCFF">
            <w:pPr>
              <w:jc w:val="center"/>
            </w:pPr>
            <w:r>
              <w:rPr>
                <w:rFonts w:ascii="宋体" w:hAnsi="宋体" w:eastAsia="宋体"/>
                <w:sz w:val="16"/>
              </w:rPr>
              <w:t>吐送托乎提·依明房改房退款</w:t>
            </w:r>
          </w:p>
        </w:tc>
      </w:tr>
      <w:tr w14:paraId="005315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7CDD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2FE497">
            <w:pPr>
              <w:jc w:val="center"/>
            </w:pPr>
            <w:r>
              <w:rPr>
                <w:rFonts w:ascii="宋体" w:hAnsi="宋体" w:eastAsia="宋体"/>
                <w:sz w:val="16"/>
              </w:rPr>
              <w:t>洛浦县统计局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E6A0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A563DB">
            <w:pPr>
              <w:jc w:val="center"/>
            </w:pPr>
            <w:r>
              <w:rPr>
                <w:rFonts w:ascii="宋体" w:hAnsi="宋体" w:eastAsia="宋体"/>
                <w:sz w:val="16"/>
              </w:rPr>
              <w:t>洛浦县统计局</w:t>
            </w:r>
          </w:p>
        </w:tc>
      </w:tr>
      <w:tr w14:paraId="7D7421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14E8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D6E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8D4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E12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1F2C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0D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15F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B5B35">
            <w:pPr>
              <w:jc w:val="center"/>
            </w:pPr>
            <w:r>
              <w:rPr>
                <w:rFonts w:ascii="宋体" w:hAnsi="宋体" w:eastAsia="宋体"/>
                <w:sz w:val="16"/>
              </w:rPr>
              <w:t>得分</w:t>
            </w:r>
          </w:p>
        </w:tc>
      </w:tr>
      <w:tr w14:paraId="07401A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B8EF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634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06031">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2AC09">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FEFBA">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C5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DCE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5312A">
            <w:pPr>
              <w:jc w:val="center"/>
            </w:pPr>
            <w:r>
              <w:rPr>
                <w:rFonts w:ascii="宋体" w:hAnsi="宋体" w:eastAsia="宋体"/>
                <w:sz w:val="16"/>
              </w:rPr>
              <w:t>10.00分</w:t>
            </w:r>
          </w:p>
        </w:tc>
      </w:tr>
      <w:tr w14:paraId="78AEAA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658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6BD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BCF58">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BF0B0">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BB74F">
            <w:pPr>
              <w:jc w:val="center"/>
            </w:pPr>
            <w:r>
              <w:rPr>
                <w:rFonts w:ascii="宋体" w:hAnsi="宋体" w:eastAsia="宋体"/>
                <w:sz w:val="16"/>
              </w:rPr>
              <w:t>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FA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612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911C">
            <w:pPr>
              <w:jc w:val="center"/>
            </w:pPr>
            <w:r>
              <w:rPr>
                <w:rFonts w:ascii="宋体" w:hAnsi="宋体" w:eastAsia="宋体"/>
                <w:sz w:val="16"/>
              </w:rPr>
              <w:t>—</w:t>
            </w:r>
          </w:p>
        </w:tc>
      </w:tr>
      <w:tr w14:paraId="7A0BB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C33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C37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560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B77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617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89C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16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89B7F">
            <w:pPr>
              <w:jc w:val="center"/>
            </w:pPr>
            <w:r>
              <w:rPr>
                <w:rFonts w:ascii="宋体" w:hAnsi="宋体" w:eastAsia="宋体"/>
                <w:sz w:val="16"/>
              </w:rPr>
              <w:t>—</w:t>
            </w:r>
          </w:p>
        </w:tc>
      </w:tr>
      <w:tr w14:paraId="2A4FF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A58A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7441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A9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044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DB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12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A0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9591">
            <w:pPr>
              <w:jc w:val="center"/>
            </w:pPr>
            <w:r>
              <w:rPr>
                <w:rFonts w:ascii="宋体" w:hAnsi="宋体" w:eastAsia="宋体"/>
                <w:sz w:val="16"/>
              </w:rPr>
              <w:t>—</w:t>
            </w:r>
          </w:p>
        </w:tc>
      </w:tr>
      <w:tr w14:paraId="380108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A3D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313D4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7E8937">
            <w:pPr>
              <w:jc w:val="center"/>
            </w:pPr>
            <w:r>
              <w:rPr>
                <w:rFonts w:ascii="宋体" w:hAnsi="宋体" w:eastAsia="宋体"/>
                <w:sz w:val="16"/>
              </w:rPr>
              <w:t>实际完成情况</w:t>
            </w:r>
          </w:p>
        </w:tc>
      </w:tr>
      <w:tr w14:paraId="3C737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10E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97A864">
            <w:pPr>
              <w:jc w:val="both"/>
            </w:pPr>
            <w:r>
              <w:rPr>
                <w:rFonts w:ascii="宋体" w:hAnsi="宋体" w:eastAsia="宋体"/>
                <w:sz w:val="16"/>
              </w:rPr>
              <w:t>吐送托乎提·依明房改房退款-洛财纪字</w:t>
            </w:r>
            <w:r>
              <w:rPr>
                <w:rFonts w:hint="eastAsia" w:ascii="宋体" w:hAnsi="宋体"/>
                <w:sz w:val="16"/>
                <w:lang w:eastAsia="zh-CN"/>
              </w:rPr>
              <w:t>〔2024〕5号</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38F872">
            <w:pPr>
              <w:jc w:val="both"/>
            </w:pPr>
            <w:r>
              <w:rPr>
                <w:rFonts w:hint="eastAsia" w:ascii="宋体" w:hAnsi="宋体"/>
                <w:sz w:val="16"/>
                <w:lang w:eastAsia="zh-CN"/>
              </w:rPr>
              <w:t>截至2024</w:t>
            </w:r>
            <w:r>
              <w:rPr>
                <w:rFonts w:ascii="宋体" w:hAnsi="宋体" w:eastAsia="宋体"/>
                <w:sz w:val="16"/>
              </w:rPr>
              <w:t>年12月31日，根据文件要求洛财纪字</w:t>
            </w:r>
            <w:r>
              <w:rPr>
                <w:rFonts w:hint="eastAsia" w:ascii="宋体" w:hAnsi="宋体"/>
                <w:sz w:val="16"/>
                <w:lang w:eastAsia="zh-CN"/>
              </w:rPr>
              <w:t>〔2024〕5号</w:t>
            </w:r>
            <w:r>
              <w:rPr>
                <w:rFonts w:ascii="宋体" w:hAnsi="宋体" w:eastAsia="宋体"/>
                <w:sz w:val="16"/>
              </w:rPr>
              <w:t>，已完成吐送托乎提·依明房改房退款发放。资金已使用1.42万元。通过项目的实施，有效提高单位职工的工作积极性</w:t>
            </w:r>
          </w:p>
        </w:tc>
      </w:tr>
      <w:tr w14:paraId="60C711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6F6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7E5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DAB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33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E76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F53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654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7AA6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3188A">
            <w:pPr>
              <w:jc w:val="center"/>
            </w:pPr>
            <w:r>
              <w:rPr>
                <w:rFonts w:ascii="宋体" w:hAnsi="宋体" w:eastAsia="宋体"/>
                <w:sz w:val="16"/>
              </w:rPr>
              <w:t>偏差原因分析及改进措施</w:t>
            </w:r>
          </w:p>
        </w:tc>
      </w:tr>
      <w:tr w14:paraId="0EEBBB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D7B3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A53D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1C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2AB4">
            <w:pPr>
              <w:jc w:val="center"/>
            </w:pPr>
            <w:r>
              <w:rPr>
                <w:rFonts w:ascii="宋体" w:hAnsi="宋体" w:eastAsia="宋体"/>
                <w:sz w:val="16"/>
              </w:rPr>
              <w:t>保障职工数量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D08B">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507C1">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38A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F8A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941E">
            <w:pPr>
              <w:jc w:val="center"/>
            </w:pPr>
          </w:p>
        </w:tc>
      </w:tr>
      <w:tr w14:paraId="33106B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8546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72B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50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BB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F6A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A89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4F0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E9E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51F5C">
            <w:pPr>
              <w:jc w:val="center"/>
            </w:pPr>
          </w:p>
        </w:tc>
      </w:tr>
      <w:tr w14:paraId="03E830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7C1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E80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B245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70B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BED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2FC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76B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B6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A5CD9">
            <w:pPr>
              <w:jc w:val="center"/>
            </w:pPr>
          </w:p>
        </w:tc>
      </w:tr>
      <w:tr w14:paraId="4645F7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45D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6AE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560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74CD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F7618">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5112">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C7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B6A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33CD">
            <w:pPr>
              <w:jc w:val="center"/>
            </w:pPr>
          </w:p>
        </w:tc>
      </w:tr>
      <w:tr w14:paraId="2D3D9B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BE3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4677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D5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BB821">
            <w:pPr>
              <w:jc w:val="center"/>
            </w:pPr>
            <w:r>
              <w:rPr>
                <w:rFonts w:ascii="宋体" w:hAnsi="宋体" w:eastAsia="宋体"/>
                <w:sz w:val="16"/>
              </w:rPr>
              <w:t>房改房退款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BA0A9">
            <w:pPr>
              <w:jc w:val="center"/>
            </w:pPr>
            <w:r>
              <w:rPr>
                <w:rFonts w:ascii="宋体" w:hAnsi="宋体" w:eastAsia="宋体"/>
                <w:sz w:val="16"/>
              </w:rPr>
              <w:t>&lt;=1.42万元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205A9">
            <w:pPr>
              <w:jc w:val="center"/>
            </w:pPr>
            <w:r>
              <w:rPr>
                <w:rFonts w:ascii="宋体" w:hAnsi="宋体" w:eastAsia="宋体"/>
                <w:sz w:val="16"/>
              </w:rPr>
              <w:t>=1.42万元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D4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42D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E70AA">
            <w:pPr>
              <w:jc w:val="center"/>
            </w:pPr>
          </w:p>
        </w:tc>
      </w:tr>
      <w:tr w14:paraId="7EB849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F69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A522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551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213F">
            <w:pPr>
              <w:jc w:val="center"/>
            </w:pPr>
            <w:r>
              <w:rPr>
                <w:rFonts w:ascii="宋体" w:hAnsi="宋体" w:eastAsia="宋体"/>
                <w:sz w:val="16"/>
              </w:rPr>
              <w:t>提高单位职工的工作积极性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0D1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65F9E">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B9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9E5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E684">
            <w:pPr>
              <w:jc w:val="center"/>
            </w:pPr>
          </w:p>
        </w:tc>
      </w:tr>
      <w:tr w14:paraId="307C21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F2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B8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8DA4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4C5A">
            <w:pPr>
              <w:jc w:val="center"/>
            </w:pPr>
            <w:r>
              <w:rPr>
                <w:rFonts w:ascii="宋体" w:hAnsi="宋体" w:eastAsia="宋体"/>
                <w:sz w:val="16"/>
              </w:rPr>
              <w:t>单位职工满意度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AB5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7D7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887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D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E1D38">
            <w:pPr>
              <w:jc w:val="center"/>
            </w:pPr>
          </w:p>
        </w:tc>
      </w:tr>
      <w:tr w14:paraId="6C12F1E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4E64C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6C48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FF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218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36E093"/>
        </w:tc>
      </w:tr>
    </w:tbl>
    <w:p w14:paraId="681202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635F00">
        <w:tc>
          <w:tcPr>
            <w:tcW w:w="8847" w:type="dxa"/>
            <w:gridSpan w:val="9"/>
            <w:vAlign w:val="center"/>
          </w:tcPr>
          <w:p w14:paraId="27555D4F">
            <w:pPr>
              <w:jc w:val="center"/>
            </w:pPr>
            <w:r>
              <w:rPr>
                <w:rFonts w:ascii="宋体" w:hAnsi="宋体" w:eastAsia="宋体"/>
                <w:sz w:val="24"/>
              </w:rPr>
              <w:t>项目支出绩效自评表</w:t>
            </w:r>
          </w:p>
        </w:tc>
      </w:tr>
      <w:tr w14:paraId="3CAF6816">
        <w:tc>
          <w:tcPr>
            <w:tcW w:w="8847" w:type="dxa"/>
            <w:gridSpan w:val="9"/>
            <w:vAlign w:val="center"/>
          </w:tcPr>
          <w:p w14:paraId="7898521E">
            <w:pPr>
              <w:jc w:val="center"/>
            </w:pPr>
            <w:r>
              <w:rPr>
                <w:rFonts w:ascii="宋体" w:hAnsi="宋体" w:eastAsia="宋体"/>
                <w:sz w:val="24"/>
              </w:rPr>
              <w:t>(2024年度)</w:t>
            </w:r>
          </w:p>
        </w:tc>
      </w:tr>
      <w:tr w14:paraId="1AF00F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0B96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0EB380">
            <w:pPr>
              <w:jc w:val="center"/>
            </w:pPr>
            <w:r>
              <w:rPr>
                <w:rFonts w:ascii="宋体" w:hAnsi="宋体" w:eastAsia="宋体"/>
                <w:sz w:val="16"/>
              </w:rPr>
              <w:t>自治区第五次全国经济普查经费</w:t>
            </w:r>
          </w:p>
        </w:tc>
      </w:tr>
      <w:tr w14:paraId="3FB78D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792A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C50208">
            <w:pPr>
              <w:jc w:val="center"/>
            </w:pPr>
            <w:r>
              <w:rPr>
                <w:rFonts w:ascii="宋体" w:hAnsi="宋体" w:eastAsia="宋体"/>
                <w:sz w:val="16"/>
              </w:rPr>
              <w:t>洛浦县统计局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F78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0183E1">
            <w:pPr>
              <w:jc w:val="center"/>
            </w:pPr>
            <w:r>
              <w:rPr>
                <w:rFonts w:ascii="宋体" w:hAnsi="宋体" w:eastAsia="宋体"/>
                <w:sz w:val="16"/>
              </w:rPr>
              <w:t>洛浦县统计局</w:t>
            </w:r>
          </w:p>
        </w:tc>
      </w:tr>
      <w:tr w14:paraId="165DDC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925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0687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08E7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E8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F97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284A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75A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EEA24">
            <w:pPr>
              <w:jc w:val="center"/>
            </w:pPr>
            <w:r>
              <w:rPr>
                <w:rFonts w:ascii="宋体" w:hAnsi="宋体" w:eastAsia="宋体"/>
                <w:sz w:val="16"/>
              </w:rPr>
              <w:t>得分</w:t>
            </w:r>
          </w:p>
        </w:tc>
      </w:tr>
      <w:tr w14:paraId="2D810F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EF7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AEB9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E2DAE">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2B7E">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B48FE">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2B6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0EA8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E981E">
            <w:pPr>
              <w:jc w:val="center"/>
            </w:pPr>
            <w:r>
              <w:rPr>
                <w:rFonts w:ascii="宋体" w:hAnsi="宋体" w:eastAsia="宋体"/>
                <w:sz w:val="16"/>
              </w:rPr>
              <w:t>10.00分</w:t>
            </w:r>
          </w:p>
        </w:tc>
      </w:tr>
      <w:tr w14:paraId="01F18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D25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EE72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21F8D">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8ADB1">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1595">
            <w:pPr>
              <w:jc w:val="center"/>
            </w:pPr>
            <w:r>
              <w:rPr>
                <w:rFonts w:ascii="宋体" w:hAnsi="宋体" w:eastAsia="宋体"/>
                <w:sz w:val="16"/>
              </w:rPr>
              <w:t>54.42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41F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DD2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67953">
            <w:pPr>
              <w:jc w:val="center"/>
            </w:pPr>
            <w:r>
              <w:rPr>
                <w:rFonts w:ascii="宋体" w:hAnsi="宋体" w:eastAsia="宋体"/>
                <w:sz w:val="16"/>
              </w:rPr>
              <w:t>—</w:t>
            </w:r>
          </w:p>
        </w:tc>
      </w:tr>
      <w:tr w14:paraId="14563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D046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618B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E3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FD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1B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703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458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0C01">
            <w:pPr>
              <w:jc w:val="center"/>
            </w:pPr>
            <w:r>
              <w:rPr>
                <w:rFonts w:ascii="宋体" w:hAnsi="宋体" w:eastAsia="宋体"/>
                <w:sz w:val="16"/>
              </w:rPr>
              <w:t>—</w:t>
            </w:r>
          </w:p>
        </w:tc>
      </w:tr>
      <w:tr w14:paraId="4A633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04E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3C4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95A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4A3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3F3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7B1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115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DCC12">
            <w:pPr>
              <w:jc w:val="center"/>
            </w:pPr>
            <w:r>
              <w:rPr>
                <w:rFonts w:ascii="宋体" w:hAnsi="宋体" w:eastAsia="宋体"/>
                <w:sz w:val="16"/>
              </w:rPr>
              <w:t>—</w:t>
            </w:r>
          </w:p>
        </w:tc>
      </w:tr>
      <w:tr w14:paraId="09B5F9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4719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7503A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2F08EB">
            <w:pPr>
              <w:jc w:val="center"/>
            </w:pPr>
            <w:r>
              <w:rPr>
                <w:rFonts w:ascii="宋体" w:hAnsi="宋体" w:eastAsia="宋体"/>
                <w:sz w:val="16"/>
              </w:rPr>
              <w:t>实际完成情况</w:t>
            </w:r>
          </w:p>
        </w:tc>
      </w:tr>
      <w:tr w14:paraId="03682F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C13C9"/>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B97140">
            <w:pPr>
              <w:jc w:val="both"/>
            </w:pPr>
            <w:r>
              <w:rPr>
                <w:rFonts w:ascii="宋体" w:hAnsi="宋体" w:eastAsia="宋体"/>
                <w:sz w:val="16"/>
              </w:rPr>
              <w:t>根据关于下达自治区第五次全国经济普查经费的通知</w:t>
            </w:r>
            <w:bookmarkStart w:id="0" w:name="_GoBack"/>
            <w:r>
              <w:rPr>
                <w:rFonts w:hint="eastAsia" w:ascii="宋体" w:hAnsi="宋体"/>
                <w:sz w:val="16"/>
                <w:lang w:eastAsia="zh-CN"/>
              </w:rPr>
              <w:t>－</w:t>
            </w:r>
            <w:bookmarkEnd w:id="0"/>
            <w:r>
              <w:rPr>
                <w:rFonts w:ascii="宋体" w:hAnsi="宋体" w:eastAsia="宋体"/>
                <w:sz w:val="16"/>
              </w:rPr>
              <w:t>和地财行</w:t>
            </w:r>
            <w:r>
              <w:rPr>
                <w:rFonts w:hint="eastAsia" w:ascii="宋体" w:hAnsi="宋体"/>
                <w:sz w:val="16"/>
                <w:lang w:eastAsia="zh-CN"/>
              </w:rPr>
              <w:t>〔2024〕23号</w:t>
            </w:r>
            <w:r>
              <w:rPr>
                <w:rFonts w:ascii="宋体" w:hAnsi="宋体" w:eastAsia="宋体"/>
                <w:sz w:val="16"/>
              </w:rPr>
              <w:t>/洛财行</w:t>
            </w:r>
            <w:r>
              <w:rPr>
                <w:rFonts w:hint="eastAsia" w:ascii="宋体" w:hAnsi="宋体"/>
                <w:sz w:val="16"/>
                <w:lang w:eastAsia="zh-CN"/>
              </w:rPr>
              <w:t>〔2024〕14号</w:t>
            </w:r>
            <w:r>
              <w:rPr>
                <w:rFonts w:ascii="宋体" w:hAnsi="宋体" w:eastAsia="宋体"/>
                <w:sz w:val="16"/>
              </w:rPr>
              <w:t>文件要求，2024年是第五次经济普查的正式登记</w:t>
            </w:r>
            <w:r>
              <w:rPr>
                <w:rFonts w:hint="eastAsia" w:ascii="宋体" w:hAnsi="宋体"/>
                <w:sz w:val="16"/>
                <w:lang w:eastAsia="zh-CN"/>
              </w:rPr>
              <w:t>阶段</w:t>
            </w:r>
            <w:r>
              <w:rPr>
                <w:rFonts w:ascii="宋体" w:hAnsi="宋体" w:eastAsia="宋体"/>
                <w:sz w:val="16"/>
              </w:rPr>
              <w:t>，主要目标是开展普查登记、数据审核验收，开展数据事后质量抽查和评估普查数据质量实际参与人员发放补助。</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6BBCA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已完成普查人员培训参与人数353人，任务完成数量4349个。资金已使用54.42万元。通过项目的实施，有效</w:t>
            </w:r>
            <w:r>
              <w:rPr>
                <w:rFonts w:hint="eastAsia" w:ascii="宋体" w:hAnsi="宋体"/>
                <w:sz w:val="16"/>
                <w:lang w:eastAsia="zh-CN"/>
              </w:rPr>
              <w:t>提高</w:t>
            </w:r>
            <w:r>
              <w:rPr>
                <w:rFonts w:ascii="宋体" w:hAnsi="宋体" w:eastAsia="宋体"/>
                <w:sz w:val="16"/>
              </w:rPr>
              <w:t>政府统计公信力。</w:t>
            </w:r>
          </w:p>
        </w:tc>
      </w:tr>
      <w:tr w14:paraId="4D31CF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BF57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F2A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D39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C91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03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A1F1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1379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8274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11A92">
            <w:pPr>
              <w:jc w:val="center"/>
            </w:pPr>
            <w:r>
              <w:rPr>
                <w:rFonts w:ascii="宋体" w:hAnsi="宋体" w:eastAsia="宋体"/>
                <w:sz w:val="16"/>
              </w:rPr>
              <w:t>偏差原因分析及改进措施</w:t>
            </w:r>
          </w:p>
        </w:tc>
      </w:tr>
      <w:tr w14:paraId="4CB9C9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D14A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4686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AAAF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86276">
            <w:pPr>
              <w:jc w:val="center"/>
            </w:pPr>
            <w:r>
              <w:rPr>
                <w:rFonts w:ascii="宋体" w:hAnsi="宋体" w:eastAsia="宋体"/>
                <w:sz w:val="16"/>
              </w:rPr>
              <w:t>普查人员培训参与人数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A638">
            <w:pPr>
              <w:jc w:val="center"/>
            </w:pPr>
            <w:r>
              <w:rPr>
                <w:rFonts w:ascii="宋体" w:hAnsi="宋体" w:eastAsia="宋体"/>
                <w:sz w:val="16"/>
              </w:rPr>
              <w:t>&gt;=356人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B488B">
            <w:pPr>
              <w:jc w:val="center"/>
            </w:pPr>
            <w:r>
              <w:rPr>
                <w:rFonts w:ascii="宋体" w:hAnsi="宋体" w:eastAsia="宋体"/>
                <w:sz w:val="16"/>
              </w:rPr>
              <w:t>=353人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D1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6EC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7378">
            <w:pPr>
              <w:jc w:val="center"/>
            </w:pPr>
          </w:p>
        </w:tc>
      </w:tr>
      <w:tr w14:paraId="5F9AC6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CDC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6C7D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684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20E73">
            <w:pPr>
              <w:jc w:val="center"/>
            </w:pPr>
            <w:r>
              <w:rPr>
                <w:rFonts w:ascii="宋体" w:hAnsi="宋体" w:eastAsia="宋体"/>
                <w:sz w:val="16"/>
              </w:rPr>
              <w:t>任务完成数量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2075E">
            <w:pPr>
              <w:jc w:val="center"/>
            </w:pPr>
            <w:r>
              <w:rPr>
                <w:rFonts w:ascii="宋体" w:hAnsi="宋体" w:eastAsia="宋体"/>
                <w:sz w:val="16"/>
              </w:rPr>
              <w:t>&gt;=4349个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CA6EC">
            <w:pPr>
              <w:jc w:val="center"/>
            </w:pPr>
            <w:r>
              <w:rPr>
                <w:rFonts w:ascii="宋体" w:hAnsi="宋体" w:eastAsia="宋体"/>
                <w:sz w:val="16"/>
              </w:rPr>
              <w:t>=4349个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2C6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9607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DCA99">
            <w:pPr>
              <w:jc w:val="center"/>
            </w:pPr>
          </w:p>
        </w:tc>
      </w:tr>
      <w:tr w14:paraId="448AE8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BD7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953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E67E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1F14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902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9E9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FE0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5860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F9243">
            <w:pPr>
              <w:jc w:val="center"/>
            </w:pPr>
          </w:p>
        </w:tc>
      </w:tr>
      <w:tr w14:paraId="71AC3A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599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762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9F1A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BD00">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EC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0BD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A5A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1E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2D6DD">
            <w:pPr>
              <w:jc w:val="center"/>
            </w:pPr>
          </w:p>
        </w:tc>
      </w:tr>
      <w:tr w14:paraId="09BF84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04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8B6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644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192C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0ABE">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483C">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242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358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3A8C7">
            <w:pPr>
              <w:jc w:val="center"/>
            </w:pPr>
          </w:p>
        </w:tc>
      </w:tr>
      <w:tr w14:paraId="562CA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D49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22F9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6817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4ED96">
            <w:pPr>
              <w:jc w:val="center"/>
            </w:pPr>
            <w:r>
              <w:rPr>
                <w:rFonts w:ascii="宋体" w:hAnsi="宋体" w:eastAsia="宋体"/>
                <w:sz w:val="16"/>
              </w:rPr>
              <w:t>普查员及普查指导员补助经费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AC05">
            <w:pPr>
              <w:jc w:val="center"/>
            </w:pPr>
            <w:r>
              <w:rPr>
                <w:rFonts w:ascii="宋体" w:hAnsi="宋体" w:eastAsia="宋体"/>
                <w:sz w:val="16"/>
              </w:rPr>
              <w:t>&lt;=54.42万元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3075F">
            <w:pPr>
              <w:jc w:val="center"/>
            </w:pPr>
            <w:r>
              <w:rPr>
                <w:rFonts w:ascii="宋体" w:hAnsi="宋体" w:eastAsia="宋体"/>
                <w:sz w:val="16"/>
              </w:rPr>
              <w:t>=54.42万元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25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E06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F3455">
            <w:pPr>
              <w:jc w:val="center"/>
            </w:pPr>
          </w:p>
        </w:tc>
      </w:tr>
      <w:tr w14:paraId="3F49E7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DBD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1F6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5AFE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42905">
            <w:pPr>
              <w:jc w:val="center"/>
            </w:pPr>
            <w:r>
              <w:rPr>
                <w:rFonts w:ascii="宋体" w:hAnsi="宋体" w:eastAsia="宋体"/>
                <w:sz w:val="16"/>
              </w:rPr>
              <w:t>普查数据提高政府统计公信力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5D09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4C2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5B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20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6264B">
            <w:pPr>
              <w:jc w:val="center"/>
            </w:pPr>
          </w:p>
        </w:tc>
      </w:tr>
      <w:tr w14:paraId="22A11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1BA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984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6C5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C9E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829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8FA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9DF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D70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AA038">
            <w:pPr>
              <w:jc w:val="center"/>
            </w:pPr>
          </w:p>
        </w:tc>
      </w:tr>
      <w:tr w14:paraId="6210FFB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5593B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BC9C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3B5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C069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AF3025"/>
        </w:tc>
      </w:tr>
    </w:tbl>
    <w:p w14:paraId="70929D04">
      <w:r>
        <w:br w:type="page"/>
      </w:r>
    </w:p>
    <w:p w14:paraId="0049E0B7">
      <w:pPr>
        <w:spacing w:line="640" w:lineRule="exact"/>
        <w:ind w:firstLine="640"/>
        <w:jc w:val="both"/>
        <w:outlineLvl w:val="2"/>
      </w:pPr>
      <w:r>
        <w:rPr>
          <w:rFonts w:ascii="黑体" w:hAnsi="黑体" w:eastAsia="黑体"/>
          <w:sz w:val="32"/>
        </w:rPr>
        <w:t>十二、其他需说明的事项</w:t>
      </w:r>
    </w:p>
    <w:p w14:paraId="447AC420">
      <w:pPr>
        <w:spacing w:line="580" w:lineRule="exact"/>
        <w:ind w:firstLine="640"/>
        <w:jc w:val="both"/>
      </w:pPr>
      <w:r>
        <w:rPr>
          <w:rFonts w:ascii="仿宋_GB2312" w:hAnsi="仿宋_GB2312" w:eastAsia="仿宋_GB2312"/>
          <w:b w:val="0"/>
          <w:sz w:val="32"/>
        </w:rPr>
        <w:t>本年本单位SM项目1个，全年预算数13.34万元，全年执行数13.34万元。</w:t>
      </w:r>
    </w:p>
    <w:p w14:paraId="04E5DCAC">
      <w:r>
        <w:br w:type="page"/>
      </w:r>
    </w:p>
    <w:p w14:paraId="25AC3D1A">
      <w:pPr>
        <w:spacing w:line="240" w:lineRule="auto"/>
        <w:jc w:val="center"/>
        <w:outlineLvl w:val="1"/>
      </w:pPr>
      <w:r>
        <w:rPr>
          <w:rFonts w:ascii="黑体" w:hAnsi="黑体" w:eastAsia="黑体"/>
          <w:sz w:val="32"/>
        </w:rPr>
        <w:t>第三部分 专业名词解释</w:t>
      </w:r>
    </w:p>
    <w:p w14:paraId="6129EE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D27E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B8BA7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2C94B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DE004E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046F9F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EC091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85CF09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1FF1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A0E0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F6B8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C3968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399EB9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1C658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A297595">
      <w:r>
        <w:br w:type="page"/>
      </w:r>
    </w:p>
    <w:p w14:paraId="0AEC35BF">
      <w:pPr>
        <w:spacing w:line="240" w:lineRule="auto"/>
        <w:jc w:val="center"/>
        <w:outlineLvl w:val="1"/>
      </w:pPr>
      <w:r>
        <w:rPr>
          <w:rFonts w:ascii="黑体" w:hAnsi="黑体" w:eastAsia="黑体"/>
          <w:sz w:val="32"/>
        </w:rPr>
        <w:t>第四部分 部门决算报表（见附表）</w:t>
      </w:r>
    </w:p>
    <w:p w14:paraId="69A9A9A5">
      <w:pPr>
        <w:spacing w:line="240" w:lineRule="auto"/>
        <w:ind w:firstLine="640"/>
        <w:jc w:val="both"/>
      </w:pPr>
      <w:r>
        <w:rPr>
          <w:rFonts w:ascii="仿宋_GB2312" w:hAnsi="仿宋_GB2312" w:eastAsia="仿宋_GB2312"/>
          <w:b w:val="0"/>
          <w:sz w:val="32"/>
        </w:rPr>
        <w:t>一、《收入支出决算总表》</w:t>
      </w:r>
    </w:p>
    <w:p w14:paraId="09F0B04F">
      <w:pPr>
        <w:spacing w:line="240" w:lineRule="auto"/>
        <w:ind w:firstLine="640"/>
        <w:jc w:val="both"/>
      </w:pPr>
      <w:r>
        <w:rPr>
          <w:rFonts w:ascii="仿宋_GB2312" w:hAnsi="仿宋_GB2312" w:eastAsia="仿宋_GB2312"/>
          <w:b w:val="0"/>
          <w:sz w:val="32"/>
        </w:rPr>
        <w:t>二、《收入决算表》</w:t>
      </w:r>
    </w:p>
    <w:p w14:paraId="554DFF16">
      <w:pPr>
        <w:spacing w:line="240" w:lineRule="auto"/>
        <w:ind w:firstLine="640"/>
        <w:jc w:val="both"/>
      </w:pPr>
      <w:r>
        <w:rPr>
          <w:rFonts w:ascii="仿宋_GB2312" w:hAnsi="仿宋_GB2312" w:eastAsia="仿宋_GB2312"/>
          <w:b w:val="0"/>
          <w:sz w:val="32"/>
        </w:rPr>
        <w:t>三、《支出决算表》</w:t>
      </w:r>
    </w:p>
    <w:p w14:paraId="6D73216B">
      <w:pPr>
        <w:spacing w:line="240" w:lineRule="auto"/>
        <w:ind w:firstLine="640"/>
        <w:jc w:val="both"/>
      </w:pPr>
      <w:r>
        <w:rPr>
          <w:rFonts w:ascii="仿宋_GB2312" w:hAnsi="仿宋_GB2312" w:eastAsia="仿宋_GB2312"/>
          <w:b w:val="0"/>
          <w:sz w:val="32"/>
        </w:rPr>
        <w:t>四、《财政拨款收入支出决算总表》</w:t>
      </w:r>
    </w:p>
    <w:p w14:paraId="288EA357">
      <w:pPr>
        <w:spacing w:line="240" w:lineRule="auto"/>
        <w:ind w:firstLine="640"/>
        <w:jc w:val="both"/>
      </w:pPr>
      <w:r>
        <w:rPr>
          <w:rFonts w:ascii="仿宋_GB2312" w:hAnsi="仿宋_GB2312" w:eastAsia="仿宋_GB2312"/>
          <w:b w:val="0"/>
          <w:sz w:val="32"/>
        </w:rPr>
        <w:t>五、《一般公共预算财政拨款支出决算表》</w:t>
      </w:r>
    </w:p>
    <w:p w14:paraId="38C9B7B0">
      <w:pPr>
        <w:spacing w:line="240" w:lineRule="auto"/>
        <w:ind w:firstLine="640"/>
        <w:jc w:val="both"/>
      </w:pPr>
      <w:r>
        <w:rPr>
          <w:rFonts w:ascii="仿宋_GB2312" w:hAnsi="仿宋_GB2312" w:eastAsia="仿宋_GB2312"/>
          <w:b w:val="0"/>
          <w:sz w:val="32"/>
        </w:rPr>
        <w:t>六、《一般公共预算财政拨款基本支出决算表》</w:t>
      </w:r>
    </w:p>
    <w:p w14:paraId="7B679164">
      <w:pPr>
        <w:spacing w:line="240" w:lineRule="auto"/>
        <w:ind w:firstLine="640"/>
        <w:jc w:val="both"/>
      </w:pPr>
      <w:r>
        <w:rPr>
          <w:rFonts w:ascii="仿宋_GB2312" w:hAnsi="仿宋_GB2312" w:eastAsia="仿宋_GB2312"/>
          <w:b w:val="0"/>
          <w:sz w:val="32"/>
        </w:rPr>
        <w:t>七、《政府性基金预算财政拨款收入支出决算表》</w:t>
      </w:r>
    </w:p>
    <w:p w14:paraId="154CFFAE">
      <w:pPr>
        <w:spacing w:line="240" w:lineRule="auto"/>
        <w:ind w:firstLine="640"/>
        <w:jc w:val="both"/>
      </w:pPr>
      <w:r>
        <w:rPr>
          <w:rFonts w:ascii="仿宋_GB2312" w:hAnsi="仿宋_GB2312" w:eastAsia="仿宋_GB2312"/>
          <w:b w:val="0"/>
          <w:sz w:val="32"/>
        </w:rPr>
        <w:t>八、《国有资本经营预算财政拨款收入支出决算表》</w:t>
      </w:r>
    </w:p>
    <w:p w14:paraId="1BCE69FD">
      <w:pPr>
        <w:spacing w:line="240" w:lineRule="auto"/>
        <w:ind w:firstLine="640"/>
        <w:jc w:val="both"/>
      </w:pPr>
      <w:r>
        <w:rPr>
          <w:rFonts w:ascii="仿宋_GB2312" w:hAnsi="仿宋_GB2312" w:eastAsia="仿宋_GB2312"/>
          <w:b w:val="0"/>
          <w:sz w:val="32"/>
        </w:rPr>
        <w:t>九、《财政拨款“三公”经费支出决算表》</w:t>
      </w:r>
    </w:p>
    <w:p w14:paraId="4D9184EB">
      <w:pPr>
        <w:spacing w:line="240" w:lineRule="auto"/>
        <w:ind w:firstLine="640"/>
        <w:jc w:val="both"/>
      </w:pPr>
    </w:p>
    <w:p w14:paraId="539983E7">
      <w:pPr>
        <w:spacing w:line="240" w:lineRule="auto"/>
        <w:ind w:firstLine="640"/>
        <w:jc w:val="both"/>
      </w:pPr>
    </w:p>
    <w:p w14:paraId="2B36F50B">
      <w:pPr>
        <w:spacing w:line="240" w:lineRule="auto"/>
        <w:ind w:firstLine="640"/>
        <w:jc w:val="both"/>
      </w:pPr>
    </w:p>
    <w:p w14:paraId="75D1F3F9">
      <w:pPr>
        <w:spacing w:line="240" w:lineRule="auto"/>
        <w:ind w:firstLine="640"/>
        <w:jc w:val="both"/>
      </w:pPr>
    </w:p>
    <w:p w14:paraId="189FDC5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EC49101-4B6A-4567-8D18-2C470CE42C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3C6F2DE-05A9-4B2D-9E53-0B293E8C7EB4}"/>
  </w:font>
  <w:font w:name="仿宋_GB2312">
    <w:panose1 w:val="02010609030101010101"/>
    <w:charset w:val="86"/>
    <w:family w:val="modern"/>
    <w:pitch w:val="default"/>
    <w:sig w:usb0="00000001" w:usb1="080E0000" w:usb2="00000000" w:usb3="00000000" w:csb0="00040000" w:csb1="00000000"/>
    <w:embedRegular r:id="rId3" w:fontKey="{1830559B-5E78-47EF-BB06-B849312D416A}"/>
  </w:font>
  <w:font w:name="楷体_GB2312">
    <w:panose1 w:val="02010609030101010101"/>
    <w:charset w:val="86"/>
    <w:family w:val="auto"/>
    <w:pitch w:val="default"/>
    <w:sig w:usb0="00000001" w:usb1="080E0000" w:usb2="00000000" w:usb3="00000000" w:csb0="00040000" w:csb1="00000000"/>
    <w:embedRegular r:id="rId4" w:fontKey="{9A4ABF55-DB7F-4A24-A6D3-ED171BA0E10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D85F51"/>
    <w:rsid w:val="1B8F2D19"/>
    <w:rsid w:val="1C317E4F"/>
    <w:rsid w:val="1C472464"/>
    <w:rsid w:val="1DAF458D"/>
    <w:rsid w:val="1E086ACE"/>
    <w:rsid w:val="1E4B5CA5"/>
    <w:rsid w:val="1EAA4A5F"/>
    <w:rsid w:val="1F587A0B"/>
    <w:rsid w:val="1FA140B4"/>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E24341"/>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7855AD"/>
    <w:rsid w:val="6E801ABC"/>
    <w:rsid w:val="709532C0"/>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3403</Words>
  <Characters>3822</Characters>
  <Lines>0</Lines>
  <Paragraphs>0</Paragraphs>
  <TotalTime>4</TotalTime>
  <ScaleCrop>false</ScaleCrop>
  <LinksUpToDate>false</LinksUpToDate>
  <CharactersWithSpaces>3830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2025-09-17T09:26:02Z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