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CBD7B2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洛浦县种业发展中心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B2E5BCC">
      <w:r>
        <w:br w:type="page"/>
      </w:r>
    </w:p>
    <w:p w14:paraId="123E4EB0">
      <w:pPr>
        <w:spacing w:line="640" w:lineRule="exact"/>
        <w:jc w:val="center"/>
        <w:outlineLvl w:val="1"/>
      </w:pPr>
      <w:r>
        <w:rPr>
          <w:rFonts w:ascii="黑体" w:hAnsi="黑体" w:eastAsia="黑体"/>
          <w:sz w:val="32"/>
        </w:rPr>
        <w:t>第一部分 单位概况</w:t>
      </w:r>
    </w:p>
    <w:p w14:paraId="3C612D7F">
      <w:pPr>
        <w:spacing w:line="640" w:lineRule="exact"/>
        <w:ind w:firstLine="640"/>
        <w:jc w:val="both"/>
        <w:outlineLvl w:val="2"/>
      </w:pPr>
      <w:r>
        <w:rPr>
          <w:rFonts w:ascii="黑体" w:hAnsi="黑体" w:eastAsia="黑体"/>
          <w:sz w:val="32"/>
        </w:rPr>
        <w:t>一、主要职能</w:t>
      </w:r>
    </w:p>
    <w:p w14:paraId="601506EB">
      <w:pPr>
        <w:spacing w:line="580" w:lineRule="exact"/>
        <w:ind w:firstLine="640"/>
        <w:jc w:val="both"/>
      </w:pPr>
      <w:r>
        <w:rPr>
          <w:rFonts w:ascii="仿宋_GB2312" w:hAnsi="仿宋_GB2312" w:eastAsia="仿宋_GB2312"/>
          <w:sz w:val="32"/>
        </w:rPr>
        <w:t>实施地区各类农作物新品种的引进、试验、示范与展示；实施《农作物种子工程》建设；完成上级行政主管部门下达的农作物种子质量检测工作；开展农作物种子质量检测服务工作；做好种业信息采集、汇总、供需形势分析；负责农作物种子专业统计，开展农作物种子专业技术培训；完成上级主管部门交办的其他工作。</w:t>
      </w:r>
    </w:p>
    <w:p w14:paraId="2BC18849">
      <w:pPr>
        <w:spacing w:line="640" w:lineRule="exact"/>
        <w:ind w:firstLine="640"/>
        <w:jc w:val="both"/>
        <w:outlineLvl w:val="2"/>
      </w:pPr>
      <w:r>
        <w:rPr>
          <w:rFonts w:ascii="黑体" w:hAnsi="黑体" w:eastAsia="黑体"/>
          <w:sz w:val="32"/>
        </w:rPr>
        <w:t>二、机构设置及人员情况</w:t>
      </w:r>
    </w:p>
    <w:p w14:paraId="0FC07BE8">
      <w:pPr>
        <w:spacing w:line="580" w:lineRule="exact"/>
        <w:ind w:firstLine="640"/>
        <w:jc w:val="both"/>
      </w:pPr>
      <w:r>
        <w:rPr>
          <w:rFonts w:ascii="仿宋_GB2312" w:hAnsi="仿宋_GB2312" w:eastAsia="仿宋_GB2312"/>
          <w:sz w:val="32"/>
        </w:rPr>
        <w:t>洛浦县种业发展中心2024年度，实有人数18人，其中：在职人员6人，增加0人；离休人员0人，增加0人；退休人员12人,增加0人。</w:t>
      </w:r>
    </w:p>
    <w:p w14:paraId="081A6624">
      <w:pPr>
        <w:spacing w:line="580" w:lineRule="exact"/>
        <w:ind w:firstLine="640"/>
        <w:jc w:val="both"/>
      </w:pPr>
      <w:r>
        <w:rPr>
          <w:rFonts w:ascii="仿宋_GB2312" w:hAnsi="仿宋_GB2312" w:eastAsia="仿宋_GB2312"/>
          <w:sz w:val="32"/>
        </w:rPr>
        <w:t>洛浦县种业发展中心无下属预算单位，下设2个科室，分别是：办公室、财务室。</w:t>
      </w:r>
    </w:p>
    <w:p w14:paraId="2DA68CEB">
      <w:r>
        <w:br w:type="page"/>
      </w:r>
    </w:p>
    <w:p w14:paraId="2469A60D">
      <w:pPr>
        <w:spacing w:line="240" w:lineRule="auto"/>
        <w:jc w:val="center"/>
        <w:outlineLvl w:val="1"/>
      </w:pPr>
      <w:r>
        <w:rPr>
          <w:rFonts w:ascii="黑体" w:hAnsi="黑体" w:eastAsia="黑体"/>
          <w:sz w:val="32"/>
        </w:rPr>
        <w:t>第二部分 部门决算情况说明</w:t>
      </w:r>
    </w:p>
    <w:p w14:paraId="7C4F132D">
      <w:pPr>
        <w:spacing w:line="640" w:lineRule="exact"/>
        <w:ind w:firstLine="640"/>
        <w:jc w:val="both"/>
        <w:outlineLvl w:val="2"/>
      </w:pPr>
      <w:r>
        <w:rPr>
          <w:rFonts w:ascii="黑体" w:hAnsi="黑体" w:eastAsia="黑体"/>
          <w:sz w:val="32"/>
        </w:rPr>
        <w:t>一、收入支出决算总体情况说明</w:t>
      </w:r>
    </w:p>
    <w:p w14:paraId="48D5BC43">
      <w:pPr>
        <w:spacing w:line="580" w:lineRule="exact"/>
        <w:ind w:firstLine="640"/>
        <w:jc w:val="both"/>
      </w:pPr>
      <w:r>
        <w:rPr>
          <w:rFonts w:ascii="仿宋_GB2312" w:hAnsi="仿宋_GB2312" w:eastAsia="仿宋_GB2312"/>
          <w:b/>
          <w:sz w:val="32"/>
        </w:rPr>
        <w:t>2024年度收入总计153.19万元，</w:t>
      </w:r>
      <w:r>
        <w:rPr>
          <w:rFonts w:ascii="仿宋_GB2312" w:hAnsi="仿宋_GB2312" w:eastAsia="仿宋_GB2312"/>
          <w:b w:val="0"/>
          <w:sz w:val="32"/>
        </w:rPr>
        <w:t>其中：本年收入合计153.19万元，使用非财政拨款结余（含专用结余）0.00万元，年初结转和结余0.00万元。</w:t>
      </w:r>
    </w:p>
    <w:p w14:paraId="27856CB4">
      <w:pPr>
        <w:spacing w:line="580" w:lineRule="exact"/>
        <w:ind w:firstLine="640"/>
        <w:jc w:val="both"/>
      </w:pPr>
      <w:r>
        <w:rPr>
          <w:rFonts w:ascii="仿宋_GB2312" w:hAnsi="仿宋_GB2312" w:eastAsia="仿宋_GB2312"/>
          <w:b/>
          <w:sz w:val="32"/>
        </w:rPr>
        <w:t>2024年度支出总计153.19万元，</w:t>
      </w:r>
      <w:r>
        <w:rPr>
          <w:rFonts w:ascii="仿宋_GB2312" w:hAnsi="仿宋_GB2312" w:eastAsia="仿宋_GB2312"/>
          <w:b w:val="0"/>
          <w:sz w:val="32"/>
        </w:rPr>
        <w:t>其中：本年支出合计153.19万元，结余分配0.00万元，年末结转和结余0.00万元。</w:t>
      </w:r>
    </w:p>
    <w:p w14:paraId="1E99F346">
      <w:pPr>
        <w:spacing w:line="580" w:lineRule="exact"/>
        <w:ind w:firstLine="640"/>
        <w:jc w:val="both"/>
      </w:pPr>
      <w:r>
        <w:rPr>
          <w:rFonts w:ascii="仿宋_GB2312" w:hAnsi="仿宋_GB2312" w:eastAsia="仿宋_GB2312"/>
          <w:b w:val="0"/>
          <w:sz w:val="32"/>
        </w:rPr>
        <w:t>收入支出总体与上年相比，减少54.97万元，下降26.41%，主要原因是：本年在职人员调入调出，人员职级不同，工资基数不同，导致人员经费较上年减少，本年无新增退休人员，职业年金缴费较上年减少，减少为民办实事项目经费，导致相关经费减少。</w:t>
      </w:r>
    </w:p>
    <w:p w14:paraId="212B5658">
      <w:pPr>
        <w:spacing w:line="640" w:lineRule="exact"/>
        <w:ind w:firstLine="640"/>
        <w:jc w:val="both"/>
        <w:outlineLvl w:val="2"/>
      </w:pPr>
      <w:r>
        <w:rPr>
          <w:rFonts w:ascii="黑体" w:hAnsi="黑体" w:eastAsia="黑体"/>
          <w:sz w:val="32"/>
        </w:rPr>
        <w:t>二、收入决算情况说明</w:t>
      </w:r>
    </w:p>
    <w:p w14:paraId="4F0C5CE2">
      <w:pPr>
        <w:spacing w:line="580" w:lineRule="exact"/>
        <w:ind w:firstLine="640"/>
        <w:jc w:val="both"/>
      </w:pPr>
      <w:r>
        <w:rPr>
          <w:rFonts w:ascii="仿宋_GB2312" w:hAnsi="仿宋_GB2312" w:eastAsia="仿宋_GB2312"/>
          <w:b/>
          <w:sz w:val="32"/>
        </w:rPr>
        <w:t>本年收入153.19万元，</w:t>
      </w:r>
      <w:r>
        <w:rPr>
          <w:rFonts w:ascii="仿宋_GB2312" w:hAnsi="仿宋_GB2312" w:eastAsia="仿宋_GB2312"/>
          <w:b w:val="0"/>
          <w:sz w:val="32"/>
        </w:rPr>
        <w:t>其中：财政拨款收入153.19万元，占100.00%；上级补助收入0.00万元，占0.00%；事业收入0.00万元，占0.00%；经营收入0.00万元，占0.00%；附属单位上缴收入0.00万元，占0.00%；其他收入0.00万元，占0.00%。</w:t>
      </w:r>
    </w:p>
    <w:p w14:paraId="3992853A">
      <w:pPr>
        <w:spacing w:line="640" w:lineRule="exact"/>
        <w:ind w:firstLine="640"/>
        <w:jc w:val="both"/>
        <w:outlineLvl w:val="2"/>
      </w:pPr>
      <w:r>
        <w:rPr>
          <w:rFonts w:ascii="黑体" w:hAnsi="黑体" w:eastAsia="黑体"/>
          <w:sz w:val="32"/>
        </w:rPr>
        <w:t>三、支出决算情况说明</w:t>
      </w:r>
    </w:p>
    <w:p w14:paraId="5016E43D">
      <w:pPr>
        <w:spacing w:line="580" w:lineRule="exact"/>
        <w:ind w:firstLine="640"/>
        <w:jc w:val="both"/>
      </w:pPr>
      <w:r>
        <w:rPr>
          <w:rFonts w:ascii="仿宋_GB2312" w:hAnsi="仿宋_GB2312" w:eastAsia="仿宋_GB2312"/>
          <w:b/>
          <w:sz w:val="32"/>
        </w:rPr>
        <w:t>本年支出153.19万元，</w:t>
      </w:r>
      <w:r>
        <w:rPr>
          <w:rFonts w:ascii="仿宋_GB2312" w:hAnsi="仿宋_GB2312" w:eastAsia="仿宋_GB2312"/>
          <w:b w:val="0"/>
          <w:sz w:val="32"/>
        </w:rPr>
        <w:t>其中：基本支出145.76万元，占95.15%；项目支出7.43万元，占4.85%；上缴上级支出0.00万元，占0.00%；经营支出0.00万元，占0.00%；对附属单位补助支出0.00万元，占0.00%。</w:t>
      </w:r>
    </w:p>
    <w:p w14:paraId="079F6B0C">
      <w:pPr>
        <w:spacing w:line="640" w:lineRule="exact"/>
        <w:ind w:firstLine="640"/>
        <w:jc w:val="both"/>
        <w:outlineLvl w:val="2"/>
      </w:pPr>
      <w:r>
        <w:rPr>
          <w:rFonts w:ascii="黑体" w:hAnsi="黑体" w:eastAsia="黑体"/>
          <w:sz w:val="32"/>
        </w:rPr>
        <w:t>四、财政拨款收入支出决算总体情况说明</w:t>
      </w:r>
    </w:p>
    <w:p w14:paraId="05F560DE">
      <w:pPr>
        <w:spacing w:line="580" w:lineRule="exact"/>
        <w:ind w:firstLine="640"/>
        <w:jc w:val="both"/>
      </w:pPr>
      <w:r>
        <w:rPr>
          <w:rFonts w:ascii="仿宋_GB2312" w:hAnsi="仿宋_GB2312" w:eastAsia="仿宋_GB2312"/>
          <w:b/>
          <w:sz w:val="32"/>
        </w:rPr>
        <w:t>2024年度财政拨款收入总计153.19万元，</w:t>
      </w:r>
      <w:r>
        <w:rPr>
          <w:rFonts w:ascii="仿宋_GB2312" w:hAnsi="仿宋_GB2312" w:eastAsia="仿宋_GB2312"/>
          <w:b w:val="0"/>
          <w:sz w:val="32"/>
        </w:rPr>
        <w:t>其中：年初财政拨款结转和结余0.00万元，本年财政拨款收入153.19万元。</w:t>
      </w:r>
      <w:r>
        <w:rPr>
          <w:rFonts w:ascii="仿宋_GB2312" w:hAnsi="仿宋_GB2312" w:eastAsia="仿宋_GB2312"/>
          <w:b/>
          <w:sz w:val="32"/>
        </w:rPr>
        <w:t>财政拨款支出总计153.19万元，</w:t>
      </w:r>
      <w:r>
        <w:rPr>
          <w:rFonts w:ascii="仿宋_GB2312" w:hAnsi="仿宋_GB2312" w:eastAsia="仿宋_GB2312"/>
          <w:b w:val="0"/>
          <w:sz w:val="32"/>
        </w:rPr>
        <w:t>其中：年末财政拨款结转和结余0.00万元，本年财政拨款支出153.19万元。</w:t>
      </w:r>
    </w:p>
    <w:p w14:paraId="17027AB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54.97万元，下降26.41%，主要原因是：本年在职人员调入调出，人员职级不同，工资基数不同，导致人员经费较上年减少，本年无新增退休人员，职业年金缴费较上年减少，减少为民办实事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年初预算数205.28万元，决算数153.19万元，预决算差异率-25.38%，主要原因是：本年在职人员调入调出，人员职级不同，工资基数不同，年中调减人员经费，导致预决算存在差异。</w:t>
      </w:r>
    </w:p>
    <w:p w14:paraId="3BBA1CFC">
      <w:pPr>
        <w:spacing w:line="640" w:lineRule="exact"/>
        <w:ind w:firstLine="640"/>
        <w:jc w:val="both"/>
        <w:outlineLvl w:val="2"/>
      </w:pPr>
      <w:r>
        <w:rPr>
          <w:rFonts w:ascii="黑体" w:hAnsi="黑体" w:eastAsia="黑体"/>
          <w:sz w:val="32"/>
        </w:rPr>
        <w:t>五、一般公共预算财政拨款支出决算情况说明</w:t>
      </w:r>
    </w:p>
    <w:p w14:paraId="6F84533E">
      <w:pPr>
        <w:spacing w:line="640" w:lineRule="exact"/>
        <w:ind w:firstLine="640"/>
        <w:jc w:val="both"/>
        <w:outlineLvl w:val="3"/>
      </w:pPr>
      <w:r>
        <w:rPr>
          <w:rFonts w:ascii="楷体_GB2312" w:hAnsi="楷体_GB2312" w:eastAsia="楷体_GB2312"/>
          <w:b/>
          <w:sz w:val="32"/>
        </w:rPr>
        <w:t>（一）一般公共预算财政拨款支出决算总体情况</w:t>
      </w:r>
    </w:p>
    <w:p w14:paraId="5A7DB7F6">
      <w:pPr>
        <w:spacing w:line="580" w:lineRule="exact"/>
        <w:ind w:firstLine="640"/>
        <w:jc w:val="both"/>
      </w:pPr>
      <w:r>
        <w:rPr>
          <w:rFonts w:ascii="仿宋_GB2312" w:hAnsi="仿宋_GB2312" w:eastAsia="仿宋_GB2312"/>
          <w:b/>
          <w:sz w:val="32"/>
        </w:rPr>
        <w:t>2024年度一般公共预算财政拨款支出153.19万元，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54.97万元，下降26.41%，主要原因是：本年在职人员调入调出，人员职级不同，工资基数不同，导致人员经费较上年减少，本年无新增退休人员，职业年金缴费较上年减少，减少为民办实事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年初预算数205.28万元，决算数153.19万元，预决算差异率-25.38%，主要原因是：本年在职人员调入调出，人员职级不同，工资基数不同，年中调减人员经费，导致预决算存在差异。</w:t>
      </w:r>
    </w:p>
    <w:p w14:paraId="012108D5">
      <w:pPr>
        <w:spacing w:line="640" w:lineRule="exact"/>
        <w:ind w:firstLine="640"/>
        <w:jc w:val="both"/>
        <w:outlineLvl w:val="3"/>
      </w:pPr>
      <w:r>
        <w:rPr>
          <w:rFonts w:ascii="楷体_GB2312" w:hAnsi="楷体_GB2312" w:eastAsia="楷体_GB2312"/>
          <w:b/>
          <w:sz w:val="32"/>
        </w:rPr>
        <w:t>（二）一般公共预算财政拨款支出决算结构情况</w:t>
      </w:r>
    </w:p>
    <w:p w14:paraId="0FE7DB32">
      <w:pPr>
        <w:spacing w:line="580" w:lineRule="exact"/>
        <w:ind w:firstLine="640"/>
        <w:jc w:val="both"/>
      </w:pPr>
      <w:r>
        <w:rPr>
          <w:rFonts w:ascii="仿宋_GB2312" w:hAnsi="仿宋_GB2312" w:eastAsia="仿宋_GB2312"/>
          <w:b w:val="0"/>
          <w:sz w:val="32"/>
        </w:rPr>
        <w:t>1.社会保障和就业支出(类)28.11万元,占18.35%。</w:t>
      </w:r>
    </w:p>
    <w:p w14:paraId="13839725">
      <w:pPr>
        <w:spacing w:line="580" w:lineRule="exact"/>
        <w:ind w:firstLine="640"/>
        <w:jc w:val="both"/>
      </w:pPr>
      <w:r>
        <w:rPr>
          <w:rFonts w:ascii="仿宋_GB2312" w:hAnsi="仿宋_GB2312" w:eastAsia="仿宋_GB2312"/>
          <w:b w:val="0"/>
          <w:sz w:val="32"/>
        </w:rPr>
        <w:t>2.卫生健康支出(类)5.23万元,占3.41%。</w:t>
      </w:r>
    </w:p>
    <w:p w14:paraId="4341231E">
      <w:pPr>
        <w:spacing w:line="580" w:lineRule="exact"/>
        <w:ind w:firstLine="640"/>
        <w:jc w:val="both"/>
      </w:pPr>
      <w:r>
        <w:rPr>
          <w:rFonts w:ascii="仿宋_GB2312" w:hAnsi="仿宋_GB2312" w:eastAsia="仿宋_GB2312"/>
          <w:b w:val="0"/>
          <w:sz w:val="32"/>
        </w:rPr>
        <w:t>3.农林水支出(类)102.05万元,占66.62%。</w:t>
      </w:r>
    </w:p>
    <w:p w14:paraId="5B5174BA">
      <w:pPr>
        <w:spacing w:line="580" w:lineRule="exact"/>
        <w:ind w:firstLine="640"/>
        <w:jc w:val="both"/>
      </w:pPr>
      <w:r>
        <w:rPr>
          <w:rFonts w:ascii="仿宋_GB2312" w:hAnsi="仿宋_GB2312" w:eastAsia="仿宋_GB2312"/>
          <w:b w:val="0"/>
          <w:sz w:val="32"/>
        </w:rPr>
        <w:t>4.住房保障支出(类)10.37万元,占6.77%。</w:t>
      </w:r>
    </w:p>
    <w:p w14:paraId="60504A8A">
      <w:pPr>
        <w:spacing w:line="580" w:lineRule="exact"/>
        <w:ind w:firstLine="640"/>
        <w:jc w:val="both"/>
      </w:pPr>
      <w:r>
        <w:rPr>
          <w:rFonts w:ascii="仿宋_GB2312" w:hAnsi="仿宋_GB2312" w:eastAsia="仿宋_GB2312"/>
          <w:b w:val="0"/>
          <w:sz w:val="32"/>
        </w:rPr>
        <w:t>5.其他支出(类)7.43万元,占4.85%。</w:t>
      </w:r>
    </w:p>
    <w:p w14:paraId="7ABB4125">
      <w:pPr>
        <w:spacing w:line="640" w:lineRule="exact"/>
        <w:ind w:firstLine="640"/>
        <w:jc w:val="both"/>
        <w:outlineLvl w:val="3"/>
      </w:pPr>
      <w:r>
        <w:rPr>
          <w:rFonts w:ascii="楷体_GB2312" w:hAnsi="楷体_GB2312" w:eastAsia="楷体_GB2312"/>
          <w:b/>
          <w:sz w:val="32"/>
        </w:rPr>
        <w:t>（三）一般公共预算财政拨款支出决算具体情况</w:t>
      </w:r>
    </w:p>
    <w:p w14:paraId="50CB8A7A">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14.87万元，比上年决算增加14.87万元，增长100.00%,主要原因是：本年功能科目调整，事业单位离退休上年度在主科目列支，本年单独列支，导致经费较上年增加。</w:t>
      </w:r>
    </w:p>
    <w:p w14:paraId="6D2CD4EC">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13.24万元，比上年决算增加0.72万元，增长5.75%,主要原因是：本年在职人员工资基数调增，养老缴费基数上涨，相应支出增加。</w:t>
      </w:r>
    </w:p>
    <w:p w14:paraId="6FACC338">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20.68万元，下降100.00%,主要原因是：本年无新增退休人员，职业年金缴费较上年减少。</w:t>
      </w:r>
    </w:p>
    <w:p w14:paraId="7C5C28BB">
      <w:pPr>
        <w:spacing w:line="580" w:lineRule="exact"/>
        <w:ind w:firstLine="640"/>
        <w:jc w:val="both"/>
      </w:pPr>
      <w:r>
        <w:rPr>
          <w:rFonts w:ascii="仿宋_GB2312" w:hAnsi="仿宋_GB2312" w:eastAsia="仿宋_GB2312"/>
          <w:b w:val="0"/>
          <w:sz w:val="32"/>
        </w:rPr>
        <w:t>4.卫生健康支出(类)行政事业单位医疗(款)事业单位医疗(项):支出决算数为5.23万元，比上年决算增加5.23万元，增长100.00%,主要原因是：本年功能科目调整，事业单位医疗上年度在主科目列支，本年单独列支，导致经费较上年增加。</w:t>
      </w:r>
    </w:p>
    <w:p w14:paraId="533CF639">
      <w:pPr>
        <w:spacing w:line="580" w:lineRule="exact"/>
        <w:ind w:firstLine="640"/>
        <w:jc w:val="both"/>
      </w:pPr>
      <w:r>
        <w:rPr>
          <w:rFonts w:ascii="仿宋_GB2312" w:hAnsi="仿宋_GB2312" w:eastAsia="仿宋_GB2312"/>
          <w:b w:val="0"/>
          <w:sz w:val="32"/>
        </w:rPr>
        <w:t>5.农林水支出(类)农业农村(款)事业运行(项):支出决算数为102.05万元，比上年决算减少61.63万元，下降37.65%,主要原因是：本年功能科目调整，事业单位医疗，事业单位离退休，住房公积金上年度在主科目列支，本年单独列支，导致经费较上年减少。</w:t>
      </w:r>
    </w:p>
    <w:p w14:paraId="3D436BDB">
      <w:pPr>
        <w:spacing w:line="580" w:lineRule="exact"/>
        <w:ind w:firstLine="640"/>
        <w:jc w:val="both"/>
      </w:pPr>
      <w:r>
        <w:rPr>
          <w:rFonts w:ascii="仿宋_GB2312" w:hAnsi="仿宋_GB2312" w:eastAsia="仿宋_GB2312"/>
          <w:b w:val="0"/>
          <w:sz w:val="32"/>
        </w:rPr>
        <w:t>6.住房保障支出(类)住房改革支出(款)住房公积金(项):支出决算数为10.37万元，比上年决算增加10.37万元，增长100.00%,主要原因是：本年功能科目调整，住房公积金上年度在主科目列支，本年单独列支，导致经费较上年增加。</w:t>
      </w:r>
    </w:p>
    <w:p w14:paraId="4843E5CE">
      <w:pPr>
        <w:spacing w:line="580" w:lineRule="exact"/>
        <w:ind w:firstLine="640"/>
        <w:jc w:val="both"/>
      </w:pPr>
      <w:r>
        <w:rPr>
          <w:rFonts w:ascii="仿宋_GB2312" w:hAnsi="仿宋_GB2312" w:eastAsia="仿宋_GB2312"/>
          <w:b w:val="0"/>
          <w:sz w:val="32"/>
        </w:rPr>
        <w:t>7.其他支出(类)其他支出(款)其他支出(项):支出决算数为7.43万元，比上年决算减少3.85万元，下降34.13%,主要原因是：本年减少为民办实事项目经费，导致相关经费减少。</w:t>
      </w:r>
    </w:p>
    <w:p w14:paraId="5D4429BE">
      <w:pPr>
        <w:spacing w:line="640" w:lineRule="exact"/>
        <w:ind w:firstLine="640"/>
        <w:jc w:val="both"/>
        <w:outlineLvl w:val="2"/>
      </w:pPr>
      <w:r>
        <w:rPr>
          <w:rFonts w:ascii="黑体" w:hAnsi="黑体" w:eastAsia="黑体"/>
          <w:sz w:val="32"/>
        </w:rPr>
        <w:t>六、一般公共预算财政拨款基本支出决算情况说明</w:t>
      </w:r>
    </w:p>
    <w:p w14:paraId="16B62BC3">
      <w:pPr>
        <w:spacing w:line="580" w:lineRule="exact"/>
        <w:ind w:firstLine="640"/>
        <w:jc w:val="both"/>
      </w:pPr>
      <w:r>
        <w:rPr>
          <w:rFonts w:ascii="仿宋_GB2312" w:hAnsi="仿宋_GB2312" w:eastAsia="仿宋_GB2312"/>
          <w:b w:val="0"/>
          <w:sz w:val="32"/>
        </w:rPr>
        <w:t>2024年度一般公共预算财政拨款基本支出145.76万元，其中：</w:t>
      </w:r>
      <w:r>
        <w:rPr>
          <w:rFonts w:ascii="仿宋_GB2312" w:hAnsi="仿宋_GB2312" w:eastAsia="仿宋_GB2312"/>
          <w:b/>
          <w:sz w:val="32"/>
        </w:rPr>
        <w:t>人员经费143.86万元，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包括：基本工资、津贴补贴、绩效工资、机关事业单位基本养老保险缴费、职工基本医疗保险缴费、其他社会保障缴费、住房公积金、退休费、生活补助。</w:t>
      </w:r>
    </w:p>
    <w:p w14:paraId="7F21A0D5">
      <w:pPr>
        <w:spacing w:line="580" w:lineRule="exact"/>
        <w:ind w:firstLine="640"/>
        <w:jc w:val="both"/>
      </w:pPr>
      <w:r>
        <w:rPr>
          <w:rFonts w:ascii="仿宋_GB2312" w:hAnsi="仿宋_GB2312" w:eastAsia="仿宋_GB2312"/>
          <w:b/>
          <w:sz w:val="32"/>
        </w:rPr>
        <w:t>公用经费1.90万元，</w:t>
      </w:r>
      <w:r>
        <w:rPr>
          <w:rFonts w:ascii="仿宋_GB2312" w:hAnsi="仿宋_GB2312" w:eastAsia="仿宋_GB2312"/>
          <w:b w:val="0"/>
          <w:sz w:val="32"/>
        </w:rPr>
        <w:t>包括：办公费、公务用车运行维护费。</w:t>
      </w:r>
    </w:p>
    <w:p w14:paraId="5CD2F05D">
      <w:pPr>
        <w:spacing w:line="640" w:lineRule="exact"/>
        <w:ind w:firstLine="640"/>
        <w:jc w:val="both"/>
        <w:outlineLvl w:val="2"/>
      </w:pPr>
      <w:r>
        <w:rPr>
          <w:rFonts w:ascii="黑体" w:hAnsi="黑体" w:eastAsia="黑体"/>
          <w:sz w:val="32"/>
        </w:rPr>
        <w:t>七、政府性基金预算财政拨款收入支出决算情况说明</w:t>
      </w:r>
    </w:p>
    <w:p w14:paraId="10C0B12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204CA36">
      <w:pPr>
        <w:spacing w:line="640" w:lineRule="exact"/>
        <w:ind w:firstLine="640"/>
        <w:jc w:val="both"/>
        <w:outlineLvl w:val="2"/>
      </w:pPr>
      <w:r>
        <w:rPr>
          <w:rFonts w:ascii="黑体" w:hAnsi="黑体" w:eastAsia="黑体"/>
          <w:sz w:val="32"/>
        </w:rPr>
        <w:t>八、国有资本经营预算财政拨款收入支出决算情况说明</w:t>
      </w:r>
    </w:p>
    <w:p w14:paraId="13116C6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25D2744">
      <w:pPr>
        <w:spacing w:line="640" w:lineRule="exact"/>
        <w:ind w:firstLine="640"/>
        <w:jc w:val="both"/>
        <w:outlineLvl w:val="2"/>
      </w:pPr>
      <w:r>
        <w:rPr>
          <w:rFonts w:ascii="黑体" w:hAnsi="黑体" w:eastAsia="黑体"/>
          <w:sz w:val="32"/>
        </w:rPr>
        <w:t>九、财政拨款“三公”经费支出决算情况说明</w:t>
      </w:r>
    </w:p>
    <w:p w14:paraId="1F6F9C0C">
      <w:pPr>
        <w:spacing w:line="580" w:lineRule="exact"/>
        <w:ind w:firstLine="640"/>
        <w:jc w:val="both"/>
      </w:pPr>
      <w:r>
        <w:rPr>
          <w:rFonts w:ascii="仿宋_GB2312" w:hAnsi="仿宋_GB2312" w:eastAsia="仿宋_GB2312"/>
          <w:b/>
          <w:sz w:val="32"/>
        </w:rPr>
        <w:t>2024年度财政拨款“三公”经费支出0.46万元，</w:t>
      </w:r>
      <w:r>
        <w:rPr>
          <w:rFonts w:ascii="仿宋_GB2312" w:hAnsi="仿宋_GB2312" w:eastAsia="仿宋_GB2312"/>
          <w:b w:val="0"/>
          <w:sz w:val="32"/>
        </w:rPr>
        <w:t>比上年增加0.07万元，增长17.95%，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0.46万元，占100.00%，比上年增加0.07万元，增长17.95%，主要原因是：本单位公务用车日渐老化，维修维护成本增加，导致公务用车运行维护费较上年增加。公务接待费支出0.00万元，占0.00%，比上年增加0.00万元，增长0.00%，主要原因是：2023年与2024年均未安排公务接待费支出。</w:t>
      </w:r>
    </w:p>
    <w:p w14:paraId="3481491F">
      <w:pPr>
        <w:spacing w:line="580" w:lineRule="exact"/>
        <w:ind w:firstLine="640"/>
        <w:jc w:val="both"/>
      </w:pPr>
      <w:r>
        <w:rPr>
          <w:rFonts w:ascii="仿宋_GB2312" w:hAnsi="仿宋_GB2312" w:eastAsia="仿宋_GB2312"/>
          <w:b/>
          <w:sz w:val="32"/>
        </w:rPr>
        <w:t>具体情况如下：</w:t>
      </w:r>
    </w:p>
    <w:p w14:paraId="713376E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332A837">
      <w:pPr>
        <w:spacing w:line="580" w:lineRule="exact"/>
        <w:ind w:firstLine="640"/>
        <w:jc w:val="both"/>
      </w:pPr>
      <w:r>
        <w:rPr>
          <w:rFonts w:ascii="仿宋_GB2312" w:hAnsi="仿宋_GB2312" w:eastAsia="仿宋_GB2312"/>
          <w:b w:val="0"/>
          <w:sz w:val="32"/>
        </w:rPr>
        <w:t>公务用车购置及运行维护费0.46万元，其中：公务用车购置费0.00万元，公务用车运行维护费0.46万元。公务用车运行维护费开支内容包括车辆加油费、维修费、保险费、审车费、过路费。公务用车购置数0辆，公务用车保有量1辆。国有资产占用情况中固定资产车辆0辆，与公务用车保有量差异原因是：借用其他单位车辆，车辆费用由本单位支付。</w:t>
      </w:r>
    </w:p>
    <w:p w14:paraId="0B5BF7F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F28CC5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0.46万元，决算数0.46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0.46万元，决算数0.46万元，预决算差异率0.00%，主要原因是：严格按照预算执行，预决算无差异。公务接待费全年预算数0.00万元，决算数0.00万元，预决算差异率0.00%，主要原因是：本单位无公务接待费。</w:t>
      </w:r>
    </w:p>
    <w:p w14:paraId="41B9D062">
      <w:pPr>
        <w:spacing w:line="640" w:lineRule="exact"/>
        <w:ind w:firstLine="640"/>
        <w:jc w:val="both"/>
        <w:outlineLvl w:val="2"/>
      </w:pPr>
      <w:r>
        <w:rPr>
          <w:rFonts w:ascii="黑体" w:hAnsi="黑体" w:eastAsia="黑体"/>
          <w:sz w:val="32"/>
        </w:rPr>
        <w:t>十、其他重要事项的情况说明</w:t>
      </w:r>
    </w:p>
    <w:p w14:paraId="4345EB9D">
      <w:pPr>
        <w:spacing w:line="640" w:lineRule="exact"/>
        <w:ind w:firstLine="640"/>
        <w:jc w:val="both"/>
        <w:outlineLvl w:val="3"/>
      </w:pPr>
      <w:r>
        <w:rPr>
          <w:rFonts w:ascii="楷体_GB2312" w:hAnsi="楷体_GB2312" w:eastAsia="楷体_GB2312"/>
          <w:b/>
          <w:sz w:val="32"/>
        </w:rPr>
        <w:t>（一）机关运行经费及公用经费支出情况</w:t>
      </w:r>
    </w:p>
    <w:p w14:paraId="06AEF8AB">
      <w:pPr>
        <w:spacing w:line="580" w:lineRule="exact"/>
        <w:ind w:firstLine="640"/>
        <w:jc w:val="both"/>
      </w:pPr>
      <w:r>
        <w:rPr>
          <w:rFonts w:ascii="仿宋_GB2312" w:hAnsi="仿宋_GB2312" w:eastAsia="仿宋_GB2312"/>
          <w:b w:val="0"/>
          <w:sz w:val="32"/>
        </w:rPr>
        <w:t>2024年度洛浦县种业发展中心（事业单位）公用经费支出1.90万元，比上年增加0.63万元，增长49.61%，主要原因是：本年业务量增加，公用经费增加。</w:t>
      </w:r>
    </w:p>
    <w:p w14:paraId="02754BBB">
      <w:pPr>
        <w:spacing w:line="640" w:lineRule="exact"/>
        <w:ind w:firstLine="640"/>
        <w:jc w:val="both"/>
        <w:outlineLvl w:val="3"/>
      </w:pPr>
      <w:r>
        <w:rPr>
          <w:rFonts w:ascii="楷体_GB2312" w:hAnsi="楷体_GB2312" w:eastAsia="楷体_GB2312"/>
          <w:b/>
          <w:sz w:val="32"/>
        </w:rPr>
        <w:t>（二）政府采购情况</w:t>
      </w:r>
    </w:p>
    <w:p w14:paraId="4FCD3BA6">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4F3AF3B0">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1D6CD861">
      <w:pPr>
        <w:spacing w:line="640" w:lineRule="exact"/>
        <w:ind w:firstLine="640"/>
        <w:jc w:val="both"/>
        <w:outlineLvl w:val="3"/>
      </w:pPr>
      <w:r>
        <w:rPr>
          <w:rFonts w:ascii="楷体_GB2312" w:hAnsi="楷体_GB2312" w:eastAsia="楷体_GB2312"/>
          <w:b/>
          <w:sz w:val="32"/>
        </w:rPr>
        <w:t>（三）国有资产占用情况说明</w:t>
      </w:r>
    </w:p>
    <w:p w14:paraId="5B8D7212">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5F5BCBFD">
      <w:pPr>
        <w:spacing w:line="640" w:lineRule="exact"/>
        <w:ind w:firstLine="640"/>
        <w:jc w:val="both"/>
        <w:outlineLvl w:val="2"/>
      </w:pPr>
      <w:r>
        <w:rPr>
          <w:rFonts w:ascii="黑体" w:hAnsi="黑体" w:eastAsia="黑体"/>
          <w:sz w:val="32"/>
        </w:rPr>
        <w:t>十一、预算绩效的情况说明</w:t>
      </w:r>
    </w:p>
    <w:p w14:paraId="736BC17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根据预算绩效管理要求，本单位2024年度预算绩效管理形成整体支出绩效自评表1个，全年预算总额153.19万元，实际执行总额153.19万元；预算绩效评价项目</w:t>
      </w:r>
      <w:r>
        <w:rPr>
          <w:rFonts w:hint="eastAsia" w:ascii="仿宋_GB2312" w:hAnsi="仿宋_GB2312" w:eastAsia="仿宋_GB2312"/>
          <w:b w:val="0"/>
          <w:sz w:val="32"/>
          <w:lang w:val="en-US" w:eastAsia="zh-CN"/>
        </w:rPr>
        <w:t>1</w:t>
      </w:r>
      <w:r>
        <w:rPr>
          <w:rFonts w:ascii="仿宋_GB2312" w:hAnsi="仿宋_GB2312" w:eastAsia="仿宋_GB2312"/>
          <w:b w:val="0"/>
          <w:sz w:val="32"/>
        </w:rPr>
        <w:t>个，全年预算数7.43万元，全年执行数7.43万元。预算绩效管理取得的成效：一是确保资金的高效使用，切实发挥财政资金的使用效果；二是严格按照工作职责和相关文件依据，确保专款专用。发现的问题及原因：目标设定科学性及评价存在难，对于目标设定需要分科室部门分解，汇总后制定整体目标，如何科学整合全单位绩效目标比较困难；目标设定后如何科学设定考核评价标准。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w:t>
      </w:r>
    </w:p>
    <w:p w14:paraId="75FB50A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2041B77">
        <w:tblPrEx>
          <w:tblCellMar>
            <w:top w:w="0" w:type="dxa"/>
            <w:left w:w="108" w:type="dxa"/>
            <w:bottom w:w="0" w:type="dxa"/>
            <w:right w:w="108" w:type="dxa"/>
          </w:tblCellMar>
        </w:tblPrEx>
        <w:tc>
          <w:tcPr>
            <w:tcW w:w="8847" w:type="dxa"/>
            <w:gridSpan w:val="9"/>
            <w:vAlign w:val="center"/>
          </w:tcPr>
          <w:p w14:paraId="0546F387">
            <w:pPr>
              <w:jc w:val="center"/>
            </w:pPr>
            <w:r>
              <w:rPr>
                <w:rFonts w:ascii="宋体" w:hAnsi="宋体" w:eastAsia="宋体"/>
                <w:sz w:val="24"/>
              </w:rPr>
              <w:t>单位整体支出绩效自评表</w:t>
            </w:r>
          </w:p>
        </w:tc>
      </w:tr>
      <w:tr w14:paraId="6DF056B1">
        <w:tblPrEx>
          <w:tblCellMar>
            <w:top w:w="0" w:type="dxa"/>
            <w:left w:w="108" w:type="dxa"/>
            <w:bottom w:w="0" w:type="dxa"/>
            <w:right w:w="108" w:type="dxa"/>
          </w:tblCellMar>
        </w:tblPrEx>
        <w:tc>
          <w:tcPr>
            <w:tcW w:w="8847" w:type="dxa"/>
            <w:gridSpan w:val="9"/>
            <w:vAlign w:val="center"/>
          </w:tcPr>
          <w:p w14:paraId="775E3AE1">
            <w:pPr>
              <w:jc w:val="center"/>
            </w:pPr>
            <w:r>
              <w:rPr>
                <w:rFonts w:ascii="宋体" w:hAnsi="宋体" w:eastAsia="宋体"/>
                <w:sz w:val="24"/>
              </w:rPr>
              <w:t>（2024年度）</w:t>
            </w:r>
          </w:p>
        </w:tc>
      </w:tr>
      <w:tr w14:paraId="63001C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51C1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B761D4">
            <w:pPr>
              <w:jc w:val="center"/>
            </w:pPr>
            <w:r>
              <w:rPr>
                <w:rFonts w:ascii="宋体" w:hAnsi="宋体" w:eastAsia="宋体"/>
                <w:sz w:val="16"/>
              </w:rPr>
              <w:t>洛浦县种业发展中心</w:t>
            </w:r>
          </w:p>
        </w:tc>
      </w:tr>
      <w:tr w14:paraId="5F74C79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EAA8E">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3C38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C18D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CFEE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DFE6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C8A3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9C8A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D9FC5">
            <w:pPr>
              <w:jc w:val="center"/>
            </w:pPr>
            <w:r>
              <w:rPr>
                <w:rFonts w:ascii="宋体" w:hAnsi="宋体" w:eastAsia="宋体"/>
                <w:sz w:val="16"/>
              </w:rPr>
              <w:t>得分</w:t>
            </w:r>
          </w:p>
        </w:tc>
      </w:tr>
      <w:tr w14:paraId="3FAD43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85ABF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14016B">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04FA7">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5B7B8">
            <w:pPr>
              <w:jc w:val="center"/>
            </w:pPr>
            <w:r>
              <w:rPr>
                <w:rFonts w:ascii="宋体" w:hAnsi="宋体" w:eastAsia="宋体"/>
                <w:sz w:val="16"/>
              </w:rPr>
              <w:t>9.12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293E8">
            <w:pPr>
              <w:jc w:val="center"/>
            </w:pPr>
            <w:r>
              <w:rPr>
                <w:rFonts w:ascii="宋体" w:hAnsi="宋体" w:eastAsia="宋体"/>
                <w:sz w:val="16"/>
              </w:rPr>
              <w:t>7.43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9B301">
            <w:pPr>
              <w:jc w:val="center"/>
            </w:pPr>
            <w:r>
              <w:rPr>
                <w:rFonts w:ascii="宋体" w:hAnsi="宋体" w:eastAsia="宋体"/>
                <w:sz w:val="16"/>
              </w:rPr>
              <w:t>7.43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D4B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B24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E181E">
            <w:pPr>
              <w:jc w:val="center"/>
            </w:pPr>
            <w:r>
              <w:rPr>
                <w:rFonts w:ascii="宋体" w:hAnsi="宋体" w:eastAsia="宋体"/>
                <w:sz w:val="16"/>
              </w:rPr>
              <w:t>-</w:t>
            </w:r>
          </w:p>
        </w:tc>
      </w:tr>
      <w:tr w14:paraId="025DB4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A2CF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EEA7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95A39">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50437">
            <w:pPr>
              <w:jc w:val="center"/>
            </w:pPr>
            <w:r>
              <w:rPr>
                <w:rFonts w:ascii="宋体" w:hAnsi="宋体" w:eastAsia="宋体"/>
                <w:sz w:val="16"/>
              </w:rPr>
              <w:t>196.15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0C4C1">
            <w:pPr>
              <w:jc w:val="center"/>
            </w:pPr>
            <w:r>
              <w:rPr>
                <w:rFonts w:ascii="宋体" w:hAnsi="宋体" w:eastAsia="宋体"/>
                <w:sz w:val="16"/>
              </w:rPr>
              <w:t>145.76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072F6">
            <w:pPr>
              <w:jc w:val="center"/>
            </w:pPr>
            <w:r>
              <w:rPr>
                <w:rFonts w:ascii="宋体" w:hAnsi="宋体" w:eastAsia="宋体"/>
                <w:sz w:val="16"/>
              </w:rPr>
              <w:t>145.76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DEB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D8A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733DD">
            <w:pPr>
              <w:jc w:val="center"/>
            </w:pPr>
            <w:r>
              <w:rPr>
                <w:rFonts w:ascii="宋体" w:hAnsi="宋体" w:eastAsia="宋体"/>
                <w:sz w:val="16"/>
              </w:rPr>
              <w:t>-</w:t>
            </w:r>
          </w:p>
        </w:tc>
      </w:tr>
      <w:tr w14:paraId="4F1B4F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083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A84E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2218F">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A37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C56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213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01E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9AA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85092">
            <w:pPr>
              <w:jc w:val="center"/>
            </w:pPr>
            <w:r>
              <w:rPr>
                <w:rFonts w:ascii="宋体" w:hAnsi="宋体" w:eastAsia="宋体"/>
                <w:sz w:val="16"/>
              </w:rPr>
              <w:t>-</w:t>
            </w:r>
          </w:p>
        </w:tc>
      </w:tr>
      <w:tr w14:paraId="6DAB9E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FB1A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D26B5">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07A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A299B">
            <w:pPr>
              <w:jc w:val="center"/>
            </w:pPr>
            <w:r>
              <w:rPr>
                <w:rFonts w:ascii="宋体" w:hAnsi="宋体" w:eastAsia="宋体"/>
                <w:sz w:val="16"/>
              </w:rPr>
              <w:t>205.27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36B8D">
            <w:pPr>
              <w:jc w:val="center"/>
            </w:pPr>
            <w:r>
              <w:rPr>
                <w:rFonts w:ascii="宋体" w:hAnsi="宋体" w:eastAsia="宋体"/>
                <w:sz w:val="16"/>
              </w:rPr>
              <w:t>153.19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BA1F8">
            <w:pPr>
              <w:jc w:val="center"/>
            </w:pPr>
            <w:r>
              <w:rPr>
                <w:rFonts w:ascii="宋体" w:hAnsi="宋体" w:eastAsia="宋体"/>
                <w:sz w:val="16"/>
              </w:rPr>
              <w:t>153.19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B68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E9F13">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94891">
            <w:pPr>
              <w:jc w:val="center"/>
            </w:pPr>
            <w:r>
              <w:rPr>
                <w:rFonts w:ascii="宋体" w:hAnsi="宋体" w:eastAsia="宋体"/>
                <w:sz w:val="16"/>
              </w:rPr>
              <w:t>10</w:t>
            </w:r>
          </w:p>
        </w:tc>
      </w:tr>
      <w:tr w14:paraId="3993F43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AFD49">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FF5CAD">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39A3A2">
            <w:pPr>
              <w:jc w:val="center"/>
            </w:pPr>
            <w:r>
              <w:rPr>
                <w:rFonts w:ascii="宋体" w:hAnsi="宋体" w:eastAsia="宋体"/>
                <w:sz w:val="16"/>
              </w:rPr>
              <w:t>实际完成情况</w:t>
            </w:r>
          </w:p>
        </w:tc>
      </w:tr>
      <w:tr w14:paraId="0D31FB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14A341"/>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B7FD61">
            <w:pPr>
              <w:jc w:val="both"/>
            </w:pPr>
            <w:r>
              <w:rPr>
                <w:rFonts w:hint="eastAsia" w:ascii="宋体" w:hAnsi="宋体"/>
                <w:sz w:val="16"/>
                <w:lang w:eastAsia="zh-CN"/>
              </w:rPr>
              <w:t>1.</w:t>
            </w:r>
            <w:r>
              <w:rPr>
                <w:rFonts w:ascii="宋体" w:hAnsi="宋体" w:eastAsia="宋体"/>
                <w:sz w:val="16"/>
              </w:rPr>
              <w:t>保障18名工作人员基本支出，保障2辆车辆正常使用，引进农作物新品种5种，开展农业技术培训10次，组织农业产品</w:t>
            </w:r>
            <w:r>
              <w:rPr>
                <w:rFonts w:hint="eastAsia" w:ascii="宋体" w:hAnsi="宋体"/>
                <w:sz w:val="16"/>
                <w:lang w:eastAsia="zh-CN"/>
              </w:rPr>
              <w:t>监管</w:t>
            </w:r>
            <w:r>
              <w:rPr>
                <w:rFonts w:ascii="宋体" w:hAnsi="宋体" w:eastAsia="宋体"/>
                <w:sz w:val="16"/>
              </w:rPr>
              <w:t>2022年结转项目资金12万元。持续保障种业发展、农作物病虫害防控，有效提升种植业发展水平，争取使受益群众及受益在职人员满意度达到95%以上。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全年在职人员的工资、津贴、奖金、离休费、退休人员生活补助、医疗保险、养老保险、住房公积金等开支。以及用于日常办公、业务活动方面的经常性开支，包括：办公费、差旅费、公务用车交通费等。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3、参与种业发展、农作物病虫害防控相关规划研究与制定、技术开</w:t>
            </w:r>
            <w:r>
              <w:rPr>
                <w:rFonts w:hint="eastAsia" w:ascii="宋体" w:hAnsi="宋体"/>
                <w:sz w:val="16"/>
                <w:lang w:eastAsia="zh-CN"/>
              </w:rPr>
              <w:t>发和</w:t>
            </w:r>
            <w:r>
              <w:rPr>
                <w:rFonts w:ascii="宋体" w:hAnsi="宋体" w:eastAsia="宋体"/>
                <w:sz w:val="16"/>
              </w:rPr>
              <w:t>应用工作；开展农作物种质资源保护工作；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4、承担农作物种子信息收集、分析和农作物种子信息化有关工作；承担农作物新品种引进、试验、示范、种子技术推广；承担土肥水资源新技术试验示范推广；</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5、承担种子、农药、肥料等产品质量监管及农业植物</w:t>
            </w:r>
            <w:bookmarkStart w:id="0" w:name="_GoBack"/>
            <w:r>
              <w:rPr>
                <w:rFonts w:ascii="宋体" w:hAnsi="宋体" w:eastAsia="宋体"/>
                <w:sz w:val="16"/>
              </w:rPr>
              <w:t>疫情</w:t>
            </w:r>
            <w:bookmarkEnd w:id="0"/>
            <w:r>
              <w:rPr>
                <w:rFonts w:ascii="宋体" w:hAnsi="宋体" w:eastAsia="宋体"/>
                <w:sz w:val="16"/>
              </w:rPr>
              <w:t>监管、检疫审批、调运检疫等的技术性工作；承担农作物重大病虫害监测和指导农作物重大病虫害的防控工作；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6、承担灾情分析、抗药性监测、检疫性有害生物监测治理、种植业发展相关技术培训和咨询工作</w:t>
            </w:r>
            <w:r>
              <w:rPr>
                <w:rFonts w:hint="eastAsia" w:ascii="宋体" w:hAnsi="宋体"/>
                <w:sz w:val="16"/>
                <w:lang w:eastAsia="zh-CN"/>
              </w:rPr>
              <w:t>；</w:t>
            </w:r>
            <w:r>
              <w:rPr>
                <w:rFonts w:ascii="宋体" w:hAnsi="宋体" w:eastAsia="宋体"/>
                <w:sz w:val="16"/>
              </w:rPr>
              <w:t>4.力戒形式主义、官僚主义，让基层干部从繁重的报表中解脱，减少不必要的报告、不必要的会议，有效减轻基层干部负担，促使基层干部回归本职工作，更好地服务于群众，推动社会稳定和经济高质量发展。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7500D6">
            <w:pPr>
              <w:jc w:val="both"/>
            </w:pPr>
            <w:r>
              <w:rPr>
                <w:rFonts w:ascii="宋体" w:hAnsi="宋体" w:eastAsia="宋体"/>
                <w:sz w:val="16"/>
              </w:rPr>
              <w:t>1.18名工作人员基本支出，保障1</w:t>
            </w:r>
            <w:r>
              <w:rPr>
                <w:rFonts w:hint="eastAsia" w:ascii="宋体" w:hAnsi="宋体"/>
                <w:sz w:val="16"/>
                <w:lang w:eastAsia="zh-CN"/>
              </w:rPr>
              <w:t>台</w:t>
            </w:r>
            <w:r>
              <w:rPr>
                <w:rFonts w:ascii="宋体" w:hAnsi="宋体" w:eastAsia="宋体"/>
                <w:sz w:val="16"/>
              </w:rPr>
              <w:t>车辆正常使用，引进农作物新品种5种，开展农业技术培训10次，组织农业产品监管检查12次以上；人员经费支出192.85万元，公用经费支出3.3万元。持续保障种业发展、农作物病虫害防控，有效提升种植业发展水平，使受益群众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w:t>
            </w:r>
            <w:r>
              <w:rPr>
                <w:rFonts w:hint="eastAsia" w:ascii="宋体" w:hAnsi="宋体"/>
                <w:sz w:val="16"/>
                <w:lang w:eastAsia="zh-CN"/>
              </w:rPr>
              <w:t>本单位</w:t>
            </w:r>
            <w:r>
              <w:rPr>
                <w:rFonts w:ascii="宋体" w:hAnsi="宋体" w:eastAsia="宋体"/>
                <w:sz w:val="16"/>
              </w:rPr>
              <w:t>全年在职人员的工资、津贴、奖金、离休费、退休人员生活补助、医疗保险、养老保险、住房公积金等开支。以及用于日常办公、业务活动方面的经常性开支，包括：办公费、水电费、取暖费、差旅费、公务用车交通费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3、参与种业发展、农作物病虫害防控相关规划研究与制定、技术开</w:t>
            </w:r>
            <w:r>
              <w:rPr>
                <w:rFonts w:hint="eastAsia" w:ascii="宋体" w:hAnsi="宋体"/>
                <w:sz w:val="16"/>
                <w:lang w:eastAsia="zh-CN"/>
              </w:rPr>
              <w:t>发和</w:t>
            </w:r>
            <w:r>
              <w:rPr>
                <w:rFonts w:ascii="宋体" w:hAnsi="宋体" w:eastAsia="宋体"/>
                <w:sz w:val="16"/>
              </w:rPr>
              <w:t>应用工作；开展农作物种质资源保护工作；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4、承担农作物种子信息收集、分析和农作物种子信息化有关工作；承担农作物新品种引进、试验、示范、种子技术推广；承担土肥水资源新技术试验示范推广；</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5、承担种子、农药、肥料等产品质量监管及农业植物疫情监管、检疫审批、调运检疫等的技术性工作；承担农作物重大病虫害监测和指导农作物重大病虫害的防控工作；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6、承担灾情分析、抗药性监测、检疫性有害生物监测治理、种植业发展相关技术培训和咨询工作；</w:t>
            </w:r>
          </w:p>
        </w:tc>
      </w:tr>
      <w:tr w14:paraId="1D0443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FC2F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34BC0">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DF94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BB167">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463E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DF86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B3ADD">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68539">
            <w:pPr>
              <w:jc w:val="center"/>
            </w:pPr>
            <w:r>
              <w:rPr>
                <w:rFonts w:ascii="宋体" w:hAnsi="宋体" w:eastAsia="宋体"/>
                <w:sz w:val="16"/>
              </w:rPr>
              <w:t>得分</w:t>
            </w:r>
          </w:p>
        </w:tc>
      </w:tr>
      <w:tr w14:paraId="15F928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62A8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716ED">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94172">
            <w:pPr>
              <w:jc w:val="center"/>
            </w:pPr>
            <w:r>
              <w:rPr>
                <w:rFonts w:ascii="宋体" w:hAnsi="宋体" w:eastAsia="宋体"/>
                <w:sz w:val="16"/>
              </w:rPr>
              <w:t>保障在职、退休职工工资人数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3FF57">
            <w:pPr>
              <w:jc w:val="center"/>
            </w:pPr>
            <w:r>
              <w:rPr>
                <w:rFonts w:ascii="宋体" w:hAnsi="宋体" w:eastAsia="宋体"/>
                <w:sz w:val="16"/>
              </w:rPr>
              <w:t>&gt;=18人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CB37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0FA67">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38D91">
            <w:pPr>
              <w:jc w:val="center"/>
            </w:pPr>
            <w:r>
              <w:rPr>
                <w:rFonts w:ascii="宋体" w:hAnsi="宋体" w:eastAsia="宋体"/>
                <w:sz w:val="16"/>
              </w:rPr>
              <w:t>18人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9889E">
            <w:pPr>
              <w:jc w:val="center"/>
            </w:pPr>
            <w:r>
              <w:rPr>
                <w:rFonts w:ascii="宋体" w:hAnsi="宋体" w:eastAsia="宋体"/>
                <w:sz w:val="16"/>
              </w:rPr>
              <w:t>30</w:t>
            </w:r>
          </w:p>
        </w:tc>
      </w:tr>
      <w:tr w14:paraId="422743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345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B904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9F0D3">
            <w:pPr>
              <w:jc w:val="center"/>
            </w:pPr>
            <w:r>
              <w:rPr>
                <w:rFonts w:ascii="宋体" w:hAnsi="宋体" w:eastAsia="宋体"/>
                <w:sz w:val="16"/>
              </w:rPr>
              <w:t>保障公务用车数量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B33A8">
            <w:pPr>
              <w:jc w:val="center"/>
            </w:pPr>
            <w:r>
              <w:rPr>
                <w:rFonts w:ascii="宋体" w:hAnsi="宋体" w:eastAsia="宋体"/>
                <w:sz w:val="16"/>
              </w:rPr>
              <w:t>&gt;=1辆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2ED2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17CD3">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23E61">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BAE1B">
            <w:pPr>
              <w:jc w:val="center"/>
            </w:pPr>
            <w:r>
              <w:rPr>
                <w:rFonts w:ascii="宋体" w:hAnsi="宋体" w:eastAsia="宋体"/>
                <w:sz w:val="16"/>
              </w:rPr>
              <w:t>30</w:t>
            </w:r>
          </w:p>
        </w:tc>
      </w:tr>
      <w:tr w14:paraId="04B53A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D177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9B4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B1D5A">
            <w:pPr>
              <w:jc w:val="center"/>
            </w:pPr>
            <w:r>
              <w:rPr>
                <w:rFonts w:ascii="宋体" w:hAnsi="宋体" w:eastAsia="宋体"/>
                <w:sz w:val="16"/>
              </w:rPr>
              <w:t>开展农业技术培训次数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17052">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705DC">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354C5">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D8D1B">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2A78B">
            <w:pPr>
              <w:jc w:val="center"/>
            </w:pPr>
            <w:r>
              <w:rPr>
                <w:rFonts w:ascii="宋体" w:hAnsi="宋体" w:eastAsia="宋体"/>
                <w:sz w:val="16"/>
              </w:rPr>
              <w:t>30</w:t>
            </w:r>
          </w:p>
        </w:tc>
      </w:tr>
    </w:tbl>
    <w:p w14:paraId="60438C3B">
      <w:r>
        <w:br w:type="page"/>
      </w:r>
    </w:p>
    <w:p w14:paraId="185E20A4">
      <w:pPr>
        <w:spacing w:line="640" w:lineRule="exact"/>
        <w:ind w:firstLine="640"/>
        <w:jc w:val="both"/>
        <w:outlineLvl w:val="2"/>
      </w:pPr>
      <w:r>
        <w:rPr>
          <w:rFonts w:ascii="黑体" w:hAnsi="黑体" w:eastAsia="黑体"/>
          <w:sz w:val="32"/>
        </w:rPr>
        <w:t>十二、其他需说明的事项</w:t>
      </w:r>
    </w:p>
    <w:p w14:paraId="654DA862">
      <w:pPr>
        <w:spacing w:line="580" w:lineRule="exact"/>
        <w:ind w:firstLine="640"/>
        <w:jc w:val="both"/>
      </w:pPr>
      <w:r>
        <w:rPr>
          <w:rFonts w:ascii="仿宋_GB2312" w:hAnsi="仿宋_GB2312" w:eastAsia="仿宋_GB2312"/>
          <w:b w:val="0"/>
          <w:sz w:val="32"/>
        </w:rPr>
        <w:t>本单位2024年度无政府采购支出，授予中小企业合同金额0.00万元。本年本单位SM项目1个，全年预算数7.43万元，全年执行数7.43万元。</w:t>
      </w:r>
    </w:p>
    <w:p w14:paraId="4FD16056">
      <w:r>
        <w:br w:type="page"/>
      </w:r>
    </w:p>
    <w:p w14:paraId="5A6ADD1A">
      <w:pPr>
        <w:spacing w:line="240" w:lineRule="auto"/>
        <w:jc w:val="center"/>
        <w:outlineLvl w:val="1"/>
      </w:pPr>
      <w:r>
        <w:rPr>
          <w:rFonts w:ascii="黑体" w:hAnsi="黑体" w:eastAsia="黑体"/>
          <w:sz w:val="32"/>
        </w:rPr>
        <w:t>第三部分 专业名词解释</w:t>
      </w:r>
    </w:p>
    <w:p w14:paraId="55ED11A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3A2713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807CDB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4DA0A0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51BD18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15EB4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AE83F2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49CDCF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41AEC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672A46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801778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3D1DAF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698375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720E4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5E5FE70">
      <w:r>
        <w:br w:type="page"/>
      </w:r>
    </w:p>
    <w:p w14:paraId="569914EC">
      <w:pPr>
        <w:spacing w:line="240" w:lineRule="auto"/>
        <w:jc w:val="center"/>
        <w:outlineLvl w:val="1"/>
      </w:pPr>
      <w:r>
        <w:rPr>
          <w:rFonts w:ascii="黑体" w:hAnsi="黑体" w:eastAsia="黑体"/>
          <w:sz w:val="32"/>
        </w:rPr>
        <w:t>第四部分 部门决算报表（见附表）</w:t>
      </w:r>
    </w:p>
    <w:p w14:paraId="720008E1">
      <w:pPr>
        <w:spacing w:line="240" w:lineRule="auto"/>
        <w:ind w:firstLine="640"/>
        <w:jc w:val="both"/>
      </w:pPr>
      <w:r>
        <w:rPr>
          <w:rFonts w:ascii="仿宋_GB2312" w:hAnsi="仿宋_GB2312" w:eastAsia="仿宋_GB2312"/>
          <w:b w:val="0"/>
          <w:sz w:val="32"/>
        </w:rPr>
        <w:t>一、《收入支出决算总表》</w:t>
      </w:r>
    </w:p>
    <w:p w14:paraId="0B0CB09B">
      <w:pPr>
        <w:spacing w:line="240" w:lineRule="auto"/>
        <w:ind w:firstLine="640"/>
        <w:jc w:val="both"/>
      </w:pPr>
      <w:r>
        <w:rPr>
          <w:rFonts w:ascii="仿宋_GB2312" w:hAnsi="仿宋_GB2312" w:eastAsia="仿宋_GB2312"/>
          <w:b w:val="0"/>
          <w:sz w:val="32"/>
        </w:rPr>
        <w:t>二、《收入决算表》</w:t>
      </w:r>
    </w:p>
    <w:p w14:paraId="18F69304">
      <w:pPr>
        <w:spacing w:line="240" w:lineRule="auto"/>
        <w:ind w:firstLine="640"/>
        <w:jc w:val="both"/>
      </w:pPr>
      <w:r>
        <w:rPr>
          <w:rFonts w:ascii="仿宋_GB2312" w:hAnsi="仿宋_GB2312" w:eastAsia="仿宋_GB2312"/>
          <w:b w:val="0"/>
          <w:sz w:val="32"/>
        </w:rPr>
        <w:t>三、《支出决算表》</w:t>
      </w:r>
    </w:p>
    <w:p w14:paraId="0602908A">
      <w:pPr>
        <w:spacing w:line="240" w:lineRule="auto"/>
        <w:ind w:firstLine="640"/>
        <w:jc w:val="both"/>
      </w:pPr>
      <w:r>
        <w:rPr>
          <w:rFonts w:ascii="仿宋_GB2312" w:hAnsi="仿宋_GB2312" w:eastAsia="仿宋_GB2312"/>
          <w:b w:val="0"/>
          <w:sz w:val="32"/>
        </w:rPr>
        <w:t>四、《财政拨款收入支出决算总表》</w:t>
      </w:r>
    </w:p>
    <w:p w14:paraId="7073E553">
      <w:pPr>
        <w:spacing w:line="240" w:lineRule="auto"/>
        <w:ind w:firstLine="640"/>
        <w:jc w:val="both"/>
      </w:pPr>
      <w:r>
        <w:rPr>
          <w:rFonts w:ascii="仿宋_GB2312" w:hAnsi="仿宋_GB2312" w:eastAsia="仿宋_GB2312"/>
          <w:b w:val="0"/>
          <w:sz w:val="32"/>
        </w:rPr>
        <w:t>五、《一般公共预算财政拨款支出决算表》</w:t>
      </w:r>
    </w:p>
    <w:p w14:paraId="1130D7CD">
      <w:pPr>
        <w:spacing w:line="240" w:lineRule="auto"/>
        <w:ind w:firstLine="640"/>
        <w:jc w:val="both"/>
      </w:pPr>
      <w:r>
        <w:rPr>
          <w:rFonts w:ascii="仿宋_GB2312" w:hAnsi="仿宋_GB2312" w:eastAsia="仿宋_GB2312"/>
          <w:b w:val="0"/>
          <w:sz w:val="32"/>
        </w:rPr>
        <w:t>六、《一般公共预算财政拨款基本支出决算表》</w:t>
      </w:r>
    </w:p>
    <w:p w14:paraId="29351863">
      <w:pPr>
        <w:spacing w:line="240" w:lineRule="auto"/>
        <w:ind w:firstLine="640"/>
        <w:jc w:val="both"/>
      </w:pPr>
      <w:r>
        <w:rPr>
          <w:rFonts w:ascii="仿宋_GB2312" w:hAnsi="仿宋_GB2312" w:eastAsia="仿宋_GB2312"/>
          <w:b w:val="0"/>
          <w:sz w:val="32"/>
        </w:rPr>
        <w:t>七、《政府性基金预算财政拨款收入支出决算表》</w:t>
      </w:r>
    </w:p>
    <w:p w14:paraId="02890ED6">
      <w:pPr>
        <w:spacing w:line="240" w:lineRule="auto"/>
        <w:ind w:firstLine="640"/>
        <w:jc w:val="both"/>
      </w:pPr>
      <w:r>
        <w:rPr>
          <w:rFonts w:ascii="仿宋_GB2312" w:hAnsi="仿宋_GB2312" w:eastAsia="仿宋_GB2312"/>
          <w:b w:val="0"/>
          <w:sz w:val="32"/>
        </w:rPr>
        <w:t>八、《国有资本经营预算财政拨款收入支出决算表》</w:t>
      </w:r>
    </w:p>
    <w:p w14:paraId="0C3B0105">
      <w:pPr>
        <w:spacing w:line="240" w:lineRule="auto"/>
        <w:ind w:firstLine="640"/>
        <w:jc w:val="both"/>
      </w:pPr>
      <w:r>
        <w:rPr>
          <w:rFonts w:ascii="仿宋_GB2312" w:hAnsi="仿宋_GB2312" w:eastAsia="仿宋_GB2312"/>
          <w:b w:val="0"/>
          <w:sz w:val="32"/>
        </w:rPr>
        <w:t>九、《财政拨款“三公”经费支出决算表》</w:t>
      </w:r>
    </w:p>
    <w:p w14:paraId="060B3532">
      <w:pPr>
        <w:spacing w:line="240" w:lineRule="auto"/>
        <w:ind w:firstLine="640"/>
        <w:jc w:val="both"/>
      </w:pPr>
    </w:p>
    <w:p w14:paraId="2DA924FE">
      <w:pPr>
        <w:spacing w:line="240" w:lineRule="auto"/>
        <w:ind w:firstLine="640"/>
        <w:jc w:val="both"/>
      </w:pPr>
    </w:p>
    <w:p w14:paraId="7D14E0D6">
      <w:pPr>
        <w:spacing w:line="240" w:lineRule="auto"/>
        <w:ind w:firstLine="640"/>
        <w:jc w:val="both"/>
      </w:pPr>
    </w:p>
    <w:p w14:paraId="226AEF84">
      <w:pPr>
        <w:spacing w:line="240" w:lineRule="auto"/>
        <w:ind w:firstLine="640"/>
        <w:jc w:val="both"/>
      </w:pPr>
    </w:p>
    <w:p w14:paraId="48AFD86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0B0E696-4C6B-49C5-BBFA-39B76CA1151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F6F971B-2A9F-4213-9AAE-9AB0E7E56751}"/>
  </w:font>
  <w:font w:name="仿宋_GB2312">
    <w:panose1 w:val="02010609030101010101"/>
    <w:charset w:val="86"/>
    <w:family w:val="modern"/>
    <w:pitch w:val="default"/>
    <w:sig w:usb0="00000001" w:usb1="080E0000" w:usb2="00000000" w:usb3="00000000" w:csb0="00040000" w:csb1="00000000"/>
    <w:embedRegular r:id="rId3" w:fontKey="{A648557D-884A-4B5C-9144-8EBA3277FD12}"/>
  </w:font>
  <w:font w:name="楷体_GB2312">
    <w:panose1 w:val="02010609030101010101"/>
    <w:charset w:val="86"/>
    <w:family w:val="auto"/>
    <w:pitch w:val="default"/>
    <w:sig w:usb0="00000001" w:usb1="080E0000" w:usb2="00000000" w:usb3="00000000" w:csb0="00040000" w:csb1="00000000"/>
    <w:embedRegular r:id="rId4" w:fontKey="{53284B7A-77B6-4C52-A9C9-D8DC23E82F9C}"/>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064186"/>
    <w:rsid w:val="1DAF458D"/>
    <w:rsid w:val="1E086ACE"/>
    <w:rsid w:val="1E4B5CA5"/>
    <w:rsid w:val="1EAA4A5F"/>
    <w:rsid w:val="1F587A0B"/>
    <w:rsid w:val="2064678E"/>
    <w:rsid w:val="20BC0B75"/>
    <w:rsid w:val="20DD6197"/>
    <w:rsid w:val="211A411E"/>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B702E61"/>
    <w:rsid w:val="3D5275AC"/>
    <w:rsid w:val="3EA7725F"/>
    <w:rsid w:val="3EC014A1"/>
    <w:rsid w:val="40834692"/>
    <w:rsid w:val="423A32B2"/>
    <w:rsid w:val="423C0CB4"/>
    <w:rsid w:val="427B5743"/>
    <w:rsid w:val="42975177"/>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3A60ED"/>
    <w:rsid w:val="65D97752"/>
    <w:rsid w:val="664C500C"/>
    <w:rsid w:val="67D111AB"/>
    <w:rsid w:val="68DB0208"/>
    <w:rsid w:val="68DF36D5"/>
    <w:rsid w:val="69846A0E"/>
    <w:rsid w:val="69AD798C"/>
    <w:rsid w:val="6B68175F"/>
    <w:rsid w:val="6B8B5C99"/>
    <w:rsid w:val="6CA7198F"/>
    <w:rsid w:val="6D374E87"/>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4483</Words>
  <Characters>5119</Characters>
  <Lines>0</Lines>
  <Paragraphs>0</Paragraphs>
  <TotalTime>3</TotalTime>
  <ScaleCrop>false</ScaleCrop>
  <LinksUpToDate>false</LinksUpToDate>
  <CharactersWithSpaces>5127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2025-09-17T09:43:23Z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