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洛浦县社区服务中心2024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60B1B92">
      <w:r>
        <w:br w:type="page"/>
      </w:r>
    </w:p>
    <w:p w14:paraId="2B2E30F9">
      <w:pPr>
        <w:spacing w:line="640" w:lineRule="exact"/>
        <w:jc w:val="center"/>
        <w:outlineLvl w:val="1"/>
      </w:pPr>
      <w:r>
        <w:rPr>
          <w:rFonts w:ascii="黑体" w:hAnsi="黑体" w:eastAsia="黑体"/>
          <w:sz w:val="32"/>
        </w:rPr>
        <w:t>第一部分 单位概况</w:t>
      </w:r>
    </w:p>
    <w:p w14:paraId="2F7C4901">
      <w:pPr>
        <w:spacing w:line="640" w:lineRule="exact"/>
        <w:ind w:firstLine="640"/>
        <w:jc w:val="both"/>
        <w:outlineLvl w:val="2"/>
      </w:pPr>
      <w:r>
        <w:rPr>
          <w:rFonts w:ascii="黑体" w:hAnsi="黑体" w:eastAsia="黑体"/>
          <w:sz w:val="32"/>
        </w:rPr>
        <w:t>一、主要职能</w:t>
      </w:r>
    </w:p>
    <w:p w14:paraId="25D14A67">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进一步加强街道、社区党组织建设，建立街道、社区党建联系会章程，街道、社区党支部联系群众制度，流动党员管理制度，在职党员管理制度，切实抓好党组织领导班子建设和党员队伍建设，按照党章要求开展组织生活、开展党的活动，宣传党的政策；在居民中发现和培养优秀分子，为党的壮大和发展吸收新鲜血液，不断增强党的凝聚力和战斗力。</w:t>
      </w:r>
    </w:p>
    <w:p w14:paraId="6E2A830D">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建设有</w:t>
      </w:r>
      <w:r>
        <w:rPr>
          <w:rFonts w:hint="eastAsia" w:ascii="仿宋_GB2312" w:hAnsi="仿宋_GB2312" w:eastAsia="仿宋_GB2312"/>
          <w:sz w:val="32"/>
          <w:lang w:eastAsia="zh-CN"/>
        </w:rPr>
        <w:t>中国特色社会主义文化</w:t>
      </w:r>
      <w:r>
        <w:rPr>
          <w:rFonts w:ascii="仿宋_GB2312" w:hAnsi="仿宋_GB2312" w:eastAsia="仿宋_GB2312"/>
          <w:sz w:val="32"/>
        </w:rPr>
        <w:t>占领街道、社区思想文化阵地。</w:t>
      </w:r>
    </w:p>
    <w:p w14:paraId="48E4D8EB">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切实加强街道、社区治安综合治理，维护社会稳定。</w:t>
      </w:r>
    </w:p>
    <w:p w14:paraId="5180C773">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以服务群众为重点，健全服务体系。</w:t>
      </w:r>
    </w:p>
    <w:p w14:paraId="50FB8A39">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全面负责辖区内文化、体育、卫生、教育宣传、</w:t>
      </w:r>
      <w:r>
        <w:rPr>
          <w:rFonts w:hint="eastAsia" w:ascii="仿宋_GB2312" w:hAnsi="仿宋_GB2312" w:eastAsia="仿宋_GB2312"/>
          <w:sz w:val="32"/>
          <w:lang w:eastAsia="zh-CN"/>
        </w:rPr>
        <w:t>ZJ</w:t>
      </w:r>
      <w:r>
        <w:rPr>
          <w:rFonts w:ascii="仿宋_GB2312" w:hAnsi="仿宋_GB2312" w:eastAsia="仿宋_GB2312"/>
          <w:sz w:val="32"/>
        </w:rPr>
        <w:t>管理、信访接待、社会治安、经济建设、社区就业和社会保障工作以及县人民政府交办的其他工作。</w:t>
      </w:r>
    </w:p>
    <w:p w14:paraId="19D2D7A2">
      <w:pPr>
        <w:spacing w:line="640" w:lineRule="exact"/>
        <w:ind w:firstLine="640"/>
        <w:jc w:val="both"/>
        <w:outlineLvl w:val="2"/>
      </w:pPr>
      <w:r>
        <w:rPr>
          <w:rFonts w:ascii="黑体" w:hAnsi="黑体" w:eastAsia="黑体"/>
          <w:sz w:val="32"/>
        </w:rPr>
        <w:t>二、机构设置及人员情况</w:t>
      </w:r>
    </w:p>
    <w:p w14:paraId="064B4BBA">
      <w:pPr>
        <w:spacing w:line="580" w:lineRule="exact"/>
        <w:ind w:firstLine="640"/>
        <w:jc w:val="both"/>
      </w:pPr>
      <w:r>
        <w:rPr>
          <w:rFonts w:ascii="仿宋_GB2312" w:hAnsi="仿宋_GB2312" w:eastAsia="仿宋_GB2312"/>
          <w:sz w:val="32"/>
        </w:rPr>
        <w:t>洛浦县社区服务中心2024年度，实有人数152人，其中：在职人员131人，减少15人；离休人员0人，增加0人；退休人员21人,增加8人。</w:t>
      </w:r>
    </w:p>
    <w:p w14:paraId="30762F83">
      <w:pPr>
        <w:spacing w:line="580" w:lineRule="exact"/>
        <w:ind w:firstLine="640"/>
        <w:jc w:val="both"/>
      </w:pPr>
      <w:r>
        <w:rPr>
          <w:rFonts w:ascii="仿宋_GB2312" w:hAnsi="仿宋_GB2312" w:eastAsia="仿宋_GB2312"/>
          <w:sz w:val="32"/>
        </w:rPr>
        <w:t>洛浦县社区服务中心无下属预算单位，下设22个科室，分别是：党建办、纪检办、财务室、精神文明办、群众工作办、民政办、英买里社区、博斯坦社区、库拉买里社区、喀赞巴格社区、安江巴格社区、英巴格社区、英巴扎社区、古里巴格社区、夏玛里巴格社区、喀勒尕其巴格社区、大巴扎社区、安居社区、民乐社区</w:t>
      </w:r>
      <w:bookmarkStart w:id="0" w:name="_GoBack"/>
      <w:r>
        <w:rPr>
          <w:rFonts w:hint="eastAsia" w:ascii="仿宋_GB2312" w:hAnsi="仿宋_GB2312" w:eastAsia="仿宋_GB2312"/>
          <w:sz w:val="32"/>
          <w:lang w:eastAsia="zh-CN"/>
        </w:rPr>
        <w:t>、和</w:t>
      </w:r>
      <w:bookmarkEnd w:id="0"/>
      <w:r>
        <w:rPr>
          <w:rFonts w:ascii="仿宋_GB2312" w:hAnsi="仿宋_GB2312" w:eastAsia="仿宋_GB2312"/>
          <w:sz w:val="32"/>
        </w:rPr>
        <w:t>佳社区、团结社区、依格孜艾日克社区。</w:t>
      </w:r>
    </w:p>
    <w:p w14:paraId="221DA9AC">
      <w:r>
        <w:br w:type="page"/>
      </w:r>
    </w:p>
    <w:p w14:paraId="26F6B5DE">
      <w:pPr>
        <w:spacing w:line="240" w:lineRule="auto"/>
        <w:jc w:val="center"/>
        <w:outlineLvl w:val="1"/>
      </w:pPr>
      <w:r>
        <w:rPr>
          <w:rFonts w:ascii="黑体" w:hAnsi="黑体" w:eastAsia="黑体"/>
          <w:sz w:val="32"/>
        </w:rPr>
        <w:t>第二部分 部门决算情况说明</w:t>
      </w:r>
    </w:p>
    <w:p w14:paraId="4144D904">
      <w:pPr>
        <w:spacing w:line="640" w:lineRule="exact"/>
        <w:ind w:firstLine="640"/>
        <w:jc w:val="both"/>
        <w:outlineLvl w:val="2"/>
      </w:pPr>
      <w:r>
        <w:rPr>
          <w:rFonts w:ascii="黑体" w:hAnsi="黑体" w:eastAsia="黑体"/>
          <w:sz w:val="32"/>
        </w:rPr>
        <w:t>一、收入支出决算总体情况说明</w:t>
      </w:r>
    </w:p>
    <w:p w14:paraId="4CDA21DD">
      <w:pPr>
        <w:spacing w:line="580" w:lineRule="exact"/>
        <w:ind w:firstLine="640"/>
        <w:jc w:val="both"/>
      </w:pPr>
      <w:r>
        <w:rPr>
          <w:rFonts w:ascii="仿宋_GB2312" w:hAnsi="仿宋_GB2312" w:eastAsia="仿宋_GB2312"/>
          <w:b/>
          <w:sz w:val="32"/>
        </w:rPr>
        <w:t>2024年度收入总计3,080.32万元，</w:t>
      </w:r>
      <w:r>
        <w:rPr>
          <w:rFonts w:ascii="仿宋_GB2312" w:hAnsi="仿宋_GB2312" w:eastAsia="仿宋_GB2312"/>
          <w:b w:val="0"/>
          <w:sz w:val="32"/>
        </w:rPr>
        <w:t>其中：本年收入合计3,080.32万元，使用非财政拨款结余（含专用结余）0.00万元，年初结转和结余0.00万元。</w:t>
      </w:r>
    </w:p>
    <w:p w14:paraId="4FBE253F">
      <w:pPr>
        <w:spacing w:line="580" w:lineRule="exact"/>
        <w:ind w:firstLine="640"/>
        <w:jc w:val="both"/>
      </w:pPr>
      <w:r>
        <w:rPr>
          <w:rFonts w:ascii="仿宋_GB2312" w:hAnsi="仿宋_GB2312" w:eastAsia="仿宋_GB2312"/>
          <w:b/>
          <w:sz w:val="32"/>
        </w:rPr>
        <w:t>2024年度支出总计3,080.32万元，</w:t>
      </w:r>
      <w:r>
        <w:rPr>
          <w:rFonts w:ascii="仿宋_GB2312" w:hAnsi="仿宋_GB2312" w:eastAsia="仿宋_GB2312"/>
          <w:b w:val="0"/>
          <w:sz w:val="32"/>
        </w:rPr>
        <w:t>其中：本年支出合计3,080.32万元，结余分配0.00万元，年末结转和结余0.00万元。</w:t>
      </w:r>
    </w:p>
    <w:p w14:paraId="2E2FA175">
      <w:pPr>
        <w:spacing w:line="580" w:lineRule="exact"/>
        <w:ind w:firstLine="640"/>
        <w:jc w:val="both"/>
      </w:pPr>
      <w:r>
        <w:rPr>
          <w:rFonts w:ascii="仿宋_GB2312" w:hAnsi="仿宋_GB2312" w:eastAsia="仿宋_GB2312"/>
          <w:b w:val="0"/>
          <w:sz w:val="32"/>
        </w:rPr>
        <w:t>收入支出总体与上年相比，增加52.67万元，增长1.74%，主要原因是：本年增加城区街道综合服务用房建设项目资金。</w:t>
      </w:r>
    </w:p>
    <w:p w14:paraId="4FADBE7A">
      <w:pPr>
        <w:spacing w:line="640" w:lineRule="exact"/>
        <w:ind w:firstLine="640"/>
        <w:jc w:val="both"/>
        <w:outlineLvl w:val="2"/>
      </w:pPr>
      <w:r>
        <w:rPr>
          <w:rFonts w:ascii="黑体" w:hAnsi="黑体" w:eastAsia="黑体"/>
          <w:sz w:val="32"/>
        </w:rPr>
        <w:t>二、收入决算情况说明</w:t>
      </w:r>
    </w:p>
    <w:p w14:paraId="0836474F">
      <w:pPr>
        <w:spacing w:line="580" w:lineRule="exact"/>
        <w:ind w:firstLine="640"/>
        <w:jc w:val="both"/>
      </w:pPr>
      <w:r>
        <w:rPr>
          <w:rFonts w:ascii="仿宋_GB2312" w:hAnsi="仿宋_GB2312" w:eastAsia="仿宋_GB2312"/>
          <w:b/>
          <w:sz w:val="32"/>
        </w:rPr>
        <w:t>本年收入3,080.32万元，</w:t>
      </w:r>
      <w:r>
        <w:rPr>
          <w:rFonts w:ascii="仿宋_GB2312" w:hAnsi="仿宋_GB2312" w:eastAsia="仿宋_GB2312"/>
          <w:b w:val="0"/>
          <w:sz w:val="32"/>
        </w:rPr>
        <w:t>其中：财政拨款收入3,074.11万元，占99.80%；上级补助收入0.00万元，占0.00%；事业收入0.00万元，占0.00%；经营收入0.00万元，占0.00%；附属单位上缴收入0.00万元，占0.00%；其他收入6.21万元，占0.20%。</w:t>
      </w:r>
    </w:p>
    <w:p w14:paraId="4881DB13">
      <w:pPr>
        <w:spacing w:line="640" w:lineRule="exact"/>
        <w:ind w:firstLine="640"/>
        <w:jc w:val="both"/>
        <w:outlineLvl w:val="2"/>
      </w:pPr>
      <w:r>
        <w:rPr>
          <w:rFonts w:ascii="黑体" w:hAnsi="黑体" w:eastAsia="黑体"/>
          <w:sz w:val="32"/>
        </w:rPr>
        <w:t>三、支出决算情况说明</w:t>
      </w:r>
    </w:p>
    <w:p w14:paraId="0384A368">
      <w:pPr>
        <w:spacing w:line="580" w:lineRule="exact"/>
        <w:ind w:firstLine="640"/>
        <w:jc w:val="both"/>
      </w:pPr>
      <w:r>
        <w:rPr>
          <w:rFonts w:ascii="仿宋_GB2312" w:hAnsi="仿宋_GB2312" w:eastAsia="仿宋_GB2312"/>
          <w:b/>
          <w:sz w:val="32"/>
        </w:rPr>
        <w:t>本年支出3,080.32万元，</w:t>
      </w:r>
      <w:r>
        <w:rPr>
          <w:rFonts w:ascii="仿宋_GB2312" w:hAnsi="仿宋_GB2312" w:eastAsia="仿宋_GB2312"/>
          <w:b w:val="0"/>
          <w:sz w:val="32"/>
        </w:rPr>
        <w:t>其中：基本支出2,875.17万元，占93.34%；项目支出205.15万元，占6.66%；上缴上级支出0.00万元，占0.00%；经营支出0.00万元，占0.00%；对附属单位补助支出0.00万元，占0.00%。</w:t>
      </w:r>
    </w:p>
    <w:p w14:paraId="5ED497FF">
      <w:pPr>
        <w:spacing w:line="640" w:lineRule="exact"/>
        <w:ind w:firstLine="640"/>
        <w:jc w:val="both"/>
        <w:outlineLvl w:val="2"/>
      </w:pPr>
      <w:r>
        <w:rPr>
          <w:rFonts w:ascii="黑体" w:hAnsi="黑体" w:eastAsia="黑体"/>
          <w:sz w:val="32"/>
        </w:rPr>
        <w:t>四、财政拨款收入支出决算总体情况说明</w:t>
      </w:r>
    </w:p>
    <w:p w14:paraId="5C23E232">
      <w:pPr>
        <w:spacing w:line="580" w:lineRule="exact"/>
        <w:ind w:firstLine="640"/>
        <w:jc w:val="both"/>
      </w:pPr>
      <w:r>
        <w:rPr>
          <w:rFonts w:ascii="仿宋_GB2312" w:hAnsi="仿宋_GB2312" w:eastAsia="仿宋_GB2312"/>
          <w:b/>
          <w:sz w:val="32"/>
        </w:rPr>
        <w:t>2024年度财政拨款收入总计3,074.11万元，</w:t>
      </w:r>
      <w:r>
        <w:rPr>
          <w:rFonts w:ascii="仿宋_GB2312" w:hAnsi="仿宋_GB2312" w:eastAsia="仿宋_GB2312"/>
          <w:b w:val="0"/>
          <w:sz w:val="32"/>
        </w:rPr>
        <w:t>其中：年初财政拨款结转和结余0.00万元，本年财政拨款收入3,074.11万元。</w:t>
      </w:r>
      <w:r>
        <w:rPr>
          <w:rFonts w:ascii="仿宋_GB2312" w:hAnsi="仿宋_GB2312" w:eastAsia="仿宋_GB2312"/>
          <w:b/>
          <w:sz w:val="32"/>
        </w:rPr>
        <w:t>财政拨款支出总计3,074.11万元，</w:t>
      </w:r>
      <w:r>
        <w:rPr>
          <w:rFonts w:ascii="仿宋_GB2312" w:hAnsi="仿宋_GB2312" w:eastAsia="仿宋_GB2312"/>
          <w:b w:val="0"/>
          <w:sz w:val="32"/>
        </w:rPr>
        <w:t>其中：年末财政拨款结转和结余0.00万元，本年财政拨款支出3,074.11万元。</w:t>
      </w:r>
    </w:p>
    <w:p w14:paraId="38DF6B5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增加76.49万元，增长2.55%，主要原因是：本年增加城区街道综合服务用房建设项目资金。</w:t>
      </w:r>
      <w:r>
        <w:rPr>
          <w:rFonts w:ascii="仿宋_GB2312" w:hAnsi="仿宋_GB2312" w:eastAsia="仿宋_GB2312"/>
          <w:b/>
          <w:sz w:val="32"/>
        </w:rPr>
        <w:t>与年初预算相比，</w:t>
      </w:r>
      <w:r>
        <w:rPr>
          <w:rFonts w:ascii="仿宋_GB2312" w:hAnsi="仿宋_GB2312" w:eastAsia="仿宋_GB2312"/>
          <w:b w:val="0"/>
          <w:sz w:val="32"/>
        </w:rPr>
        <w:t>年初预算数3,161.63万元，决算数3,074.11万元，预决算差异率-2.77%，主要原因是：本年在职人员减少，年中调减人员经费</w:t>
      </w:r>
      <w:r>
        <w:rPr>
          <w:rFonts w:hint="eastAsia" w:ascii="仿宋_GB2312" w:hAnsi="仿宋_GB2312" w:eastAsia="仿宋_GB2312"/>
          <w:b w:val="0"/>
          <w:sz w:val="32"/>
          <w:lang w:eastAsia="zh-CN"/>
        </w:rPr>
        <w:t>、</w:t>
      </w:r>
      <w:r>
        <w:rPr>
          <w:rFonts w:ascii="仿宋_GB2312" w:hAnsi="仿宋_GB2312" w:eastAsia="仿宋_GB2312"/>
          <w:b w:val="0"/>
          <w:sz w:val="32"/>
        </w:rPr>
        <w:t>为民办实事经费，导致预决算存在差异。</w:t>
      </w:r>
    </w:p>
    <w:p w14:paraId="6C28D589">
      <w:pPr>
        <w:spacing w:line="640" w:lineRule="exact"/>
        <w:ind w:firstLine="640"/>
        <w:jc w:val="both"/>
        <w:outlineLvl w:val="2"/>
      </w:pPr>
      <w:r>
        <w:rPr>
          <w:rFonts w:ascii="黑体" w:hAnsi="黑体" w:eastAsia="黑体"/>
          <w:sz w:val="32"/>
        </w:rPr>
        <w:t>五、一般公共预算财政拨款支出决算情况说明</w:t>
      </w:r>
    </w:p>
    <w:p w14:paraId="66B35929">
      <w:pPr>
        <w:spacing w:line="640" w:lineRule="exact"/>
        <w:ind w:firstLine="640"/>
        <w:jc w:val="both"/>
        <w:outlineLvl w:val="3"/>
      </w:pPr>
      <w:r>
        <w:rPr>
          <w:rFonts w:ascii="楷体_GB2312" w:hAnsi="楷体_GB2312" w:eastAsia="楷体_GB2312"/>
          <w:b/>
          <w:sz w:val="32"/>
        </w:rPr>
        <w:t>（一）一般公共预算财政拨款支出决算总体情况</w:t>
      </w:r>
    </w:p>
    <w:p w14:paraId="58F0A46F">
      <w:pPr>
        <w:spacing w:line="580" w:lineRule="exact"/>
        <w:ind w:firstLine="640"/>
        <w:jc w:val="both"/>
      </w:pPr>
      <w:r>
        <w:rPr>
          <w:rFonts w:ascii="仿宋_GB2312" w:hAnsi="仿宋_GB2312" w:eastAsia="仿宋_GB2312"/>
          <w:b/>
          <w:sz w:val="32"/>
        </w:rPr>
        <w:t>2024年度一般公共预算财政拨款支出2,987.43万元，</w:t>
      </w:r>
      <w:r>
        <w:rPr>
          <w:rFonts w:ascii="仿宋_GB2312" w:hAnsi="仿宋_GB2312" w:eastAsia="仿宋_GB2312"/>
          <w:b w:val="0"/>
          <w:sz w:val="32"/>
        </w:rPr>
        <w:t>占本年支出合计的96.98%。</w:t>
      </w:r>
      <w:r>
        <w:rPr>
          <w:rFonts w:ascii="仿宋_GB2312" w:hAnsi="仿宋_GB2312" w:eastAsia="仿宋_GB2312"/>
          <w:b/>
          <w:sz w:val="32"/>
        </w:rPr>
        <w:t>与上年相比，</w:t>
      </w:r>
      <w:r>
        <w:rPr>
          <w:rFonts w:ascii="仿宋_GB2312" w:hAnsi="仿宋_GB2312" w:eastAsia="仿宋_GB2312"/>
          <w:b w:val="0"/>
          <w:sz w:val="32"/>
        </w:rPr>
        <w:t>减少8.96万元，下降0.30%，主要原因是：本年在职人员减少，相关人员经费较上年减少。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年初预算数3,161.63万元，决算数2,987.43万元，预决算差异率-5.51%，主要原因是：本年在职人员减少，年中调减人员经费</w:t>
      </w:r>
      <w:r>
        <w:rPr>
          <w:rFonts w:hint="eastAsia" w:ascii="仿宋_GB2312" w:hAnsi="仿宋_GB2312" w:eastAsia="仿宋_GB2312"/>
          <w:b w:val="0"/>
          <w:sz w:val="32"/>
          <w:lang w:eastAsia="zh-CN"/>
        </w:rPr>
        <w:t>、</w:t>
      </w:r>
      <w:r>
        <w:rPr>
          <w:rFonts w:ascii="仿宋_GB2312" w:hAnsi="仿宋_GB2312" w:eastAsia="仿宋_GB2312"/>
          <w:b w:val="0"/>
          <w:sz w:val="32"/>
        </w:rPr>
        <w:t>为民办实事经费，导致预决算存在差异。</w:t>
      </w:r>
    </w:p>
    <w:p w14:paraId="02FFE289">
      <w:pPr>
        <w:spacing w:line="640" w:lineRule="exact"/>
        <w:ind w:firstLine="640"/>
        <w:jc w:val="both"/>
        <w:outlineLvl w:val="3"/>
      </w:pPr>
      <w:r>
        <w:rPr>
          <w:rFonts w:ascii="楷体_GB2312" w:hAnsi="楷体_GB2312" w:eastAsia="楷体_GB2312"/>
          <w:b/>
          <w:sz w:val="32"/>
        </w:rPr>
        <w:t>（二）一般公共预算财政拨款支出决算结构情况</w:t>
      </w:r>
    </w:p>
    <w:p w14:paraId="1B2EAF4E">
      <w:pPr>
        <w:spacing w:line="580" w:lineRule="exact"/>
        <w:ind w:firstLine="640"/>
        <w:jc w:val="both"/>
      </w:pPr>
      <w:r>
        <w:rPr>
          <w:rFonts w:ascii="仿宋_GB2312" w:hAnsi="仿宋_GB2312" w:eastAsia="仿宋_GB2312"/>
          <w:b w:val="0"/>
          <w:sz w:val="32"/>
        </w:rPr>
        <w:t>1.一般公共服务支出(类)2,251.83万元,占75.38%。</w:t>
      </w:r>
    </w:p>
    <w:p w14:paraId="6380CAD3">
      <w:pPr>
        <w:spacing w:line="580" w:lineRule="exact"/>
        <w:ind w:firstLine="640"/>
        <w:jc w:val="both"/>
      </w:pPr>
      <w:r>
        <w:rPr>
          <w:rFonts w:ascii="仿宋_GB2312" w:hAnsi="仿宋_GB2312" w:eastAsia="仿宋_GB2312"/>
          <w:b w:val="0"/>
          <w:sz w:val="32"/>
        </w:rPr>
        <w:t>2.文化旅游体育与传媒支出(类)3.64万元,占0.12%。</w:t>
      </w:r>
    </w:p>
    <w:p w14:paraId="17594292">
      <w:pPr>
        <w:spacing w:line="580" w:lineRule="exact"/>
        <w:ind w:firstLine="640"/>
        <w:jc w:val="both"/>
      </w:pPr>
      <w:r>
        <w:rPr>
          <w:rFonts w:ascii="仿宋_GB2312" w:hAnsi="仿宋_GB2312" w:eastAsia="仿宋_GB2312"/>
          <w:b w:val="0"/>
          <w:sz w:val="32"/>
        </w:rPr>
        <w:t>3.社会保障和就业支出(类)328.53万元,占11.00%。</w:t>
      </w:r>
    </w:p>
    <w:p w14:paraId="4F083E0D">
      <w:pPr>
        <w:spacing w:line="580" w:lineRule="exact"/>
        <w:ind w:firstLine="640"/>
        <w:jc w:val="both"/>
      </w:pPr>
      <w:r>
        <w:rPr>
          <w:rFonts w:ascii="仿宋_GB2312" w:hAnsi="仿宋_GB2312" w:eastAsia="仿宋_GB2312"/>
          <w:b w:val="0"/>
          <w:sz w:val="32"/>
        </w:rPr>
        <w:t>4.卫生健康支出(类)140.02万元,占4.69%。</w:t>
      </w:r>
    </w:p>
    <w:p w14:paraId="09661A42">
      <w:pPr>
        <w:spacing w:line="580" w:lineRule="exact"/>
        <w:ind w:firstLine="640"/>
        <w:jc w:val="both"/>
      </w:pPr>
      <w:r>
        <w:rPr>
          <w:rFonts w:ascii="仿宋_GB2312" w:hAnsi="仿宋_GB2312" w:eastAsia="仿宋_GB2312"/>
          <w:b w:val="0"/>
          <w:sz w:val="32"/>
        </w:rPr>
        <w:t>5.住房保障支出(类)196.79万元,占6.59%。</w:t>
      </w:r>
    </w:p>
    <w:p w14:paraId="02CBAF5E">
      <w:pPr>
        <w:spacing w:line="580" w:lineRule="exact"/>
        <w:ind w:firstLine="640"/>
        <w:jc w:val="both"/>
      </w:pPr>
      <w:r>
        <w:rPr>
          <w:rFonts w:ascii="仿宋_GB2312" w:hAnsi="仿宋_GB2312" w:eastAsia="仿宋_GB2312"/>
          <w:b w:val="0"/>
          <w:sz w:val="32"/>
        </w:rPr>
        <w:t>6.其他支出(类)66.62万元,占2.23%。</w:t>
      </w:r>
    </w:p>
    <w:p w14:paraId="0B39583A">
      <w:pPr>
        <w:spacing w:line="640" w:lineRule="exact"/>
        <w:ind w:firstLine="640"/>
        <w:jc w:val="both"/>
        <w:outlineLvl w:val="3"/>
      </w:pPr>
      <w:r>
        <w:rPr>
          <w:rFonts w:ascii="楷体_GB2312" w:hAnsi="楷体_GB2312" w:eastAsia="楷体_GB2312"/>
          <w:b/>
          <w:sz w:val="32"/>
        </w:rPr>
        <w:t>（三）一般公共预算财政拨款支出决算具体情况</w:t>
      </w:r>
    </w:p>
    <w:p w14:paraId="2E91D537">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2,209.83万元，比上年决算减少411.63万元，下降15.70%,主要原因是：1.本年在职人员减少，相应人员经费较上年减少。2.本年功能科目调整，行政单位离退休</w:t>
      </w:r>
      <w:r>
        <w:rPr>
          <w:rFonts w:hint="eastAsia" w:ascii="仿宋_GB2312" w:hAnsi="仿宋_GB2312" w:eastAsia="仿宋_GB2312"/>
          <w:b w:val="0"/>
          <w:sz w:val="32"/>
          <w:lang w:eastAsia="zh-CN"/>
        </w:rPr>
        <w:t>、</w:t>
      </w:r>
      <w:r>
        <w:rPr>
          <w:rFonts w:ascii="仿宋_GB2312" w:hAnsi="仿宋_GB2312" w:eastAsia="仿宋_GB2312"/>
          <w:b w:val="0"/>
          <w:sz w:val="32"/>
        </w:rPr>
        <w:t>行政单位医疗，公务员医疗补助，住房公积金上年度在主科目列支，本年单独列支，导致经费较上年减少。</w:t>
      </w:r>
    </w:p>
    <w:p w14:paraId="701126DC">
      <w:pPr>
        <w:spacing w:line="580" w:lineRule="exact"/>
        <w:ind w:firstLine="640"/>
        <w:jc w:val="both"/>
      </w:pPr>
      <w:r>
        <w:rPr>
          <w:rFonts w:ascii="仿宋_GB2312" w:hAnsi="仿宋_GB2312" w:eastAsia="仿宋_GB2312"/>
          <w:b w:val="0"/>
          <w:sz w:val="32"/>
        </w:rPr>
        <w:t>2.一般公共服务支出(类)组织事务(款)其他组织事务支出(项):支出决算数为41.33万元，比上年决算增加40.38万元，增长4,250.53%,主要原因是：自治区基层组织建设项目资金增加。</w:t>
      </w:r>
    </w:p>
    <w:p w14:paraId="37B05FDD">
      <w:pPr>
        <w:spacing w:line="580" w:lineRule="exact"/>
        <w:ind w:firstLine="640"/>
        <w:jc w:val="both"/>
      </w:pPr>
      <w:r>
        <w:rPr>
          <w:rFonts w:ascii="仿宋_GB2312" w:hAnsi="仿宋_GB2312" w:eastAsia="仿宋_GB2312"/>
          <w:b w:val="0"/>
          <w:sz w:val="32"/>
        </w:rPr>
        <w:t>3.一般公共服务支出(类)统战事务(款)宗教事务(项):支出决算数为0.00万元，比上年决算减少0.60万元，下降100.00%,主要原因是：ZCGS工作</w:t>
      </w:r>
      <w:r>
        <w:rPr>
          <w:rFonts w:hint="eastAsia" w:ascii="仿宋_GB2312" w:hAnsi="仿宋_GB2312" w:eastAsia="仿宋_GB2312"/>
          <w:b w:val="0"/>
          <w:sz w:val="32"/>
          <w:lang w:eastAsia="zh-CN"/>
        </w:rPr>
        <w:t>经费</w:t>
      </w:r>
      <w:r>
        <w:rPr>
          <w:rFonts w:ascii="仿宋_GB2312" w:hAnsi="仿宋_GB2312" w:eastAsia="仿宋_GB2312"/>
          <w:b w:val="0"/>
          <w:sz w:val="32"/>
        </w:rPr>
        <w:t>减少。</w:t>
      </w:r>
    </w:p>
    <w:p w14:paraId="5E24971A">
      <w:pPr>
        <w:spacing w:line="580" w:lineRule="exact"/>
        <w:ind w:firstLine="640"/>
        <w:jc w:val="both"/>
      </w:pPr>
      <w:r>
        <w:rPr>
          <w:rFonts w:ascii="仿宋_GB2312" w:hAnsi="仿宋_GB2312" w:eastAsia="仿宋_GB2312"/>
          <w:b w:val="0"/>
          <w:sz w:val="32"/>
        </w:rPr>
        <w:t>4.一般公共服务支出(类)其他一般公共服务支出(款)其他一般公共服务支出(项):支出决算数为0.67万元，比上年决算增加0.67万元，增长100.00%,主要原因是：YQ期间</w:t>
      </w:r>
      <w:r>
        <w:rPr>
          <w:rFonts w:hint="eastAsia" w:ascii="仿宋_GB2312" w:hAnsi="仿宋_GB2312" w:eastAsia="仿宋_GB2312"/>
          <w:b w:val="0"/>
          <w:sz w:val="32"/>
        </w:rPr>
        <w:t>鸡肉</w:t>
      </w:r>
      <w:r>
        <w:rPr>
          <w:rFonts w:ascii="仿宋_GB2312" w:hAnsi="仿宋_GB2312" w:eastAsia="仿宋_GB2312"/>
          <w:b w:val="0"/>
          <w:sz w:val="32"/>
        </w:rPr>
        <w:t>欠款项目拨款增加。</w:t>
      </w:r>
    </w:p>
    <w:p w14:paraId="67DA2C8E">
      <w:pPr>
        <w:spacing w:line="580" w:lineRule="exact"/>
        <w:ind w:firstLine="640"/>
        <w:jc w:val="both"/>
      </w:pPr>
      <w:r>
        <w:rPr>
          <w:rFonts w:ascii="仿宋_GB2312" w:hAnsi="仿宋_GB2312" w:eastAsia="仿宋_GB2312"/>
          <w:b w:val="0"/>
          <w:sz w:val="32"/>
        </w:rPr>
        <w:t>5.科学技术支出(类)科学技术普及(款)其他科学技术普及支出(项):支出决算数为0.00万元，比上年决算减少2.00万元，下降100.00%,主要原因是：基层科普行动计划项目资金减少。</w:t>
      </w:r>
    </w:p>
    <w:p w14:paraId="22292A63">
      <w:pPr>
        <w:spacing w:line="580" w:lineRule="exact"/>
        <w:ind w:firstLine="640"/>
        <w:jc w:val="both"/>
      </w:pPr>
      <w:r>
        <w:rPr>
          <w:rFonts w:ascii="仿宋_GB2312" w:hAnsi="仿宋_GB2312" w:eastAsia="仿宋_GB2312"/>
          <w:b w:val="0"/>
          <w:sz w:val="32"/>
        </w:rPr>
        <w:t>6.文化旅游体育与传媒支出(类)其他文化旅游体育与传媒支出(款)其他文化旅游体育与传媒支出(项):支出决算数为3.64万元，比上年决算增加3.64万元，增长100.00%,主要原因是：中央支持地方公共文化服务体系建设补助项目资金增加。</w:t>
      </w:r>
    </w:p>
    <w:p w14:paraId="0FE64247">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24.05万元，比上年决算增加24.05万元，增长100.00%,主要原因是：本年功能科目调整，行政单位离退休上年度在主科目列支，本年单独列支，导致经费较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4990E641">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259.55万元，比上年决算增加19.94万元，增长8.32%,主要原因是：本年在职人员工资基数调增，养老缴费基数上涨，相应支出增加。</w:t>
      </w:r>
    </w:p>
    <w:p w14:paraId="643CAB52">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9.社会保障和就业支出(类)行政事业单位养老支出(款)机关事业单位职业年金缴费支出(项):支出决算数为44.93万元，比上年决算增加15.34万元，增长51.84%,主要原因是：本年新增退休人员</w:t>
      </w:r>
      <w:r>
        <w:rPr>
          <w:rFonts w:hint="eastAsia" w:ascii="仿宋_GB2312" w:hAnsi="仿宋_GB2312" w:eastAsia="仿宋_GB2312"/>
          <w:b w:val="0"/>
          <w:sz w:val="32"/>
          <w:lang w:val="en-US" w:eastAsia="zh-CN"/>
        </w:rPr>
        <w:t>较上年增加</w:t>
      </w:r>
      <w:r>
        <w:rPr>
          <w:rFonts w:ascii="仿宋_GB2312" w:hAnsi="仿宋_GB2312" w:eastAsia="仿宋_GB2312"/>
          <w:b w:val="0"/>
          <w:sz w:val="32"/>
        </w:rPr>
        <w:t>，职业年金缴费支出增加。</w:t>
      </w:r>
    </w:p>
    <w:p w14:paraId="74DDCAB3">
      <w:pPr>
        <w:spacing w:line="580" w:lineRule="exact"/>
        <w:ind w:firstLine="640"/>
        <w:jc w:val="both"/>
      </w:pPr>
      <w:r>
        <w:rPr>
          <w:rFonts w:ascii="仿宋_GB2312" w:hAnsi="仿宋_GB2312" w:eastAsia="仿宋_GB2312"/>
          <w:b w:val="0"/>
          <w:sz w:val="32"/>
        </w:rPr>
        <w:t>10.卫生健康支出(类)公共卫生(款)突发公共卫生事件应急处理(项):支出决算数为0.00万元，比上年决算减少4.00万元，下降100.00%,主要原因是：本年减少中央财力补助yq防控资金。</w:t>
      </w:r>
    </w:p>
    <w:p w14:paraId="277456E9">
      <w:pPr>
        <w:spacing w:line="580" w:lineRule="exact"/>
        <w:ind w:firstLine="640"/>
        <w:jc w:val="both"/>
      </w:pPr>
      <w:r>
        <w:rPr>
          <w:rFonts w:ascii="仿宋_GB2312" w:hAnsi="仿宋_GB2312" w:eastAsia="仿宋_GB2312"/>
          <w:b w:val="0"/>
          <w:sz w:val="32"/>
        </w:rPr>
        <w:t>11.卫生健康支出(类)计划生育事务(款)计划生育服务(项):支出决算数为0.00万元，比上年决算减少5.00万元，下降100.00%,主要原因是：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YHSY补助经费减少。</w:t>
      </w:r>
    </w:p>
    <w:p w14:paraId="54887938">
      <w:pPr>
        <w:spacing w:line="580" w:lineRule="exact"/>
        <w:ind w:firstLine="640"/>
        <w:jc w:val="both"/>
      </w:pPr>
      <w:r>
        <w:rPr>
          <w:rFonts w:ascii="仿宋_GB2312" w:hAnsi="仿宋_GB2312" w:eastAsia="仿宋_GB2312"/>
          <w:b w:val="0"/>
          <w:sz w:val="32"/>
        </w:rPr>
        <w:t>12.卫生健康支出(类)行政事业单位医疗(款)行政单位医疗(项):支出决算数为105.45万元，比上年决算增加105.45万元，增长100.00%,主要原因是：本年功能科目调整，行政单位医疗上年度在主科目列支，本年单独列支，导致经费较上年增加。</w:t>
      </w:r>
    </w:p>
    <w:p w14:paraId="0666292E">
      <w:pPr>
        <w:spacing w:line="580" w:lineRule="exact"/>
        <w:ind w:firstLine="640"/>
        <w:jc w:val="both"/>
      </w:pPr>
      <w:r>
        <w:rPr>
          <w:rFonts w:ascii="仿宋_GB2312" w:hAnsi="仿宋_GB2312" w:eastAsia="仿宋_GB2312"/>
          <w:b w:val="0"/>
          <w:sz w:val="32"/>
        </w:rPr>
        <w:t>13.卫生健康支出(类)行政事业单位医疗(款)公务员医疗补助(项):支出决算数为34.57万元，比上年决算增加34.57万元，增长100.00%,主要原因是：本年功能科目调整，公务员医疗补助上年度在主科目列支，本年单独列支，导致经费较上年增加。</w:t>
      </w:r>
    </w:p>
    <w:p w14:paraId="61FC0D56">
      <w:pPr>
        <w:spacing w:line="580" w:lineRule="exact"/>
        <w:ind w:firstLine="640"/>
        <w:jc w:val="both"/>
      </w:pPr>
      <w:r>
        <w:rPr>
          <w:rFonts w:ascii="仿宋_GB2312" w:hAnsi="仿宋_GB2312" w:eastAsia="仿宋_GB2312"/>
          <w:b w:val="0"/>
          <w:sz w:val="32"/>
        </w:rPr>
        <w:t>14.住房保障支出(类)住房改革支出(款)住房公积金(项):支出决算数为196.79万元，比上年决算增加196.79万元，增长100.00%,主要原因是：本年功能科目调整，住房公积金上年度在主科目列支，本年单独列支，导致经费较上年增加。</w:t>
      </w:r>
    </w:p>
    <w:p w14:paraId="38A24AEA">
      <w:pPr>
        <w:spacing w:line="580" w:lineRule="exact"/>
        <w:ind w:firstLine="640"/>
        <w:jc w:val="both"/>
      </w:pPr>
      <w:r>
        <w:rPr>
          <w:rFonts w:ascii="仿宋_GB2312" w:hAnsi="仿宋_GB2312" w:eastAsia="仿宋_GB2312"/>
          <w:b w:val="0"/>
          <w:sz w:val="32"/>
        </w:rPr>
        <w:t>15.其他支出(类)其他支出(款)其他支出(项):支出决算数为66.62万元，比上年决算减少26.57万元，下降28.51%,主要原因是：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工作队项目经费减少。</w:t>
      </w:r>
    </w:p>
    <w:p w14:paraId="4422D104">
      <w:pPr>
        <w:spacing w:line="640" w:lineRule="exact"/>
        <w:ind w:firstLine="640"/>
        <w:jc w:val="both"/>
        <w:outlineLvl w:val="2"/>
      </w:pPr>
      <w:r>
        <w:rPr>
          <w:rFonts w:ascii="黑体" w:hAnsi="黑体" w:eastAsia="黑体"/>
          <w:sz w:val="32"/>
        </w:rPr>
        <w:t>六、一般公共预算财政拨款基本支出决算情况说明</w:t>
      </w:r>
    </w:p>
    <w:p w14:paraId="6EAA4E13">
      <w:pPr>
        <w:spacing w:line="580" w:lineRule="exact"/>
        <w:ind w:firstLine="640"/>
        <w:jc w:val="both"/>
      </w:pPr>
      <w:r>
        <w:rPr>
          <w:rFonts w:ascii="仿宋_GB2312" w:hAnsi="仿宋_GB2312" w:eastAsia="仿宋_GB2312"/>
          <w:b w:val="0"/>
          <w:sz w:val="32"/>
        </w:rPr>
        <w:t>2024年度一般公共预算财政拨款基本支出2,875.17万元，其中：</w:t>
      </w:r>
      <w:r>
        <w:rPr>
          <w:rFonts w:ascii="仿宋_GB2312" w:hAnsi="仿宋_GB2312" w:eastAsia="仿宋_GB2312"/>
          <w:b/>
          <w:sz w:val="32"/>
        </w:rPr>
        <w:t>人员经费2,591.51万元，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包括：基本工资、津贴补贴、奖金、机关事业单位基本养老保险缴费、职业年金缴费、职工基本医疗保险缴费、公务员医疗补助缴费、其他社会保障缴费、住房公积金、退休费、生活补助。</w:t>
      </w:r>
    </w:p>
    <w:p w14:paraId="0F20665B">
      <w:pPr>
        <w:spacing w:line="580" w:lineRule="exact"/>
        <w:ind w:firstLine="640"/>
        <w:jc w:val="both"/>
      </w:pPr>
      <w:r>
        <w:rPr>
          <w:rFonts w:ascii="仿宋_GB2312" w:hAnsi="仿宋_GB2312" w:eastAsia="仿宋_GB2312"/>
          <w:b/>
          <w:sz w:val="32"/>
        </w:rPr>
        <w:t>公用经费283.66万元，</w:t>
      </w:r>
      <w:r>
        <w:rPr>
          <w:rFonts w:ascii="仿宋_GB2312" w:hAnsi="仿宋_GB2312" w:eastAsia="仿宋_GB2312"/>
          <w:b w:val="0"/>
          <w:sz w:val="32"/>
        </w:rPr>
        <w:t>包括：办公费、水费、电费、邮电费、取暖费、差旅费、维修（护）费、劳务费、公务用车运行维护费、其他交通费用、其他商品和服务支出。</w:t>
      </w:r>
    </w:p>
    <w:p w14:paraId="0596B206">
      <w:pPr>
        <w:spacing w:line="640" w:lineRule="exact"/>
        <w:ind w:firstLine="640"/>
        <w:jc w:val="both"/>
        <w:outlineLvl w:val="2"/>
      </w:pPr>
      <w:r>
        <w:rPr>
          <w:rFonts w:ascii="黑体" w:hAnsi="黑体" w:eastAsia="黑体"/>
          <w:sz w:val="32"/>
        </w:rPr>
        <w:t>七、政府性基金预算财政拨款收入支出决算情况说明</w:t>
      </w:r>
    </w:p>
    <w:p w14:paraId="388A67A2">
      <w:pPr>
        <w:spacing w:line="580" w:lineRule="exact"/>
        <w:ind w:firstLine="640"/>
        <w:jc w:val="both"/>
      </w:pPr>
      <w:r>
        <w:rPr>
          <w:rFonts w:ascii="仿宋_GB2312" w:hAnsi="仿宋_GB2312" w:eastAsia="仿宋_GB2312"/>
          <w:b/>
          <w:sz w:val="32"/>
        </w:rPr>
        <w:t>2024年度政府性基金预算财政拨款收入总计85.45万元，</w:t>
      </w:r>
      <w:r>
        <w:rPr>
          <w:rFonts w:ascii="仿宋_GB2312" w:hAnsi="仿宋_GB2312" w:eastAsia="仿宋_GB2312"/>
          <w:b w:val="0"/>
          <w:sz w:val="32"/>
        </w:rPr>
        <w:t>其中：年初结转和结余0.00万元，本年收入85.45万元。</w:t>
      </w:r>
      <w:r>
        <w:rPr>
          <w:rFonts w:ascii="仿宋_GB2312" w:hAnsi="仿宋_GB2312" w:eastAsia="仿宋_GB2312"/>
          <w:b/>
          <w:sz w:val="32"/>
        </w:rPr>
        <w:t>政府性基金预算财政拨款支出总计85.45万元，</w:t>
      </w:r>
      <w:r>
        <w:rPr>
          <w:rFonts w:ascii="仿宋_GB2312" w:hAnsi="仿宋_GB2312" w:eastAsia="仿宋_GB2312"/>
          <w:b w:val="0"/>
          <w:sz w:val="32"/>
        </w:rPr>
        <w:t>其中：年末结转和结余0.00万元，本年支出85.45万元。</w:t>
      </w:r>
    </w:p>
    <w:p w14:paraId="0F5514A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增加85.45万元，增长100.00%，主要原因是：本年增加城区街道综合服务用房建设项目资金。</w:t>
      </w:r>
      <w:r>
        <w:rPr>
          <w:rFonts w:ascii="仿宋_GB2312" w:hAnsi="仿宋_GB2312" w:eastAsia="仿宋_GB2312"/>
          <w:b/>
          <w:sz w:val="32"/>
        </w:rPr>
        <w:t>与年初预算相比，</w:t>
      </w:r>
      <w:r>
        <w:rPr>
          <w:rFonts w:ascii="仿宋_GB2312" w:hAnsi="仿宋_GB2312" w:eastAsia="仿宋_GB2312"/>
          <w:b w:val="0"/>
          <w:sz w:val="32"/>
        </w:rPr>
        <w:t>年初预算数0.00万元，决算数85.45万元，预决算差异率100.00%，主要原因是：年中追加城区街道综合服务用房建设项目，导致预决算存在差异。</w:t>
      </w:r>
    </w:p>
    <w:p w14:paraId="0BD263D2">
      <w:pPr>
        <w:spacing w:line="580" w:lineRule="exact"/>
        <w:ind w:firstLine="640"/>
        <w:jc w:val="both"/>
      </w:pPr>
      <w:r>
        <w:rPr>
          <w:rFonts w:ascii="仿宋_GB2312" w:hAnsi="仿宋_GB2312" w:eastAsia="仿宋_GB2312"/>
          <w:b w:val="0"/>
          <w:sz w:val="32"/>
        </w:rPr>
        <w:t>政府性基金预算财政拨款支出85.45万元。</w:t>
      </w:r>
    </w:p>
    <w:p w14:paraId="5C810AF7">
      <w:pPr>
        <w:spacing w:line="580" w:lineRule="exact"/>
        <w:ind w:firstLine="640"/>
        <w:jc w:val="both"/>
      </w:pPr>
      <w:r>
        <w:rPr>
          <w:rFonts w:ascii="仿宋_GB2312" w:hAnsi="仿宋_GB2312" w:eastAsia="仿宋_GB2312"/>
          <w:b w:val="0"/>
          <w:sz w:val="32"/>
        </w:rPr>
        <w:t>1.城乡社区支出(类)国有土地使用权出让收入安排的支出(款)其他国有土地使用权出让收入安排的支出(项):支出决算数为0.19万元，比上年决算增加0.19万元，增长100.00%,主要原因是：本年增加城区街道综合服务用房建设项目资金。</w:t>
      </w:r>
    </w:p>
    <w:p w14:paraId="62E3A228">
      <w:pPr>
        <w:spacing w:line="580" w:lineRule="exact"/>
        <w:ind w:firstLine="640"/>
        <w:jc w:val="both"/>
      </w:pPr>
      <w:r>
        <w:rPr>
          <w:rFonts w:ascii="仿宋_GB2312" w:hAnsi="仿宋_GB2312" w:eastAsia="仿宋_GB2312"/>
          <w:b w:val="0"/>
          <w:sz w:val="32"/>
        </w:rPr>
        <w:t>2.其他支出(类)彩票公益金安排的支出(款)用于体育事业的彩票公益金支出(项):支出决算数为85.26万元，比上年决算增加85.26万元，增长100.00%,主要原因是：本年增加城区街道综合服务用房建设项目资金。</w:t>
      </w:r>
    </w:p>
    <w:p w14:paraId="7574F2EE">
      <w:pPr>
        <w:spacing w:line="640" w:lineRule="exact"/>
        <w:ind w:firstLine="640"/>
        <w:jc w:val="both"/>
        <w:outlineLvl w:val="2"/>
      </w:pPr>
      <w:r>
        <w:rPr>
          <w:rFonts w:ascii="黑体" w:hAnsi="黑体" w:eastAsia="黑体"/>
          <w:sz w:val="32"/>
        </w:rPr>
        <w:t>八、国有资本经营预算财政拨款收入支出决算情况说明</w:t>
      </w:r>
    </w:p>
    <w:p w14:paraId="3448899F">
      <w:pPr>
        <w:spacing w:line="580" w:lineRule="exact"/>
        <w:ind w:firstLine="640"/>
        <w:jc w:val="both"/>
      </w:pPr>
      <w:r>
        <w:rPr>
          <w:rFonts w:ascii="仿宋_GB2312" w:hAnsi="仿宋_GB2312" w:eastAsia="仿宋_GB2312"/>
          <w:b/>
          <w:sz w:val="32"/>
        </w:rPr>
        <w:t>2024年度国有资本经营预算财政拨款收入总计1.23万元，</w:t>
      </w:r>
      <w:r>
        <w:rPr>
          <w:rFonts w:ascii="仿宋_GB2312" w:hAnsi="仿宋_GB2312" w:eastAsia="仿宋_GB2312"/>
          <w:b w:val="0"/>
          <w:sz w:val="32"/>
        </w:rPr>
        <w:t>其中：年初结转和结余0.00万元，本年收入1.23万元。</w:t>
      </w:r>
      <w:r>
        <w:rPr>
          <w:rFonts w:ascii="仿宋_GB2312" w:hAnsi="仿宋_GB2312" w:eastAsia="仿宋_GB2312"/>
          <w:b/>
          <w:sz w:val="32"/>
        </w:rPr>
        <w:t>国有资本经营预算财政拨款支出总计1.23万元，</w:t>
      </w:r>
      <w:r>
        <w:rPr>
          <w:rFonts w:ascii="仿宋_GB2312" w:hAnsi="仿宋_GB2312" w:eastAsia="仿宋_GB2312"/>
          <w:b w:val="0"/>
          <w:sz w:val="32"/>
        </w:rPr>
        <w:t>其中：年末结转和结余0.00万元，本年支出1.23万元。</w:t>
      </w:r>
    </w:p>
    <w:p w14:paraId="382AE3FB">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增加0.00万元，增长0.00%，主要原因是：2024年与2023年国有企业退休</w:t>
      </w:r>
      <w:r>
        <w:rPr>
          <w:rFonts w:hint="eastAsia" w:ascii="仿宋_GB2312" w:hAnsi="仿宋_GB2312" w:eastAsia="仿宋_GB2312"/>
          <w:b w:val="0"/>
          <w:sz w:val="32"/>
          <w:lang w:eastAsia="zh-CN"/>
        </w:rPr>
        <w:t>人员</w:t>
      </w:r>
      <w:r>
        <w:rPr>
          <w:rFonts w:ascii="仿宋_GB2312" w:hAnsi="仿宋_GB2312" w:eastAsia="仿宋_GB2312"/>
          <w:b w:val="0"/>
          <w:sz w:val="32"/>
        </w:rPr>
        <w:t>社会化管理补助资金一致。</w:t>
      </w:r>
      <w:r>
        <w:rPr>
          <w:rFonts w:ascii="仿宋_GB2312" w:hAnsi="仿宋_GB2312" w:eastAsia="仿宋_GB2312"/>
          <w:b/>
          <w:sz w:val="32"/>
        </w:rPr>
        <w:t>与年初预算相比，</w:t>
      </w:r>
      <w:r>
        <w:rPr>
          <w:rFonts w:ascii="仿宋_GB2312" w:hAnsi="仿宋_GB2312" w:eastAsia="仿宋_GB2312"/>
          <w:b w:val="0"/>
          <w:sz w:val="32"/>
        </w:rPr>
        <w:t>年初预算数0.00万元，决算数1.23万元，预决算差异率100.00%，主要原因是：年中追加国有企业退休</w:t>
      </w:r>
      <w:r>
        <w:rPr>
          <w:rFonts w:hint="eastAsia" w:ascii="仿宋_GB2312" w:hAnsi="仿宋_GB2312" w:eastAsia="仿宋_GB2312"/>
          <w:b w:val="0"/>
          <w:sz w:val="32"/>
          <w:lang w:eastAsia="zh-CN"/>
        </w:rPr>
        <w:t>人员</w:t>
      </w:r>
      <w:r>
        <w:rPr>
          <w:rFonts w:ascii="仿宋_GB2312" w:hAnsi="仿宋_GB2312" w:eastAsia="仿宋_GB2312"/>
          <w:b w:val="0"/>
          <w:sz w:val="32"/>
        </w:rPr>
        <w:t>社会化管理补助资金项目，导致预决算存在差异。</w:t>
      </w:r>
    </w:p>
    <w:p w14:paraId="703AEF66">
      <w:pPr>
        <w:spacing w:line="580" w:lineRule="exact"/>
        <w:ind w:firstLine="640"/>
        <w:jc w:val="both"/>
      </w:pPr>
      <w:r>
        <w:rPr>
          <w:rFonts w:ascii="仿宋_GB2312" w:hAnsi="仿宋_GB2312" w:eastAsia="仿宋_GB2312"/>
          <w:sz w:val="32"/>
        </w:rPr>
        <w:t>国有资本经营预算财政拨款支出1.23万元。</w:t>
      </w:r>
    </w:p>
    <w:p w14:paraId="292FAEB6">
      <w:pPr>
        <w:spacing w:line="580" w:lineRule="exact"/>
        <w:ind w:firstLine="640"/>
        <w:jc w:val="both"/>
      </w:pPr>
      <w:r>
        <w:rPr>
          <w:rFonts w:ascii="仿宋_GB2312" w:hAnsi="仿宋_GB2312" w:eastAsia="仿宋_GB2312"/>
          <w:b w:val="0"/>
          <w:sz w:val="32"/>
        </w:rPr>
        <w:t>1.国有资本经营预算支出(类)解决历史遗留问题及改革成本支出(款)国有企业退休人员社会化管理补助支出(项):支出决算数为1.23万元，比上年决算增加0.00万元，增长0.00%,主要原因是：2024年与2023年国有企业退休</w:t>
      </w:r>
      <w:r>
        <w:rPr>
          <w:rFonts w:hint="eastAsia" w:ascii="仿宋_GB2312" w:hAnsi="仿宋_GB2312" w:eastAsia="仿宋_GB2312"/>
          <w:b w:val="0"/>
          <w:sz w:val="32"/>
          <w:lang w:eastAsia="zh-CN"/>
        </w:rPr>
        <w:t>人员</w:t>
      </w:r>
      <w:r>
        <w:rPr>
          <w:rFonts w:ascii="仿宋_GB2312" w:hAnsi="仿宋_GB2312" w:eastAsia="仿宋_GB2312"/>
          <w:b w:val="0"/>
          <w:sz w:val="32"/>
        </w:rPr>
        <w:t>社会化管理补助资金一致。</w:t>
      </w:r>
    </w:p>
    <w:p w14:paraId="36ED0B39">
      <w:pPr>
        <w:spacing w:line="640" w:lineRule="exact"/>
        <w:ind w:firstLine="640"/>
        <w:jc w:val="both"/>
        <w:outlineLvl w:val="2"/>
      </w:pPr>
      <w:r>
        <w:rPr>
          <w:rFonts w:ascii="黑体" w:hAnsi="黑体" w:eastAsia="黑体"/>
          <w:sz w:val="32"/>
        </w:rPr>
        <w:t>九、财政拨款“三公”经费支出决算情况说明</w:t>
      </w:r>
    </w:p>
    <w:p w14:paraId="5B73C0A5">
      <w:pPr>
        <w:spacing w:line="580" w:lineRule="exact"/>
        <w:ind w:firstLine="640"/>
        <w:jc w:val="both"/>
      </w:pPr>
      <w:r>
        <w:rPr>
          <w:rFonts w:ascii="仿宋_GB2312" w:hAnsi="仿宋_GB2312" w:eastAsia="仿宋_GB2312"/>
          <w:b/>
          <w:sz w:val="32"/>
        </w:rPr>
        <w:t>2024年度财政拨款“三公”经费支出5.69万元，</w:t>
      </w:r>
      <w:r>
        <w:rPr>
          <w:rFonts w:ascii="仿宋_GB2312" w:hAnsi="仿宋_GB2312" w:eastAsia="仿宋_GB2312"/>
          <w:b w:val="0"/>
          <w:sz w:val="32"/>
        </w:rPr>
        <w:t>比上年增加5.69万元，增长100.00%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5.69万元，占100.00%，比上年增加5.69万元，增长100.00%，主要原因是：本年因业务需求，用车次数增加，燃油费增加，导致公务用车运行维护费较上年增加。公务接待费支出0.00万元，占0.00%，比上年增加0.00万元，增长0.00%，主要原因是：2023年与2024年均未安排公务接待费支出。</w:t>
      </w:r>
    </w:p>
    <w:p w14:paraId="701AC41A">
      <w:pPr>
        <w:spacing w:line="580" w:lineRule="exact"/>
        <w:ind w:firstLine="640"/>
        <w:jc w:val="both"/>
      </w:pPr>
      <w:r>
        <w:rPr>
          <w:rFonts w:ascii="仿宋_GB2312" w:hAnsi="仿宋_GB2312" w:eastAsia="仿宋_GB2312"/>
          <w:b/>
          <w:sz w:val="32"/>
        </w:rPr>
        <w:t>具体情况如下：</w:t>
      </w:r>
    </w:p>
    <w:p w14:paraId="5DD665C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6EF6412">
      <w:pPr>
        <w:spacing w:line="580" w:lineRule="exact"/>
        <w:ind w:firstLine="640"/>
        <w:jc w:val="both"/>
      </w:pPr>
      <w:r>
        <w:rPr>
          <w:rFonts w:ascii="仿宋_GB2312" w:hAnsi="仿宋_GB2312" w:eastAsia="仿宋_GB2312"/>
          <w:b w:val="0"/>
          <w:sz w:val="32"/>
        </w:rPr>
        <w:t>公务用车购置及运行维护费5.69万元，其中：公务用车购置费0.00万元，公务用车运行维护费5.69万元。公务用车运行维护费开支内容包括车辆加油费、维修费、保险费。公务用车购置数0辆，公务用车保有量17辆。国有资产占用情况中固定资产车辆17辆，与公务用车保有量差异原因是：本单位固定资产车辆与公务用车保有量一致无差异。</w:t>
      </w:r>
    </w:p>
    <w:p w14:paraId="7D9CA73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BD479C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5.69万元，决算数5.69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5.69万元，决算数5.69万元，预决算差异率0.00%，主要原因是：严格按照预算执行，预决算无差异。公务接待费全年预算数0.00万元，决算数0.00万元，预决算差异率0.00%，主要原因是：本单位无公务接待费。</w:t>
      </w:r>
    </w:p>
    <w:p w14:paraId="5AD08CE9">
      <w:pPr>
        <w:spacing w:line="640" w:lineRule="exact"/>
        <w:ind w:firstLine="640"/>
        <w:jc w:val="both"/>
        <w:outlineLvl w:val="2"/>
      </w:pPr>
      <w:r>
        <w:rPr>
          <w:rFonts w:ascii="黑体" w:hAnsi="黑体" w:eastAsia="黑体"/>
          <w:sz w:val="32"/>
        </w:rPr>
        <w:t>十、其他重要事项的情况说明</w:t>
      </w:r>
    </w:p>
    <w:p w14:paraId="1952B7FC">
      <w:pPr>
        <w:spacing w:line="640" w:lineRule="exact"/>
        <w:ind w:firstLine="640"/>
        <w:jc w:val="both"/>
        <w:outlineLvl w:val="3"/>
      </w:pPr>
      <w:r>
        <w:rPr>
          <w:rFonts w:ascii="楷体_GB2312" w:hAnsi="楷体_GB2312" w:eastAsia="楷体_GB2312"/>
          <w:b/>
          <w:sz w:val="32"/>
        </w:rPr>
        <w:t>（一）机关运行经费及公用经费支出情况</w:t>
      </w:r>
    </w:p>
    <w:p w14:paraId="4F9A042C">
      <w:pPr>
        <w:spacing w:line="580" w:lineRule="exact"/>
        <w:ind w:firstLine="640"/>
        <w:jc w:val="both"/>
      </w:pPr>
      <w:r>
        <w:rPr>
          <w:rFonts w:ascii="仿宋_GB2312" w:hAnsi="仿宋_GB2312" w:eastAsia="仿宋_GB2312"/>
          <w:b w:val="0"/>
          <w:sz w:val="32"/>
        </w:rPr>
        <w:t>2024年度洛浦县社区服务中心（事业单位）公用经费支出283.66万元，比上年增加108.36万元，增长61.81%，主要原因是：本年增加办公费，维修（护）费，导致公用经费增加。</w:t>
      </w:r>
    </w:p>
    <w:p w14:paraId="0A5D5DC6">
      <w:pPr>
        <w:spacing w:line="640" w:lineRule="exact"/>
        <w:ind w:firstLine="640"/>
        <w:jc w:val="both"/>
        <w:outlineLvl w:val="3"/>
      </w:pPr>
      <w:r>
        <w:rPr>
          <w:rFonts w:ascii="楷体_GB2312" w:hAnsi="楷体_GB2312" w:eastAsia="楷体_GB2312"/>
          <w:b/>
          <w:sz w:val="32"/>
        </w:rPr>
        <w:t>（二）政府采购情况</w:t>
      </w:r>
    </w:p>
    <w:p w14:paraId="70B3AD50">
      <w:pPr>
        <w:spacing w:line="580" w:lineRule="exact"/>
        <w:ind w:firstLine="640"/>
        <w:jc w:val="both"/>
      </w:pPr>
      <w:r>
        <w:rPr>
          <w:rFonts w:ascii="仿宋_GB2312" w:hAnsi="仿宋_GB2312" w:eastAsia="仿宋_GB2312"/>
          <w:b w:val="0"/>
          <w:sz w:val="32"/>
        </w:rPr>
        <w:t>2024年度政府采购支出总额62.55万元，其中：政府采购货物支出31.66万元、政府采购工程支出25.87万元、政府采购服务支出5.02万元。</w:t>
      </w:r>
    </w:p>
    <w:p w14:paraId="64DDF0DA">
      <w:pPr>
        <w:spacing w:line="580" w:lineRule="exact"/>
        <w:ind w:firstLine="640"/>
        <w:jc w:val="both"/>
      </w:pPr>
      <w:r>
        <w:rPr>
          <w:rFonts w:ascii="仿宋_GB2312" w:hAnsi="仿宋_GB2312" w:eastAsia="仿宋_GB2312"/>
          <w:b w:val="0"/>
          <w:sz w:val="32"/>
        </w:rPr>
        <w:t>授予中小企业合同金额62.55万元，占政府采购支出总额的100.00%，其中：授予小微企业合同金额58.64万元，占政府采购支出总额的93.75%。</w:t>
      </w:r>
    </w:p>
    <w:p w14:paraId="49B28DE9">
      <w:pPr>
        <w:spacing w:line="640" w:lineRule="exact"/>
        <w:ind w:firstLine="640"/>
        <w:jc w:val="both"/>
        <w:outlineLvl w:val="3"/>
      </w:pPr>
      <w:r>
        <w:rPr>
          <w:rFonts w:ascii="楷体_GB2312" w:hAnsi="楷体_GB2312" w:eastAsia="楷体_GB2312"/>
          <w:b/>
          <w:sz w:val="32"/>
        </w:rPr>
        <w:t>（三）国有资产占用情况说明</w:t>
      </w:r>
    </w:p>
    <w:p w14:paraId="25DBFA23">
      <w:pPr>
        <w:spacing w:line="580" w:lineRule="exact"/>
        <w:ind w:firstLine="640"/>
        <w:jc w:val="both"/>
      </w:pPr>
      <w:r>
        <w:rPr>
          <w:rFonts w:ascii="仿宋_GB2312" w:hAnsi="仿宋_GB2312" w:eastAsia="仿宋_GB2312"/>
          <w:b w:val="0"/>
          <w:sz w:val="32"/>
        </w:rPr>
        <w:t>截至2024年12月31日，房屋17,829.34平方米，价值4,397.38万元。车辆17辆，价值91.07万元，其中：副部（省）级及以上领导用车0辆、主要负责人用车0辆、机要通信用车0辆、应急保障用车0辆、执法执勤用车0辆、特种专业技术用车0辆、离退休干部服务用车0辆、其他用车17辆，其他用车主要是：一般公务用车。单价100万元（含）以上设备（不含车辆）0台（套）。</w:t>
      </w:r>
    </w:p>
    <w:p w14:paraId="67D59EE4">
      <w:pPr>
        <w:spacing w:line="640" w:lineRule="exact"/>
        <w:ind w:firstLine="640"/>
        <w:jc w:val="both"/>
        <w:outlineLvl w:val="2"/>
      </w:pPr>
      <w:r>
        <w:rPr>
          <w:rFonts w:ascii="黑体" w:hAnsi="黑体" w:eastAsia="黑体"/>
          <w:sz w:val="32"/>
        </w:rPr>
        <w:t>十一、预算绩效的情况说明</w:t>
      </w:r>
    </w:p>
    <w:p w14:paraId="34322CA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根据预算绩效管理要求，本单位2024年度预算绩效管理形成整体支出绩效自评表1个，全年预算总额3,080.32万元，实际执行总额3,080.32万元；预算绩效评价项目</w:t>
      </w:r>
      <w:r>
        <w:rPr>
          <w:rFonts w:hint="eastAsia" w:ascii="仿宋_GB2312" w:hAnsi="仿宋_GB2312" w:eastAsia="仿宋_GB2312"/>
          <w:b w:val="0"/>
          <w:sz w:val="32"/>
          <w:lang w:val="en-US" w:eastAsia="zh-CN"/>
        </w:rPr>
        <w:t>9</w:t>
      </w:r>
      <w:r>
        <w:rPr>
          <w:rFonts w:ascii="仿宋_GB2312" w:hAnsi="仿宋_GB2312" w:eastAsia="仿宋_GB2312"/>
          <w:b w:val="0"/>
          <w:sz w:val="32"/>
        </w:rPr>
        <w:t>个，全年预算数</w:t>
      </w:r>
      <w:r>
        <w:rPr>
          <w:rFonts w:hint="eastAsia" w:ascii="仿宋_GB2312" w:hAnsi="仿宋_GB2312" w:eastAsia="仿宋_GB2312"/>
          <w:b w:val="0"/>
          <w:sz w:val="32"/>
        </w:rPr>
        <w:t>207.96</w:t>
      </w:r>
      <w:r>
        <w:rPr>
          <w:rFonts w:ascii="仿宋_GB2312" w:hAnsi="仿宋_GB2312" w:eastAsia="仿宋_GB2312"/>
          <w:b w:val="0"/>
          <w:sz w:val="32"/>
        </w:rPr>
        <w:t>万元，全年执行数</w:t>
      </w:r>
      <w:r>
        <w:rPr>
          <w:rFonts w:hint="eastAsia" w:ascii="仿宋_GB2312" w:hAnsi="仿宋_GB2312" w:eastAsia="仿宋_GB2312"/>
          <w:b w:val="0"/>
          <w:sz w:val="32"/>
        </w:rPr>
        <w:t>205.15</w:t>
      </w:r>
      <w:r>
        <w:rPr>
          <w:rFonts w:ascii="仿宋_GB2312" w:hAnsi="仿宋_GB2312" w:eastAsia="仿宋_GB2312"/>
          <w:b w:val="0"/>
          <w:sz w:val="32"/>
        </w:rPr>
        <w:t>万元。预算绩效管理取得的成效：一是提升了单位预算执行效率，通过预算绩效管理，可以</w:t>
      </w:r>
      <w:r>
        <w:rPr>
          <w:rFonts w:hint="eastAsia" w:ascii="仿宋_GB2312" w:hAnsi="仿宋_GB2312" w:eastAsia="仿宋_GB2312"/>
          <w:b w:val="0"/>
          <w:sz w:val="32"/>
          <w:lang w:eastAsia="zh-CN"/>
        </w:rPr>
        <w:t>保证</w:t>
      </w:r>
      <w:r>
        <w:rPr>
          <w:rFonts w:ascii="仿宋_GB2312" w:hAnsi="仿宋_GB2312" w:eastAsia="仿宋_GB2312"/>
          <w:b w:val="0"/>
          <w:sz w:val="32"/>
        </w:rPr>
        <w:t>资金执行过程中准确及时；二是优化了单位资源配置；三是减少了单位实际开支；四是增强了单位干部责任意识，增加了工作能力。发现的问题及原因：预算执行存在偏差,在预算执行中造成个别预算调剂现象。对个别资金使用方面预算不够细致，出现实际支出数超出了预算申报数和出现项目资金</w:t>
      </w:r>
      <w:r>
        <w:rPr>
          <w:rFonts w:hint="eastAsia" w:ascii="仿宋_GB2312" w:hAnsi="仿宋_GB2312" w:eastAsia="仿宋_GB2312"/>
          <w:b w:val="0"/>
          <w:sz w:val="32"/>
          <w:lang w:eastAsia="zh-CN"/>
        </w:rPr>
        <w:t>结余</w:t>
      </w:r>
      <w:r>
        <w:rPr>
          <w:rFonts w:ascii="仿宋_GB2312" w:hAnsi="仿宋_GB2312" w:eastAsia="仿宋_GB2312"/>
          <w:b w:val="0"/>
          <w:sz w:val="32"/>
        </w:rPr>
        <w:t>数额多的情况。没有严格将单位政府采购金额纳入本年度预算内；目标设定科学性及评价存在难度，对于目标设定需要分科室单位分解,汇总后制定整体目标，如何科学整合全单位绩效目标比较困难；目标设定后如何科学设定考核评价标准，特别是对于不能量化的目标如何评价</w:t>
      </w:r>
      <w:r>
        <w:rPr>
          <w:rFonts w:hint="eastAsia" w:ascii="仿宋_GB2312" w:hAnsi="仿宋_GB2312" w:eastAsia="仿宋_GB2312"/>
          <w:b w:val="0"/>
          <w:sz w:val="32"/>
          <w:lang w:eastAsia="zh-CN"/>
        </w:rPr>
        <w:t>。</w:t>
      </w:r>
      <w:r>
        <w:rPr>
          <w:rFonts w:ascii="仿宋_GB2312" w:hAnsi="仿宋_GB2312" w:eastAsia="仿宋_GB2312"/>
          <w:b w:val="0"/>
          <w:sz w:val="32"/>
        </w:rPr>
        <w:t>下一步改进措施：一是强化支出预算约束。进一步提高年初预算编制的科学性和准确性，完善预算执行动态约束机制，加强财政预算资金管理，统筹协调推进项目执行，提高财政资金效益和效果；二是加强政府采购管理。严格履行政府采购程序，规范政府采购行为，加强对政府采购全流程活动的规范管理，推动政府采购相关制度贯彻落实；三是强化内部控制管理。严格按规定做好绩效目标申报、自评、公开等相关工作，提高财政资金使用绩效；加强实物资产管理，健全资产管理制度，规范资产清查和核算</w:t>
      </w:r>
      <w:r>
        <w:rPr>
          <w:rFonts w:hint="eastAsia" w:ascii="仿宋_GB2312" w:hAnsi="仿宋_GB2312" w:eastAsia="仿宋_GB2312"/>
          <w:b w:val="0"/>
          <w:sz w:val="32"/>
          <w:lang w:eastAsia="zh-CN"/>
        </w:rPr>
        <w:t>。</w:t>
      </w:r>
      <w:r>
        <w:rPr>
          <w:rFonts w:ascii="仿宋_GB2312" w:hAnsi="仿宋_GB2312" w:eastAsia="仿宋_GB2312"/>
          <w:b w:val="0"/>
          <w:sz w:val="32"/>
        </w:rPr>
        <w:t>具体附整体支出绩效自评表，项目支出绩效自评表和评价报告。</w:t>
      </w:r>
    </w:p>
    <w:p w14:paraId="310D54C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98854F2">
        <w:tblPrEx>
          <w:tblCellMar>
            <w:top w:w="0" w:type="dxa"/>
            <w:left w:w="108" w:type="dxa"/>
            <w:bottom w:w="0" w:type="dxa"/>
            <w:right w:w="108" w:type="dxa"/>
          </w:tblCellMar>
        </w:tblPrEx>
        <w:tc>
          <w:tcPr>
            <w:tcW w:w="8847" w:type="dxa"/>
            <w:gridSpan w:val="9"/>
            <w:vAlign w:val="center"/>
          </w:tcPr>
          <w:p w14:paraId="7A2B880F">
            <w:pPr>
              <w:jc w:val="center"/>
            </w:pPr>
            <w:r>
              <w:rPr>
                <w:rFonts w:ascii="宋体" w:hAnsi="宋体" w:eastAsia="宋体"/>
                <w:sz w:val="24"/>
              </w:rPr>
              <w:t>单位整体支出绩效自评表</w:t>
            </w:r>
          </w:p>
        </w:tc>
      </w:tr>
      <w:tr w14:paraId="13688FF0">
        <w:tblPrEx>
          <w:tblCellMar>
            <w:top w:w="0" w:type="dxa"/>
            <w:left w:w="108" w:type="dxa"/>
            <w:bottom w:w="0" w:type="dxa"/>
            <w:right w:w="108" w:type="dxa"/>
          </w:tblCellMar>
        </w:tblPrEx>
        <w:tc>
          <w:tcPr>
            <w:tcW w:w="8847" w:type="dxa"/>
            <w:gridSpan w:val="9"/>
            <w:vAlign w:val="center"/>
          </w:tcPr>
          <w:p w14:paraId="0F05B774">
            <w:pPr>
              <w:jc w:val="center"/>
            </w:pPr>
            <w:r>
              <w:rPr>
                <w:rFonts w:ascii="宋体" w:hAnsi="宋体" w:eastAsia="宋体"/>
                <w:sz w:val="24"/>
              </w:rPr>
              <w:t>（2024年度）</w:t>
            </w:r>
          </w:p>
        </w:tc>
      </w:tr>
      <w:tr w14:paraId="2A624E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3612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6B9D93">
            <w:pPr>
              <w:jc w:val="center"/>
            </w:pPr>
            <w:r>
              <w:rPr>
                <w:rFonts w:ascii="宋体" w:hAnsi="宋体" w:eastAsia="宋体"/>
                <w:sz w:val="16"/>
              </w:rPr>
              <w:t>洛浦县社区服务中心</w:t>
            </w:r>
          </w:p>
        </w:tc>
      </w:tr>
      <w:tr w14:paraId="355D42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10CB0">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5292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D2A8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26F3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4CE1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F036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C308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4E39D">
            <w:pPr>
              <w:jc w:val="center"/>
            </w:pPr>
            <w:r>
              <w:rPr>
                <w:rFonts w:ascii="宋体" w:hAnsi="宋体" w:eastAsia="宋体"/>
                <w:sz w:val="16"/>
              </w:rPr>
              <w:t>得分</w:t>
            </w:r>
          </w:p>
        </w:tc>
      </w:tr>
      <w:tr w14:paraId="7CD893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69D0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B7C45C">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857FB">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418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A8539">
            <w:pPr>
              <w:jc w:val="center"/>
            </w:pPr>
            <w:r>
              <w:rPr>
                <w:rFonts w:ascii="宋体" w:hAnsi="宋体" w:eastAsia="宋体"/>
                <w:sz w:val="16"/>
              </w:rPr>
              <w:t>8.84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2D1F7">
            <w:pPr>
              <w:jc w:val="center"/>
            </w:pPr>
            <w:r>
              <w:rPr>
                <w:rFonts w:ascii="宋体" w:hAnsi="宋体" w:eastAsia="宋体"/>
                <w:sz w:val="16"/>
              </w:rPr>
              <w:t>8.84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A3B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70B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B5417">
            <w:pPr>
              <w:jc w:val="center"/>
            </w:pPr>
            <w:r>
              <w:rPr>
                <w:rFonts w:ascii="宋体" w:hAnsi="宋体" w:eastAsia="宋体"/>
                <w:sz w:val="16"/>
              </w:rPr>
              <w:t>-</w:t>
            </w:r>
          </w:p>
        </w:tc>
      </w:tr>
      <w:tr w14:paraId="3B3B39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D559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F0E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3725E">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DC4E3">
            <w:pPr>
              <w:jc w:val="center"/>
            </w:pPr>
            <w:r>
              <w:rPr>
                <w:rFonts w:ascii="宋体" w:hAnsi="宋体" w:eastAsia="宋体"/>
                <w:sz w:val="16"/>
              </w:rPr>
              <w:t>3,161.63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90516">
            <w:pPr>
              <w:jc w:val="center"/>
            </w:pPr>
            <w:r>
              <w:rPr>
                <w:rFonts w:ascii="宋体" w:hAnsi="宋体" w:eastAsia="宋体"/>
                <w:sz w:val="16"/>
              </w:rPr>
              <w:t>3,071.48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FEF58">
            <w:pPr>
              <w:jc w:val="center"/>
            </w:pPr>
            <w:r>
              <w:rPr>
                <w:rFonts w:ascii="宋体" w:hAnsi="宋体" w:eastAsia="宋体"/>
                <w:sz w:val="16"/>
              </w:rPr>
              <w:t>3,071.48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0D9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904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812FA">
            <w:pPr>
              <w:jc w:val="center"/>
            </w:pPr>
            <w:r>
              <w:rPr>
                <w:rFonts w:ascii="宋体" w:hAnsi="宋体" w:eastAsia="宋体"/>
                <w:sz w:val="16"/>
              </w:rPr>
              <w:t>-</w:t>
            </w:r>
          </w:p>
        </w:tc>
      </w:tr>
      <w:tr w14:paraId="7D8F65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E88D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84E0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844AA">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3AF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EDC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7C8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52D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B66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021FF">
            <w:pPr>
              <w:jc w:val="center"/>
            </w:pPr>
            <w:r>
              <w:rPr>
                <w:rFonts w:ascii="宋体" w:hAnsi="宋体" w:eastAsia="宋体"/>
                <w:sz w:val="16"/>
              </w:rPr>
              <w:t>-</w:t>
            </w:r>
          </w:p>
        </w:tc>
      </w:tr>
      <w:tr w14:paraId="4D1B0F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A55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B6C9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2F0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5B91C">
            <w:pPr>
              <w:jc w:val="center"/>
            </w:pPr>
            <w:r>
              <w:rPr>
                <w:rFonts w:ascii="宋体" w:hAnsi="宋体" w:eastAsia="宋体"/>
                <w:sz w:val="16"/>
              </w:rPr>
              <w:t>3,161.63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4015D">
            <w:pPr>
              <w:jc w:val="center"/>
            </w:pPr>
            <w:r>
              <w:rPr>
                <w:rFonts w:ascii="宋体" w:hAnsi="宋体" w:eastAsia="宋体"/>
                <w:sz w:val="16"/>
              </w:rPr>
              <w:t>3,080.32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5DA29">
            <w:pPr>
              <w:jc w:val="center"/>
            </w:pPr>
            <w:r>
              <w:rPr>
                <w:rFonts w:ascii="宋体" w:hAnsi="宋体" w:eastAsia="宋体"/>
                <w:sz w:val="16"/>
              </w:rPr>
              <w:t>3,080.32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5F7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3BD7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228F2">
            <w:pPr>
              <w:jc w:val="center"/>
            </w:pPr>
            <w:r>
              <w:rPr>
                <w:rFonts w:ascii="宋体" w:hAnsi="宋体" w:eastAsia="宋体"/>
                <w:sz w:val="16"/>
              </w:rPr>
              <w:t>10</w:t>
            </w:r>
          </w:p>
        </w:tc>
      </w:tr>
      <w:tr w14:paraId="7A1929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C53A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AF6F6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598732">
            <w:pPr>
              <w:jc w:val="center"/>
            </w:pPr>
            <w:r>
              <w:rPr>
                <w:rFonts w:ascii="宋体" w:hAnsi="宋体" w:eastAsia="宋体"/>
                <w:sz w:val="16"/>
              </w:rPr>
              <w:t>实际完成情况</w:t>
            </w:r>
          </w:p>
        </w:tc>
      </w:tr>
      <w:tr w14:paraId="6CFED4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C66EA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E1FA4E">
            <w:pPr>
              <w:jc w:val="both"/>
            </w:pPr>
            <w:r>
              <w:rPr>
                <w:rFonts w:ascii="宋体" w:hAnsi="宋体" w:eastAsia="宋体"/>
                <w:sz w:val="16"/>
              </w:rPr>
              <w:t>单位基本职能：进一步加强街道、社区党组织建设，建立街道、社区党建联系会章程，街道、社区党支部联系群众制度，流动党员管理制度，在职党员管理制度，切实抓好党组织领导班子建设和党员队伍建设，按照党章要求开展组织生活、开展党的活动，宣传党的政策；在居民中发现和培养优秀分子，为党的壮大和发展吸收新鲜血液，不断增强党的凝聚力和战斗力。用建设有</w:t>
            </w:r>
            <w:r>
              <w:rPr>
                <w:rFonts w:hint="eastAsia" w:ascii="宋体" w:hAnsi="宋体"/>
                <w:sz w:val="16"/>
                <w:lang w:eastAsia="zh-CN"/>
              </w:rPr>
              <w:t>中国特色社会主义文化</w:t>
            </w:r>
            <w:r>
              <w:rPr>
                <w:rFonts w:ascii="宋体" w:hAnsi="宋体" w:eastAsia="宋体"/>
                <w:sz w:val="16"/>
              </w:rPr>
              <w:t>占领街道、社区思想文化阵地。切实加强街道、社区治安综合治理，维护社会稳定。以服务群众为重点，健全服务体系。全面负责辖区内文化、体育、卫生、教育宣传、</w:t>
            </w:r>
            <w:r>
              <w:rPr>
                <w:rFonts w:hint="eastAsia" w:ascii="宋体" w:hAnsi="宋体"/>
                <w:sz w:val="16"/>
                <w:lang w:eastAsia="zh-CN"/>
              </w:rPr>
              <w:t>ZJ</w:t>
            </w:r>
            <w:r>
              <w:rPr>
                <w:rFonts w:ascii="宋体" w:hAnsi="宋体" w:eastAsia="宋体"/>
                <w:sz w:val="16"/>
              </w:rPr>
              <w:t>管理、信访接待、社会治安、经济建设、社区就业和社会保障工作以及县人民政府交办的其他工作。</w:t>
            </w:r>
            <w:r>
              <w:rPr>
                <w:rFonts w:ascii="宋体" w:hAnsi="宋体" w:eastAsia="宋体"/>
                <w:sz w:val="16"/>
              </w:rPr>
              <w:br w:type="textWrapping"/>
            </w:r>
            <w:r>
              <w:rPr>
                <w:rFonts w:ascii="宋体" w:hAnsi="宋体" w:eastAsia="宋体"/>
                <w:sz w:val="16"/>
              </w:rPr>
              <w:t>中长期规划：全年保障街办及16个社区正常运转，加强城区街道及社区建设，提高工作人员主动性、积极性，协调不同利益群体的关系，推动社会行为的规范化、有序化，促进公平竞争，密切政府与人民群众之间的联系。</w:t>
            </w:r>
            <w:r>
              <w:rPr>
                <w:rFonts w:ascii="宋体" w:hAnsi="宋体" w:eastAsia="宋体"/>
                <w:sz w:val="16"/>
              </w:rPr>
              <w:br w:type="textWrapping"/>
            </w:r>
            <w:r>
              <w:rPr>
                <w:rFonts w:ascii="宋体" w:hAnsi="宋体" w:eastAsia="宋体"/>
                <w:sz w:val="16"/>
              </w:rPr>
              <w:t>目标1：保障单位在职146人，退休11人的工资福利及各项补助正常发放及部门正常运转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B1006B">
            <w:pPr>
              <w:jc w:val="both"/>
            </w:pPr>
            <w:r>
              <w:rPr>
                <w:rFonts w:ascii="宋体" w:hAnsi="宋体" w:eastAsia="宋体"/>
                <w:sz w:val="16"/>
              </w:rPr>
              <w:t>截</w:t>
            </w:r>
            <w:r>
              <w:rPr>
                <w:rFonts w:hint="eastAsia" w:ascii="宋体" w:hAnsi="宋体"/>
                <w:sz w:val="16"/>
                <w:lang w:eastAsia="zh-CN"/>
              </w:rPr>
              <w:t>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保障17个街办社区运转，慰问国有企业退休员工1次，举办国有企业退休员工活动1次，社区正常运转率达100%，宣传工作覆盖率达100%。进一步加强街道、社区党组织建设，建立街道、社区党建联系会章程，街道、社区党支部联系群众制度，流动党员管理制度，在职党员管理制度，切实抓好党组织领导班子建设和党员队伍建设，按照党章要求开展组织生活、开展党的活动，宣传党的政策；在居民中发现和培养优秀分子，为党的壮大和发展吸收新鲜血液，不断增强党的凝聚力和战斗力。用建设有</w:t>
            </w:r>
            <w:r>
              <w:rPr>
                <w:rFonts w:hint="eastAsia" w:ascii="宋体" w:hAnsi="宋体"/>
                <w:sz w:val="16"/>
                <w:lang w:eastAsia="zh-CN"/>
              </w:rPr>
              <w:t>中国特色社会主义文化</w:t>
            </w:r>
            <w:r>
              <w:rPr>
                <w:rFonts w:ascii="宋体" w:hAnsi="宋体" w:eastAsia="宋体"/>
                <w:sz w:val="16"/>
              </w:rPr>
              <w:t>占领街道、社区思想文化阵地。切实加强街道、社区治安综合治理，维护社会稳定。以服务群众为重点，健全服务体系。</w:t>
            </w:r>
            <w:r>
              <w:rPr>
                <w:rFonts w:hint="eastAsia" w:ascii="宋体" w:hAnsi="宋体"/>
                <w:sz w:val="16"/>
                <w:lang w:eastAsia="zh-CN"/>
              </w:rPr>
              <w:t>全面</w:t>
            </w:r>
            <w:r>
              <w:rPr>
                <w:rFonts w:ascii="宋体" w:hAnsi="宋体" w:eastAsia="宋体"/>
                <w:sz w:val="16"/>
              </w:rPr>
              <w:t>加强城区街道及社区建设，提高工作人员主动性、积极性，协调不同利益群体的关系，推动社会行为的规范化、有序化，促进公平竞争，密切政府与人民群众之间的联系。责辖区内文化、体育、卫生、教育宣传、</w:t>
            </w:r>
            <w:r>
              <w:rPr>
                <w:rFonts w:hint="eastAsia" w:ascii="宋体" w:hAnsi="宋体"/>
                <w:sz w:val="16"/>
                <w:lang w:eastAsia="zh-CN"/>
              </w:rPr>
              <w:t>ZJ</w:t>
            </w:r>
            <w:r>
              <w:rPr>
                <w:rFonts w:ascii="宋体" w:hAnsi="宋体" w:eastAsia="宋体"/>
                <w:sz w:val="16"/>
              </w:rPr>
              <w:t>管理、信访接待、社会治安、经济建设、社区就业和社会保障工作以及县人民政府交办的其他工作。</w:t>
            </w:r>
          </w:p>
        </w:tc>
      </w:tr>
      <w:tr w14:paraId="0C5846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4F29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ADD0B">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85CC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68572">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FF64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B93C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A4730">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1FEEF">
            <w:pPr>
              <w:jc w:val="center"/>
            </w:pPr>
            <w:r>
              <w:rPr>
                <w:rFonts w:ascii="宋体" w:hAnsi="宋体" w:eastAsia="宋体"/>
                <w:sz w:val="16"/>
              </w:rPr>
              <w:t>得分</w:t>
            </w:r>
          </w:p>
        </w:tc>
      </w:tr>
      <w:tr w14:paraId="4C91357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ABFA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0E9F6">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6F79A">
            <w:pPr>
              <w:jc w:val="center"/>
            </w:pPr>
            <w:r>
              <w:rPr>
                <w:rFonts w:ascii="宋体" w:hAnsi="宋体" w:eastAsia="宋体"/>
                <w:sz w:val="16"/>
              </w:rPr>
              <w:t>保障街办社区运转数量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D9F48">
            <w:pPr>
              <w:jc w:val="center"/>
            </w:pPr>
            <w:r>
              <w:rPr>
                <w:rFonts w:ascii="宋体" w:hAnsi="宋体" w:eastAsia="宋体"/>
                <w:sz w:val="16"/>
              </w:rPr>
              <w:t>&gt;=17个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316EF">
            <w:pPr>
              <w:jc w:val="center"/>
            </w:pPr>
            <w:r>
              <w:rPr>
                <w:rFonts w:ascii="宋体" w:hAnsi="宋体" w:eastAsia="宋体"/>
                <w:sz w:val="16"/>
              </w:rPr>
              <w:t>洛浦县城区街道2024年工作计划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1604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57C86">
            <w:pPr>
              <w:jc w:val="center"/>
            </w:pPr>
            <w:r>
              <w:rPr>
                <w:rFonts w:ascii="宋体" w:hAnsi="宋体" w:eastAsia="宋体"/>
                <w:sz w:val="16"/>
              </w:rPr>
              <w:t>17个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3F313">
            <w:pPr>
              <w:jc w:val="center"/>
            </w:pPr>
            <w:r>
              <w:rPr>
                <w:rFonts w:ascii="宋体" w:hAnsi="宋体" w:eastAsia="宋体"/>
                <w:sz w:val="16"/>
              </w:rPr>
              <w:t>20</w:t>
            </w:r>
          </w:p>
        </w:tc>
      </w:tr>
      <w:tr w14:paraId="57D0AC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AB50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1F4D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4EDB4">
            <w:pPr>
              <w:jc w:val="center"/>
            </w:pPr>
            <w:r>
              <w:rPr>
                <w:rFonts w:ascii="宋体" w:hAnsi="宋体" w:eastAsia="宋体"/>
                <w:sz w:val="16"/>
              </w:rPr>
              <w:t>慰问国有企业退休员工次数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F41A6">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57858">
            <w:pPr>
              <w:jc w:val="center"/>
            </w:pPr>
            <w:r>
              <w:rPr>
                <w:rFonts w:ascii="宋体" w:hAnsi="宋体" w:eastAsia="宋体"/>
                <w:sz w:val="16"/>
              </w:rPr>
              <w:t>项目实施方案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0BC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6892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57309">
            <w:pPr>
              <w:jc w:val="center"/>
            </w:pPr>
            <w:r>
              <w:rPr>
                <w:rFonts w:ascii="宋体" w:hAnsi="宋体" w:eastAsia="宋体"/>
                <w:sz w:val="16"/>
              </w:rPr>
              <w:t>20</w:t>
            </w:r>
          </w:p>
        </w:tc>
      </w:tr>
      <w:tr w14:paraId="3C2F2B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166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516E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34A49">
            <w:pPr>
              <w:jc w:val="center"/>
            </w:pPr>
            <w:r>
              <w:rPr>
                <w:rFonts w:ascii="宋体" w:hAnsi="宋体" w:eastAsia="宋体"/>
                <w:sz w:val="16"/>
              </w:rPr>
              <w:t>国有企业退休员工举办活动次数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7ADA3">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36DB1">
            <w:pPr>
              <w:jc w:val="center"/>
            </w:pPr>
            <w:r>
              <w:rPr>
                <w:rFonts w:ascii="宋体" w:hAnsi="宋体" w:eastAsia="宋体"/>
                <w:sz w:val="16"/>
              </w:rPr>
              <w:t>项目实施方案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7C4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B1399">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46C5B">
            <w:pPr>
              <w:jc w:val="center"/>
            </w:pPr>
            <w:r>
              <w:rPr>
                <w:rFonts w:ascii="宋体" w:hAnsi="宋体" w:eastAsia="宋体"/>
                <w:sz w:val="16"/>
              </w:rPr>
              <w:t>20</w:t>
            </w:r>
          </w:p>
        </w:tc>
      </w:tr>
      <w:tr w14:paraId="6271AA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6E3BB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DC5D24">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7D653">
            <w:pPr>
              <w:jc w:val="center"/>
            </w:pPr>
            <w:r>
              <w:rPr>
                <w:rFonts w:ascii="宋体" w:hAnsi="宋体" w:eastAsia="宋体"/>
                <w:sz w:val="16"/>
              </w:rPr>
              <w:t>社区正常运转率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A2E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8584A">
            <w:pPr>
              <w:jc w:val="center"/>
            </w:pPr>
            <w:r>
              <w:rPr>
                <w:rFonts w:ascii="宋体" w:hAnsi="宋体" w:eastAsia="宋体"/>
                <w:sz w:val="16"/>
              </w:rPr>
              <w:t>洛浦县城区街道2024年工作计划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B51E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C7D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F83B8">
            <w:pPr>
              <w:jc w:val="center"/>
            </w:pPr>
            <w:r>
              <w:rPr>
                <w:rFonts w:ascii="宋体" w:hAnsi="宋体" w:eastAsia="宋体"/>
                <w:sz w:val="16"/>
              </w:rPr>
              <w:t>15</w:t>
            </w:r>
          </w:p>
        </w:tc>
      </w:tr>
      <w:tr w14:paraId="635F28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5C9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CEFE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2759F">
            <w:pPr>
              <w:jc w:val="center"/>
            </w:pPr>
            <w:r>
              <w:rPr>
                <w:rFonts w:ascii="宋体" w:hAnsi="宋体" w:eastAsia="宋体"/>
                <w:sz w:val="16"/>
              </w:rPr>
              <w:t>宣传工作覆盖率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D66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00533">
            <w:pPr>
              <w:jc w:val="center"/>
            </w:pPr>
            <w:r>
              <w:rPr>
                <w:rFonts w:ascii="宋体" w:hAnsi="宋体" w:eastAsia="宋体"/>
                <w:sz w:val="16"/>
              </w:rPr>
              <w:t>洛浦县城区街道2024年工作计划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4602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0B2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58648">
            <w:pPr>
              <w:jc w:val="center"/>
            </w:pPr>
            <w:r>
              <w:rPr>
                <w:rFonts w:ascii="宋体" w:hAnsi="宋体" w:eastAsia="宋体"/>
                <w:sz w:val="16"/>
              </w:rPr>
              <w:t>15</w:t>
            </w:r>
          </w:p>
        </w:tc>
      </w:tr>
    </w:tbl>
    <w:p w14:paraId="007B6B3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6A3D51">
        <w:tblPrEx>
          <w:tblCellMar>
            <w:top w:w="0" w:type="dxa"/>
            <w:left w:w="108" w:type="dxa"/>
            <w:bottom w:w="0" w:type="dxa"/>
            <w:right w:w="108" w:type="dxa"/>
          </w:tblCellMar>
        </w:tblPrEx>
        <w:tc>
          <w:tcPr>
            <w:tcW w:w="8847" w:type="dxa"/>
            <w:gridSpan w:val="9"/>
            <w:vAlign w:val="center"/>
          </w:tcPr>
          <w:p w14:paraId="010C88CF">
            <w:pPr>
              <w:jc w:val="center"/>
            </w:pPr>
            <w:r>
              <w:rPr>
                <w:rFonts w:ascii="宋体" w:hAnsi="宋体" w:eastAsia="宋体"/>
                <w:sz w:val="24"/>
              </w:rPr>
              <w:t>项目支出绩效自评表</w:t>
            </w:r>
          </w:p>
        </w:tc>
      </w:tr>
      <w:tr w14:paraId="43D3E96E">
        <w:tblPrEx>
          <w:tblCellMar>
            <w:top w:w="0" w:type="dxa"/>
            <w:left w:w="108" w:type="dxa"/>
            <w:bottom w:w="0" w:type="dxa"/>
            <w:right w:w="108" w:type="dxa"/>
          </w:tblCellMar>
        </w:tblPrEx>
        <w:tc>
          <w:tcPr>
            <w:tcW w:w="8847" w:type="dxa"/>
            <w:gridSpan w:val="9"/>
            <w:vAlign w:val="center"/>
          </w:tcPr>
          <w:p w14:paraId="6BFE7A38">
            <w:pPr>
              <w:jc w:val="center"/>
            </w:pPr>
            <w:r>
              <w:rPr>
                <w:rFonts w:ascii="宋体" w:hAnsi="宋体" w:eastAsia="宋体"/>
                <w:sz w:val="24"/>
              </w:rPr>
              <w:t>(2024年度)</w:t>
            </w:r>
          </w:p>
        </w:tc>
      </w:tr>
      <w:tr w14:paraId="6DD2EB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C1EC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127520">
            <w:pPr>
              <w:jc w:val="center"/>
            </w:pPr>
            <w:r>
              <w:rPr>
                <w:rFonts w:ascii="宋体" w:hAnsi="宋体" w:eastAsia="宋体"/>
                <w:sz w:val="16"/>
              </w:rPr>
              <w:t>2020年结转2024年专项资金：2020年中央专项彩票公益金支持地方体育事业专项资金-和地财教</w:t>
            </w:r>
            <w:r>
              <w:rPr>
                <w:rFonts w:hint="eastAsia" w:ascii="宋体" w:hAnsi="宋体"/>
                <w:sz w:val="16"/>
                <w:lang w:eastAsia="zh-CN"/>
              </w:rPr>
              <w:t>〔2019〕93号</w:t>
            </w:r>
            <w:r>
              <w:rPr>
                <w:rFonts w:ascii="宋体" w:hAnsi="宋体" w:eastAsia="宋体"/>
                <w:sz w:val="16"/>
              </w:rPr>
              <w:t>-洛浦县城区街道综合服务用房建设项目</w:t>
            </w:r>
          </w:p>
        </w:tc>
      </w:tr>
      <w:tr w14:paraId="580425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75BC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E4B936">
            <w:pPr>
              <w:jc w:val="center"/>
            </w:pPr>
            <w:r>
              <w:rPr>
                <w:rFonts w:ascii="宋体" w:hAnsi="宋体" w:eastAsia="宋体"/>
                <w:sz w:val="16"/>
              </w:rPr>
              <w:t>洛浦县社区服务中心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F7AA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50E3F6">
            <w:pPr>
              <w:jc w:val="center"/>
            </w:pPr>
            <w:r>
              <w:rPr>
                <w:rFonts w:ascii="宋体" w:hAnsi="宋体" w:eastAsia="宋体"/>
                <w:sz w:val="16"/>
              </w:rPr>
              <w:t>洛浦县社区服务中心</w:t>
            </w:r>
          </w:p>
        </w:tc>
      </w:tr>
      <w:tr w14:paraId="1F6DDF8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6E7A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CEB5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1253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36B1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877F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5511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2041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D5684">
            <w:pPr>
              <w:jc w:val="center"/>
            </w:pPr>
            <w:r>
              <w:rPr>
                <w:rFonts w:ascii="宋体" w:hAnsi="宋体" w:eastAsia="宋体"/>
                <w:sz w:val="16"/>
              </w:rPr>
              <w:t>得分</w:t>
            </w:r>
          </w:p>
        </w:tc>
      </w:tr>
      <w:tr w14:paraId="07C10B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ABF8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C6F9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B72B3">
            <w:pPr>
              <w:jc w:val="center"/>
            </w:pPr>
            <w:r>
              <w:rPr>
                <w:rFonts w:ascii="宋体" w:hAnsi="宋体" w:eastAsia="宋体"/>
                <w:sz w:val="16"/>
              </w:rPr>
              <w:t>85.26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675CD">
            <w:pPr>
              <w:jc w:val="center"/>
            </w:pPr>
            <w:r>
              <w:rPr>
                <w:rFonts w:ascii="宋体" w:hAnsi="宋体" w:eastAsia="宋体"/>
                <w:sz w:val="16"/>
              </w:rPr>
              <w:t>85.26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36A23">
            <w:pPr>
              <w:jc w:val="center"/>
            </w:pPr>
            <w:r>
              <w:rPr>
                <w:rFonts w:ascii="宋体" w:hAnsi="宋体" w:eastAsia="宋体"/>
                <w:sz w:val="16"/>
              </w:rPr>
              <w:t>85.26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F66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0895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1745A">
            <w:pPr>
              <w:jc w:val="center"/>
            </w:pPr>
            <w:r>
              <w:rPr>
                <w:rFonts w:ascii="宋体" w:hAnsi="宋体" w:eastAsia="宋体"/>
                <w:sz w:val="16"/>
              </w:rPr>
              <w:t>10.00分</w:t>
            </w:r>
          </w:p>
        </w:tc>
      </w:tr>
      <w:tr w14:paraId="0EE383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F726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7E91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B8AF6">
            <w:pPr>
              <w:jc w:val="center"/>
            </w:pPr>
            <w:r>
              <w:rPr>
                <w:rFonts w:ascii="宋体" w:hAnsi="宋体" w:eastAsia="宋体"/>
                <w:sz w:val="16"/>
              </w:rPr>
              <w:t>85.26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851AA">
            <w:pPr>
              <w:jc w:val="center"/>
            </w:pPr>
            <w:r>
              <w:rPr>
                <w:rFonts w:ascii="宋体" w:hAnsi="宋体" w:eastAsia="宋体"/>
                <w:sz w:val="16"/>
              </w:rPr>
              <w:t>85.26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6A071">
            <w:pPr>
              <w:jc w:val="center"/>
            </w:pPr>
            <w:r>
              <w:rPr>
                <w:rFonts w:ascii="宋体" w:hAnsi="宋体" w:eastAsia="宋体"/>
                <w:sz w:val="16"/>
              </w:rPr>
              <w:t>85.26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11B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A35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9194F">
            <w:pPr>
              <w:jc w:val="center"/>
            </w:pPr>
            <w:r>
              <w:rPr>
                <w:rFonts w:ascii="宋体" w:hAnsi="宋体" w:eastAsia="宋体"/>
                <w:sz w:val="16"/>
              </w:rPr>
              <w:t>—</w:t>
            </w:r>
          </w:p>
        </w:tc>
      </w:tr>
      <w:tr w14:paraId="3F7D75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CAD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86BB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3E6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52F8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1A94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184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B01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51EA0">
            <w:pPr>
              <w:jc w:val="center"/>
            </w:pPr>
            <w:r>
              <w:rPr>
                <w:rFonts w:ascii="宋体" w:hAnsi="宋体" w:eastAsia="宋体"/>
                <w:sz w:val="16"/>
              </w:rPr>
              <w:t>—</w:t>
            </w:r>
          </w:p>
        </w:tc>
      </w:tr>
      <w:tr w14:paraId="7FCAAC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52AD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01F6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238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EB6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76DA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391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E08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C7145">
            <w:pPr>
              <w:jc w:val="center"/>
            </w:pPr>
            <w:r>
              <w:rPr>
                <w:rFonts w:ascii="宋体" w:hAnsi="宋体" w:eastAsia="宋体"/>
                <w:sz w:val="16"/>
              </w:rPr>
              <w:t>—</w:t>
            </w:r>
          </w:p>
        </w:tc>
      </w:tr>
      <w:tr w14:paraId="476C84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7328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FD372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0DDA6D">
            <w:pPr>
              <w:jc w:val="center"/>
            </w:pPr>
            <w:r>
              <w:rPr>
                <w:rFonts w:ascii="宋体" w:hAnsi="宋体" w:eastAsia="宋体"/>
                <w:sz w:val="16"/>
              </w:rPr>
              <w:t>实际完成情况</w:t>
            </w:r>
          </w:p>
        </w:tc>
      </w:tr>
      <w:tr w14:paraId="102D29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22870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8B52D1">
            <w:pPr>
              <w:jc w:val="both"/>
            </w:pPr>
            <w:r>
              <w:rPr>
                <w:rFonts w:ascii="宋体" w:hAnsi="宋体" w:eastAsia="宋体"/>
                <w:sz w:val="16"/>
              </w:rPr>
              <w:t>根据《洛浦县财经委员会会议纪要》（洛财纪字</w:t>
            </w:r>
            <w:r>
              <w:rPr>
                <w:rFonts w:hint="eastAsia" w:ascii="宋体" w:hAnsi="宋体"/>
                <w:sz w:val="16"/>
                <w:lang w:eastAsia="zh-CN"/>
              </w:rPr>
              <w:t>〔2024〕1号</w:t>
            </w:r>
            <w:r>
              <w:rPr>
                <w:rFonts w:ascii="宋体" w:hAnsi="宋体" w:eastAsia="宋体"/>
                <w:sz w:val="16"/>
              </w:rPr>
              <w:t>）文件实施此项目，项目主要内容为：保障1个项目维修维护费用，通过项目实施改善工作环境，提升工作人员工作积极性。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AE424F">
            <w:pPr>
              <w:jc w:val="both"/>
            </w:pPr>
            <w:r>
              <w:rPr>
                <w:rFonts w:ascii="宋体" w:hAnsi="宋体" w:eastAsia="宋体"/>
                <w:sz w:val="16"/>
              </w:rPr>
              <w:t>截至2024年12月31日，保障1个项目实施，综合服务用房建设项目维修维护费85.26万元，资金使用合规率达到100%，资金到位率达到100%，项目开始时间为2024年1月份，完成时间2024年1月份，资金支付率达到100%，通过项目实施，有效保障了项目正常完工，改善了工作环境，受益人员满意度达到98%，工作人员满意度达到98%。</w:t>
            </w:r>
          </w:p>
        </w:tc>
      </w:tr>
      <w:tr w14:paraId="4DDD13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6CADD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6122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00CD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C7D9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1446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F7B8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BEAF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01A6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A80C6">
            <w:pPr>
              <w:jc w:val="center"/>
            </w:pPr>
            <w:r>
              <w:rPr>
                <w:rFonts w:ascii="宋体" w:hAnsi="宋体" w:eastAsia="宋体"/>
                <w:sz w:val="16"/>
              </w:rPr>
              <w:t>偏差原因分析及改进措施</w:t>
            </w:r>
          </w:p>
        </w:tc>
      </w:tr>
      <w:tr w14:paraId="065F7E6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83B2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98A6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9072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69BBD">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70C8E">
            <w:pPr>
              <w:jc w:val="center"/>
            </w:pPr>
            <w:r>
              <w:rPr>
                <w:rFonts w:ascii="宋体" w:hAnsi="宋体" w:eastAsia="宋体"/>
                <w:sz w:val="16"/>
              </w:rPr>
              <w:t>&lt;=1个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AAAE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9718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0859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D7C18">
            <w:pPr>
              <w:jc w:val="center"/>
            </w:pPr>
          </w:p>
        </w:tc>
      </w:tr>
      <w:tr w14:paraId="5E57F2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26EB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B6D8E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FA45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D06F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D828D">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EEB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88E8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9277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5402F">
            <w:pPr>
              <w:jc w:val="center"/>
            </w:pPr>
          </w:p>
        </w:tc>
      </w:tr>
      <w:tr w14:paraId="7C2354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B298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A86E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68F7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46E7E">
            <w:pPr>
              <w:jc w:val="center"/>
            </w:pPr>
            <w:r>
              <w:rPr>
                <w:rFonts w:ascii="宋体" w:hAnsi="宋体" w:eastAsia="宋体"/>
                <w:sz w:val="16"/>
              </w:rPr>
              <w:t>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2EA6F">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3555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17DD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A986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CFE3B">
            <w:pPr>
              <w:jc w:val="center"/>
            </w:pPr>
          </w:p>
        </w:tc>
      </w:tr>
      <w:tr w14:paraId="799123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125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5B284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651D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B190D">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3334C">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C009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4F01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5BE8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FDC6C">
            <w:pPr>
              <w:jc w:val="center"/>
            </w:pPr>
          </w:p>
        </w:tc>
      </w:tr>
      <w:tr w14:paraId="3B97D2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3A4B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ED30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54B3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C115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E2A0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BC0C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6D2E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9FC1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EC55D">
            <w:pPr>
              <w:jc w:val="center"/>
            </w:pPr>
          </w:p>
        </w:tc>
      </w:tr>
      <w:tr w14:paraId="003E81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553A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2D93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694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5BD8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CBA50">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266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6511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5150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78D13">
            <w:pPr>
              <w:jc w:val="center"/>
            </w:pPr>
          </w:p>
        </w:tc>
      </w:tr>
      <w:tr w14:paraId="255307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FE4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7770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CC73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19B0A">
            <w:pPr>
              <w:jc w:val="center"/>
            </w:pPr>
            <w:r>
              <w:rPr>
                <w:rFonts w:ascii="宋体" w:hAnsi="宋体" w:eastAsia="宋体"/>
                <w:sz w:val="16"/>
              </w:rPr>
              <w:t>综合服务用房建设项目维修维护费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B4FCE">
            <w:pPr>
              <w:jc w:val="center"/>
            </w:pPr>
            <w:r>
              <w:rPr>
                <w:rFonts w:ascii="宋体" w:hAnsi="宋体" w:eastAsia="宋体"/>
                <w:sz w:val="16"/>
              </w:rPr>
              <w:t>&lt;=85.26万元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422F6">
            <w:pPr>
              <w:jc w:val="center"/>
            </w:pPr>
            <w:r>
              <w:rPr>
                <w:rFonts w:ascii="宋体" w:hAnsi="宋体" w:eastAsia="宋体"/>
                <w:sz w:val="16"/>
              </w:rPr>
              <w:t>=85.26万元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800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9B53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A1BA0">
            <w:pPr>
              <w:jc w:val="center"/>
            </w:pPr>
          </w:p>
        </w:tc>
      </w:tr>
      <w:tr w14:paraId="08CC22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C38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6EFF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C4C9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45B97">
            <w:pPr>
              <w:jc w:val="center"/>
            </w:pPr>
            <w:r>
              <w:rPr>
                <w:rFonts w:ascii="宋体" w:hAnsi="宋体" w:eastAsia="宋体"/>
                <w:sz w:val="16"/>
              </w:rPr>
              <w:t>保障项目正常完工，改善工作环境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0CCE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0AE5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ABE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30C4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7266B">
            <w:pPr>
              <w:jc w:val="center"/>
            </w:pPr>
          </w:p>
        </w:tc>
      </w:tr>
      <w:tr w14:paraId="0E109A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9229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D2C46">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13FE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6E2E0">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72AD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61D0C">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8B54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61D0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813B3">
            <w:pPr>
              <w:jc w:val="center"/>
            </w:pPr>
          </w:p>
        </w:tc>
      </w:tr>
      <w:tr w14:paraId="7D1374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25A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A88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9F9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5B574">
            <w:pPr>
              <w:jc w:val="center"/>
            </w:pPr>
            <w:r>
              <w:rPr>
                <w:rFonts w:ascii="宋体" w:hAnsi="宋体" w:eastAsia="宋体"/>
                <w:sz w:val="16"/>
              </w:rPr>
              <w:t>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BCEF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63E13">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6C1E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2D3E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1699E">
            <w:pPr>
              <w:jc w:val="center"/>
            </w:pPr>
          </w:p>
        </w:tc>
      </w:tr>
      <w:tr w14:paraId="48DF16A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89826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622A7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1B6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C036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D361F9F"/>
        </w:tc>
      </w:tr>
    </w:tbl>
    <w:p w14:paraId="538C707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03189B6">
        <w:tblPrEx>
          <w:tblCellMar>
            <w:top w:w="0" w:type="dxa"/>
            <w:left w:w="108" w:type="dxa"/>
            <w:bottom w:w="0" w:type="dxa"/>
            <w:right w:w="108" w:type="dxa"/>
          </w:tblCellMar>
        </w:tblPrEx>
        <w:tc>
          <w:tcPr>
            <w:tcW w:w="8847" w:type="dxa"/>
            <w:gridSpan w:val="9"/>
            <w:vAlign w:val="center"/>
          </w:tcPr>
          <w:p w14:paraId="55978374">
            <w:pPr>
              <w:jc w:val="center"/>
            </w:pPr>
            <w:r>
              <w:rPr>
                <w:rFonts w:ascii="宋体" w:hAnsi="宋体" w:eastAsia="宋体"/>
                <w:sz w:val="24"/>
              </w:rPr>
              <w:t>项目支出绩效自评表</w:t>
            </w:r>
          </w:p>
        </w:tc>
      </w:tr>
      <w:tr w14:paraId="1BEBA01E">
        <w:tblPrEx>
          <w:tblCellMar>
            <w:top w:w="0" w:type="dxa"/>
            <w:left w:w="108" w:type="dxa"/>
            <w:bottom w:w="0" w:type="dxa"/>
            <w:right w:w="108" w:type="dxa"/>
          </w:tblCellMar>
        </w:tblPrEx>
        <w:tc>
          <w:tcPr>
            <w:tcW w:w="8847" w:type="dxa"/>
            <w:gridSpan w:val="9"/>
            <w:vAlign w:val="center"/>
          </w:tcPr>
          <w:p w14:paraId="2FDDAA9C">
            <w:pPr>
              <w:jc w:val="center"/>
            </w:pPr>
            <w:r>
              <w:rPr>
                <w:rFonts w:ascii="宋体" w:hAnsi="宋体" w:eastAsia="宋体"/>
                <w:sz w:val="24"/>
              </w:rPr>
              <w:t>(2024年度)</w:t>
            </w:r>
          </w:p>
        </w:tc>
      </w:tr>
      <w:tr w14:paraId="7D07497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B427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3DAAC5">
            <w:pPr>
              <w:jc w:val="center"/>
            </w:pPr>
            <w:r>
              <w:rPr>
                <w:rFonts w:ascii="宋体" w:hAnsi="宋体" w:eastAsia="宋体"/>
                <w:sz w:val="16"/>
              </w:rPr>
              <w:t>2024年国有企业退休人员社会化管理补助资金项目</w:t>
            </w:r>
          </w:p>
        </w:tc>
      </w:tr>
      <w:tr w14:paraId="27BFF3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F2B3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C95280">
            <w:pPr>
              <w:jc w:val="center"/>
            </w:pPr>
            <w:r>
              <w:rPr>
                <w:rFonts w:ascii="宋体" w:hAnsi="宋体" w:eastAsia="宋体"/>
                <w:sz w:val="16"/>
              </w:rPr>
              <w:t>洛浦县社区服务中心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ABD8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BBBC7D">
            <w:pPr>
              <w:jc w:val="center"/>
            </w:pPr>
            <w:r>
              <w:rPr>
                <w:rFonts w:ascii="宋体" w:hAnsi="宋体" w:eastAsia="宋体"/>
                <w:sz w:val="16"/>
              </w:rPr>
              <w:t>洛浦县社区服务中心</w:t>
            </w:r>
          </w:p>
        </w:tc>
      </w:tr>
      <w:tr w14:paraId="204E9FA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F443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F97F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2963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CAB6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F868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53B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A44E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4BACA">
            <w:pPr>
              <w:jc w:val="center"/>
            </w:pPr>
            <w:r>
              <w:rPr>
                <w:rFonts w:ascii="宋体" w:hAnsi="宋体" w:eastAsia="宋体"/>
                <w:sz w:val="16"/>
              </w:rPr>
              <w:t>得分</w:t>
            </w:r>
          </w:p>
        </w:tc>
      </w:tr>
      <w:tr w14:paraId="3A918A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905A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ADF9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EE832">
            <w:pPr>
              <w:jc w:val="center"/>
            </w:pPr>
            <w:r>
              <w:rPr>
                <w:rFonts w:ascii="宋体" w:hAnsi="宋体" w:eastAsia="宋体"/>
                <w:sz w:val="16"/>
              </w:rPr>
              <w:t>1.23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2AFFA">
            <w:pPr>
              <w:jc w:val="center"/>
            </w:pPr>
            <w:r>
              <w:rPr>
                <w:rFonts w:ascii="宋体" w:hAnsi="宋体" w:eastAsia="宋体"/>
                <w:sz w:val="16"/>
              </w:rPr>
              <w:t>1.23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FE006">
            <w:pPr>
              <w:jc w:val="center"/>
            </w:pPr>
            <w:r>
              <w:rPr>
                <w:rFonts w:ascii="宋体" w:hAnsi="宋体" w:eastAsia="宋体"/>
                <w:sz w:val="16"/>
              </w:rPr>
              <w:t>1.23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C22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E1DF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764AB">
            <w:pPr>
              <w:jc w:val="center"/>
            </w:pPr>
            <w:r>
              <w:rPr>
                <w:rFonts w:ascii="宋体" w:hAnsi="宋体" w:eastAsia="宋体"/>
                <w:sz w:val="16"/>
              </w:rPr>
              <w:t>10.00分</w:t>
            </w:r>
          </w:p>
        </w:tc>
      </w:tr>
      <w:tr w14:paraId="5C677A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EAC8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8C79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4D69C">
            <w:pPr>
              <w:jc w:val="center"/>
            </w:pPr>
            <w:r>
              <w:rPr>
                <w:rFonts w:ascii="宋体" w:hAnsi="宋体" w:eastAsia="宋体"/>
                <w:sz w:val="16"/>
              </w:rPr>
              <w:t>1.23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8AF39">
            <w:pPr>
              <w:jc w:val="center"/>
            </w:pPr>
            <w:r>
              <w:rPr>
                <w:rFonts w:ascii="宋体" w:hAnsi="宋体" w:eastAsia="宋体"/>
                <w:sz w:val="16"/>
              </w:rPr>
              <w:t>1.23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DDC5B">
            <w:pPr>
              <w:jc w:val="center"/>
            </w:pPr>
            <w:r>
              <w:rPr>
                <w:rFonts w:ascii="宋体" w:hAnsi="宋体" w:eastAsia="宋体"/>
                <w:sz w:val="16"/>
              </w:rPr>
              <w:t>1.23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E87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012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3264F">
            <w:pPr>
              <w:jc w:val="center"/>
            </w:pPr>
            <w:r>
              <w:rPr>
                <w:rFonts w:ascii="宋体" w:hAnsi="宋体" w:eastAsia="宋体"/>
                <w:sz w:val="16"/>
              </w:rPr>
              <w:t>—</w:t>
            </w:r>
          </w:p>
        </w:tc>
      </w:tr>
      <w:tr w14:paraId="08BDB7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D6B2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C954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9A6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39C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145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D30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A9B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2ED92">
            <w:pPr>
              <w:jc w:val="center"/>
            </w:pPr>
            <w:r>
              <w:rPr>
                <w:rFonts w:ascii="宋体" w:hAnsi="宋体" w:eastAsia="宋体"/>
                <w:sz w:val="16"/>
              </w:rPr>
              <w:t>—</w:t>
            </w:r>
          </w:p>
        </w:tc>
      </w:tr>
      <w:tr w14:paraId="25B10E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09C5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BE95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8D6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B62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3B1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976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3DA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ECEDA">
            <w:pPr>
              <w:jc w:val="center"/>
            </w:pPr>
            <w:r>
              <w:rPr>
                <w:rFonts w:ascii="宋体" w:hAnsi="宋体" w:eastAsia="宋体"/>
                <w:sz w:val="16"/>
              </w:rPr>
              <w:t>—</w:t>
            </w:r>
          </w:p>
        </w:tc>
      </w:tr>
      <w:tr w14:paraId="4C4F283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2AA9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FB298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AD4E20">
            <w:pPr>
              <w:jc w:val="center"/>
            </w:pPr>
            <w:r>
              <w:rPr>
                <w:rFonts w:ascii="宋体" w:hAnsi="宋体" w:eastAsia="宋体"/>
                <w:sz w:val="16"/>
              </w:rPr>
              <w:t>实际完成情况</w:t>
            </w:r>
          </w:p>
        </w:tc>
      </w:tr>
      <w:tr w14:paraId="7CB732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A1FBF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CEEEE3">
            <w:pPr>
              <w:jc w:val="both"/>
            </w:pPr>
            <w:r>
              <w:rPr>
                <w:rFonts w:ascii="宋体" w:hAnsi="宋体" w:eastAsia="宋体"/>
                <w:sz w:val="16"/>
              </w:rPr>
              <w:t>根据《关于提前下达2024年国有企业退休人员社会化管理补助资金预算的通知》和地财资〔2023〕30号文件实施此项目，主要内容为：慰问国有企业退休员工1次，给国有企业退休员工举办活动1次，购置办公用品1批，项目于2024年12月完成，项目总投资1.23万元，慰问国有企业退休员工费用支出2300元，给国有企业退休员工举办活动费用支出3000元，购置办公用品费用支出7000元。通过本项目的实施，有效丰富国有企业退休员工业余生活，国有企业已退休人员管理服务工作与原企业分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26DEEC">
            <w:pPr>
              <w:jc w:val="both"/>
            </w:pPr>
            <w:r>
              <w:rPr>
                <w:rFonts w:ascii="宋体" w:hAnsi="宋体" w:eastAsia="宋体"/>
                <w:sz w:val="16"/>
              </w:rPr>
              <w:t>截至2024年12月31日，慰问国有企业退休员工1次，金额2300元，给国有企业退休人员举办活动1次，金额为3000元，购置办公用品1批，金额为7000元，资金使用合规率100%，购置办公用品质量验收合格率100%，项目完成时间2024年5月，资金支付及时率100%，通过此项目实施，有效丰富国有企业退休人员业余生活，持续提升公共服务能力，工作人员满意度达到98%，国有企业退休人员满意度98%。</w:t>
            </w:r>
          </w:p>
        </w:tc>
      </w:tr>
      <w:tr w14:paraId="438709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AD743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F5ED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EB58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8777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72C2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21D3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8295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1688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42749">
            <w:pPr>
              <w:jc w:val="center"/>
            </w:pPr>
            <w:r>
              <w:rPr>
                <w:rFonts w:ascii="宋体" w:hAnsi="宋体" w:eastAsia="宋体"/>
                <w:sz w:val="16"/>
              </w:rPr>
              <w:t>偏差原因分析及改进措施</w:t>
            </w:r>
          </w:p>
        </w:tc>
      </w:tr>
      <w:tr w14:paraId="1593CD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50E93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7CD6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13FD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C9537">
            <w:pPr>
              <w:jc w:val="center"/>
            </w:pPr>
            <w:r>
              <w:rPr>
                <w:rFonts w:ascii="宋体" w:hAnsi="宋体" w:eastAsia="宋体"/>
                <w:sz w:val="16"/>
              </w:rPr>
              <w:t>慰问国有企业退休员工次数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3BF16">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3DC37">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DA3E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C169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4CE9B">
            <w:pPr>
              <w:jc w:val="center"/>
            </w:pPr>
          </w:p>
        </w:tc>
      </w:tr>
      <w:tr w14:paraId="4F49E4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E27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B97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71F2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47EEC">
            <w:pPr>
              <w:jc w:val="center"/>
            </w:pPr>
            <w:r>
              <w:rPr>
                <w:rFonts w:ascii="宋体" w:hAnsi="宋体" w:eastAsia="宋体"/>
                <w:sz w:val="16"/>
              </w:rPr>
              <w:t>国有企业退休员工举办活动次数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6AC6C">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996FC">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543E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481D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9A32E">
            <w:pPr>
              <w:jc w:val="center"/>
            </w:pPr>
          </w:p>
        </w:tc>
      </w:tr>
      <w:tr w14:paraId="04B209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07E9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C57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AC4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5D24F">
            <w:pPr>
              <w:jc w:val="center"/>
            </w:pPr>
            <w:r>
              <w:rPr>
                <w:rFonts w:ascii="宋体" w:hAnsi="宋体" w:eastAsia="宋体"/>
                <w:sz w:val="16"/>
              </w:rPr>
              <w:t>购置办公用品批次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AB7ED">
            <w:pPr>
              <w:jc w:val="center"/>
            </w:pPr>
            <w:r>
              <w:rPr>
                <w:rFonts w:ascii="宋体" w:hAnsi="宋体" w:eastAsia="宋体"/>
                <w:sz w:val="16"/>
              </w:rPr>
              <w:t>&gt;=1批次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79679">
            <w:pPr>
              <w:jc w:val="center"/>
            </w:pPr>
            <w:r>
              <w:rPr>
                <w:rFonts w:ascii="宋体" w:hAnsi="宋体" w:eastAsia="宋体"/>
                <w:sz w:val="16"/>
              </w:rPr>
              <w:t>=1批次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D5D3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1999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2F0A4">
            <w:pPr>
              <w:jc w:val="center"/>
            </w:pPr>
          </w:p>
        </w:tc>
      </w:tr>
      <w:tr w14:paraId="70A4D6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A706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8351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096C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D490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23F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A25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D179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5034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40F95">
            <w:pPr>
              <w:jc w:val="center"/>
            </w:pPr>
          </w:p>
        </w:tc>
      </w:tr>
      <w:tr w14:paraId="168B7A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65D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CB0C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F7F8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D2FAD">
            <w:pPr>
              <w:jc w:val="center"/>
            </w:pPr>
            <w:r>
              <w:rPr>
                <w:rFonts w:ascii="宋体" w:hAnsi="宋体" w:eastAsia="宋体"/>
                <w:sz w:val="16"/>
              </w:rPr>
              <w:t>购置办公用品质量验收合格率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1D1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172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E5E3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9FC4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FD7E3">
            <w:pPr>
              <w:jc w:val="center"/>
            </w:pPr>
          </w:p>
        </w:tc>
      </w:tr>
      <w:tr w14:paraId="42FC2C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FEBF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733E5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ADFE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D9444">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85E51">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59BD3">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F2D2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F917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B3665">
            <w:pPr>
              <w:jc w:val="center"/>
            </w:pPr>
          </w:p>
        </w:tc>
      </w:tr>
      <w:tr w14:paraId="37CCB4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C55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E04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BD5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3573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C927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6116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51B4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B0F7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7BE0B">
            <w:pPr>
              <w:jc w:val="center"/>
            </w:pPr>
          </w:p>
        </w:tc>
      </w:tr>
      <w:tr w14:paraId="640B23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961E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425C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3DEE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59B0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439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864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6EF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3E9D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60D13">
            <w:pPr>
              <w:jc w:val="center"/>
            </w:pPr>
          </w:p>
        </w:tc>
      </w:tr>
      <w:tr w14:paraId="31C3FE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3A54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F0D0C">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7106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36B27">
            <w:pPr>
              <w:jc w:val="center"/>
            </w:pPr>
            <w:r>
              <w:rPr>
                <w:rFonts w:ascii="宋体" w:hAnsi="宋体" w:eastAsia="宋体"/>
                <w:sz w:val="16"/>
              </w:rPr>
              <w:t>慰问国有企业退休员工费用支出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BD2B9">
            <w:pPr>
              <w:jc w:val="center"/>
            </w:pPr>
            <w:r>
              <w:rPr>
                <w:rFonts w:ascii="宋体" w:hAnsi="宋体" w:eastAsia="宋体"/>
                <w:sz w:val="16"/>
              </w:rPr>
              <w:t>&lt;=0.23万元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6518B">
            <w:pPr>
              <w:jc w:val="center"/>
            </w:pPr>
            <w:r>
              <w:rPr>
                <w:rFonts w:ascii="宋体" w:hAnsi="宋体" w:eastAsia="宋体"/>
                <w:sz w:val="16"/>
              </w:rPr>
              <w:t>=0.23万元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19FF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6A8A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83649">
            <w:pPr>
              <w:jc w:val="center"/>
            </w:pPr>
          </w:p>
        </w:tc>
      </w:tr>
      <w:tr w14:paraId="432096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22D2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7B4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F6C3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E09F3">
            <w:pPr>
              <w:jc w:val="center"/>
            </w:pPr>
            <w:r>
              <w:rPr>
                <w:rFonts w:ascii="宋体" w:hAnsi="宋体" w:eastAsia="宋体"/>
                <w:sz w:val="16"/>
              </w:rPr>
              <w:t>给国有企业退休员工举办活动费用支出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2498E">
            <w:pPr>
              <w:jc w:val="center"/>
            </w:pPr>
            <w:r>
              <w:rPr>
                <w:rFonts w:ascii="宋体" w:hAnsi="宋体" w:eastAsia="宋体"/>
                <w:sz w:val="16"/>
              </w:rPr>
              <w:t>&lt;=0.30万元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ACC36">
            <w:pPr>
              <w:jc w:val="center"/>
            </w:pPr>
            <w:r>
              <w:rPr>
                <w:rFonts w:ascii="宋体" w:hAnsi="宋体" w:eastAsia="宋体"/>
                <w:sz w:val="16"/>
              </w:rPr>
              <w:t>=0.3万元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D075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B33A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76B5F">
            <w:pPr>
              <w:jc w:val="center"/>
            </w:pPr>
          </w:p>
        </w:tc>
      </w:tr>
      <w:tr w14:paraId="2B7398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2F7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405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8B6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CE1F4">
            <w:pPr>
              <w:jc w:val="center"/>
            </w:pPr>
            <w:r>
              <w:rPr>
                <w:rFonts w:ascii="宋体" w:hAnsi="宋体" w:eastAsia="宋体"/>
                <w:sz w:val="16"/>
              </w:rPr>
              <w:t>购置办公用品费用支出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848A7">
            <w:pPr>
              <w:jc w:val="center"/>
            </w:pPr>
            <w:r>
              <w:rPr>
                <w:rFonts w:ascii="宋体" w:hAnsi="宋体" w:eastAsia="宋体"/>
                <w:sz w:val="16"/>
              </w:rPr>
              <w:t>&lt;=0.70万元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B9BA3">
            <w:pPr>
              <w:jc w:val="center"/>
            </w:pPr>
            <w:r>
              <w:rPr>
                <w:rFonts w:ascii="宋体" w:hAnsi="宋体" w:eastAsia="宋体"/>
                <w:sz w:val="16"/>
              </w:rPr>
              <w:t>=0.7万元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1090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B895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5E3FB">
            <w:pPr>
              <w:jc w:val="center"/>
            </w:pPr>
          </w:p>
        </w:tc>
      </w:tr>
      <w:tr w14:paraId="5A5BFF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5C3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599B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DA75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D3D19">
            <w:pPr>
              <w:jc w:val="center"/>
            </w:pPr>
            <w:r>
              <w:rPr>
                <w:rFonts w:ascii="宋体" w:hAnsi="宋体" w:eastAsia="宋体"/>
                <w:sz w:val="16"/>
              </w:rPr>
              <w:t>丰富国有企业退休员工业余生活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5C001">
            <w:pPr>
              <w:jc w:val="center"/>
            </w:pPr>
            <w:r>
              <w:rPr>
                <w:rFonts w:ascii="宋体" w:hAnsi="宋体" w:eastAsia="宋体"/>
                <w:sz w:val="16"/>
              </w:rPr>
              <w:t>有效丰富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B4A96">
            <w:pPr>
              <w:jc w:val="center"/>
            </w:pPr>
            <w:r>
              <w:rPr>
                <w:rFonts w:ascii="宋体" w:hAnsi="宋体" w:eastAsia="宋体"/>
                <w:sz w:val="16"/>
              </w:rPr>
              <w:t>有效丰富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1BF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94E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22548">
            <w:pPr>
              <w:jc w:val="center"/>
            </w:pPr>
          </w:p>
        </w:tc>
      </w:tr>
      <w:tr w14:paraId="472711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FBCBE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3FF489">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53B8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D4D98">
            <w:pPr>
              <w:jc w:val="center"/>
            </w:pPr>
            <w:r>
              <w:rPr>
                <w:rFonts w:ascii="宋体" w:hAnsi="宋体" w:eastAsia="宋体"/>
                <w:sz w:val="16"/>
              </w:rPr>
              <w:t>国有企业退休人员满意度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2C67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0FC6C">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0F68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798E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E2726">
            <w:pPr>
              <w:jc w:val="center"/>
            </w:pPr>
          </w:p>
        </w:tc>
      </w:tr>
      <w:tr w14:paraId="2AD4C7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5EC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B42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844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AAA73">
            <w:pPr>
              <w:jc w:val="center"/>
            </w:pPr>
            <w:r>
              <w:rPr>
                <w:rFonts w:ascii="宋体" w:hAnsi="宋体" w:eastAsia="宋体"/>
                <w:sz w:val="16"/>
              </w:rPr>
              <w:t>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22FE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411C6">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AD61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EC6B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DEBD0">
            <w:pPr>
              <w:jc w:val="center"/>
            </w:pPr>
          </w:p>
        </w:tc>
      </w:tr>
      <w:tr w14:paraId="2CC5B36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A29C5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83FD6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597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563A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828AEFE"/>
        </w:tc>
      </w:tr>
    </w:tbl>
    <w:p w14:paraId="76C6ECC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CFFBDD2">
        <w:tblPrEx>
          <w:tblCellMar>
            <w:top w:w="0" w:type="dxa"/>
            <w:left w:w="108" w:type="dxa"/>
            <w:bottom w:w="0" w:type="dxa"/>
            <w:right w:w="108" w:type="dxa"/>
          </w:tblCellMar>
        </w:tblPrEx>
        <w:tc>
          <w:tcPr>
            <w:tcW w:w="8847" w:type="dxa"/>
            <w:gridSpan w:val="9"/>
            <w:vAlign w:val="center"/>
          </w:tcPr>
          <w:p w14:paraId="36A5CE18">
            <w:pPr>
              <w:jc w:val="center"/>
            </w:pPr>
            <w:r>
              <w:rPr>
                <w:rFonts w:ascii="宋体" w:hAnsi="宋体" w:eastAsia="宋体"/>
                <w:sz w:val="24"/>
              </w:rPr>
              <w:t>项目支出绩效自评表</w:t>
            </w:r>
          </w:p>
        </w:tc>
      </w:tr>
      <w:tr w14:paraId="69631E3C">
        <w:tblPrEx>
          <w:tblCellMar>
            <w:top w:w="0" w:type="dxa"/>
            <w:left w:w="108" w:type="dxa"/>
            <w:bottom w:w="0" w:type="dxa"/>
            <w:right w:w="108" w:type="dxa"/>
          </w:tblCellMar>
        </w:tblPrEx>
        <w:tc>
          <w:tcPr>
            <w:tcW w:w="8847" w:type="dxa"/>
            <w:gridSpan w:val="9"/>
            <w:vAlign w:val="center"/>
          </w:tcPr>
          <w:p w14:paraId="5D2D9AA2">
            <w:pPr>
              <w:jc w:val="center"/>
            </w:pPr>
            <w:r>
              <w:rPr>
                <w:rFonts w:ascii="宋体" w:hAnsi="宋体" w:eastAsia="宋体"/>
                <w:sz w:val="24"/>
              </w:rPr>
              <w:t>(2024年度)</w:t>
            </w:r>
          </w:p>
        </w:tc>
      </w:tr>
      <w:tr w14:paraId="39AF9A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F077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2DDF202">
            <w:pPr>
              <w:jc w:val="center"/>
            </w:pPr>
            <w:r>
              <w:rPr>
                <w:rFonts w:ascii="宋体" w:hAnsi="宋体" w:eastAsia="宋体"/>
                <w:sz w:val="16"/>
              </w:rPr>
              <w:t>专项资金-和地财教</w:t>
            </w:r>
            <w:r>
              <w:rPr>
                <w:rFonts w:hint="eastAsia" w:ascii="宋体" w:hAnsi="宋体"/>
                <w:sz w:val="16"/>
                <w:lang w:eastAsia="zh-CN"/>
              </w:rPr>
              <w:t>〔2024〕47号</w:t>
            </w:r>
            <w:r>
              <w:rPr>
                <w:rFonts w:ascii="宋体" w:hAnsi="宋体" w:eastAsia="宋体"/>
                <w:sz w:val="16"/>
              </w:rPr>
              <w:t>：中央支持地方公共文化服务体系建设补助资金-洛财教</w:t>
            </w:r>
            <w:r>
              <w:rPr>
                <w:rFonts w:hint="eastAsia" w:ascii="宋体" w:hAnsi="宋体"/>
                <w:sz w:val="16"/>
                <w:lang w:eastAsia="zh-CN"/>
              </w:rPr>
              <w:t>〔2024〕75号</w:t>
            </w:r>
          </w:p>
        </w:tc>
      </w:tr>
      <w:tr w14:paraId="5F641D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349E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2DB839">
            <w:pPr>
              <w:jc w:val="center"/>
            </w:pPr>
            <w:r>
              <w:rPr>
                <w:rFonts w:ascii="宋体" w:hAnsi="宋体" w:eastAsia="宋体"/>
                <w:sz w:val="16"/>
              </w:rPr>
              <w:t>洛浦县社区服务中心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34D7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B014ED">
            <w:pPr>
              <w:jc w:val="center"/>
            </w:pPr>
            <w:r>
              <w:rPr>
                <w:rFonts w:ascii="宋体" w:hAnsi="宋体" w:eastAsia="宋体"/>
                <w:sz w:val="16"/>
              </w:rPr>
              <w:t>洛浦县社区服务中心</w:t>
            </w:r>
          </w:p>
        </w:tc>
      </w:tr>
      <w:tr w14:paraId="1A8F66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FA0A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8CC5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70FD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65DE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6FFF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5283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05D1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74711">
            <w:pPr>
              <w:jc w:val="center"/>
            </w:pPr>
            <w:r>
              <w:rPr>
                <w:rFonts w:ascii="宋体" w:hAnsi="宋体" w:eastAsia="宋体"/>
                <w:sz w:val="16"/>
              </w:rPr>
              <w:t>得分</w:t>
            </w:r>
          </w:p>
        </w:tc>
      </w:tr>
      <w:tr w14:paraId="63873D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17E4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D020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73AD5">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F9FE6">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AE223">
            <w:pPr>
              <w:jc w:val="center"/>
            </w:pPr>
            <w:r>
              <w:rPr>
                <w:rFonts w:ascii="宋体" w:hAnsi="宋体" w:eastAsia="宋体"/>
                <w:sz w:val="16"/>
              </w:rPr>
              <w:t>3.64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EE94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5616A">
            <w:pPr>
              <w:jc w:val="center"/>
            </w:pPr>
            <w:r>
              <w:rPr>
                <w:rFonts w:ascii="宋体" w:hAnsi="宋体" w:eastAsia="宋体"/>
                <w:sz w:val="16"/>
              </w:rPr>
              <w:t xml:space="preserve">60.67%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35FD4">
            <w:pPr>
              <w:jc w:val="center"/>
            </w:pPr>
            <w:r>
              <w:rPr>
                <w:rFonts w:ascii="宋体" w:hAnsi="宋体" w:eastAsia="宋体"/>
                <w:sz w:val="16"/>
              </w:rPr>
              <w:t>0.17分</w:t>
            </w:r>
          </w:p>
        </w:tc>
      </w:tr>
      <w:tr w14:paraId="523129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AE02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15F0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8138B">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A8B4B">
            <w:pPr>
              <w:jc w:val="center"/>
            </w:pPr>
            <w:r>
              <w:rPr>
                <w:rFonts w:ascii="宋体" w:hAnsi="宋体" w:eastAsia="宋体"/>
                <w:sz w:val="16"/>
              </w:rPr>
              <w:t>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16F6F">
            <w:pPr>
              <w:jc w:val="center"/>
            </w:pPr>
            <w:r>
              <w:rPr>
                <w:rFonts w:ascii="宋体" w:hAnsi="宋体" w:eastAsia="宋体"/>
                <w:sz w:val="16"/>
              </w:rPr>
              <w:t>3.64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4D6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AA1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FAD59">
            <w:pPr>
              <w:jc w:val="center"/>
            </w:pPr>
            <w:r>
              <w:rPr>
                <w:rFonts w:ascii="宋体" w:hAnsi="宋体" w:eastAsia="宋体"/>
                <w:sz w:val="16"/>
              </w:rPr>
              <w:t>—</w:t>
            </w:r>
          </w:p>
        </w:tc>
      </w:tr>
      <w:tr w14:paraId="37B03B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844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518E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FC0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DC8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48C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538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F15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C8723">
            <w:pPr>
              <w:jc w:val="center"/>
            </w:pPr>
            <w:r>
              <w:rPr>
                <w:rFonts w:ascii="宋体" w:hAnsi="宋体" w:eastAsia="宋体"/>
                <w:sz w:val="16"/>
              </w:rPr>
              <w:t>—</w:t>
            </w:r>
          </w:p>
        </w:tc>
      </w:tr>
      <w:tr w14:paraId="67D706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EB2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D36C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138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FD9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73F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AF6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871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62339">
            <w:pPr>
              <w:jc w:val="center"/>
            </w:pPr>
            <w:r>
              <w:rPr>
                <w:rFonts w:ascii="宋体" w:hAnsi="宋体" w:eastAsia="宋体"/>
                <w:sz w:val="16"/>
              </w:rPr>
              <w:t>—</w:t>
            </w:r>
          </w:p>
        </w:tc>
      </w:tr>
      <w:tr w14:paraId="4437E8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1C11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12486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C1F3F8">
            <w:pPr>
              <w:jc w:val="center"/>
            </w:pPr>
            <w:r>
              <w:rPr>
                <w:rFonts w:ascii="宋体" w:hAnsi="宋体" w:eastAsia="宋体"/>
                <w:sz w:val="16"/>
              </w:rPr>
              <w:t>实际完成情况</w:t>
            </w:r>
          </w:p>
        </w:tc>
      </w:tr>
      <w:tr w14:paraId="08A37E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C7AC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430940">
            <w:pPr>
              <w:jc w:val="both"/>
            </w:pPr>
            <w:r>
              <w:rPr>
                <w:rFonts w:ascii="宋体" w:hAnsi="宋体" w:eastAsia="宋体"/>
                <w:sz w:val="16"/>
              </w:rPr>
              <w:t>根据专项资金-和地财教</w:t>
            </w:r>
            <w:r>
              <w:rPr>
                <w:rFonts w:hint="eastAsia" w:ascii="宋体" w:hAnsi="宋体"/>
                <w:sz w:val="16"/>
                <w:lang w:eastAsia="zh-CN"/>
              </w:rPr>
              <w:t>〔2024〕47号</w:t>
            </w:r>
            <w:r>
              <w:rPr>
                <w:rFonts w:ascii="宋体" w:hAnsi="宋体" w:eastAsia="宋体"/>
                <w:sz w:val="16"/>
              </w:rPr>
              <w:t>：中央支持地方公共文化服务体系建设补助资金-洛财教</w:t>
            </w:r>
            <w:r>
              <w:rPr>
                <w:rFonts w:hint="eastAsia" w:ascii="宋体" w:hAnsi="宋体"/>
                <w:sz w:val="16"/>
                <w:lang w:eastAsia="zh-CN"/>
              </w:rPr>
              <w:t>〔2024〕75号</w:t>
            </w:r>
            <w:r>
              <w:rPr>
                <w:rFonts w:ascii="宋体" w:hAnsi="宋体" w:eastAsia="宋体"/>
                <w:sz w:val="16"/>
              </w:rPr>
              <w:t>文件实施该项目。项目主要内容：项目资金主要</w:t>
            </w:r>
            <w:r>
              <w:rPr>
                <w:rFonts w:hint="eastAsia" w:ascii="宋体" w:hAnsi="宋体"/>
                <w:sz w:val="16"/>
                <w:lang w:eastAsia="zh-CN"/>
              </w:rPr>
              <w:t>用于</w:t>
            </w:r>
            <w:r>
              <w:rPr>
                <w:rFonts w:ascii="宋体" w:hAnsi="宋体" w:eastAsia="宋体"/>
                <w:sz w:val="16"/>
              </w:rPr>
              <w:t>6个社区的公共文化体育设施维修及公共文化活动用品的购买。通过项目的实施，满足群众精神文化生活，弘扬传统文化，促进人民群众凝聚力。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0D367A">
            <w:pPr>
              <w:jc w:val="both"/>
            </w:pPr>
            <w:r>
              <w:rPr>
                <w:rFonts w:ascii="宋体" w:hAnsi="宋体" w:eastAsia="宋体"/>
                <w:sz w:val="16"/>
              </w:rPr>
              <w:t>截至2024年12月31日，保障了6个社区购买公共文化活动用品，资金金额3.64万元，资金使用合规率达到100%，资金支付及时率达到100%，项目完成时间2024年12月31日，持续有效满足了群众精神文化生活，弘扬传统文化，促进人民群众凝聚力，受益群众满意度达到98%。</w:t>
            </w:r>
          </w:p>
        </w:tc>
      </w:tr>
      <w:tr w14:paraId="39AF5D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D29A1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BBAB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E730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937F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04F8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E7ED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1E65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96CF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76803">
            <w:pPr>
              <w:jc w:val="center"/>
            </w:pPr>
            <w:r>
              <w:rPr>
                <w:rFonts w:ascii="宋体" w:hAnsi="宋体" w:eastAsia="宋体"/>
                <w:sz w:val="16"/>
              </w:rPr>
              <w:t>偏差原因分析及改进措施</w:t>
            </w:r>
          </w:p>
        </w:tc>
      </w:tr>
      <w:tr w14:paraId="1728B12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98FA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0AE6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D470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31F55">
            <w:pPr>
              <w:jc w:val="center"/>
            </w:pPr>
            <w:r>
              <w:rPr>
                <w:rFonts w:ascii="宋体" w:hAnsi="宋体" w:eastAsia="宋体"/>
                <w:sz w:val="16"/>
              </w:rPr>
              <w:t>资金保障社区数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80751">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59A5E">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E3C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312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FEEA0">
            <w:pPr>
              <w:jc w:val="center"/>
            </w:pPr>
          </w:p>
        </w:tc>
      </w:tr>
      <w:tr w14:paraId="53B2ED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CFB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39D8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2B2A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A782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327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406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8ED5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6F4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F2C60">
            <w:pPr>
              <w:jc w:val="center"/>
            </w:pPr>
          </w:p>
        </w:tc>
      </w:tr>
      <w:tr w14:paraId="569861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8A6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5CD87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E3AD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3152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E36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255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6D8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BFE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5543D">
            <w:pPr>
              <w:jc w:val="center"/>
            </w:pPr>
          </w:p>
        </w:tc>
      </w:tr>
      <w:tr w14:paraId="75ECCF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C127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5A8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B90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82EF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3871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2E56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1CF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743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53295">
            <w:pPr>
              <w:jc w:val="center"/>
            </w:pPr>
          </w:p>
        </w:tc>
      </w:tr>
      <w:tr w14:paraId="45981B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C885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9D328">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E2BD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61F26">
            <w:pPr>
              <w:jc w:val="center"/>
            </w:pPr>
            <w:r>
              <w:rPr>
                <w:rFonts w:ascii="宋体" w:hAnsi="宋体" w:eastAsia="宋体"/>
                <w:sz w:val="16"/>
              </w:rPr>
              <w:t>维修公共文化体育设施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FDA34">
            <w:pPr>
              <w:jc w:val="center"/>
            </w:pPr>
            <w:r>
              <w:rPr>
                <w:rFonts w:ascii="宋体" w:hAnsi="宋体" w:eastAsia="宋体"/>
                <w:sz w:val="16"/>
              </w:rPr>
              <w:t>&lt;=0.90万元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8B425">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062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3CC0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A23EC">
            <w:pPr>
              <w:jc w:val="center"/>
            </w:pPr>
            <w:r>
              <w:rPr>
                <w:rFonts w:ascii="宋体" w:hAnsi="宋体" w:eastAsia="宋体"/>
                <w:sz w:val="16"/>
              </w:rPr>
              <w:t>剩余资金</w:t>
            </w:r>
            <w:r>
              <w:rPr>
                <w:rFonts w:hint="eastAsia" w:ascii="宋体" w:hAnsi="宋体"/>
                <w:sz w:val="16"/>
                <w:lang w:eastAsia="zh-CN"/>
              </w:rPr>
              <w:t>截至</w:t>
            </w:r>
            <w:r>
              <w:rPr>
                <w:rFonts w:ascii="宋体" w:hAnsi="宋体" w:eastAsia="宋体"/>
                <w:sz w:val="16"/>
              </w:rPr>
              <w:t>2024年12月31日未进行使用</w:t>
            </w:r>
          </w:p>
        </w:tc>
      </w:tr>
      <w:tr w14:paraId="50C446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2E3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55A8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272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44680">
            <w:pPr>
              <w:jc w:val="center"/>
            </w:pPr>
            <w:r>
              <w:rPr>
                <w:rFonts w:ascii="宋体" w:hAnsi="宋体" w:eastAsia="宋体"/>
                <w:sz w:val="16"/>
              </w:rPr>
              <w:t>购买公共文化活动用品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2FB9C">
            <w:pPr>
              <w:jc w:val="center"/>
            </w:pPr>
            <w:r>
              <w:rPr>
                <w:rFonts w:ascii="宋体" w:hAnsi="宋体" w:eastAsia="宋体"/>
                <w:sz w:val="16"/>
              </w:rPr>
              <w:t>&lt;=5.10万元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6E60F">
            <w:pPr>
              <w:jc w:val="center"/>
            </w:pPr>
            <w:r>
              <w:rPr>
                <w:rFonts w:ascii="宋体" w:hAnsi="宋体" w:eastAsia="宋体"/>
                <w:sz w:val="16"/>
              </w:rPr>
              <w:t>=3.64万元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F37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9EE1D">
            <w:pPr>
              <w:jc w:val="center"/>
            </w:pPr>
            <w:r>
              <w:rPr>
                <w:rFonts w:ascii="宋体" w:hAnsi="宋体" w:eastAsia="宋体"/>
                <w:sz w:val="16"/>
              </w:rPr>
              <w:t>2.84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EE5A1">
            <w:pPr>
              <w:jc w:val="center"/>
            </w:pPr>
            <w:r>
              <w:rPr>
                <w:rFonts w:ascii="宋体" w:hAnsi="宋体" w:eastAsia="宋体"/>
                <w:sz w:val="16"/>
              </w:rPr>
              <w:t>剩余资金</w:t>
            </w:r>
            <w:r>
              <w:rPr>
                <w:rFonts w:hint="eastAsia" w:ascii="宋体" w:hAnsi="宋体"/>
                <w:sz w:val="16"/>
                <w:lang w:eastAsia="zh-CN"/>
              </w:rPr>
              <w:t>截至</w:t>
            </w:r>
            <w:r>
              <w:rPr>
                <w:rFonts w:ascii="宋体" w:hAnsi="宋体" w:eastAsia="宋体"/>
                <w:sz w:val="16"/>
              </w:rPr>
              <w:t>2024年12月31日未进行使用</w:t>
            </w:r>
          </w:p>
        </w:tc>
      </w:tr>
      <w:tr w14:paraId="0392A5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C447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3E87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0C4F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5FE4B">
            <w:pPr>
              <w:jc w:val="center"/>
            </w:pPr>
            <w:r>
              <w:rPr>
                <w:rFonts w:ascii="宋体" w:hAnsi="宋体" w:eastAsia="宋体"/>
                <w:sz w:val="16"/>
              </w:rPr>
              <w:t>满足群众精神文化生活，弘扬传统文化，促进人民群众凝聚力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90321">
            <w:pPr>
              <w:jc w:val="center"/>
            </w:pPr>
            <w:r>
              <w:rPr>
                <w:rFonts w:ascii="宋体" w:hAnsi="宋体" w:eastAsia="宋体"/>
                <w:sz w:val="16"/>
              </w:rPr>
              <w:t>持续有效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4732D">
            <w:pPr>
              <w:jc w:val="center"/>
            </w:pPr>
            <w:r>
              <w:rPr>
                <w:rFonts w:ascii="宋体" w:hAnsi="宋体" w:eastAsia="宋体"/>
                <w:sz w:val="16"/>
              </w:rPr>
              <w:t>持续有效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6CC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075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ABD57">
            <w:pPr>
              <w:jc w:val="center"/>
            </w:pPr>
          </w:p>
        </w:tc>
      </w:tr>
      <w:tr w14:paraId="3ED547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059F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DF33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D284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01D8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9BB9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E1BDE">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EAD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3EE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45FC5">
            <w:pPr>
              <w:jc w:val="center"/>
            </w:pPr>
          </w:p>
        </w:tc>
      </w:tr>
      <w:tr w14:paraId="0D681E9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1A1B2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F8FDB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013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5697D">
            <w:pPr>
              <w:jc w:val="center"/>
            </w:pPr>
            <w:r>
              <w:rPr>
                <w:rFonts w:ascii="宋体" w:hAnsi="宋体" w:eastAsia="宋体"/>
                <w:sz w:val="16"/>
              </w:rPr>
              <w:t>73.01分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6C88C88"/>
        </w:tc>
      </w:tr>
    </w:tbl>
    <w:p w14:paraId="6B02B25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F09EE5B">
        <w:tblPrEx>
          <w:tblCellMar>
            <w:top w:w="0" w:type="dxa"/>
            <w:left w:w="108" w:type="dxa"/>
            <w:bottom w:w="0" w:type="dxa"/>
            <w:right w:w="108" w:type="dxa"/>
          </w:tblCellMar>
        </w:tblPrEx>
        <w:tc>
          <w:tcPr>
            <w:tcW w:w="8847" w:type="dxa"/>
            <w:gridSpan w:val="9"/>
            <w:vAlign w:val="center"/>
          </w:tcPr>
          <w:p w14:paraId="20F717DD">
            <w:pPr>
              <w:jc w:val="center"/>
            </w:pPr>
            <w:r>
              <w:rPr>
                <w:rFonts w:ascii="宋体" w:hAnsi="宋体" w:eastAsia="宋体"/>
                <w:sz w:val="24"/>
              </w:rPr>
              <w:t>项目支出绩效自评表</w:t>
            </w:r>
          </w:p>
        </w:tc>
      </w:tr>
      <w:tr w14:paraId="7006CD72">
        <w:tblPrEx>
          <w:tblCellMar>
            <w:top w:w="0" w:type="dxa"/>
            <w:left w:w="108" w:type="dxa"/>
            <w:bottom w:w="0" w:type="dxa"/>
            <w:right w:w="108" w:type="dxa"/>
          </w:tblCellMar>
        </w:tblPrEx>
        <w:tc>
          <w:tcPr>
            <w:tcW w:w="8847" w:type="dxa"/>
            <w:gridSpan w:val="9"/>
            <w:vAlign w:val="center"/>
          </w:tcPr>
          <w:p w14:paraId="79546D8F">
            <w:pPr>
              <w:jc w:val="center"/>
            </w:pPr>
            <w:r>
              <w:rPr>
                <w:rFonts w:ascii="宋体" w:hAnsi="宋体" w:eastAsia="宋体"/>
                <w:sz w:val="24"/>
              </w:rPr>
              <w:t>(2024年度)</w:t>
            </w:r>
          </w:p>
        </w:tc>
      </w:tr>
      <w:tr w14:paraId="6089E8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4AB5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717C9C">
            <w:pPr>
              <w:jc w:val="center"/>
            </w:pPr>
            <w:r>
              <w:rPr>
                <w:rFonts w:ascii="宋体" w:hAnsi="宋体" w:eastAsia="宋体"/>
                <w:sz w:val="16"/>
              </w:rPr>
              <w:t>专项资金-和地财行</w:t>
            </w:r>
            <w:r>
              <w:rPr>
                <w:rFonts w:hint="eastAsia" w:ascii="宋体" w:hAnsi="宋体"/>
                <w:sz w:val="16"/>
                <w:lang w:eastAsia="zh-CN"/>
              </w:rPr>
              <w:t>〔2024〕21号</w:t>
            </w:r>
            <w:r>
              <w:rPr>
                <w:rFonts w:ascii="宋体" w:hAnsi="宋体" w:eastAsia="宋体"/>
                <w:sz w:val="16"/>
              </w:rPr>
              <w:t>：2024年度自治区基层组织建设资金-洛财行</w:t>
            </w:r>
            <w:r>
              <w:rPr>
                <w:rFonts w:hint="eastAsia" w:ascii="宋体" w:hAnsi="宋体"/>
                <w:sz w:val="16"/>
                <w:lang w:eastAsia="zh-CN"/>
              </w:rPr>
              <w:t>〔2024〕16号</w:t>
            </w:r>
          </w:p>
        </w:tc>
      </w:tr>
      <w:tr w14:paraId="56B466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2955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0A05C4">
            <w:pPr>
              <w:jc w:val="center"/>
            </w:pPr>
            <w:r>
              <w:rPr>
                <w:rFonts w:ascii="宋体" w:hAnsi="宋体" w:eastAsia="宋体"/>
                <w:sz w:val="16"/>
              </w:rPr>
              <w:t>洛浦县社区服务中心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53E8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770E7B">
            <w:pPr>
              <w:jc w:val="center"/>
            </w:pPr>
            <w:r>
              <w:rPr>
                <w:rFonts w:ascii="宋体" w:hAnsi="宋体" w:eastAsia="宋体"/>
                <w:sz w:val="16"/>
              </w:rPr>
              <w:t>洛浦县社区服务中心</w:t>
            </w:r>
          </w:p>
        </w:tc>
      </w:tr>
      <w:tr w14:paraId="3E6D85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2425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135E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4616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3135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F0CD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8D02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3C35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76AB8">
            <w:pPr>
              <w:jc w:val="center"/>
            </w:pPr>
            <w:r>
              <w:rPr>
                <w:rFonts w:ascii="宋体" w:hAnsi="宋体" w:eastAsia="宋体"/>
                <w:sz w:val="16"/>
              </w:rPr>
              <w:t>得分</w:t>
            </w:r>
          </w:p>
        </w:tc>
      </w:tr>
      <w:tr w14:paraId="742E37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ABB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ECC3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AA538">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1820A">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8D041">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EB3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EB35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5726E">
            <w:pPr>
              <w:jc w:val="center"/>
            </w:pPr>
            <w:r>
              <w:rPr>
                <w:rFonts w:ascii="宋体" w:hAnsi="宋体" w:eastAsia="宋体"/>
                <w:sz w:val="16"/>
              </w:rPr>
              <w:t>10.00分</w:t>
            </w:r>
          </w:p>
        </w:tc>
      </w:tr>
      <w:tr w14:paraId="374ACD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EAB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6B2E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5BE32">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FEF00">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BE9AF">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F3A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97E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0C50E">
            <w:pPr>
              <w:jc w:val="center"/>
            </w:pPr>
            <w:r>
              <w:rPr>
                <w:rFonts w:ascii="宋体" w:hAnsi="宋体" w:eastAsia="宋体"/>
                <w:sz w:val="16"/>
              </w:rPr>
              <w:t>—</w:t>
            </w:r>
          </w:p>
        </w:tc>
      </w:tr>
      <w:tr w14:paraId="52977E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30C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E1C2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141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54C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6D3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0C3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336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FDB6E">
            <w:pPr>
              <w:jc w:val="center"/>
            </w:pPr>
            <w:r>
              <w:rPr>
                <w:rFonts w:ascii="宋体" w:hAnsi="宋体" w:eastAsia="宋体"/>
                <w:sz w:val="16"/>
              </w:rPr>
              <w:t>—</w:t>
            </w:r>
          </w:p>
        </w:tc>
      </w:tr>
      <w:tr w14:paraId="0EB015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2E98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F518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68E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78E9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AC9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093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6F1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B32AB">
            <w:pPr>
              <w:jc w:val="center"/>
            </w:pPr>
            <w:r>
              <w:rPr>
                <w:rFonts w:ascii="宋体" w:hAnsi="宋体" w:eastAsia="宋体"/>
                <w:sz w:val="16"/>
              </w:rPr>
              <w:t>—</w:t>
            </w:r>
          </w:p>
        </w:tc>
      </w:tr>
      <w:tr w14:paraId="5A193C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9432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7E385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16D960">
            <w:pPr>
              <w:jc w:val="center"/>
            </w:pPr>
            <w:r>
              <w:rPr>
                <w:rFonts w:ascii="宋体" w:hAnsi="宋体" w:eastAsia="宋体"/>
                <w:sz w:val="16"/>
              </w:rPr>
              <w:t>实际完成情况</w:t>
            </w:r>
          </w:p>
        </w:tc>
      </w:tr>
      <w:tr w14:paraId="39EF30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450D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469838">
            <w:pPr>
              <w:jc w:val="both"/>
            </w:pPr>
            <w:r>
              <w:rPr>
                <w:rFonts w:ascii="宋体" w:hAnsi="宋体" w:eastAsia="宋体"/>
                <w:sz w:val="16"/>
              </w:rPr>
              <w:t>根据和田地区财政局《关于下达2024年度自治区基层组织建设资金的通知》（和地财行</w:t>
            </w:r>
            <w:r>
              <w:rPr>
                <w:rFonts w:hint="eastAsia" w:ascii="宋体" w:hAnsi="宋体"/>
                <w:sz w:val="16"/>
                <w:lang w:eastAsia="zh-CN"/>
              </w:rPr>
              <w:t>〔2024〕21号</w:t>
            </w:r>
            <w:r>
              <w:rPr>
                <w:rFonts w:ascii="宋体" w:hAnsi="宋体" w:eastAsia="宋体"/>
                <w:sz w:val="16"/>
              </w:rPr>
              <w:t>）文件实施此项目，项目主要内容为：保障2个社区基层组织打造服务场所，完善服务群众设施，创建服务群众项目，通过项目实施改善工作环境，提升工作人员工作积极性，打造群众想来、愿来、爱来的美好家园。</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260654">
            <w:pPr>
              <w:jc w:val="both"/>
            </w:pPr>
            <w:r>
              <w:rPr>
                <w:rFonts w:ascii="宋体" w:hAnsi="宋体" w:eastAsia="宋体"/>
                <w:sz w:val="16"/>
              </w:rPr>
              <w:t>截至2024年12月31日，保障了2个社区项目实施，金额40万元，其中改造服务场所刷墙、改造房间、铺设地面等15.09万元，完善服务群众设施购买台球桌、乒乓球桌、点歌音响设备、儿童用具、舞蹈用具等24.91万元，资金使用合规率达到100%，设备设施合格率达到100%，资金支付及时率达到100%，项目完成时间2024年12月，有效改善了工作环境，提升了工作人员工作积极性，完善了服务群众设施，打造了群众想来、愿来、爱来的美好家园，受益群众满意度达到98%。</w:t>
            </w:r>
          </w:p>
        </w:tc>
      </w:tr>
      <w:tr w14:paraId="052736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1293E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AB96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A1B9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E850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36AA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F56D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0D9B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E07C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07BD7">
            <w:pPr>
              <w:jc w:val="center"/>
            </w:pPr>
            <w:r>
              <w:rPr>
                <w:rFonts w:ascii="宋体" w:hAnsi="宋体" w:eastAsia="宋体"/>
                <w:sz w:val="16"/>
              </w:rPr>
              <w:t>偏差原因分析及改进措施</w:t>
            </w:r>
          </w:p>
        </w:tc>
      </w:tr>
      <w:tr w14:paraId="36B58F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C9CC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B202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641F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83BB3">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1F240">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234A9">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4A1D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FE5B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89DB4">
            <w:pPr>
              <w:jc w:val="center"/>
            </w:pPr>
          </w:p>
        </w:tc>
      </w:tr>
      <w:tr w14:paraId="0D84E3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0DE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84787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18A0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5B72C">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FF4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E1F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0C2C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E37E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7B91B">
            <w:pPr>
              <w:jc w:val="center"/>
            </w:pPr>
          </w:p>
        </w:tc>
      </w:tr>
      <w:tr w14:paraId="15C660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3B8F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723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0E4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AF84A">
            <w:pPr>
              <w:jc w:val="center"/>
            </w:pPr>
            <w:r>
              <w:rPr>
                <w:rFonts w:ascii="宋体" w:hAnsi="宋体" w:eastAsia="宋体"/>
                <w:sz w:val="16"/>
              </w:rPr>
              <w:t>设备设施合格率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F70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09B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2A17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461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D1960">
            <w:pPr>
              <w:jc w:val="center"/>
            </w:pPr>
          </w:p>
        </w:tc>
      </w:tr>
      <w:tr w14:paraId="5AA131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3B33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0191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7E49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5C34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96E3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F9CA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720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3FDF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B1008">
            <w:pPr>
              <w:jc w:val="center"/>
            </w:pPr>
          </w:p>
        </w:tc>
      </w:tr>
      <w:tr w14:paraId="36DA7D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31A7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B0E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10C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0546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1EE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895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414E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A1CC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6BB76">
            <w:pPr>
              <w:jc w:val="center"/>
            </w:pPr>
          </w:p>
        </w:tc>
      </w:tr>
      <w:tr w14:paraId="4C1CE3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966AC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EF387">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4331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467FB">
            <w:pPr>
              <w:jc w:val="center"/>
            </w:pPr>
            <w:r>
              <w:rPr>
                <w:rFonts w:ascii="宋体" w:hAnsi="宋体" w:eastAsia="宋体"/>
                <w:sz w:val="16"/>
              </w:rPr>
              <w:t>改造服务场所刷墙、改造房间、铺设地面等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4666F">
            <w:pPr>
              <w:jc w:val="center"/>
            </w:pPr>
            <w:r>
              <w:rPr>
                <w:rFonts w:ascii="宋体" w:hAnsi="宋体" w:eastAsia="宋体"/>
                <w:sz w:val="16"/>
              </w:rPr>
              <w:t>&lt;=15.09万元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E36F4">
            <w:pPr>
              <w:jc w:val="center"/>
            </w:pPr>
            <w:r>
              <w:rPr>
                <w:rFonts w:ascii="宋体" w:hAnsi="宋体" w:eastAsia="宋体"/>
                <w:sz w:val="16"/>
              </w:rPr>
              <w:t>=15.09万元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A4A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566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8719D">
            <w:pPr>
              <w:jc w:val="center"/>
            </w:pPr>
          </w:p>
        </w:tc>
      </w:tr>
      <w:tr w14:paraId="2CDBC1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2105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C779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2C2F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F1417">
            <w:pPr>
              <w:jc w:val="center"/>
            </w:pPr>
            <w:r>
              <w:rPr>
                <w:rFonts w:ascii="宋体" w:hAnsi="宋体" w:eastAsia="宋体"/>
                <w:sz w:val="16"/>
              </w:rPr>
              <w:t>完善服务群众设施购买台球桌、乒乓球桌、点歌音响设备、儿童用具、舞蹈用具等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538A3">
            <w:pPr>
              <w:jc w:val="center"/>
            </w:pPr>
            <w:r>
              <w:rPr>
                <w:rFonts w:ascii="宋体" w:hAnsi="宋体" w:eastAsia="宋体"/>
                <w:sz w:val="16"/>
              </w:rPr>
              <w:t>&lt;=24.91万元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57056">
            <w:pPr>
              <w:jc w:val="center"/>
            </w:pPr>
            <w:r>
              <w:rPr>
                <w:rFonts w:ascii="宋体" w:hAnsi="宋体" w:eastAsia="宋体"/>
                <w:sz w:val="16"/>
              </w:rPr>
              <w:t>=24.91万元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805A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D5F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1329B">
            <w:pPr>
              <w:jc w:val="center"/>
            </w:pPr>
          </w:p>
        </w:tc>
      </w:tr>
      <w:tr w14:paraId="58B63F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466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F05C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837B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B3C12">
            <w:pPr>
              <w:jc w:val="center"/>
            </w:pPr>
            <w:r>
              <w:rPr>
                <w:rFonts w:ascii="宋体" w:hAnsi="宋体" w:eastAsia="宋体"/>
                <w:sz w:val="16"/>
              </w:rPr>
              <w:t>改善工作环境，提升工作人员工作积极性，完善服务群众设施，打造群众想来、愿来、爱来的美好家园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A08F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D5B5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39B6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0B8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127E4">
            <w:pPr>
              <w:jc w:val="center"/>
            </w:pPr>
          </w:p>
        </w:tc>
      </w:tr>
      <w:tr w14:paraId="1948B6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A6DF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BB81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306E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7738E">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B930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10703">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642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1FE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53605">
            <w:pPr>
              <w:jc w:val="center"/>
            </w:pPr>
          </w:p>
        </w:tc>
      </w:tr>
      <w:tr w14:paraId="402DBC0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080EB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15B9F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5D6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6442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A008E4"/>
        </w:tc>
      </w:tr>
    </w:tbl>
    <w:p w14:paraId="048A0864">
      <w:r>
        <w:br w:type="page"/>
      </w:r>
    </w:p>
    <w:tbl>
      <w:tblPr>
        <w:tblStyle w:val="9"/>
        <w:tblW w:w="0" w:type="auto"/>
        <w:tblInd w:w="0" w:type="dxa"/>
        <w:tblLayout w:type="autofit"/>
        <w:tblCellMar>
          <w:top w:w="0" w:type="dxa"/>
          <w:left w:w="108" w:type="dxa"/>
          <w:bottom w:w="0" w:type="dxa"/>
          <w:right w:w="108" w:type="dxa"/>
        </w:tblCellMar>
      </w:tblPr>
      <w:tblGrid>
        <w:gridCol w:w="983"/>
        <w:gridCol w:w="661"/>
        <w:gridCol w:w="960"/>
        <w:gridCol w:w="94"/>
        <w:gridCol w:w="1066"/>
        <w:gridCol w:w="120"/>
        <w:gridCol w:w="1031"/>
        <w:gridCol w:w="543"/>
        <w:gridCol w:w="440"/>
        <w:gridCol w:w="983"/>
        <w:gridCol w:w="723"/>
        <w:gridCol w:w="1243"/>
      </w:tblGrid>
      <w:tr w14:paraId="5C7F84F1">
        <w:tblPrEx>
          <w:tblCellMar>
            <w:top w:w="0" w:type="dxa"/>
            <w:left w:w="108" w:type="dxa"/>
            <w:bottom w:w="0" w:type="dxa"/>
            <w:right w:w="108" w:type="dxa"/>
          </w:tblCellMar>
        </w:tblPrEx>
        <w:tc>
          <w:tcPr>
            <w:tcW w:w="8847" w:type="dxa"/>
            <w:gridSpan w:val="12"/>
            <w:vAlign w:val="center"/>
          </w:tcPr>
          <w:p w14:paraId="14059909">
            <w:pPr>
              <w:jc w:val="center"/>
            </w:pPr>
            <w:r>
              <w:rPr>
                <w:rFonts w:ascii="宋体" w:hAnsi="宋体" w:eastAsia="宋体"/>
                <w:sz w:val="24"/>
              </w:rPr>
              <w:t>项目支出绩效自评表</w:t>
            </w:r>
          </w:p>
        </w:tc>
      </w:tr>
      <w:tr w14:paraId="76AA498B">
        <w:tblPrEx>
          <w:tblCellMar>
            <w:top w:w="0" w:type="dxa"/>
            <w:left w:w="108" w:type="dxa"/>
            <w:bottom w:w="0" w:type="dxa"/>
            <w:right w:w="108" w:type="dxa"/>
          </w:tblCellMar>
        </w:tblPrEx>
        <w:tc>
          <w:tcPr>
            <w:tcW w:w="8847" w:type="dxa"/>
            <w:gridSpan w:val="12"/>
            <w:vAlign w:val="center"/>
          </w:tcPr>
          <w:p w14:paraId="2CFC740D">
            <w:pPr>
              <w:jc w:val="center"/>
            </w:pPr>
            <w:r>
              <w:rPr>
                <w:rFonts w:ascii="宋体" w:hAnsi="宋体" w:eastAsia="宋体"/>
                <w:sz w:val="24"/>
              </w:rPr>
              <w:t>(2024年度)</w:t>
            </w:r>
          </w:p>
        </w:tc>
      </w:tr>
      <w:tr w14:paraId="536CAF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DAA98">
            <w:pPr>
              <w:jc w:val="center"/>
            </w:pPr>
            <w:r>
              <w:rPr>
                <w:rFonts w:ascii="宋体" w:hAnsi="宋体" w:eastAsia="宋体"/>
                <w:sz w:val="16"/>
              </w:rPr>
              <w:t>项目名称</w:t>
            </w:r>
          </w:p>
        </w:tc>
        <w:tc>
          <w:tcPr>
            <w:tcW w:w="7864" w:type="dxa"/>
            <w:gridSpan w:val="11"/>
            <w:tcBorders>
              <w:top w:val="single" w:color="auto" w:sz="10" w:space="0"/>
              <w:left w:val="single" w:color="auto" w:sz="10" w:space="0"/>
              <w:bottom w:val="single" w:color="auto" w:sz="10" w:space="0"/>
              <w:right w:val="single" w:color="auto" w:sz="10" w:space="0"/>
              <w:insideV w:val="single" w:sz="10" w:space="0"/>
            </w:tcBorders>
            <w:vAlign w:val="center"/>
          </w:tcPr>
          <w:p w14:paraId="5DDAF35F">
            <w:pPr>
              <w:jc w:val="center"/>
            </w:pPr>
            <w:r>
              <w:rPr>
                <w:rFonts w:ascii="宋体" w:hAnsi="宋体" w:eastAsia="宋体"/>
                <w:sz w:val="16"/>
              </w:rPr>
              <w:t>存量资金-</w:t>
            </w:r>
            <w:r>
              <w:rPr>
                <w:rFonts w:hint="eastAsia" w:ascii="宋体" w:hAnsi="宋体"/>
                <w:sz w:val="16"/>
                <w:lang w:eastAsia="zh-CN"/>
              </w:rPr>
              <w:t>YQ</w:t>
            </w:r>
            <w:r>
              <w:rPr>
                <w:rFonts w:ascii="宋体" w:hAnsi="宋体" w:eastAsia="宋体"/>
                <w:sz w:val="16"/>
              </w:rPr>
              <w:t>防控经费-餐费-洛财纪字</w:t>
            </w:r>
            <w:r>
              <w:rPr>
                <w:rFonts w:hint="eastAsia" w:ascii="宋体" w:hAnsi="宋体"/>
                <w:sz w:val="16"/>
                <w:lang w:eastAsia="zh-CN"/>
              </w:rPr>
              <w:t>〔2024〕6号</w:t>
            </w:r>
          </w:p>
        </w:tc>
      </w:tr>
      <w:tr w14:paraId="388431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BED45">
            <w:pPr>
              <w:jc w:val="center"/>
            </w:pPr>
            <w:r>
              <w:rPr>
                <w:rFonts w:ascii="宋体" w:hAnsi="宋体" w:eastAsia="宋体"/>
                <w:sz w:val="16"/>
              </w:rPr>
              <w:t>主管部门</w:t>
            </w:r>
          </w:p>
        </w:tc>
        <w:tc>
          <w:tcPr>
            <w:tcW w:w="290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605593">
            <w:pPr>
              <w:jc w:val="center"/>
            </w:pPr>
            <w:r>
              <w:rPr>
                <w:rFonts w:ascii="宋体" w:hAnsi="宋体" w:eastAsia="宋体"/>
                <w:sz w:val="16"/>
              </w:rPr>
              <w:t>洛浦县社区服务中心</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4AA8C63E">
            <w:pPr>
              <w:jc w:val="center"/>
            </w:pPr>
            <w:r>
              <w:rPr>
                <w:rFonts w:ascii="宋体" w:hAnsi="宋体" w:eastAsia="宋体"/>
                <w:sz w:val="16"/>
              </w:rPr>
              <w:t>实施单位</w:t>
            </w:r>
          </w:p>
        </w:tc>
        <w:tc>
          <w:tcPr>
            <w:tcW w:w="393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B6058C">
            <w:pPr>
              <w:jc w:val="center"/>
            </w:pPr>
            <w:r>
              <w:rPr>
                <w:rFonts w:ascii="宋体" w:hAnsi="宋体" w:eastAsia="宋体"/>
                <w:sz w:val="16"/>
              </w:rPr>
              <w:t>洛浦县社区服务中心</w:t>
            </w:r>
          </w:p>
        </w:tc>
      </w:tr>
      <w:tr w14:paraId="3B0737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3B896">
            <w:pPr>
              <w:jc w:val="center"/>
            </w:pPr>
            <w:r>
              <w:rPr>
                <w:rFonts w:ascii="宋体" w:hAnsi="宋体" w:eastAsia="宋体"/>
                <w:sz w:val="16"/>
              </w:rPr>
              <w:t>项目资金 （万元）</w:t>
            </w:r>
          </w:p>
        </w:tc>
        <w:tc>
          <w:tcPr>
            <w:tcW w:w="17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07C0F1">
            <w:pPr>
              <w:jc w:val="center"/>
            </w:pPr>
          </w:p>
        </w:tc>
        <w:tc>
          <w:tcPr>
            <w:tcW w:w="1066" w:type="dxa"/>
            <w:tcBorders>
              <w:top w:val="single" w:color="auto" w:sz="10" w:space="0"/>
              <w:left w:val="single" w:color="auto" w:sz="10" w:space="0"/>
              <w:bottom w:val="single" w:color="auto" w:sz="10" w:space="0"/>
              <w:right w:val="single" w:color="auto" w:sz="10" w:space="0"/>
              <w:insideV w:val="single" w:sz="10" w:space="0"/>
            </w:tcBorders>
            <w:vAlign w:val="center"/>
          </w:tcPr>
          <w:p w14:paraId="03D452E2">
            <w:pPr>
              <w:jc w:val="center"/>
            </w:pPr>
            <w:r>
              <w:rPr>
                <w:rFonts w:ascii="宋体" w:hAnsi="宋体" w:eastAsia="宋体"/>
                <w:sz w:val="16"/>
              </w:rPr>
              <w:t>年初预算数</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BDFB7">
            <w:pPr>
              <w:jc w:val="center"/>
            </w:pPr>
            <w:r>
              <w:rPr>
                <w:rFonts w:ascii="宋体" w:hAnsi="宋体" w:eastAsia="宋体"/>
                <w:sz w:val="16"/>
              </w:rPr>
              <w:t>全年预算数</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5942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CB582">
            <w:pPr>
              <w:jc w:val="center"/>
            </w:pPr>
            <w:r>
              <w:rPr>
                <w:rFonts w:ascii="宋体" w:hAnsi="宋体" w:eastAsia="宋体"/>
                <w:sz w:val="16"/>
              </w:rPr>
              <w:t>分值</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0F2CE00A">
            <w:pPr>
              <w:jc w:val="center"/>
            </w:pPr>
            <w:r>
              <w:rPr>
                <w:rFonts w:ascii="宋体" w:hAnsi="宋体" w:eastAsia="宋体"/>
                <w:sz w:val="16"/>
              </w:rPr>
              <w:t>执行率</w:t>
            </w:r>
          </w:p>
        </w:tc>
        <w:tc>
          <w:tcPr>
            <w:tcW w:w="1243" w:type="dxa"/>
            <w:tcBorders>
              <w:top w:val="single" w:color="auto" w:sz="10" w:space="0"/>
              <w:left w:val="single" w:color="auto" w:sz="10" w:space="0"/>
              <w:bottom w:val="single" w:color="auto" w:sz="10" w:space="0"/>
              <w:right w:val="single" w:color="auto" w:sz="10" w:space="0"/>
              <w:insideV w:val="single" w:sz="10" w:space="0"/>
            </w:tcBorders>
            <w:vAlign w:val="center"/>
          </w:tcPr>
          <w:p w14:paraId="41040ABE">
            <w:pPr>
              <w:jc w:val="center"/>
            </w:pPr>
            <w:r>
              <w:rPr>
                <w:rFonts w:ascii="宋体" w:hAnsi="宋体" w:eastAsia="宋体"/>
                <w:sz w:val="16"/>
              </w:rPr>
              <w:t>得分</w:t>
            </w:r>
          </w:p>
        </w:tc>
      </w:tr>
      <w:tr w14:paraId="4FE5B9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8D80A0"/>
        </w:tc>
        <w:tc>
          <w:tcPr>
            <w:tcW w:w="17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D6F283">
            <w:pPr>
              <w:jc w:val="center"/>
            </w:pPr>
            <w:r>
              <w:rPr>
                <w:rFonts w:ascii="宋体" w:hAnsi="宋体" w:eastAsia="宋体"/>
                <w:sz w:val="16"/>
              </w:rPr>
              <w:t>年度资金总额</w:t>
            </w:r>
          </w:p>
        </w:tc>
        <w:tc>
          <w:tcPr>
            <w:tcW w:w="1066" w:type="dxa"/>
            <w:tcBorders>
              <w:top w:val="single" w:color="auto" w:sz="10" w:space="0"/>
              <w:left w:val="single" w:color="auto" w:sz="10" w:space="0"/>
              <w:bottom w:val="single" w:color="auto" w:sz="10" w:space="0"/>
              <w:right w:val="single" w:color="auto" w:sz="10" w:space="0"/>
              <w:insideV w:val="single" w:sz="10" w:space="0"/>
            </w:tcBorders>
            <w:vAlign w:val="center"/>
          </w:tcPr>
          <w:p w14:paraId="2DC66324">
            <w:pPr>
              <w:jc w:val="center"/>
            </w:pPr>
            <w:r>
              <w:rPr>
                <w:rFonts w:ascii="宋体" w:hAnsi="宋体" w:eastAsia="宋体"/>
                <w:sz w:val="16"/>
              </w:rPr>
              <w:t>6.66</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2BCEA">
            <w:pPr>
              <w:jc w:val="center"/>
            </w:pPr>
            <w:r>
              <w:rPr>
                <w:rFonts w:ascii="宋体" w:hAnsi="宋体" w:eastAsia="宋体"/>
                <w:sz w:val="16"/>
              </w:rPr>
              <w:t>6.66</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C4B91">
            <w:pPr>
              <w:jc w:val="center"/>
            </w:pPr>
            <w:r>
              <w:rPr>
                <w:rFonts w:ascii="宋体" w:hAnsi="宋体" w:eastAsia="宋体"/>
                <w:sz w:val="16"/>
              </w:rPr>
              <w:t>6.21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BE36F">
            <w:pPr>
              <w:jc w:val="center"/>
            </w:pPr>
            <w:r>
              <w:rPr>
                <w:rFonts w:ascii="宋体" w:hAnsi="宋体" w:eastAsia="宋体"/>
                <w:sz w:val="16"/>
              </w:rPr>
              <w:t>10</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6AFB22A8">
            <w:pPr>
              <w:jc w:val="center"/>
            </w:pPr>
            <w:r>
              <w:rPr>
                <w:rFonts w:ascii="宋体" w:hAnsi="宋体" w:eastAsia="宋体"/>
                <w:sz w:val="16"/>
              </w:rPr>
              <w:t xml:space="preserve">93.24% </w:t>
            </w:r>
          </w:p>
        </w:tc>
        <w:tc>
          <w:tcPr>
            <w:tcW w:w="1243" w:type="dxa"/>
            <w:tcBorders>
              <w:top w:val="single" w:color="auto" w:sz="10" w:space="0"/>
              <w:left w:val="single" w:color="auto" w:sz="10" w:space="0"/>
              <w:bottom w:val="single" w:color="auto" w:sz="10" w:space="0"/>
              <w:right w:val="single" w:color="auto" w:sz="10" w:space="0"/>
              <w:insideV w:val="single" w:sz="10" w:space="0"/>
            </w:tcBorders>
            <w:vAlign w:val="center"/>
          </w:tcPr>
          <w:p w14:paraId="00F070C2">
            <w:pPr>
              <w:jc w:val="center"/>
            </w:pPr>
            <w:r>
              <w:rPr>
                <w:rFonts w:ascii="宋体" w:hAnsi="宋体" w:eastAsia="宋体"/>
                <w:sz w:val="16"/>
              </w:rPr>
              <w:t>8.31分</w:t>
            </w:r>
          </w:p>
        </w:tc>
      </w:tr>
      <w:tr w14:paraId="16D7E8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D4FF4D"/>
        </w:tc>
        <w:tc>
          <w:tcPr>
            <w:tcW w:w="17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E52795">
            <w:pPr>
              <w:jc w:val="center"/>
            </w:pPr>
            <w:r>
              <w:rPr>
                <w:rFonts w:ascii="宋体" w:hAnsi="宋体" w:eastAsia="宋体"/>
                <w:sz w:val="16"/>
              </w:rPr>
              <w:t>其中：当年财政拨款</w:t>
            </w:r>
          </w:p>
        </w:tc>
        <w:tc>
          <w:tcPr>
            <w:tcW w:w="1066" w:type="dxa"/>
            <w:tcBorders>
              <w:top w:val="single" w:color="auto" w:sz="10" w:space="0"/>
              <w:left w:val="single" w:color="auto" w:sz="10" w:space="0"/>
              <w:bottom w:val="single" w:color="auto" w:sz="10" w:space="0"/>
              <w:right w:val="single" w:color="auto" w:sz="10" w:space="0"/>
              <w:insideV w:val="single" w:sz="10" w:space="0"/>
            </w:tcBorders>
            <w:vAlign w:val="center"/>
          </w:tcPr>
          <w:p w14:paraId="63E8CD5B">
            <w:pPr>
              <w:jc w:val="center"/>
            </w:pPr>
            <w:r>
              <w:rPr>
                <w:rFonts w:ascii="宋体" w:hAnsi="宋体" w:eastAsia="宋体"/>
                <w:sz w:val="16"/>
              </w:rPr>
              <w:t>0.00</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184A5">
            <w:pPr>
              <w:jc w:val="center"/>
            </w:pPr>
            <w:r>
              <w:rPr>
                <w:rFonts w:ascii="宋体" w:hAnsi="宋体" w:eastAsia="宋体"/>
                <w:sz w:val="16"/>
              </w:rPr>
              <w:t>0.00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DAA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8F96E">
            <w:pPr>
              <w:jc w:val="center"/>
            </w:pPr>
            <w:r>
              <w:rPr>
                <w:rFonts w:ascii="宋体" w:hAnsi="宋体" w:eastAsia="宋体"/>
                <w:sz w:val="16"/>
              </w:rPr>
              <w:t>—</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53AA1595">
            <w:pPr>
              <w:jc w:val="center"/>
            </w:pPr>
            <w:r>
              <w:rPr>
                <w:rFonts w:ascii="宋体" w:hAnsi="宋体" w:eastAsia="宋体"/>
                <w:sz w:val="16"/>
              </w:rPr>
              <w:t>—</w:t>
            </w:r>
          </w:p>
        </w:tc>
        <w:tc>
          <w:tcPr>
            <w:tcW w:w="1243" w:type="dxa"/>
            <w:tcBorders>
              <w:top w:val="single" w:color="auto" w:sz="10" w:space="0"/>
              <w:left w:val="single" w:color="auto" w:sz="10" w:space="0"/>
              <w:bottom w:val="single" w:color="auto" w:sz="10" w:space="0"/>
              <w:right w:val="single" w:color="auto" w:sz="10" w:space="0"/>
              <w:insideV w:val="single" w:sz="10" w:space="0"/>
            </w:tcBorders>
            <w:vAlign w:val="center"/>
          </w:tcPr>
          <w:p w14:paraId="7D75CC65">
            <w:pPr>
              <w:jc w:val="center"/>
            </w:pPr>
            <w:r>
              <w:rPr>
                <w:rFonts w:ascii="宋体" w:hAnsi="宋体" w:eastAsia="宋体"/>
                <w:sz w:val="16"/>
              </w:rPr>
              <w:t>—</w:t>
            </w:r>
          </w:p>
        </w:tc>
      </w:tr>
      <w:tr w14:paraId="275A1B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06BF9"/>
        </w:tc>
        <w:tc>
          <w:tcPr>
            <w:tcW w:w="17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94B478">
            <w:pPr>
              <w:jc w:val="center"/>
            </w:pPr>
            <w:r>
              <w:rPr>
                <w:rFonts w:ascii="宋体" w:hAnsi="宋体" w:eastAsia="宋体"/>
                <w:sz w:val="16"/>
              </w:rPr>
              <w:t xml:space="preserve">      上年结转资金</w:t>
            </w:r>
          </w:p>
        </w:tc>
        <w:tc>
          <w:tcPr>
            <w:tcW w:w="1066" w:type="dxa"/>
            <w:tcBorders>
              <w:top w:val="single" w:color="auto" w:sz="10" w:space="0"/>
              <w:left w:val="single" w:color="auto" w:sz="10" w:space="0"/>
              <w:bottom w:val="single" w:color="auto" w:sz="10" w:space="0"/>
              <w:right w:val="single" w:color="auto" w:sz="10" w:space="0"/>
              <w:insideV w:val="single" w:sz="10" w:space="0"/>
            </w:tcBorders>
            <w:vAlign w:val="center"/>
          </w:tcPr>
          <w:p w14:paraId="0C98AAF6">
            <w:pPr>
              <w:jc w:val="center"/>
            </w:pPr>
            <w:r>
              <w:rPr>
                <w:rFonts w:ascii="宋体" w:hAnsi="宋体" w:eastAsia="宋体"/>
                <w:sz w:val="16"/>
              </w:rPr>
              <w:t>0.00</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38167">
            <w:pPr>
              <w:jc w:val="center"/>
            </w:pPr>
            <w:r>
              <w:rPr>
                <w:rFonts w:ascii="宋体" w:hAnsi="宋体" w:eastAsia="宋体"/>
                <w:sz w:val="16"/>
              </w:rPr>
              <w:t>0.00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DA4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50F0F">
            <w:pPr>
              <w:jc w:val="center"/>
            </w:pPr>
            <w:r>
              <w:rPr>
                <w:rFonts w:ascii="宋体" w:hAnsi="宋体" w:eastAsia="宋体"/>
                <w:sz w:val="16"/>
              </w:rPr>
              <w:t>—</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4EB51CFE">
            <w:pPr>
              <w:jc w:val="center"/>
            </w:pPr>
            <w:r>
              <w:rPr>
                <w:rFonts w:ascii="宋体" w:hAnsi="宋体" w:eastAsia="宋体"/>
                <w:sz w:val="16"/>
              </w:rPr>
              <w:t>—</w:t>
            </w:r>
          </w:p>
        </w:tc>
        <w:tc>
          <w:tcPr>
            <w:tcW w:w="1243" w:type="dxa"/>
            <w:tcBorders>
              <w:top w:val="single" w:color="auto" w:sz="10" w:space="0"/>
              <w:left w:val="single" w:color="auto" w:sz="10" w:space="0"/>
              <w:bottom w:val="single" w:color="auto" w:sz="10" w:space="0"/>
              <w:right w:val="single" w:color="auto" w:sz="10" w:space="0"/>
              <w:insideV w:val="single" w:sz="10" w:space="0"/>
            </w:tcBorders>
            <w:vAlign w:val="center"/>
          </w:tcPr>
          <w:p w14:paraId="02FD86D0">
            <w:pPr>
              <w:jc w:val="center"/>
            </w:pPr>
            <w:r>
              <w:rPr>
                <w:rFonts w:ascii="宋体" w:hAnsi="宋体" w:eastAsia="宋体"/>
                <w:sz w:val="16"/>
              </w:rPr>
              <w:t>—</w:t>
            </w:r>
          </w:p>
        </w:tc>
      </w:tr>
      <w:tr w14:paraId="3F8978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F4E9AB"/>
        </w:tc>
        <w:tc>
          <w:tcPr>
            <w:tcW w:w="17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B0E254">
            <w:pPr>
              <w:jc w:val="center"/>
            </w:pPr>
            <w:r>
              <w:rPr>
                <w:rFonts w:ascii="宋体" w:hAnsi="宋体" w:eastAsia="宋体"/>
                <w:sz w:val="16"/>
              </w:rPr>
              <w:t xml:space="preserve">  其他资金</w:t>
            </w:r>
          </w:p>
        </w:tc>
        <w:tc>
          <w:tcPr>
            <w:tcW w:w="1066" w:type="dxa"/>
            <w:tcBorders>
              <w:top w:val="single" w:color="auto" w:sz="10" w:space="0"/>
              <w:left w:val="single" w:color="auto" w:sz="10" w:space="0"/>
              <w:bottom w:val="single" w:color="auto" w:sz="10" w:space="0"/>
              <w:right w:val="single" w:color="auto" w:sz="10" w:space="0"/>
              <w:insideV w:val="single" w:sz="10" w:space="0"/>
            </w:tcBorders>
            <w:vAlign w:val="center"/>
          </w:tcPr>
          <w:p w14:paraId="56A92DA9">
            <w:pPr>
              <w:jc w:val="center"/>
            </w:pPr>
            <w:r>
              <w:rPr>
                <w:rFonts w:ascii="宋体" w:hAnsi="宋体" w:eastAsia="宋体"/>
                <w:sz w:val="16"/>
              </w:rPr>
              <w:t>6.66</w:t>
            </w:r>
          </w:p>
        </w:tc>
        <w:tc>
          <w:tcPr>
            <w:tcW w:w="11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EF99C">
            <w:pPr>
              <w:jc w:val="center"/>
            </w:pPr>
            <w:r>
              <w:rPr>
                <w:rFonts w:ascii="宋体" w:hAnsi="宋体" w:eastAsia="宋体"/>
                <w:sz w:val="16"/>
              </w:rPr>
              <w:t>6.66</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EAD72">
            <w:pPr>
              <w:jc w:val="center"/>
            </w:pPr>
            <w:r>
              <w:rPr>
                <w:rFonts w:ascii="宋体" w:hAnsi="宋体" w:eastAsia="宋体"/>
                <w:sz w:val="16"/>
              </w:rPr>
              <w:t>6.21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B2933">
            <w:pPr>
              <w:jc w:val="center"/>
            </w:pPr>
            <w:r>
              <w:rPr>
                <w:rFonts w:ascii="宋体" w:hAnsi="宋体" w:eastAsia="宋体"/>
                <w:sz w:val="16"/>
              </w:rPr>
              <w:t>—</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35FC2AF8">
            <w:pPr>
              <w:jc w:val="center"/>
            </w:pPr>
            <w:r>
              <w:rPr>
                <w:rFonts w:ascii="宋体" w:hAnsi="宋体" w:eastAsia="宋体"/>
                <w:sz w:val="16"/>
              </w:rPr>
              <w:t>—</w:t>
            </w:r>
          </w:p>
        </w:tc>
        <w:tc>
          <w:tcPr>
            <w:tcW w:w="1243" w:type="dxa"/>
            <w:tcBorders>
              <w:top w:val="single" w:color="auto" w:sz="10" w:space="0"/>
              <w:left w:val="single" w:color="auto" w:sz="10" w:space="0"/>
              <w:bottom w:val="single" w:color="auto" w:sz="10" w:space="0"/>
              <w:right w:val="single" w:color="auto" w:sz="10" w:space="0"/>
              <w:insideV w:val="single" w:sz="10" w:space="0"/>
            </w:tcBorders>
            <w:vAlign w:val="center"/>
          </w:tcPr>
          <w:p w14:paraId="25E7FB28">
            <w:pPr>
              <w:jc w:val="center"/>
            </w:pPr>
            <w:r>
              <w:rPr>
                <w:rFonts w:ascii="宋体" w:hAnsi="宋体" w:eastAsia="宋体"/>
                <w:sz w:val="16"/>
              </w:rPr>
              <w:t>—</w:t>
            </w:r>
          </w:p>
        </w:tc>
      </w:tr>
      <w:tr w14:paraId="2B4905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97798">
            <w:pPr>
              <w:jc w:val="center"/>
            </w:pPr>
            <w:r>
              <w:rPr>
                <w:rFonts w:ascii="宋体" w:hAnsi="宋体" w:eastAsia="宋体"/>
                <w:sz w:val="16"/>
              </w:rPr>
              <w:t>年度总体目标</w:t>
            </w:r>
          </w:p>
        </w:tc>
        <w:tc>
          <w:tcPr>
            <w:tcW w:w="44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E5CAB6">
            <w:pPr>
              <w:jc w:val="center"/>
            </w:pPr>
            <w:r>
              <w:rPr>
                <w:rFonts w:ascii="宋体" w:hAnsi="宋体" w:eastAsia="宋体"/>
                <w:sz w:val="16"/>
              </w:rPr>
              <w:t>预期目标</w:t>
            </w:r>
          </w:p>
        </w:tc>
        <w:tc>
          <w:tcPr>
            <w:tcW w:w="338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E8A357">
            <w:pPr>
              <w:jc w:val="center"/>
            </w:pPr>
            <w:r>
              <w:rPr>
                <w:rFonts w:ascii="宋体" w:hAnsi="宋体" w:eastAsia="宋体"/>
                <w:sz w:val="16"/>
              </w:rPr>
              <w:t>实际完成情况</w:t>
            </w:r>
          </w:p>
        </w:tc>
      </w:tr>
      <w:tr w14:paraId="308BE7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4B070"/>
        </w:tc>
        <w:tc>
          <w:tcPr>
            <w:tcW w:w="44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797F3E">
            <w:pPr>
              <w:jc w:val="both"/>
            </w:pPr>
            <w:r>
              <w:rPr>
                <w:rFonts w:ascii="宋体" w:hAnsi="宋体" w:eastAsia="宋体"/>
                <w:sz w:val="16"/>
              </w:rPr>
              <w:t>根据《洛浦县财经委员会会议纪要》（洛财纪字</w:t>
            </w:r>
            <w:r>
              <w:rPr>
                <w:rFonts w:hint="eastAsia" w:ascii="宋体" w:hAnsi="宋体"/>
                <w:sz w:val="16"/>
                <w:lang w:eastAsia="zh-CN"/>
              </w:rPr>
              <w:t>〔2024〕6号</w:t>
            </w:r>
            <w:r>
              <w:rPr>
                <w:rFonts w:ascii="宋体" w:hAnsi="宋体" w:eastAsia="宋体"/>
                <w:sz w:val="16"/>
              </w:rPr>
              <w:t>文件实施此项目，项目主要内容为：保障</w:t>
            </w:r>
            <w:r>
              <w:rPr>
                <w:rFonts w:hint="eastAsia" w:ascii="宋体" w:hAnsi="宋体"/>
                <w:sz w:val="16"/>
                <w:lang w:eastAsia="zh-CN"/>
              </w:rPr>
              <w:t>YQ</w:t>
            </w:r>
            <w:r>
              <w:rPr>
                <w:rFonts w:ascii="宋体" w:hAnsi="宋体" w:eastAsia="宋体"/>
                <w:sz w:val="16"/>
              </w:rPr>
              <w:t>期间21家供餐点餐费66580元。通过项目实施，保障</w:t>
            </w:r>
            <w:r>
              <w:rPr>
                <w:rFonts w:hint="eastAsia" w:ascii="宋体" w:hAnsi="宋体"/>
                <w:sz w:val="16"/>
                <w:lang w:eastAsia="zh-CN"/>
              </w:rPr>
              <w:t>YQ</w:t>
            </w:r>
            <w:r>
              <w:rPr>
                <w:rFonts w:ascii="宋体" w:hAnsi="宋体" w:eastAsia="宋体"/>
                <w:sz w:val="16"/>
              </w:rPr>
              <w:t>期间人员按时就餐，提升</w:t>
            </w:r>
            <w:r>
              <w:rPr>
                <w:rFonts w:hint="eastAsia" w:ascii="宋体" w:hAnsi="宋体"/>
                <w:sz w:val="16"/>
                <w:lang w:eastAsia="zh-CN"/>
              </w:rPr>
              <w:t>YQ</w:t>
            </w:r>
            <w:r>
              <w:rPr>
                <w:rFonts w:ascii="宋体" w:hAnsi="宋体" w:eastAsia="宋体"/>
                <w:sz w:val="16"/>
              </w:rPr>
              <w:t>防控人员工作积极性，受益人员满意度达到95%以上。</w:t>
            </w:r>
          </w:p>
        </w:tc>
        <w:tc>
          <w:tcPr>
            <w:tcW w:w="338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9B3AB4">
            <w:pPr>
              <w:jc w:val="both"/>
            </w:pPr>
            <w:r>
              <w:rPr>
                <w:rFonts w:ascii="宋体" w:hAnsi="宋体" w:eastAsia="宋体"/>
                <w:sz w:val="16"/>
              </w:rPr>
              <w:t>截至2024年12月份，保障19个</w:t>
            </w:r>
            <w:r>
              <w:rPr>
                <w:rFonts w:hint="eastAsia" w:ascii="宋体" w:hAnsi="宋体"/>
                <w:sz w:val="16"/>
                <w:lang w:eastAsia="zh-CN"/>
              </w:rPr>
              <w:t>YQ</w:t>
            </w:r>
            <w:r>
              <w:rPr>
                <w:rFonts w:ascii="宋体" w:hAnsi="宋体" w:eastAsia="宋体"/>
                <w:sz w:val="16"/>
              </w:rPr>
              <w:t>期间供餐点，金额6.21万元，资金使用合规率达到100%，资金支付及时率达到100%，项目实际完成时间2024年11月份,有效保障了</w:t>
            </w:r>
            <w:r>
              <w:rPr>
                <w:rFonts w:hint="eastAsia" w:ascii="宋体" w:hAnsi="宋体"/>
                <w:sz w:val="16"/>
                <w:lang w:eastAsia="zh-CN"/>
              </w:rPr>
              <w:t>YQ</w:t>
            </w:r>
            <w:r>
              <w:rPr>
                <w:rFonts w:ascii="宋体" w:hAnsi="宋体" w:eastAsia="宋体"/>
                <w:sz w:val="16"/>
              </w:rPr>
              <w:t>期间人员按时就餐，受益人员满意度达到98%。</w:t>
            </w:r>
          </w:p>
        </w:tc>
      </w:tr>
      <w:tr w14:paraId="22E45A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4E362FF"/>
        </w:tc>
        <w:tc>
          <w:tcPr>
            <w:tcW w:w="661" w:type="dxa"/>
            <w:tcBorders>
              <w:top w:val="single" w:color="auto" w:sz="10" w:space="0"/>
              <w:left w:val="single" w:color="auto" w:sz="10" w:space="0"/>
              <w:bottom w:val="single" w:color="auto" w:sz="10" w:space="0"/>
              <w:right w:val="single" w:color="auto" w:sz="10" w:space="0"/>
              <w:insideV w:val="single" w:sz="10" w:space="0"/>
            </w:tcBorders>
            <w:vAlign w:val="center"/>
          </w:tcPr>
          <w:p w14:paraId="24F844C3">
            <w:pPr>
              <w:jc w:val="center"/>
            </w:pPr>
            <w:r>
              <w:rPr>
                <w:rFonts w:ascii="宋体" w:hAnsi="宋体" w:eastAsia="宋体"/>
                <w:sz w:val="16"/>
              </w:rPr>
              <w:t>一级指标</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4298EEE9">
            <w:pPr>
              <w:jc w:val="center"/>
            </w:pPr>
            <w:r>
              <w:rPr>
                <w:rFonts w:ascii="宋体" w:hAnsi="宋体" w:eastAsia="宋体"/>
                <w:sz w:val="16"/>
              </w:rPr>
              <w:t>二级指标</w:t>
            </w:r>
          </w:p>
        </w:tc>
        <w:tc>
          <w:tcPr>
            <w:tcW w:w="12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6F893B">
            <w:pPr>
              <w:jc w:val="center"/>
            </w:pPr>
            <w:r>
              <w:rPr>
                <w:rFonts w:ascii="宋体" w:hAnsi="宋体" w:eastAsia="宋体"/>
                <w:sz w:val="16"/>
              </w:rPr>
              <w:t>三级指标</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431EF1B2">
            <w:pPr>
              <w:jc w:val="center"/>
            </w:pPr>
            <w:r>
              <w:rPr>
                <w:rFonts w:ascii="宋体" w:hAnsi="宋体" w:eastAsia="宋体"/>
                <w:sz w:val="16"/>
              </w:rPr>
              <w:t>年度指标值</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53D2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B137A">
            <w:pPr>
              <w:jc w:val="center"/>
            </w:pPr>
            <w:r>
              <w:rPr>
                <w:rFonts w:ascii="宋体" w:hAnsi="宋体" w:eastAsia="宋体"/>
                <w:sz w:val="16"/>
              </w:rPr>
              <w:t>分值</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57FBE4C8">
            <w:pPr>
              <w:jc w:val="center"/>
            </w:pPr>
            <w:r>
              <w:rPr>
                <w:rFonts w:ascii="宋体" w:hAnsi="宋体" w:eastAsia="宋体"/>
                <w:sz w:val="16"/>
              </w:rPr>
              <w:t>得分</w:t>
            </w:r>
          </w:p>
        </w:tc>
        <w:tc>
          <w:tcPr>
            <w:tcW w:w="1243" w:type="dxa"/>
            <w:tcBorders>
              <w:top w:val="single" w:color="auto" w:sz="10" w:space="0"/>
              <w:left w:val="single" w:color="auto" w:sz="10" w:space="0"/>
              <w:bottom w:val="single" w:color="auto" w:sz="10" w:space="0"/>
              <w:right w:val="single" w:color="auto" w:sz="10" w:space="0"/>
              <w:insideV w:val="single" w:sz="10" w:space="0"/>
            </w:tcBorders>
            <w:vAlign w:val="center"/>
          </w:tcPr>
          <w:p w14:paraId="528BD2DA">
            <w:pPr>
              <w:jc w:val="center"/>
            </w:pPr>
            <w:r>
              <w:rPr>
                <w:rFonts w:ascii="宋体" w:hAnsi="宋体" w:eastAsia="宋体"/>
                <w:sz w:val="16"/>
              </w:rPr>
              <w:t>偏差原因分析及改进措施</w:t>
            </w:r>
          </w:p>
        </w:tc>
      </w:tr>
      <w:tr w14:paraId="2D3B5F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9B392">
            <w:pPr>
              <w:jc w:val="center"/>
            </w:pPr>
            <w:r>
              <w:rPr>
                <w:rFonts w:ascii="宋体" w:hAnsi="宋体" w:eastAsia="宋体"/>
                <w:sz w:val="16"/>
              </w:rPr>
              <w:t>年度绩效指标完成情况</w:t>
            </w:r>
          </w:p>
        </w:tc>
        <w:tc>
          <w:tcPr>
            <w:tcW w:w="66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376B8">
            <w:pPr>
              <w:jc w:val="center"/>
            </w:pPr>
            <w:r>
              <w:rPr>
                <w:rFonts w:ascii="宋体" w:hAnsi="宋体" w:eastAsia="宋体"/>
                <w:sz w:val="16"/>
              </w:rPr>
              <w:t>产出指标</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54E094FA">
            <w:pPr>
              <w:jc w:val="center"/>
            </w:pPr>
            <w:r>
              <w:rPr>
                <w:rFonts w:ascii="宋体" w:hAnsi="宋体" w:eastAsia="宋体"/>
                <w:sz w:val="16"/>
              </w:rPr>
              <w:t>数量指标</w:t>
            </w:r>
          </w:p>
        </w:tc>
        <w:tc>
          <w:tcPr>
            <w:tcW w:w="12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A66163">
            <w:pPr>
              <w:jc w:val="center"/>
            </w:pPr>
            <w:r>
              <w:rPr>
                <w:rFonts w:ascii="宋体" w:hAnsi="宋体" w:eastAsia="宋体"/>
                <w:sz w:val="16"/>
              </w:rPr>
              <w:t>保障供餐企业数</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7CFDC88C">
            <w:pPr>
              <w:jc w:val="center"/>
            </w:pPr>
            <w:r>
              <w:rPr>
                <w:rFonts w:ascii="宋体" w:hAnsi="宋体" w:eastAsia="宋体"/>
                <w:sz w:val="16"/>
              </w:rPr>
              <w:t>&gt;=21个</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C67F4">
            <w:pPr>
              <w:jc w:val="center"/>
            </w:pPr>
            <w:r>
              <w:rPr>
                <w:rFonts w:ascii="宋体" w:hAnsi="宋体" w:eastAsia="宋体"/>
                <w:sz w:val="16"/>
              </w:rPr>
              <w:t>=19个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D6E00">
            <w:pPr>
              <w:jc w:val="center"/>
            </w:pPr>
            <w:r>
              <w:rPr>
                <w:rFonts w:ascii="宋体" w:hAnsi="宋体" w:eastAsia="宋体"/>
                <w:sz w:val="16"/>
              </w:rPr>
              <w:t>10</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39D8E797">
            <w:pPr>
              <w:jc w:val="center"/>
            </w:pPr>
            <w:r>
              <w:rPr>
                <w:rFonts w:ascii="宋体" w:hAnsi="宋体" w:eastAsia="宋体"/>
                <w:sz w:val="16"/>
              </w:rPr>
              <w:t>7.62</w:t>
            </w:r>
          </w:p>
        </w:tc>
        <w:tc>
          <w:tcPr>
            <w:tcW w:w="1243" w:type="dxa"/>
            <w:tcBorders>
              <w:top w:val="single" w:color="auto" w:sz="10" w:space="0"/>
              <w:left w:val="single" w:color="auto" w:sz="10" w:space="0"/>
              <w:bottom w:val="single" w:color="auto" w:sz="10" w:space="0"/>
              <w:right w:val="single" w:color="auto" w:sz="10" w:space="0"/>
              <w:insideV w:val="single" w:sz="10" w:space="0"/>
            </w:tcBorders>
            <w:vAlign w:val="center"/>
          </w:tcPr>
          <w:p w14:paraId="4AB5371D">
            <w:pPr>
              <w:jc w:val="center"/>
            </w:pPr>
            <w:r>
              <w:rPr>
                <w:rFonts w:ascii="宋体" w:hAnsi="宋体" w:eastAsia="宋体"/>
                <w:sz w:val="16"/>
              </w:rPr>
              <w:t>因安排的</w:t>
            </w:r>
            <w:r>
              <w:rPr>
                <w:rFonts w:hint="eastAsia" w:ascii="宋体" w:hAnsi="宋体"/>
                <w:sz w:val="16"/>
                <w:lang w:eastAsia="zh-CN"/>
              </w:rPr>
              <w:t>两家</w:t>
            </w:r>
            <w:r>
              <w:rPr>
                <w:rFonts w:ascii="宋体" w:hAnsi="宋体" w:eastAsia="宋体"/>
                <w:sz w:val="16"/>
              </w:rPr>
              <w:t>企业未提供支付</w:t>
            </w:r>
            <w:r>
              <w:rPr>
                <w:rFonts w:hint="eastAsia" w:ascii="宋体" w:hAnsi="宋体"/>
                <w:sz w:val="16"/>
                <w:lang w:eastAsia="zh-CN"/>
              </w:rPr>
              <w:t>相关材料</w:t>
            </w:r>
            <w:r>
              <w:rPr>
                <w:rFonts w:ascii="宋体" w:hAnsi="宋体" w:eastAsia="宋体"/>
                <w:sz w:val="16"/>
              </w:rPr>
              <w:t>，未支付</w:t>
            </w:r>
          </w:p>
        </w:tc>
      </w:tr>
      <w:tr w14:paraId="414E49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F775A"/>
        </w:tc>
        <w:tc>
          <w:tcPr>
            <w:tcW w:w="661" w:type="dxa"/>
            <w:vMerge w:val="continue"/>
            <w:tcBorders>
              <w:top w:val="single" w:color="auto" w:sz="10" w:space="0"/>
              <w:left w:val="single" w:color="auto" w:sz="10" w:space="0"/>
              <w:bottom w:val="single" w:color="auto" w:sz="10" w:space="0"/>
              <w:right w:val="single" w:color="auto" w:sz="10" w:space="0"/>
              <w:insideV w:val="single" w:sz="10" w:space="0"/>
            </w:tcBorders>
          </w:tcPr>
          <w:p w14:paraId="2CDC1B70"/>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77599B3C">
            <w:pPr>
              <w:jc w:val="center"/>
            </w:pPr>
            <w:r>
              <w:rPr>
                <w:rFonts w:ascii="宋体" w:hAnsi="宋体" w:eastAsia="宋体"/>
                <w:sz w:val="16"/>
              </w:rPr>
              <w:t>质量指标</w:t>
            </w:r>
          </w:p>
        </w:tc>
        <w:tc>
          <w:tcPr>
            <w:tcW w:w="12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32D724">
            <w:pPr>
              <w:jc w:val="center"/>
            </w:pPr>
            <w:r>
              <w:rPr>
                <w:rFonts w:ascii="宋体" w:hAnsi="宋体" w:eastAsia="宋体"/>
                <w:sz w:val="16"/>
              </w:rPr>
              <w:t>资金使用合规率</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401AA846">
            <w:pPr>
              <w:jc w:val="center"/>
            </w:pPr>
            <w:r>
              <w:rPr>
                <w:rFonts w:ascii="宋体" w:hAnsi="宋体" w:eastAsia="宋体"/>
                <w:sz w:val="16"/>
              </w:rPr>
              <w:t>=100%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914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2ED2C">
            <w:pPr>
              <w:jc w:val="center"/>
            </w:pPr>
            <w:r>
              <w:rPr>
                <w:rFonts w:ascii="宋体" w:hAnsi="宋体" w:eastAsia="宋体"/>
                <w:sz w:val="16"/>
              </w:rPr>
              <w:t>10</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6ACE86A2">
            <w:pPr>
              <w:jc w:val="center"/>
            </w:pPr>
            <w:r>
              <w:rPr>
                <w:rFonts w:ascii="宋体" w:hAnsi="宋体" w:eastAsia="宋体"/>
                <w:sz w:val="16"/>
              </w:rPr>
              <w:t>10</w:t>
            </w:r>
          </w:p>
        </w:tc>
        <w:tc>
          <w:tcPr>
            <w:tcW w:w="1243" w:type="dxa"/>
            <w:tcBorders>
              <w:top w:val="single" w:color="auto" w:sz="10" w:space="0"/>
              <w:left w:val="single" w:color="auto" w:sz="10" w:space="0"/>
              <w:bottom w:val="single" w:color="auto" w:sz="10" w:space="0"/>
              <w:right w:val="single" w:color="auto" w:sz="10" w:space="0"/>
              <w:insideV w:val="single" w:sz="10" w:space="0"/>
            </w:tcBorders>
            <w:vAlign w:val="center"/>
          </w:tcPr>
          <w:p w14:paraId="04818167">
            <w:pPr>
              <w:jc w:val="center"/>
            </w:pPr>
          </w:p>
        </w:tc>
      </w:tr>
      <w:tr w14:paraId="56493D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B2D1C"/>
        </w:tc>
        <w:tc>
          <w:tcPr>
            <w:tcW w:w="661" w:type="dxa"/>
            <w:vMerge w:val="continue"/>
            <w:tcBorders>
              <w:top w:val="single" w:color="auto" w:sz="10" w:space="0"/>
              <w:left w:val="single" w:color="auto" w:sz="10" w:space="0"/>
              <w:bottom w:val="single" w:color="auto" w:sz="10" w:space="0"/>
              <w:right w:val="single" w:color="auto" w:sz="10" w:space="0"/>
              <w:insideV w:val="single" w:sz="10" w:space="0"/>
            </w:tcBorders>
          </w:tcPr>
          <w:p w14:paraId="3B129905"/>
        </w:tc>
        <w:tc>
          <w:tcPr>
            <w:tcW w:w="96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3CE74">
            <w:pPr>
              <w:jc w:val="center"/>
            </w:pPr>
            <w:r>
              <w:rPr>
                <w:rFonts w:ascii="宋体" w:hAnsi="宋体" w:eastAsia="宋体"/>
                <w:sz w:val="16"/>
              </w:rPr>
              <w:t>时效指标</w:t>
            </w:r>
          </w:p>
        </w:tc>
        <w:tc>
          <w:tcPr>
            <w:tcW w:w="12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492F28">
            <w:pPr>
              <w:jc w:val="center"/>
            </w:pPr>
            <w:r>
              <w:rPr>
                <w:rFonts w:ascii="宋体" w:hAnsi="宋体" w:eastAsia="宋体"/>
                <w:sz w:val="16"/>
              </w:rPr>
              <w:t>资金支付及时率</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322C1E51">
            <w:pPr>
              <w:jc w:val="center"/>
            </w:pPr>
            <w:r>
              <w:rPr>
                <w:rFonts w:ascii="宋体" w:hAnsi="宋体" w:eastAsia="宋体"/>
                <w:sz w:val="16"/>
              </w:rPr>
              <w:t>=100%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6DA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DECC1">
            <w:pPr>
              <w:jc w:val="center"/>
            </w:pPr>
            <w:r>
              <w:rPr>
                <w:rFonts w:ascii="宋体" w:hAnsi="宋体" w:eastAsia="宋体"/>
                <w:sz w:val="16"/>
              </w:rPr>
              <w:t>10</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49D60F9B">
            <w:pPr>
              <w:jc w:val="center"/>
            </w:pPr>
            <w:r>
              <w:rPr>
                <w:rFonts w:ascii="宋体" w:hAnsi="宋体" w:eastAsia="宋体"/>
                <w:sz w:val="16"/>
              </w:rPr>
              <w:t>10</w:t>
            </w:r>
          </w:p>
        </w:tc>
        <w:tc>
          <w:tcPr>
            <w:tcW w:w="1243" w:type="dxa"/>
            <w:tcBorders>
              <w:top w:val="single" w:color="auto" w:sz="10" w:space="0"/>
              <w:left w:val="single" w:color="auto" w:sz="10" w:space="0"/>
              <w:bottom w:val="single" w:color="auto" w:sz="10" w:space="0"/>
              <w:right w:val="single" w:color="auto" w:sz="10" w:space="0"/>
              <w:insideV w:val="single" w:sz="10" w:space="0"/>
            </w:tcBorders>
            <w:vAlign w:val="center"/>
          </w:tcPr>
          <w:p w14:paraId="17E2A3B3">
            <w:pPr>
              <w:jc w:val="center"/>
            </w:pPr>
          </w:p>
        </w:tc>
      </w:tr>
      <w:tr w14:paraId="33605C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F9425"/>
        </w:tc>
        <w:tc>
          <w:tcPr>
            <w:tcW w:w="661" w:type="dxa"/>
            <w:vMerge w:val="continue"/>
            <w:tcBorders>
              <w:top w:val="single" w:color="auto" w:sz="10" w:space="0"/>
              <w:left w:val="single" w:color="auto" w:sz="10" w:space="0"/>
              <w:bottom w:val="single" w:color="auto" w:sz="10" w:space="0"/>
              <w:right w:val="single" w:color="auto" w:sz="10" w:space="0"/>
              <w:insideV w:val="single" w:sz="10" w:space="0"/>
            </w:tcBorders>
          </w:tcPr>
          <w:p w14:paraId="07C20B37"/>
        </w:tc>
        <w:tc>
          <w:tcPr>
            <w:tcW w:w="960" w:type="dxa"/>
            <w:vMerge w:val="continue"/>
            <w:tcBorders>
              <w:top w:val="single" w:color="auto" w:sz="10" w:space="0"/>
              <w:left w:val="single" w:color="auto" w:sz="10" w:space="0"/>
              <w:bottom w:val="single" w:color="auto" w:sz="10" w:space="0"/>
              <w:right w:val="single" w:color="auto" w:sz="10" w:space="0"/>
              <w:insideV w:val="single" w:sz="10" w:space="0"/>
            </w:tcBorders>
          </w:tcPr>
          <w:p w14:paraId="61AC878C"/>
        </w:tc>
        <w:tc>
          <w:tcPr>
            <w:tcW w:w="12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56CB4C">
            <w:pPr>
              <w:jc w:val="center"/>
            </w:pPr>
            <w:r>
              <w:rPr>
                <w:rFonts w:ascii="宋体" w:hAnsi="宋体" w:eastAsia="宋体"/>
                <w:sz w:val="16"/>
              </w:rPr>
              <w:t>项目完成时间</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096A556D">
            <w:pPr>
              <w:jc w:val="center"/>
            </w:pPr>
            <w:r>
              <w:rPr>
                <w:rFonts w:ascii="宋体" w:hAnsi="宋体" w:eastAsia="宋体"/>
                <w:sz w:val="16"/>
              </w:rPr>
              <w:t>2024年12月</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A382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E43BD">
            <w:pPr>
              <w:jc w:val="center"/>
            </w:pPr>
            <w:r>
              <w:rPr>
                <w:rFonts w:ascii="宋体" w:hAnsi="宋体" w:eastAsia="宋体"/>
                <w:sz w:val="16"/>
              </w:rPr>
              <w:t>10</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2A14D960">
            <w:pPr>
              <w:jc w:val="center"/>
            </w:pPr>
            <w:r>
              <w:rPr>
                <w:rFonts w:ascii="宋体" w:hAnsi="宋体" w:eastAsia="宋体"/>
                <w:sz w:val="16"/>
              </w:rPr>
              <w:t>10</w:t>
            </w:r>
          </w:p>
        </w:tc>
        <w:tc>
          <w:tcPr>
            <w:tcW w:w="1243" w:type="dxa"/>
            <w:tcBorders>
              <w:top w:val="single" w:color="auto" w:sz="10" w:space="0"/>
              <w:left w:val="single" w:color="auto" w:sz="10" w:space="0"/>
              <w:bottom w:val="single" w:color="auto" w:sz="10" w:space="0"/>
              <w:right w:val="single" w:color="auto" w:sz="10" w:space="0"/>
              <w:insideV w:val="single" w:sz="10" w:space="0"/>
            </w:tcBorders>
            <w:vAlign w:val="center"/>
          </w:tcPr>
          <w:p w14:paraId="261FDA42">
            <w:pPr>
              <w:jc w:val="center"/>
            </w:pPr>
          </w:p>
        </w:tc>
      </w:tr>
      <w:tr w14:paraId="790000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1CFB9"/>
        </w:tc>
        <w:tc>
          <w:tcPr>
            <w:tcW w:w="661" w:type="dxa"/>
            <w:tcBorders>
              <w:top w:val="single" w:color="auto" w:sz="10" w:space="0"/>
              <w:left w:val="single" w:color="auto" w:sz="10" w:space="0"/>
              <w:bottom w:val="single" w:color="auto" w:sz="10" w:space="0"/>
              <w:right w:val="single" w:color="auto" w:sz="10" w:space="0"/>
              <w:insideV w:val="single" w:sz="10" w:space="0"/>
            </w:tcBorders>
            <w:vAlign w:val="center"/>
          </w:tcPr>
          <w:p w14:paraId="4C314973">
            <w:pPr>
              <w:jc w:val="center"/>
            </w:pPr>
            <w:r>
              <w:rPr>
                <w:rFonts w:ascii="宋体" w:hAnsi="宋体" w:eastAsia="宋体"/>
                <w:sz w:val="16"/>
              </w:rPr>
              <w:t>成本指标</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121BA55D">
            <w:pPr>
              <w:jc w:val="center"/>
            </w:pPr>
            <w:r>
              <w:rPr>
                <w:rFonts w:ascii="宋体" w:hAnsi="宋体" w:eastAsia="宋体"/>
                <w:sz w:val="16"/>
              </w:rPr>
              <w:t>经济成本指标</w:t>
            </w:r>
          </w:p>
        </w:tc>
        <w:tc>
          <w:tcPr>
            <w:tcW w:w="12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3A234C">
            <w:pPr>
              <w:jc w:val="center"/>
            </w:pPr>
            <w:r>
              <w:rPr>
                <w:rFonts w:hint="eastAsia" w:ascii="宋体" w:hAnsi="宋体"/>
                <w:sz w:val="16"/>
                <w:lang w:eastAsia="zh-CN"/>
              </w:rPr>
              <w:t>YQ</w:t>
            </w:r>
            <w:r>
              <w:rPr>
                <w:rFonts w:ascii="宋体" w:hAnsi="宋体" w:eastAsia="宋体"/>
                <w:sz w:val="16"/>
              </w:rPr>
              <w:t>防控经费-餐费</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21E15D6F">
            <w:pPr>
              <w:jc w:val="center"/>
            </w:pPr>
            <w:r>
              <w:rPr>
                <w:rFonts w:ascii="宋体" w:hAnsi="宋体" w:eastAsia="宋体"/>
                <w:sz w:val="16"/>
              </w:rPr>
              <w:t>&lt;=6.66万元</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7A6CF">
            <w:pPr>
              <w:jc w:val="center"/>
            </w:pPr>
            <w:r>
              <w:rPr>
                <w:rFonts w:ascii="宋体" w:hAnsi="宋体" w:eastAsia="宋体"/>
                <w:sz w:val="16"/>
              </w:rPr>
              <w:t>=6.21万元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B3EBC">
            <w:pPr>
              <w:jc w:val="center"/>
            </w:pPr>
            <w:r>
              <w:rPr>
                <w:rFonts w:ascii="宋体" w:hAnsi="宋体" w:eastAsia="宋体"/>
                <w:sz w:val="16"/>
              </w:rPr>
              <w:t>20</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3BDD1A5A">
            <w:pPr>
              <w:jc w:val="center"/>
            </w:pPr>
            <w:r>
              <w:rPr>
                <w:rFonts w:ascii="宋体" w:hAnsi="宋体" w:eastAsia="宋体"/>
                <w:sz w:val="16"/>
              </w:rPr>
              <w:t>16.62</w:t>
            </w:r>
          </w:p>
        </w:tc>
        <w:tc>
          <w:tcPr>
            <w:tcW w:w="1243" w:type="dxa"/>
            <w:tcBorders>
              <w:top w:val="single" w:color="auto" w:sz="10" w:space="0"/>
              <w:left w:val="single" w:color="auto" w:sz="10" w:space="0"/>
              <w:bottom w:val="single" w:color="auto" w:sz="10" w:space="0"/>
              <w:right w:val="single" w:color="auto" w:sz="10" w:space="0"/>
              <w:insideV w:val="single" w:sz="10" w:space="0"/>
            </w:tcBorders>
            <w:vAlign w:val="center"/>
          </w:tcPr>
          <w:p w14:paraId="2532C934">
            <w:pPr>
              <w:jc w:val="center"/>
            </w:pPr>
            <w:r>
              <w:rPr>
                <w:rFonts w:ascii="宋体" w:hAnsi="宋体" w:eastAsia="宋体"/>
                <w:sz w:val="16"/>
              </w:rPr>
              <w:t>因安排的</w:t>
            </w:r>
            <w:r>
              <w:rPr>
                <w:rFonts w:hint="eastAsia" w:ascii="宋体" w:hAnsi="宋体"/>
                <w:sz w:val="16"/>
                <w:lang w:eastAsia="zh-CN"/>
              </w:rPr>
              <w:t>两家</w:t>
            </w:r>
            <w:r>
              <w:rPr>
                <w:rFonts w:ascii="宋体" w:hAnsi="宋体" w:eastAsia="宋体"/>
                <w:sz w:val="16"/>
              </w:rPr>
              <w:t>企业未提供支付</w:t>
            </w:r>
            <w:r>
              <w:rPr>
                <w:rFonts w:hint="eastAsia" w:ascii="宋体" w:hAnsi="宋体"/>
                <w:sz w:val="16"/>
                <w:lang w:eastAsia="zh-CN"/>
              </w:rPr>
              <w:t>相关材料</w:t>
            </w:r>
            <w:r>
              <w:rPr>
                <w:rFonts w:ascii="宋体" w:hAnsi="宋体" w:eastAsia="宋体"/>
                <w:sz w:val="16"/>
              </w:rPr>
              <w:t>，未支付</w:t>
            </w:r>
          </w:p>
        </w:tc>
      </w:tr>
      <w:tr w14:paraId="4E32CF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60A590"/>
        </w:tc>
        <w:tc>
          <w:tcPr>
            <w:tcW w:w="661" w:type="dxa"/>
            <w:tcBorders>
              <w:top w:val="single" w:color="auto" w:sz="10" w:space="0"/>
              <w:left w:val="single" w:color="auto" w:sz="10" w:space="0"/>
              <w:bottom w:val="single" w:color="auto" w:sz="10" w:space="0"/>
              <w:right w:val="single" w:color="auto" w:sz="10" w:space="0"/>
              <w:insideV w:val="single" w:sz="10" w:space="0"/>
            </w:tcBorders>
            <w:vAlign w:val="center"/>
          </w:tcPr>
          <w:p w14:paraId="45DD7E21">
            <w:pPr>
              <w:jc w:val="center"/>
            </w:pPr>
            <w:r>
              <w:rPr>
                <w:rFonts w:ascii="宋体" w:hAnsi="宋体" w:eastAsia="宋体"/>
                <w:sz w:val="16"/>
              </w:rPr>
              <w:t>效益指标</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3CB3F6BB">
            <w:pPr>
              <w:jc w:val="center"/>
            </w:pPr>
            <w:r>
              <w:rPr>
                <w:rFonts w:ascii="宋体" w:hAnsi="宋体" w:eastAsia="宋体"/>
                <w:sz w:val="16"/>
              </w:rPr>
              <w:t>社会效益指标</w:t>
            </w:r>
          </w:p>
        </w:tc>
        <w:tc>
          <w:tcPr>
            <w:tcW w:w="12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142036">
            <w:pPr>
              <w:jc w:val="center"/>
            </w:pPr>
            <w:r>
              <w:rPr>
                <w:rFonts w:ascii="宋体" w:hAnsi="宋体" w:eastAsia="宋体"/>
                <w:sz w:val="16"/>
              </w:rPr>
              <w:t>保障</w:t>
            </w:r>
            <w:r>
              <w:rPr>
                <w:rFonts w:hint="eastAsia" w:ascii="宋体" w:hAnsi="宋体"/>
                <w:sz w:val="16"/>
                <w:lang w:eastAsia="zh-CN"/>
              </w:rPr>
              <w:t>YQ</w:t>
            </w:r>
            <w:r>
              <w:rPr>
                <w:rFonts w:ascii="宋体" w:hAnsi="宋体" w:eastAsia="宋体"/>
                <w:sz w:val="16"/>
              </w:rPr>
              <w:t>期间人员按时就餐</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5A453430">
            <w:pPr>
              <w:jc w:val="center"/>
            </w:pPr>
            <w:r>
              <w:rPr>
                <w:rFonts w:ascii="宋体" w:hAnsi="宋体" w:eastAsia="宋体"/>
                <w:sz w:val="16"/>
              </w:rPr>
              <w:t>有效保障</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370C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FDB4C">
            <w:pPr>
              <w:jc w:val="center"/>
            </w:pPr>
            <w:r>
              <w:rPr>
                <w:rFonts w:ascii="宋体" w:hAnsi="宋体" w:eastAsia="宋体"/>
                <w:sz w:val="16"/>
              </w:rPr>
              <w:t>20</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25F67AB7">
            <w:pPr>
              <w:jc w:val="center"/>
            </w:pPr>
            <w:r>
              <w:rPr>
                <w:rFonts w:ascii="宋体" w:hAnsi="宋体" w:eastAsia="宋体"/>
                <w:sz w:val="16"/>
              </w:rPr>
              <w:t>20</w:t>
            </w:r>
          </w:p>
        </w:tc>
        <w:tc>
          <w:tcPr>
            <w:tcW w:w="1243" w:type="dxa"/>
            <w:tcBorders>
              <w:top w:val="single" w:color="auto" w:sz="10" w:space="0"/>
              <w:left w:val="single" w:color="auto" w:sz="10" w:space="0"/>
              <w:bottom w:val="single" w:color="auto" w:sz="10" w:space="0"/>
              <w:right w:val="single" w:color="auto" w:sz="10" w:space="0"/>
              <w:insideV w:val="single" w:sz="10" w:space="0"/>
            </w:tcBorders>
            <w:vAlign w:val="center"/>
          </w:tcPr>
          <w:p w14:paraId="191F42EB">
            <w:pPr>
              <w:jc w:val="center"/>
            </w:pPr>
          </w:p>
        </w:tc>
      </w:tr>
      <w:tr w14:paraId="7E8DB7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24214B"/>
        </w:tc>
        <w:tc>
          <w:tcPr>
            <w:tcW w:w="661" w:type="dxa"/>
            <w:tcBorders>
              <w:top w:val="single" w:color="auto" w:sz="10" w:space="0"/>
              <w:left w:val="single" w:color="auto" w:sz="10" w:space="0"/>
              <w:bottom w:val="single" w:color="auto" w:sz="10" w:space="0"/>
              <w:right w:val="single" w:color="auto" w:sz="10" w:space="0"/>
              <w:insideV w:val="single" w:sz="10" w:space="0"/>
            </w:tcBorders>
            <w:vAlign w:val="center"/>
          </w:tcPr>
          <w:p w14:paraId="20322A47">
            <w:pPr>
              <w:jc w:val="center"/>
            </w:pPr>
            <w:r>
              <w:rPr>
                <w:rFonts w:ascii="宋体" w:hAnsi="宋体" w:eastAsia="宋体"/>
                <w:sz w:val="16"/>
              </w:rPr>
              <w:t>满意度指标</w:t>
            </w:r>
          </w:p>
        </w:tc>
        <w:tc>
          <w:tcPr>
            <w:tcW w:w="960" w:type="dxa"/>
            <w:tcBorders>
              <w:top w:val="single" w:color="auto" w:sz="10" w:space="0"/>
              <w:left w:val="single" w:color="auto" w:sz="10" w:space="0"/>
              <w:bottom w:val="single" w:color="auto" w:sz="10" w:space="0"/>
              <w:right w:val="single" w:color="auto" w:sz="10" w:space="0"/>
              <w:insideV w:val="single" w:sz="10" w:space="0"/>
            </w:tcBorders>
            <w:vAlign w:val="center"/>
          </w:tcPr>
          <w:p w14:paraId="1D26C031">
            <w:pPr>
              <w:jc w:val="center"/>
            </w:pPr>
            <w:r>
              <w:rPr>
                <w:rFonts w:ascii="宋体" w:hAnsi="宋体" w:eastAsia="宋体"/>
                <w:sz w:val="16"/>
              </w:rPr>
              <w:t>满意度指标</w:t>
            </w:r>
          </w:p>
        </w:tc>
        <w:tc>
          <w:tcPr>
            <w:tcW w:w="12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79E561">
            <w:pPr>
              <w:jc w:val="center"/>
            </w:pPr>
            <w:r>
              <w:rPr>
                <w:rFonts w:ascii="宋体" w:hAnsi="宋体" w:eastAsia="宋体"/>
                <w:sz w:val="16"/>
              </w:rPr>
              <w:t>受益人员满意度</w:t>
            </w:r>
          </w:p>
        </w:tc>
        <w:tc>
          <w:tcPr>
            <w:tcW w:w="1031" w:type="dxa"/>
            <w:tcBorders>
              <w:top w:val="single" w:color="auto" w:sz="10" w:space="0"/>
              <w:left w:val="single" w:color="auto" w:sz="10" w:space="0"/>
              <w:bottom w:val="single" w:color="auto" w:sz="10" w:space="0"/>
              <w:right w:val="single" w:color="auto" w:sz="10" w:space="0"/>
              <w:insideV w:val="single" w:sz="10" w:space="0"/>
            </w:tcBorders>
            <w:vAlign w:val="center"/>
          </w:tcPr>
          <w:p w14:paraId="76E03AC5">
            <w:pPr>
              <w:jc w:val="center"/>
            </w:pPr>
            <w:r>
              <w:rPr>
                <w:rFonts w:ascii="宋体" w:hAnsi="宋体" w:eastAsia="宋体"/>
                <w:sz w:val="16"/>
              </w:rPr>
              <w:t>&gt;=95%</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0EB5E">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09E23">
            <w:pPr>
              <w:jc w:val="center"/>
            </w:pPr>
            <w:r>
              <w:rPr>
                <w:rFonts w:ascii="宋体" w:hAnsi="宋体" w:eastAsia="宋体"/>
                <w:sz w:val="16"/>
              </w:rPr>
              <w:t>10</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22616875">
            <w:pPr>
              <w:jc w:val="center"/>
            </w:pPr>
            <w:r>
              <w:rPr>
                <w:rFonts w:ascii="宋体" w:hAnsi="宋体" w:eastAsia="宋体"/>
                <w:sz w:val="16"/>
              </w:rPr>
              <w:t>10</w:t>
            </w:r>
          </w:p>
        </w:tc>
        <w:tc>
          <w:tcPr>
            <w:tcW w:w="1243" w:type="dxa"/>
            <w:tcBorders>
              <w:top w:val="single" w:color="auto" w:sz="10" w:space="0"/>
              <w:left w:val="single" w:color="auto" w:sz="10" w:space="0"/>
              <w:bottom w:val="single" w:color="auto" w:sz="10" w:space="0"/>
              <w:right w:val="single" w:color="auto" w:sz="10" w:space="0"/>
              <w:insideV w:val="single" w:sz="10" w:space="0"/>
            </w:tcBorders>
            <w:vAlign w:val="center"/>
          </w:tcPr>
          <w:p w14:paraId="5A0A067E">
            <w:pPr>
              <w:jc w:val="center"/>
            </w:pPr>
          </w:p>
        </w:tc>
      </w:tr>
      <w:tr w14:paraId="73FCA358">
        <w:tblPrEx>
          <w:tblCellMar>
            <w:top w:w="0" w:type="dxa"/>
            <w:left w:w="108" w:type="dxa"/>
            <w:bottom w:w="0" w:type="dxa"/>
            <w:right w:w="108" w:type="dxa"/>
          </w:tblCellMar>
        </w:tblPrEx>
        <w:tc>
          <w:tcPr>
            <w:tcW w:w="491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CF15F5">
            <w:pPr>
              <w:jc w:val="center"/>
            </w:pPr>
            <w:r>
              <w:rPr>
                <w:rFonts w:ascii="宋体" w:hAnsi="宋体" w:eastAsia="宋体"/>
                <w:sz w:val="16"/>
              </w:rPr>
              <w:t>总分</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tcPr>
          <w:p w14:paraId="2BD531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31475">
            <w:pPr>
              <w:jc w:val="center"/>
            </w:pPr>
            <w:r>
              <w:rPr>
                <w:rFonts w:ascii="宋体" w:hAnsi="宋体" w:eastAsia="宋体"/>
                <w:sz w:val="16"/>
              </w:rPr>
              <w:t>100</w:t>
            </w:r>
          </w:p>
        </w:tc>
        <w:tc>
          <w:tcPr>
            <w:tcW w:w="723" w:type="dxa"/>
            <w:tcBorders>
              <w:top w:val="single" w:color="auto" w:sz="10" w:space="0"/>
              <w:left w:val="single" w:color="auto" w:sz="10" w:space="0"/>
              <w:bottom w:val="single" w:color="auto" w:sz="10" w:space="0"/>
              <w:right w:val="single" w:color="auto" w:sz="10" w:space="0"/>
              <w:insideV w:val="single" w:sz="10" w:space="0"/>
            </w:tcBorders>
            <w:vAlign w:val="center"/>
          </w:tcPr>
          <w:p w14:paraId="48A3A4A7">
            <w:pPr>
              <w:jc w:val="center"/>
            </w:pPr>
            <w:r>
              <w:rPr>
                <w:rFonts w:ascii="宋体" w:hAnsi="宋体" w:eastAsia="宋体"/>
                <w:sz w:val="16"/>
              </w:rPr>
              <w:t>92.55分</w:t>
            </w:r>
          </w:p>
        </w:tc>
        <w:tc>
          <w:tcPr>
            <w:tcW w:w="1243" w:type="dxa"/>
            <w:tcBorders>
              <w:top w:val="single" w:color="auto" w:sz="10" w:space="0"/>
              <w:left w:val="single" w:color="auto" w:sz="10" w:space="0"/>
              <w:bottom w:val="single" w:color="auto" w:sz="10" w:space="0"/>
              <w:right w:val="single" w:color="auto" w:sz="10" w:space="0"/>
              <w:insideV w:val="single" w:sz="10" w:space="0"/>
            </w:tcBorders>
          </w:tcPr>
          <w:p w14:paraId="0D816030"/>
        </w:tc>
      </w:tr>
    </w:tbl>
    <w:p w14:paraId="64669C0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3AB9DE">
        <w:tblPrEx>
          <w:tblCellMar>
            <w:top w:w="0" w:type="dxa"/>
            <w:left w:w="108" w:type="dxa"/>
            <w:bottom w:w="0" w:type="dxa"/>
            <w:right w:w="108" w:type="dxa"/>
          </w:tblCellMar>
        </w:tblPrEx>
        <w:tc>
          <w:tcPr>
            <w:tcW w:w="8847" w:type="dxa"/>
            <w:gridSpan w:val="9"/>
            <w:vAlign w:val="center"/>
          </w:tcPr>
          <w:p w14:paraId="024E66BE">
            <w:pPr>
              <w:jc w:val="center"/>
            </w:pPr>
            <w:r>
              <w:rPr>
                <w:rFonts w:ascii="宋体" w:hAnsi="宋体" w:eastAsia="宋体"/>
                <w:sz w:val="24"/>
              </w:rPr>
              <w:t>项目支出绩效自评表</w:t>
            </w:r>
          </w:p>
        </w:tc>
      </w:tr>
      <w:tr w14:paraId="3893B014">
        <w:tblPrEx>
          <w:tblCellMar>
            <w:top w:w="0" w:type="dxa"/>
            <w:left w:w="108" w:type="dxa"/>
            <w:bottom w:w="0" w:type="dxa"/>
            <w:right w:w="108" w:type="dxa"/>
          </w:tblCellMar>
        </w:tblPrEx>
        <w:tc>
          <w:tcPr>
            <w:tcW w:w="8847" w:type="dxa"/>
            <w:gridSpan w:val="9"/>
            <w:vAlign w:val="center"/>
          </w:tcPr>
          <w:p w14:paraId="5E4251AC">
            <w:pPr>
              <w:jc w:val="center"/>
            </w:pPr>
            <w:r>
              <w:rPr>
                <w:rFonts w:ascii="宋体" w:hAnsi="宋体" w:eastAsia="宋体"/>
                <w:sz w:val="24"/>
              </w:rPr>
              <w:t>(2024年度)</w:t>
            </w:r>
          </w:p>
        </w:tc>
      </w:tr>
      <w:tr w14:paraId="332841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FCDE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26E04CC">
            <w:pPr>
              <w:jc w:val="center"/>
            </w:pPr>
            <w:r>
              <w:rPr>
                <w:rFonts w:ascii="宋体" w:hAnsi="宋体" w:eastAsia="宋体"/>
                <w:sz w:val="16"/>
              </w:rPr>
              <w:t>治保主任生活补贴（16人）－2024年1月-洛财纪字</w:t>
            </w:r>
            <w:r>
              <w:rPr>
                <w:rFonts w:hint="eastAsia" w:ascii="宋体" w:hAnsi="宋体"/>
                <w:sz w:val="16"/>
                <w:lang w:eastAsia="zh-CN"/>
              </w:rPr>
              <w:t>〔2024〕3号</w:t>
            </w:r>
          </w:p>
        </w:tc>
      </w:tr>
      <w:tr w14:paraId="18F0F0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A6CD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56606A">
            <w:pPr>
              <w:jc w:val="center"/>
            </w:pPr>
            <w:r>
              <w:rPr>
                <w:rFonts w:ascii="宋体" w:hAnsi="宋体" w:eastAsia="宋体"/>
                <w:sz w:val="16"/>
              </w:rPr>
              <w:t>洛浦县社区服务中心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96A8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26A853">
            <w:pPr>
              <w:jc w:val="center"/>
            </w:pPr>
            <w:r>
              <w:rPr>
                <w:rFonts w:ascii="宋体" w:hAnsi="宋体" w:eastAsia="宋体"/>
                <w:sz w:val="16"/>
              </w:rPr>
              <w:t>洛浦县社区服务中心</w:t>
            </w:r>
          </w:p>
        </w:tc>
      </w:tr>
      <w:tr w14:paraId="446B97F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61E5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3F39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538F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39AD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BF61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FC49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34D3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84E54">
            <w:pPr>
              <w:jc w:val="center"/>
            </w:pPr>
            <w:r>
              <w:rPr>
                <w:rFonts w:ascii="宋体" w:hAnsi="宋体" w:eastAsia="宋体"/>
                <w:sz w:val="16"/>
              </w:rPr>
              <w:t>得分</w:t>
            </w:r>
          </w:p>
        </w:tc>
      </w:tr>
      <w:tr w14:paraId="419CF0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094C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B604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487AE">
            <w:pPr>
              <w:jc w:val="center"/>
            </w:pPr>
            <w:r>
              <w:rPr>
                <w:rFonts w:ascii="宋体" w:hAnsi="宋体" w:eastAsia="宋体"/>
                <w:sz w:val="16"/>
              </w:rPr>
              <w:t>0.19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B0FEB">
            <w:pPr>
              <w:jc w:val="center"/>
            </w:pPr>
            <w:r>
              <w:rPr>
                <w:rFonts w:ascii="宋体" w:hAnsi="宋体" w:eastAsia="宋体"/>
                <w:sz w:val="16"/>
              </w:rPr>
              <w:t>0.19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E158D">
            <w:pPr>
              <w:jc w:val="center"/>
            </w:pPr>
            <w:r>
              <w:rPr>
                <w:rFonts w:ascii="宋体" w:hAnsi="宋体" w:eastAsia="宋体"/>
                <w:sz w:val="16"/>
              </w:rPr>
              <w:t>0.19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4E6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E24C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B5065">
            <w:pPr>
              <w:jc w:val="center"/>
            </w:pPr>
            <w:r>
              <w:rPr>
                <w:rFonts w:ascii="宋体" w:hAnsi="宋体" w:eastAsia="宋体"/>
                <w:sz w:val="16"/>
              </w:rPr>
              <w:t>10.00分</w:t>
            </w:r>
          </w:p>
        </w:tc>
      </w:tr>
      <w:tr w14:paraId="4F5A8D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3F0D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00AE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D3F1A">
            <w:pPr>
              <w:jc w:val="center"/>
            </w:pPr>
            <w:r>
              <w:rPr>
                <w:rFonts w:ascii="宋体" w:hAnsi="宋体" w:eastAsia="宋体"/>
                <w:sz w:val="16"/>
              </w:rPr>
              <w:t>0.19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FB81E">
            <w:pPr>
              <w:jc w:val="center"/>
            </w:pPr>
            <w:r>
              <w:rPr>
                <w:rFonts w:ascii="宋体" w:hAnsi="宋体" w:eastAsia="宋体"/>
                <w:sz w:val="16"/>
              </w:rPr>
              <w:t>0.19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77402">
            <w:pPr>
              <w:jc w:val="center"/>
            </w:pPr>
            <w:r>
              <w:rPr>
                <w:rFonts w:ascii="宋体" w:hAnsi="宋体" w:eastAsia="宋体"/>
                <w:sz w:val="16"/>
              </w:rPr>
              <w:t>0.19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936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FAB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D3FF5">
            <w:pPr>
              <w:jc w:val="center"/>
            </w:pPr>
            <w:r>
              <w:rPr>
                <w:rFonts w:ascii="宋体" w:hAnsi="宋体" w:eastAsia="宋体"/>
                <w:sz w:val="16"/>
              </w:rPr>
              <w:t>—</w:t>
            </w:r>
          </w:p>
        </w:tc>
      </w:tr>
      <w:tr w14:paraId="7AF651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8A9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DC9B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2D7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915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DE4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F0F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A36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B0CF1">
            <w:pPr>
              <w:jc w:val="center"/>
            </w:pPr>
            <w:r>
              <w:rPr>
                <w:rFonts w:ascii="宋体" w:hAnsi="宋体" w:eastAsia="宋体"/>
                <w:sz w:val="16"/>
              </w:rPr>
              <w:t>—</w:t>
            </w:r>
          </w:p>
        </w:tc>
      </w:tr>
      <w:tr w14:paraId="71D580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8BAF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4D12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D10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459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C6E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2B1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214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73AA7">
            <w:pPr>
              <w:jc w:val="center"/>
            </w:pPr>
            <w:r>
              <w:rPr>
                <w:rFonts w:ascii="宋体" w:hAnsi="宋体" w:eastAsia="宋体"/>
                <w:sz w:val="16"/>
              </w:rPr>
              <w:t>—</w:t>
            </w:r>
          </w:p>
        </w:tc>
      </w:tr>
      <w:tr w14:paraId="2EABF7B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356B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C4605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6A4321">
            <w:pPr>
              <w:jc w:val="center"/>
            </w:pPr>
            <w:r>
              <w:rPr>
                <w:rFonts w:ascii="宋体" w:hAnsi="宋体" w:eastAsia="宋体"/>
                <w:sz w:val="16"/>
              </w:rPr>
              <w:t>实际完成情况</w:t>
            </w:r>
          </w:p>
        </w:tc>
      </w:tr>
      <w:tr w14:paraId="682A62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55798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13D801">
            <w:pPr>
              <w:jc w:val="both"/>
            </w:pPr>
            <w:r>
              <w:rPr>
                <w:rFonts w:ascii="宋体" w:hAnsi="宋体" w:eastAsia="宋体"/>
                <w:sz w:val="16"/>
              </w:rPr>
              <w:t>根据《洛浦县财经委员会会议纪要》（洛财纪字</w:t>
            </w:r>
            <w:r>
              <w:rPr>
                <w:rFonts w:hint="eastAsia" w:ascii="宋体" w:hAnsi="宋体"/>
                <w:sz w:val="16"/>
                <w:lang w:eastAsia="zh-CN"/>
              </w:rPr>
              <w:t>〔2024〕1号</w:t>
            </w:r>
            <w:r>
              <w:rPr>
                <w:rFonts w:ascii="宋体" w:hAnsi="宋体" w:eastAsia="宋体"/>
                <w:sz w:val="16"/>
              </w:rPr>
              <w:t>文件实施此项目，项目主要内容为：保障16名治保主任生活</w:t>
            </w:r>
            <w:r>
              <w:rPr>
                <w:rFonts w:hint="eastAsia" w:ascii="宋体" w:hAnsi="宋体"/>
                <w:sz w:val="16"/>
                <w:lang w:eastAsia="zh-CN"/>
              </w:rPr>
              <w:t>补贴</w:t>
            </w:r>
            <w:r>
              <w:rPr>
                <w:rFonts w:ascii="宋体" w:hAnsi="宋体" w:eastAsia="宋体"/>
                <w:sz w:val="16"/>
              </w:rPr>
              <w:t>按时发放，通过项目实施，保障干部生活水平，促进村级工作正常开展。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61F6C7">
            <w:pPr>
              <w:jc w:val="both"/>
            </w:pPr>
            <w:r>
              <w:rPr>
                <w:rFonts w:ascii="宋体" w:hAnsi="宋体" w:eastAsia="宋体"/>
                <w:sz w:val="16"/>
              </w:rPr>
              <w:t>截至2024年12月份，保障2024年1月份16名治保主任生活补贴按时发放，金额0.19万元，补贴覆盖率达到100%，补贴发放合规率达到100%，项目完成时间2024年3月份，有效保障干部生活水平，受益干部满意度达到98%。</w:t>
            </w:r>
          </w:p>
        </w:tc>
      </w:tr>
      <w:tr w14:paraId="7F5FA5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87FC3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4A3D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DC26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3FEC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D00C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E6BC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C1A4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5711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F9A5C">
            <w:pPr>
              <w:jc w:val="center"/>
            </w:pPr>
            <w:r>
              <w:rPr>
                <w:rFonts w:ascii="宋体" w:hAnsi="宋体" w:eastAsia="宋体"/>
                <w:sz w:val="16"/>
              </w:rPr>
              <w:t>偏差原因分析及改进措施</w:t>
            </w:r>
          </w:p>
        </w:tc>
      </w:tr>
      <w:tr w14:paraId="6C33F6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499F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06A5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8DD2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49E33">
            <w:pPr>
              <w:jc w:val="center"/>
            </w:pPr>
            <w:r>
              <w:rPr>
                <w:rFonts w:ascii="宋体" w:hAnsi="宋体" w:eastAsia="宋体"/>
                <w:sz w:val="16"/>
              </w:rPr>
              <w:t>补贴治保主任人数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F61B7">
            <w:pPr>
              <w:jc w:val="center"/>
            </w:pPr>
            <w:r>
              <w:rPr>
                <w:rFonts w:ascii="宋体" w:hAnsi="宋体" w:eastAsia="宋体"/>
                <w:sz w:val="16"/>
              </w:rPr>
              <w: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3A752">
            <w:pPr>
              <w:jc w:val="center"/>
            </w:pPr>
            <w:r>
              <w:rPr>
                <w:rFonts w:ascii="宋体" w:hAnsi="宋体" w:eastAsia="宋体"/>
                <w:sz w:val="16"/>
              </w:rPr>
              <w: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2F1E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67C5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D3DDB">
            <w:pPr>
              <w:jc w:val="center"/>
            </w:pPr>
          </w:p>
        </w:tc>
      </w:tr>
      <w:tr w14:paraId="5FC4EC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F17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EA7E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901D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6833F">
            <w:pPr>
              <w:jc w:val="center"/>
            </w:pPr>
            <w:r>
              <w:rPr>
                <w:rFonts w:ascii="宋体" w:hAnsi="宋体" w:eastAsia="宋体"/>
                <w:sz w:val="16"/>
              </w:rPr>
              <w:t>补贴覆盖率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8BF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9BE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A441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5A9D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36814">
            <w:pPr>
              <w:jc w:val="center"/>
            </w:pPr>
          </w:p>
        </w:tc>
      </w:tr>
      <w:tr w14:paraId="3785AC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EA74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2430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2A05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22250">
            <w:pPr>
              <w:jc w:val="center"/>
            </w:pPr>
            <w:r>
              <w:rPr>
                <w:rFonts w:ascii="宋体" w:hAnsi="宋体" w:eastAsia="宋体"/>
                <w:sz w:val="16"/>
              </w:rPr>
              <w:t>补贴发放合规率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A31F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C5C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C49A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3971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5B805">
            <w:pPr>
              <w:jc w:val="center"/>
            </w:pPr>
          </w:p>
        </w:tc>
      </w:tr>
      <w:tr w14:paraId="76D4ED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1743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E2F80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A4DD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A1F6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149E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82CD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D875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AC70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C8520">
            <w:pPr>
              <w:jc w:val="center"/>
            </w:pPr>
          </w:p>
        </w:tc>
      </w:tr>
      <w:tr w14:paraId="16A4BF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2E7E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2591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410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86E9B">
            <w:pPr>
              <w:jc w:val="center"/>
            </w:pPr>
            <w:r>
              <w:rPr>
                <w:rFonts w:ascii="宋体" w:hAnsi="宋体" w:eastAsia="宋体"/>
                <w:sz w:val="16"/>
              </w:rPr>
              <w:t>补贴发放及时率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F6D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9A3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0420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B6E1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2BB33">
            <w:pPr>
              <w:jc w:val="center"/>
            </w:pPr>
          </w:p>
        </w:tc>
      </w:tr>
      <w:tr w14:paraId="110118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0CD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7E89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B516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D98F8">
            <w:pPr>
              <w:jc w:val="center"/>
            </w:pPr>
            <w:r>
              <w:rPr>
                <w:rFonts w:ascii="宋体" w:hAnsi="宋体" w:eastAsia="宋体"/>
                <w:sz w:val="16"/>
              </w:rPr>
              <w:t>治保主任生活补贴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AB56F">
            <w:pPr>
              <w:jc w:val="center"/>
            </w:pPr>
            <w:r>
              <w:rPr>
                <w:rFonts w:ascii="宋体" w:hAnsi="宋体" w:eastAsia="宋体"/>
                <w:sz w:val="16"/>
              </w:rPr>
              <w:t>&lt;=0.19万元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40CF3">
            <w:pPr>
              <w:jc w:val="center"/>
            </w:pPr>
            <w:r>
              <w:rPr>
                <w:rFonts w:ascii="宋体" w:hAnsi="宋体" w:eastAsia="宋体"/>
                <w:sz w:val="16"/>
              </w:rPr>
              <w:t>=0.19万元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214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54D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D2319">
            <w:pPr>
              <w:jc w:val="center"/>
            </w:pPr>
          </w:p>
        </w:tc>
      </w:tr>
      <w:tr w14:paraId="0281E9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884D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188B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85BA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F8818">
            <w:pPr>
              <w:jc w:val="center"/>
            </w:pPr>
            <w:r>
              <w:rPr>
                <w:rFonts w:ascii="宋体" w:hAnsi="宋体" w:eastAsia="宋体"/>
                <w:sz w:val="16"/>
              </w:rPr>
              <w:t>保障干部生活水平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C177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DC16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8BD5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651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EF8E8">
            <w:pPr>
              <w:jc w:val="center"/>
            </w:pPr>
          </w:p>
        </w:tc>
      </w:tr>
      <w:tr w14:paraId="796679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712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A474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19E9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B2143">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C0A5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7F1FC">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7DE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5CA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B453C">
            <w:pPr>
              <w:jc w:val="center"/>
            </w:pPr>
          </w:p>
        </w:tc>
      </w:tr>
      <w:tr w14:paraId="753936F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B3EEA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9E063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BDD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022B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C4B1661"/>
        </w:tc>
      </w:tr>
    </w:tbl>
    <w:p w14:paraId="7767ED4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96077AF">
        <w:tblPrEx>
          <w:tblCellMar>
            <w:top w:w="0" w:type="dxa"/>
            <w:left w:w="108" w:type="dxa"/>
            <w:bottom w:w="0" w:type="dxa"/>
            <w:right w:w="108" w:type="dxa"/>
          </w:tblCellMar>
        </w:tblPrEx>
        <w:tc>
          <w:tcPr>
            <w:tcW w:w="8847" w:type="dxa"/>
            <w:gridSpan w:val="9"/>
            <w:vAlign w:val="center"/>
          </w:tcPr>
          <w:p w14:paraId="4613F4D8">
            <w:pPr>
              <w:jc w:val="center"/>
            </w:pPr>
            <w:r>
              <w:rPr>
                <w:rFonts w:ascii="宋体" w:hAnsi="宋体" w:eastAsia="宋体"/>
                <w:sz w:val="24"/>
              </w:rPr>
              <w:t>项目支出绩效自评表</w:t>
            </w:r>
          </w:p>
        </w:tc>
      </w:tr>
      <w:tr w14:paraId="4D9E687A">
        <w:tblPrEx>
          <w:tblCellMar>
            <w:top w:w="0" w:type="dxa"/>
            <w:left w:w="108" w:type="dxa"/>
            <w:bottom w:w="0" w:type="dxa"/>
            <w:right w:w="108" w:type="dxa"/>
          </w:tblCellMar>
        </w:tblPrEx>
        <w:tc>
          <w:tcPr>
            <w:tcW w:w="8847" w:type="dxa"/>
            <w:gridSpan w:val="9"/>
            <w:vAlign w:val="center"/>
          </w:tcPr>
          <w:p w14:paraId="0573E2E4">
            <w:pPr>
              <w:jc w:val="center"/>
            </w:pPr>
            <w:r>
              <w:rPr>
                <w:rFonts w:ascii="宋体" w:hAnsi="宋体" w:eastAsia="宋体"/>
                <w:sz w:val="24"/>
              </w:rPr>
              <w:t>(2024年度)</w:t>
            </w:r>
          </w:p>
        </w:tc>
      </w:tr>
      <w:tr w14:paraId="57B4BD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5B18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F5BFAB">
            <w:pPr>
              <w:jc w:val="center"/>
            </w:pPr>
            <w:r>
              <w:rPr>
                <w:rFonts w:ascii="宋体" w:hAnsi="宋体" w:eastAsia="宋体"/>
                <w:sz w:val="16"/>
              </w:rPr>
              <w:t>治保主任生活补贴（2023年11月-2024年11月）</w:t>
            </w:r>
          </w:p>
        </w:tc>
      </w:tr>
      <w:tr w14:paraId="326460B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9A87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D79A5D">
            <w:pPr>
              <w:jc w:val="center"/>
            </w:pPr>
            <w:r>
              <w:rPr>
                <w:rFonts w:ascii="宋体" w:hAnsi="宋体" w:eastAsia="宋体"/>
                <w:sz w:val="16"/>
              </w:rPr>
              <w:t>洛浦县社区服务中心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E447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485B2B">
            <w:pPr>
              <w:jc w:val="center"/>
            </w:pPr>
            <w:r>
              <w:rPr>
                <w:rFonts w:ascii="宋体" w:hAnsi="宋体" w:eastAsia="宋体"/>
                <w:sz w:val="16"/>
              </w:rPr>
              <w:t>洛浦县社区服务中心</w:t>
            </w:r>
          </w:p>
        </w:tc>
      </w:tr>
      <w:tr w14:paraId="587005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56CB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92CE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CE5E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53F2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FF66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A77E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EE37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260DA">
            <w:pPr>
              <w:jc w:val="center"/>
            </w:pPr>
            <w:r>
              <w:rPr>
                <w:rFonts w:ascii="宋体" w:hAnsi="宋体" w:eastAsia="宋体"/>
                <w:sz w:val="16"/>
              </w:rPr>
              <w:t>得分</w:t>
            </w:r>
          </w:p>
        </w:tc>
      </w:tr>
      <w:tr w14:paraId="058CD8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371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EB06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79C64">
            <w:pPr>
              <w:jc w:val="center"/>
            </w:pPr>
            <w:r>
              <w:rPr>
                <w:rFonts w:ascii="宋体" w:hAnsi="宋体" w:eastAsia="宋体"/>
                <w:sz w:val="16"/>
              </w:rPr>
              <w:t>1.33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10A10">
            <w:pPr>
              <w:jc w:val="center"/>
            </w:pPr>
            <w:r>
              <w:rPr>
                <w:rFonts w:ascii="宋体" w:hAnsi="宋体" w:eastAsia="宋体"/>
                <w:sz w:val="16"/>
              </w:rPr>
              <w:t>1.33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5ADDA">
            <w:pPr>
              <w:jc w:val="center"/>
            </w:pPr>
            <w:r>
              <w:rPr>
                <w:rFonts w:ascii="宋体" w:hAnsi="宋体" w:eastAsia="宋体"/>
                <w:sz w:val="16"/>
              </w:rPr>
              <w:t>1.33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7C2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1B4C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5B457">
            <w:pPr>
              <w:jc w:val="center"/>
            </w:pPr>
            <w:r>
              <w:rPr>
                <w:rFonts w:ascii="宋体" w:hAnsi="宋体" w:eastAsia="宋体"/>
                <w:sz w:val="16"/>
              </w:rPr>
              <w:t>10.00分</w:t>
            </w:r>
          </w:p>
        </w:tc>
      </w:tr>
      <w:tr w14:paraId="7EEFAC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1DD4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DDA5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F1A90">
            <w:pPr>
              <w:jc w:val="center"/>
            </w:pPr>
            <w:r>
              <w:rPr>
                <w:rFonts w:ascii="宋体" w:hAnsi="宋体" w:eastAsia="宋体"/>
                <w:sz w:val="16"/>
              </w:rPr>
              <w:t>1.33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3FBAB">
            <w:pPr>
              <w:jc w:val="center"/>
            </w:pPr>
            <w:r>
              <w:rPr>
                <w:rFonts w:ascii="宋体" w:hAnsi="宋体" w:eastAsia="宋体"/>
                <w:sz w:val="16"/>
              </w:rPr>
              <w:t>1.33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789D0">
            <w:pPr>
              <w:jc w:val="center"/>
            </w:pPr>
            <w:r>
              <w:rPr>
                <w:rFonts w:ascii="宋体" w:hAnsi="宋体" w:eastAsia="宋体"/>
                <w:sz w:val="16"/>
              </w:rPr>
              <w:t>1.33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DDA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282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4EA6B">
            <w:pPr>
              <w:jc w:val="center"/>
            </w:pPr>
            <w:r>
              <w:rPr>
                <w:rFonts w:ascii="宋体" w:hAnsi="宋体" w:eastAsia="宋体"/>
                <w:sz w:val="16"/>
              </w:rPr>
              <w:t>—</w:t>
            </w:r>
          </w:p>
        </w:tc>
      </w:tr>
      <w:tr w14:paraId="21D509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3E8B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B818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995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113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C5D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7CE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D1B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C8E0F">
            <w:pPr>
              <w:jc w:val="center"/>
            </w:pPr>
            <w:r>
              <w:rPr>
                <w:rFonts w:ascii="宋体" w:hAnsi="宋体" w:eastAsia="宋体"/>
                <w:sz w:val="16"/>
              </w:rPr>
              <w:t>—</w:t>
            </w:r>
          </w:p>
        </w:tc>
      </w:tr>
      <w:tr w14:paraId="0F384C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89A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DCD8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CA9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A3F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8BB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94F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D6C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33BCB">
            <w:pPr>
              <w:jc w:val="center"/>
            </w:pPr>
            <w:r>
              <w:rPr>
                <w:rFonts w:ascii="宋体" w:hAnsi="宋体" w:eastAsia="宋体"/>
                <w:sz w:val="16"/>
              </w:rPr>
              <w:t>—</w:t>
            </w:r>
          </w:p>
        </w:tc>
      </w:tr>
      <w:tr w14:paraId="316F9B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1A6F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B8552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27AFBF">
            <w:pPr>
              <w:jc w:val="center"/>
            </w:pPr>
            <w:r>
              <w:rPr>
                <w:rFonts w:ascii="宋体" w:hAnsi="宋体" w:eastAsia="宋体"/>
                <w:sz w:val="16"/>
              </w:rPr>
              <w:t>实际完成情况</w:t>
            </w:r>
          </w:p>
        </w:tc>
      </w:tr>
      <w:tr w14:paraId="09C535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1115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6D8093">
            <w:pPr>
              <w:jc w:val="both"/>
            </w:pPr>
            <w:r>
              <w:rPr>
                <w:rFonts w:ascii="宋体" w:hAnsi="宋体" w:eastAsia="宋体"/>
                <w:sz w:val="16"/>
              </w:rPr>
              <w:t>根据《洛浦县财经委员会会议纪要》（洛财纪字</w:t>
            </w:r>
            <w:r>
              <w:rPr>
                <w:rFonts w:hint="eastAsia" w:ascii="宋体" w:hAnsi="宋体"/>
                <w:sz w:val="16"/>
                <w:lang w:eastAsia="zh-CN"/>
              </w:rPr>
              <w:t>〔2024〕6号</w:t>
            </w:r>
            <w:r>
              <w:rPr>
                <w:rFonts w:ascii="宋体" w:hAnsi="宋体" w:eastAsia="宋体"/>
                <w:sz w:val="16"/>
              </w:rPr>
              <w:t>）文件实施此项目，项目主要内容为：保障12名治保主任补助按时发放，通过项目实施，保障干部生活水平，促进村级工作正常开展。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ECCFA6">
            <w:pPr>
              <w:jc w:val="both"/>
            </w:pPr>
            <w:r>
              <w:rPr>
                <w:rFonts w:ascii="宋体" w:hAnsi="宋体" w:eastAsia="宋体"/>
                <w:sz w:val="16"/>
              </w:rPr>
              <w:t>截至2024年12月份，保障2023年11月-2024年11月份12名治保主任生活补贴按时发放，金额1.33万元，通过项目实施，保障干部生活水平，促进村级工作正常开展。</w:t>
            </w:r>
          </w:p>
        </w:tc>
      </w:tr>
      <w:tr w14:paraId="1E105ED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61FC6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B1A5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6584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5E6E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4985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DB31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73DF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8F53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09483">
            <w:pPr>
              <w:jc w:val="center"/>
            </w:pPr>
            <w:r>
              <w:rPr>
                <w:rFonts w:ascii="宋体" w:hAnsi="宋体" w:eastAsia="宋体"/>
                <w:sz w:val="16"/>
              </w:rPr>
              <w:t>偏差原因分析及改进措施</w:t>
            </w:r>
          </w:p>
        </w:tc>
      </w:tr>
      <w:tr w14:paraId="180A22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C24C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80E1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B514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0665C">
            <w:pPr>
              <w:jc w:val="center"/>
            </w:pPr>
            <w:r>
              <w:rPr>
                <w:rFonts w:ascii="宋体" w:hAnsi="宋体" w:eastAsia="宋体"/>
                <w:sz w:val="16"/>
              </w:rPr>
              <w:t>补贴治保主任人数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AAE6D">
            <w:pPr>
              <w:jc w:val="center"/>
            </w:pPr>
            <w:r>
              <w:rPr>
                <w:rFonts w:ascii="宋体" w:hAnsi="宋体" w:eastAsia="宋体"/>
                <w:sz w:val="16"/>
              </w:rPr>
              <w:t>&gt;=12人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49376">
            <w:pPr>
              <w:jc w:val="center"/>
            </w:pPr>
            <w:r>
              <w:rPr>
                <w:rFonts w:ascii="宋体" w:hAnsi="宋体" w:eastAsia="宋体"/>
                <w:sz w:val="16"/>
              </w:rPr>
              <w: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FCD2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8001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FFA04">
            <w:pPr>
              <w:jc w:val="center"/>
            </w:pPr>
          </w:p>
        </w:tc>
      </w:tr>
      <w:tr w14:paraId="780224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A4AD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3BA8A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C4F2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BB951">
            <w:pPr>
              <w:jc w:val="center"/>
            </w:pPr>
            <w:r>
              <w:rPr>
                <w:rFonts w:ascii="宋体" w:hAnsi="宋体" w:eastAsia="宋体"/>
                <w:sz w:val="16"/>
              </w:rPr>
              <w:t>补贴覆盖率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392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832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6938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0362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3876A">
            <w:pPr>
              <w:jc w:val="center"/>
            </w:pPr>
          </w:p>
        </w:tc>
      </w:tr>
      <w:tr w14:paraId="244CC5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647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EBA4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F316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E3669">
            <w:pPr>
              <w:jc w:val="center"/>
            </w:pPr>
            <w:r>
              <w:rPr>
                <w:rFonts w:ascii="宋体" w:hAnsi="宋体" w:eastAsia="宋体"/>
                <w:sz w:val="16"/>
              </w:rPr>
              <w:t>补贴发放合规率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389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C4B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80B0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63EF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9EA86">
            <w:pPr>
              <w:jc w:val="center"/>
            </w:pPr>
          </w:p>
        </w:tc>
      </w:tr>
      <w:tr w14:paraId="28AAFD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AFAC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482D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F201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3596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9F9B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2DE9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994D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2E01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52521">
            <w:pPr>
              <w:jc w:val="center"/>
            </w:pPr>
          </w:p>
        </w:tc>
      </w:tr>
      <w:tr w14:paraId="180C66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AD4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60B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8E43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E1107">
            <w:pPr>
              <w:jc w:val="center"/>
            </w:pPr>
            <w:r>
              <w:rPr>
                <w:rFonts w:ascii="宋体" w:hAnsi="宋体" w:eastAsia="宋体"/>
                <w:sz w:val="16"/>
              </w:rPr>
              <w:t>补贴发放及时率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597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A2A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D11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CCBE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6382E">
            <w:pPr>
              <w:jc w:val="center"/>
            </w:pPr>
          </w:p>
        </w:tc>
      </w:tr>
      <w:tr w14:paraId="5C89B2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0E0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C360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7FF0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9EC35">
            <w:pPr>
              <w:jc w:val="center"/>
            </w:pPr>
            <w:r>
              <w:rPr>
                <w:rFonts w:ascii="宋体" w:hAnsi="宋体" w:eastAsia="宋体"/>
                <w:sz w:val="16"/>
              </w:rPr>
              <w:t>治保主任补贴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F3ED8">
            <w:pPr>
              <w:jc w:val="center"/>
            </w:pPr>
            <w:r>
              <w:rPr>
                <w:rFonts w:ascii="宋体" w:hAnsi="宋体" w:eastAsia="宋体"/>
                <w:sz w:val="16"/>
              </w:rPr>
              <w:t>&lt;=1.33万元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32999">
            <w:pPr>
              <w:jc w:val="center"/>
            </w:pPr>
            <w:r>
              <w:rPr>
                <w:rFonts w:ascii="宋体" w:hAnsi="宋体" w:eastAsia="宋体"/>
                <w:sz w:val="16"/>
              </w:rPr>
              <w:t>=1.33万元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785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E61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B70A7">
            <w:pPr>
              <w:jc w:val="center"/>
            </w:pPr>
          </w:p>
        </w:tc>
      </w:tr>
      <w:tr w14:paraId="539DA3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072A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6281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D5B7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EBE6C">
            <w:pPr>
              <w:jc w:val="center"/>
            </w:pPr>
            <w:r>
              <w:rPr>
                <w:rFonts w:ascii="宋体" w:hAnsi="宋体" w:eastAsia="宋体"/>
                <w:sz w:val="16"/>
              </w:rPr>
              <w:t>保障干部生活水平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F45E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252A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DB33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A7B3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DAD33">
            <w:pPr>
              <w:jc w:val="center"/>
            </w:pPr>
          </w:p>
        </w:tc>
      </w:tr>
      <w:tr w14:paraId="403B08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5927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FC4C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7052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2DA57">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19AD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396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5164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BFE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376AD">
            <w:pPr>
              <w:jc w:val="center"/>
            </w:pPr>
          </w:p>
        </w:tc>
      </w:tr>
      <w:tr w14:paraId="26935BC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BFF77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C210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488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AB34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1045138"/>
        </w:tc>
      </w:tr>
    </w:tbl>
    <w:p w14:paraId="0736617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1658358">
        <w:tblPrEx>
          <w:tblCellMar>
            <w:top w:w="0" w:type="dxa"/>
            <w:left w:w="108" w:type="dxa"/>
            <w:bottom w:w="0" w:type="dxa"/>
            <w:right w:w="108" w:type="dxa"/>
          </w:tblCellMar>
        </w:tblPrEx>
        <w:tc>
          <w:tcPr>
            <w:tcW w:w="8847" w:type="dxa"/>
            <w:gridSpan w:val="9"/>
            <w:vAlign w:val="center"/>
          </w:tcPr>
          <w:p w14:paraId="1A8FBFEE">
            <w:pPr>
              <w:jc w:val="center"/>
            </w:pPr>
            <w:r>
              <w:rPr>
                <w:rFonts w:ascii="宋体" w:hAnsi="宋体" w:eastAsia="宋体"/>
                <w:sz w:val="24"/>
              </w:rPr>
              <w:t>项目支出绩效自评表</w:t>
            </w:r>
          </w:p>
        </w:tc>
      </w:tr>
      <w:tr w14:paraId="16166294">
        <w:tblPrEx>
          <w:tblCellMar>
            <w:top w:w="0" w:type="dxa"/>
            <w:left w:w="108" w:type="dxa"/>
            <w:bottom w:w="0" w:type="dxa"/>
            <w:right w:w="108" w:type="dxa"/>
          </w:tblCellMar>
        </w:tblPrEx>
        <w:tc>
          <w:tcPr>
            <w:tcW w:w="8847" w:type="dxa"/>
            <w:gridSpan w:val="9"/>
            <w:vAlign w:val="center"/>
          </w:tcPr>
          <w:p w14:paraId="01535515">
            <w:pPr>
              <w:jc w:val="center"/>
            </w:pPr>
            <w:r>
              <w:rPr>
                <w:rFonts w:ascii="宋体" w:hAnsi="宋体" w:eastAsia="宋体"/>
                <w:sz w:val="24"/>
              </w:rPr>
              <w:t>(2024年度)</w:t>
            </w:r>
          </w:p>
        </w:tc>
      </w:tr>
      <w:tr w14:paraId="68929E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F933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60B7ED2">
            <w:pPr>
              <w:jc w:val="center"/>
            </w:pPr>
            <w:r>
              <w:rPr>
                <w:rFonts w:hint="eastAsia" w:ascii="宋体" w:hAnsi="宋体"/>
                <w:sz w:val="16"/>
                <w:lang w:eastAsia="zh-CN"/>
              </w:rPr>
              <w:t>YQ</w:t>
            </w:r>
            <w:r>
              <w:rPr>
                <w:rFonts w:ascii="宋体" w:hAnsi="宋体" w:eastAsia="宋体"/>
                <w:sz w:val="16"/>
              </w:rPr>
              <w:t>期间鸡肉欠款项目-洛财纪字</w:t>
            </w:r>
            <w:r>
              <w:rPr>
                <w:rFonts w:hint="eastAsia" w:ascii="宋体" w:hAnsi="宋体"/>
                <w:sz w:val="16"/>
                <w:lang w:eastAsia="zh-CN"/>
              </w:rPr>
              <w:t>〔2024〕5号</w:t>
            </w:r>
          </w:p>
        </w:tc>
      </w:tr>
      <w:tr w14:paraId="3795E5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EC8F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6299DB">
            <w:pPr>
              <w:jc w:val="center"/>
            </w:pPr>
            <w:r>
              <w:rPr>
                <w:rFonts w:ascii="宋体" w:hAnsi="宋体" w:eastAsia="宋体"/>
                <w:sz w:val="16"/>
              </w:rPr>
              <w:t>洛浦县社区服务中心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75A4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FA5D57">
            <w:pPr>
              <w:jc w:val="center"/>
            </w:pPr>
            <w:r>
              <w:rPr>
                <w:rFonts w:ascii="宋体" w:hAnsi="宋体" w:eastAsia="宋体"/>
                <w:sz w:val="16"/>
              </w:rPr>
              <w:t>洛浦县社区服务中心</w:t>
            </w:r>
          </w:p>
        </w:tc>
      </w:tr>
      <w:tr w14:paraId="02BCB2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0B19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D5F1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B6BA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7D2A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9BB9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848B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9F6B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24F7C">
            <w:pPr>
              <w:jc w:val="center"/>
            </w:pPr>
            <w:r>
              <w:rPr>
                <w:rFonts w:ascii="宋体" w:hAnsi="宋体" w:eastAsia="宋体"/>
                <w:sz w:val="16"/>
              </w:rPr>
              <w:t>得分</w:t>
            </w:r>
          </w:p>
        </w:tc>
      </w:tr>
      <w:tr w14:paraId="017FB2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FEE8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B8F0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F1379">
            <w:pPr>
              <w:jc w:val="center"/>
            </w:pPr>
            <w:r>
              <w:rPr>
                <w:rFonts w:ascii="宋体" w:hAnsi="宋体" w:eastAsia="宋体"/>
                <w:sz w:val="16"/>
              </w:rPr>
              <w:t>0.67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72A48">
            <w:pPr>
              <w:jc w:val="center"/>
            </w:pPr>
            <w:r>
              <w:rPr>
                <w:rFonts w:ascii="宋体" w:hAnsi="宋体" w:eastAsia="宋体"/>
                <w:sz w:val="16"/>
              </w:rPr>
              <w:t>0.67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9DD20">
            <w:pPr>
              <w:jc w:val="center"/>
            </w:pPr>
            <w:r>
              <w:rPr>
                <w:rFonts w:ascii="宋体" w:hAnsi="宋体" w:eastAsia="宋体"/>
                <w:sz w:val="16"/>
              </w:rPr>
              <w:t>0.67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8DB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A7E5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0EA24">
            <w:pPr>
              <w:jc w:val="center"/>
            </w:pPr>
            <w:r>
              <w:rPr>
                <w:rFonts w:ascii="宋体" w:hAnsi="宋体" w:eastAsia="宋体"/>
                <w:sz w:val="16"/>
              </w:rPr>
              <w:t>10.00分</w:t>
            </w:r>
          </w:p>
        </w:tc>
      </w:tr>
      <w:tr w14:paraId="456F07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118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79BC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A6B69">
            <w:pPr>
              <w:jc w:val="center"/>
            </w:pPr>
            <w:r>
              <w:rPr>
                <w:rFonts w:ascii="宋体" w:hAnsi="宋体" w:eastAsia="宋体"/>
                <w:sz w:val="16"/>
              </w:rPr>
              <w:t>0.67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C8955">
            <w:pPr>
              <w:jc w:val="center"/>
            </w:pPr>
            <w:r>
              <w:rPr>
                <w:rFonts w:ascii="宋体" w:hAnsi="宋体" w:eastAsia="宋体"/>
                <w:sz w:val="16"/>
              </w:rPr>
              <w:t>0.67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7B41A">
            <w:pPr>
              <w:jc w:val="center"/>
            </w:pPr>
            <w:r>
              <w:rPr>
                <w:rFonts w:ascii="宋体" w:hAnsi="宋体" w:eastAsia="宋体"/>
                <w:sz w:val="16"/>
              </w:rPr>
              <w:t>0.67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4EE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04D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F39CB">
            <w:pPr>
              <w:jc w:val="center"/>
            </w:pPr>
            <w:r>
              <w:rPr>
                <w:rFonts w:ascii="宋体" w:hAnsi="宋体" w:eastAsia="宋体"/>
                <w:sz w:val="16"/>
              </w:rPr>
              <w:t>—</w:t>
            </w:r>
          </w:p>
        </w:tc>
      </w:tr>
      <w:tr w14:paraId="1726D8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DF9E7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3E88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B44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04B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D3B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2B7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E2F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E4527">
            <w:pPr>
              <w:jc w:val="center"/>
            </w:pPr>
            <w:r>
              <w:rPr>
                <w:rFonts w:ascii="宋体" w:hAnsi="宋体" w:eastAsia="宋体"/>
                <w:sz w:val="16"/>
              </w:rPr>
              <w:t>—</w:t>
            </w:r>
          </w:p>
        </w:tc>
      </w:tr>
      <w:tr w14:paraId="48BBAD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7F34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96D8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DA7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9A2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A2E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B5D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003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FF967">
            <w:pPr>
              <w:jc w:val="center"/>
            </w:pPr>
            <w:r>
              <w:rPr>
                <w:rFonts w:ascii="宋体" w:hAnsi="宋体" w:eastAsia="宋体"/>
                <w:sz w:val="16"/>
              </w:rPr>
              <w:t>—</w:t>
            </w:r>
          </w:p>
        </w:tc>
      </w:tr>
      <w:tr w14:paraId="685CFD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22FE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2935E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D86EB7">
            <w:pPr>
              <w:jc w:val="center"/>
            </w:pPr>
            <w:r>
              <w:rPr>
                <w:rFonts w:ascii="宋体" w:hAnsi="宋体" w:eastAsia="宋体"/>
                <w:sz w:val="16"/>
              </w:rPr>
              <w:t>实际完成情况</w:t>
            </w:r>
          </w:p>
        </w:tc>
      </w:tr>
      <w:tr w14:paraId="27D3DD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AC94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4E8E9C">
            <w:pPr>
              <w:jc w:val="both"/>
            </w:pPr>
            <w:r>
              <w:rPr>
                <w:rFonts w:ascii="宋体" w:hAnsi="宋体" w:eastAsia="宋体"/>
                <w:sz w:val="16"/>
              </w:rPr>
              <w:t>根据洛财纪字</w:t>
            </w:r>
            <w:r>
              <w:rPr>
                <w:rFonts w:hint="eastAsia" w:ascii="宋体" w:hAnsi="宋体"/>
                <w:sz w:val="16"/>
                <w:lang w:eastAsia="zh-CN"/>
              </w:rPr>
              <w:t>〔2024〕5号</w:t>
            </w:r>
            <w:r>
              <w:rPr>
                <w:rFonts w:ascii="宋体" w:hAnsi="宋体" w:eastAsia="宋体"/>
                <w:sz w:val="16"/>
              </w:rPr>
              <w:t>文件实施此项目，项目主要内容为：保障1个街道</w:t>
            </w:r>
            <w:r>
              <w:rPr>
                <w:rFonts w:hint="eastAsia" w:ascii="宋体" w:hAnsi="宋体"/>
                <w:sz w:val="16"/>
                <w:lang w:eastAsia="zh-CN"/>
              </w:rPr>
              <w:t>YQ</w:t>
            </w:r>
            <w:r>
              <w:rPr>
                <w:rFonts w:ascii="宋体" w:hAnsi="宋体" w:eastAsia="宋体"/>
                <w:sz w:val="16"/>
              </w:rPr>
              <w:t>期间鸡肉欠款，通过项目实施，保障</w:t>
            </w:r>
            <w:r>
              <w:rPr>
                <w:rFonts w:hint="eastAsia" w:ascii="宋体" w:hAnsi="宋体"/>
                <w:sz w:val="16"/>
                <w:lang w:eastAsia="zh-CN"/>
              </w:rPr>
              <w:t>YQ</w:t>
            </w:r>
            <w:r>
              <w:rPr>
                <w:rFonts w:ascii="宋体" w:hAnsi="宋体" w:eastAsia="宋体"/>
                <w:sz w:val="16"/>
              </w:rPr>
              <w:t>期间鸡肉供应，提升</w:t>
            </w:r>
            <w:r>
              <w:rPr>
                <w:rFonts w:hint="eastAsia" w:ascii="宋体" w:hAnsi="宋体"/>
                <w:sz w:val="16"/>
                <w:lang w:eastAsia="zh-CN"/>
              </w:rPr>
              <w:t>YQ</w:t>
            </w:r>
            <w:r>
              <w:rPr>
                <w:rFonts w:ascii="宋体" w:hAnsi="宋体" w:eastAsia="宋体"/>
                <w:sz w:val="16"/>
              </w:rPr>
              <w:t>防控工作质量。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060A61">
            <w:pPr>
              <w:jc w:val="both"/>
            </w:pPr>
            <w:r>
              <w:rPr>
                <w:rFonts w:ascii="宋体" w:hAnsi="宋体" w:eastAsia="宋体"/>
                <w:sz w:val="16"/>
              </w:rPr>
              <w:t>截至2024年12月31日，项目保障1个街道</w:t>
            </w:r>
            <w:r>
              <w:rPr>
                <w:rFonts w:hint="eastAsia" w:ascii="宋体" w:hAnsi="宋体"/>
                <w:sz w:val="16"/>
                <w:lang w:eastAsia="zh-CN"/>
              </w:rPr>
              <w:t>YQ</w:t>
            </w:r>
            <w:r>
              <w:rPr>
                <w:rFonts w:ascii="宋体" w:hAnsi="宋体" w:eastAsia="宋体"/>
                <w:sz w:val="16"/>
              </w:rPr>
              <w:t>期间肌肉欠款，金额为0.67万元，资金实有合规率达到100%，项目完成时间2024年6月份，资金支付及时率达到100%，通过实施此项目，有效提升了</w:t>
            </w:r>
            <w:r>
              <w:rPr>
                <w:rFonts w:hint="eastAsia" w:ascii="宋体" w:hAnsi="宋体"/>
                <w:sz w:val="16"/>
                <w:lang w:eastAsia="zh-CN"/>
              </w:rPr>
              <w:t>YQ</w:t>
            </w:r>
            <w:r>
              <w:rPr>
                <w:rFonts w:ascii="宋体" w:hAnsi="宋体" w:eastAsia="宋体"/>
                <w:sz w:val="16"/>
              </w:rPr>
              <w:t>防控工作质量，受益人员满意度达到98%。</w:t>
            </w:r>
          </w:p>
        </w:tc>
      </w:tr>
      <w:tr w14:paraId="4A6C3A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B071C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5335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041E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4304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9F81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4A93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19EC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D87C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C27F1">
            <w:pPr>
              <w:jc w:val="center"/>
            </w:pPr>
            <w:r>
              <w:rPr>
                <w:rFonts w:ascii="宋体" w:hAnsi="宋体" w:eastAsia="宋体"/>
                <w:sz w:val="16"/>
              </w:rPr>
              <w:t>偏差原因分析及改进措施</w:t>
            </w:r>
          </w:p>
        </w:tc>
      </w:tr>
      <w:tr w14:paraId="41F2BC1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1CC0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1D49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2E40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1E662">
            <w:pPr>
              <w:jc w:val="center"/>
            </w:pPr>
            <w:r>
              <w:rPr>
                <w:rFonts w:ascii="宋体" w:hAnsi="宋体" w:eastAsia="宋体"/>
                <w:sz w:val="16"/>
              </w:rPr>
              <w:t>保障街道数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EFF9C">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52BF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66D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74A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9F31E">
            <w:pPr>
              <w:jc w:val="center"/>
            </w:pPr>
          </w:p>
        </w:tc>
      </w:tr>
      <w:tr w14:paraId="6B278F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DC7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3F5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86C1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EBC45">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4EC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F22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E4F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69D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CC387">
            <w:pPr>
              <w:jc w:val="center"/>
            </w:pPr>
          </w:p>
        </w:tc>
      </w:tr>
      <w:tr w14:paraId="265FB4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9355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90726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4C32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5103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6D58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29EC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4D4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07D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F81FE">
            <w:pPr>
              <w:jc w:val="center"/>
            </w:pPr>
          </w:p>
        </w:tc>
      </w:tr>
      <w:tr w14:paraId="7B96BC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DD34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8F07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EAF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E064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54F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38A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519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B28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6371B">
            <w:pPr>
              <w:jc w:val="center"/>
            </w:pPr>
          </w:p>
        </w:tc>
      </w:tr>
      <w:tr w14:paraId="18898F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D8B0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2150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A65B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6D240">
            <w:pPr>
              <w:jc w:val="center"/>
            </w:pPr>
            <w:r>
              <w:rPr>
                <w:rFonts w:hint="eastAsia" w:ascii="宋体" w:hAnsi="宋体"/>
                <w:sz w:val="16"/>
                <w:lang w:eastAsia="zh-CN"/>
              </w:rPr>
              <w:t>YQ</w:t>
            </w:r>
            <w:r>
              <w:rPr>
                <w:rFonts w:ascii="宋体" w:hAnsi="宋体" w:eastAsia="宋体"/>
                <w:sz w:val="16"/>
              </w:rPr>
              <w:t>期间鸡肉欠款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10698">
            <w:pPr>
              <w:jc w:val="center"/>
            </w:pPr>
            <w:r>
              <w:rPr>
                <w:rFonts w:ascii="宋体" w:hAnsi="宋体" w:eastAsia="宋体"/>
                <w:sz w:val="16"/>
              </w:rPr>
              <w:t>&lt;=0.67万元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0AF3B">
            <w:pPr>
              <w:jc w:val="center"/>
            </w:pPr>
            <w:r>
              <w:rPr>
                <w:rFonts w:ascii="宋体" w:hAnsi="宋体" w:eastAsia="宋体"/>
                <w:sz w:val="16"/>
              </w:rPr>
              <w:t>=0.67万元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0761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14AE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74EC0">
            <w:pPr>
              <w:jc w:val="center"/>
            </w:pPr>
          </w:p>
        </w:tc>
      </w:tr>
      <w:tr w14:paraId="0110BD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3EB0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8D30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B45F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F8BEE">
            <w:pPr>
              <w:jc w:val="center"/>
            </w:pPr>
            <w:r>
              <w:rPr>
                <w:rFonts w:ascii="宋体" w:hAnsi="宋体" w:eastAsia="宋体"/>
                <w:sz w:val="16"/>
              </w:rPr>
              <w:t>提升</w:t>
            </w:r>
            <w:r>
              <w:rPr>
                <w:rFonts w:hint="eastAsia" w:ascii="宋体" w:hAnsi="宋体"/>
                <w:sz w:val="16"/>
                <w:lang w:eastAsia="zh-CN"/>
              </w:rPr>
              <w:t>YQ</w:t>
            </w:r>
            <w:r>
              <w:rPr>
                <w:rFonts w:ascii="宋体" w:hAnsi="宋体" w:eastAsia="宋体"/>
                <w:sz w:val="16"/>
              </w:rPr>
              <w:t>防控工作质量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89874">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A354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646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F956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A6116">
            <w:pPr>
              <w:jc w:val="center"/>
            </w:pPr>
          </w:p>
        </w:tc>
      </w:tr>
      <w:tr w14:paraId="268228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192E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37F7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4766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A5EB3">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6B30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F9B4B">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C84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0E4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ED6D4">
            <w:pPr>
              <w:jc w:val="center"/>
            </w:pPr>
          </w:p>
        </w:tc>
      </w:tr>
      <w:tr w14:paraId="1DE0132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BC544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75E7D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FC8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86B5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192BE4E"/>
        </w:tc>
      </w:tr>
    </w:tbl>
    <w:p w14:paraId="6E756DD8">
      <w:r>
        <w:br w:type="page"/>
      </w:r>
    </w:p>
    <w:p w14:paraId="19D10439">
      <w:pPr>
        <w:spacing w:line="640" w:lineRule="exact"/>
        <w:ind w:firstLine="640"/>
        <w:jc w:val="both"/>
        <w:outlineLvl w:val="2"/>
      </w:pPr>
      <w:r>
        <w:rPr>
          <w:rFonts w:ascii="黑体" w:hAnsi="黑体" w:eastAsia="黑体"/>
          <w:sz w:val="32"/>
        </w:rPr>
        <w:t>十二、其他需说明的事项</w:t>
      </w:r>
    </w:p>
    <w:p w14:paraId="538F597B">
      <w:pPr>
        <w:spacing w:line="580" w:lineRule="exact"/>
        <w:ind w:firstLine="640"/>
        <w:jc w:val="both"/>
      </w:pPr>
      <w:r>
        <w:rPr>
          <w:rFonts w:ascii="仿宋_GB2312" w:hAnsi="仿宋_GB2312" w:eastAsia="仿宋_GB2312"/>
          <w:b w:val="0"/>
          <w:sz w:val="32"/>
        </w:rPr>
        <w:t>本年本单位SM项目1个，全年预算数66.62万元，全年执行数66.62万元。</w:t>
      </w:r>
    </w:p>
    <w:p w14:paraId="6D43B2A0">
      <w:r>
        <w:br w:type="page"/>
      </w:r>
    </w:p>
    <w:p w14:paraId="7DD86CAA">
      <w:pPr>
        <w:spacing w:line="240" w:lineRule="auto"/>
        <w:jc w:val="center"/>
        <w:outlineLvl w:val="1"/>
      </w:pPr>
      <w:r>
        <w:rPr>
          <w:rFonts w:ascii="黑体" w:hAnsi="黑体" w:eastAsia="黑体"/>
          <w:sz w:val="32"/>
        </w:rPr>
        <w:t>第三部分 专业名词解释</w:t>
      </w:r>
    </w:p>
    <w:p w14:paraId="440C18F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09C987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622E21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979F83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B0D49B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345F32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D6E298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135007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BB6E4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F0124C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D072C9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C4ABE1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FB1CEB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AB2375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4764AA3">
      <w:r>
        <w:br w:type="page"/>
      </w:r>
    </w:p>
    <w:p w14:paraId="24B0A4F8">
      <w:pPr>
        <w:spacing w:line="240" w:lineRule="auto"/>
        <w:jc w:val="center"/>
        <w:outlineLvl w:val="1"/>
      </w:pPr>
      <w:r>
        <w:rPr>
          <w:rFonts w:ascii="黑体" w:hAnsi="黑体" w:eastAsia="黑体"/>
          <w:sz w:val="32"/>
        </w:rPr>
        <w:t>第四部分 部门决算报表（见附表）</w:t>
      </w:r>
    </w:p>
    <w:p w14:paraId="4B913E70">
      <w:pPr>
        <w:spacing w:line="240" w:lineRule="auto"/>
        <w:ind w:firstLine="640"/>
        <w:jc w:val="both"/>
      </w:pPr>
      <w:r>
        <w:rPr>
          <w:rFonts w:ascii="仿宋_GB2312" w:hAnsi="仿宋_GB2312" w:eastAsia="仿宋_GB2312"/>
          <w:b w:val="0"/>
          <w:sz w:val="32"/>
        </w:rPr>
        <w:t>一、《收入支出决算总表》</w:t>
      </w:r>
    </w:p>
    <w:p w14:paraId="7E3BAE0B">
      <w:pPr>
        <w:spacing w:line="240" w:lineRule="auto"/>
        <w:ind w:firstLine="640"/>
        <w:jc w:val="both"/>
      </w:pPr>
      <w:r>
        <w:rPr>
          <w:rFonts w:ascii="仿宋_GB2312" w:hAnsi="仿宋_GB2312" w:eastAsia="仿宋_GB2312"/>
          <w:b w:val="0"/>
          <w:sz w:val="32"/>
        </w:rPr>
        <w:t>二、《收入决算表》</w:t>
      </w:r>
    </w:p>
    <w:p w14:paraId="4E707D8E">
      <w:pPr>
        <w:spacing w:line="240" w:lineRule="auto"/>
        <w:ind w:firstLine="640"/>
        <w:jc w:val="both"/>
      </w:pPr>
      <w:r>
        <w:rPr>
          <w:rFonts w:ascii="仿宋_GB2312" w:hAnsi="仿宋_GB2312" w:eastAsia="仿宋_GB2312"/>
          <w:b w:val="0"/>
          <w:sz w:val="32"/>
        </w:rPr>
        <w:t>三、《支出决算表》</w:t>
      </w:r>
    </w:p>
    <w:p w14:paraId="2DA1D3B9">
      <w:pPr>
        <w:spacing w:line="240" w:lineRule="auto"/>
        <w:ind w:firstLine="640"/>
        <w:jc w:val="both"/>
      </w:pPr>
      <w:r>
        <w:rPr>
          <w:rFonts w:ascii="仿宋_GB2312" w:hAnsi="仿宋_GB2312" w:eastAsia="仿宋_GB2312"/>
          <w:b w:val="0"/>
          <w:sz w:val="32"/>
        </w:rPr>
        <w:t>四、《财政拨款收入支出决算总表》</w:t>
      </w:r>
    </w:p>
    <w:p w14:paraId="3E6D9679">
      <w:pPr>
        <w:spacing w:line="240" w:lineRule="auto"/>
        <w:ind w:firstLine="640"/>
        <w:jc w:val="both"/>
      </w:pPr>
      <w:r>
        <w:rPr>
          <w:rFonts w:ascii="仿宋_GB2312" w:hAnsi="仿宋_GB2312" w:eastAsia="仿宋_GB2312"/>
          <w:b w:val="0"/>
          <w:sz w:val="32"/>
        </w:rPr>
        <w:t>五、《一般公共预算财政拨款支出决算表》</w:t>
      </w:r>
    </w:p>
    <w:p w14:paraId="20FA9E0E">
      <w:pPr>
        <w:spacing w:line="240" w:lineRule="auto"/>
        <w:ind w:firstLine="640"/>
        <w:jc w:val="both"/>
      </w:pPr>
      <w:r>
        <w:rPr>
          <w:rFonts w:ascii="仿宋_GB2312" w:hAnsi="仿宋_GB2312" w:eastAsia="仿宋_GB2312"/>
          <w:b w:val="0"/>
          <w:sz w:val="32"/>
        </w:rPr>
        <w:t>六、《一般公共预算财政拨款基本支出决算表》</w:t>
      </w:r>
    </w:p>
    <w:p w14:paraId="4747E331">
      <w:pPr>
        <w:spacing w:line="240" w:lineRule="auto"/>
        <w:ind w:firstLine="640"/>
        <w:jc w:val="both"/>
      </w:pPr>
      <w:r>
        <w:rPr>
          <w:rFonts w:ascii="仿宋_GB2312" w:hAnsi="仿宋_GB2312" w:eastAsia="仿宋_GB2312"/>
          <w:b w:val="0"/>
          <w:sz w:val="32"/>
        </w:rPr>
        <w:t>七、《政府性基金预算财政拨款收入支出决算表》</w:t>
      </w:r>
    </w:p>
    <w:p w14:paraId="74AF949B">
      <w:pPr>
        <w:spacing w:line="240" w:lineRule="auto"/>
        <w:ind w:firstLine="640"/>
        <w:jc w:val="both"/>
      </w:pPr>
      <w:r>
        <w:rPr>
          <w:rFonts w:ascii="仿宋_GB2312" w:hAnsi="仿宋_GB2312" w:eastAsia="仿宋_GB2312"/>
          <w:b w:val="0"/>
          <w:sz w:val="32"/>
        </w:rPr>
        <w:t>八、《国有资本经营预算财政拨款收入支出决算表》</w:t>
      </w:r>
    </w:p>
    <w:p w14:paraId="19ACAB82">
      <w:pPr>
        <w:spacing w:line="240" w:lineRule="auto"/>
        <w:ind w:firstLine="640"/>
        <w:jc w:val="both"/>
      </w:pPr>
      <w:r>
        <w:rPr>
          <w:rFonts w:ascii="仿宋_GB2312" w:hAnsi="仿宋_GB2312" w:eastAsia="仿宋_GB2312"/>
          <w:b w:val="0"/>
          <w:sz w:val="32"/>
        </w:rPr>
        <w:t>九、《财政拨款“三公”经费支出决算表》</w:t>
      </w:r>
    </w:p>
    <w:p w14:paraId="090072DC">
      <w:pPr>
        <w:spacing w:line="240" w:lineRule="auto"/>
        <w:ind w:firstLine="640"/>
        <w:jc w:val="both"/>
      </w:pPr>
    </w:p>
    <w:p w14:paraId="4A52EBDC">
      <w:pPr>
        <w:spacing w:line="240" w:lineRule="auto"/>
        <w:ind w:firstLine="640"/>
        <w:jc w:val="both"/>
      </w:pPr>
    </w:p>
    <w:p w14:paraId="3E6D25A4">
      <w:pPr>
        <w:spacing w:line="240" w:lineRule="auto"/>
        <w:ind w:firstLine="640"/>
        <w:jc w:val="both"/>
      </w:pPr>
    </w:p>
    <w:p w14:paraId="56587E15">
      <w:pPr>
        <w:spacing w:line="240" w:lineRule="auto"/>
        <w:ind w:firstLine="640"/>
        <w:jc w:val="both"/>
      </w:pPr>
    </w:p>
    <w:p w14:paraId="3B6456A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43235A"/>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2D535A"/>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6220</Words>
  <Characters>7260</Characters>
  <Lines>0</Lines>
  <Paragraphs>0</Paragraphs>
  <TotalTime>21</TotalTime>
  <ScaleCrop>false</ScaleCrop>
  <LinksUpToDate>false</LinksUpToDate>
  <CharactersWithSpaces>7268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2025-09-18T02:47:35Z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eyJoZGlkIjoiZjc0YWFlMzUxNjVlZTcxY2FlZTNjZDFlMzE3YzBjNDEiLCJ1c2VySWQiOiIyMDM3MTI1NTkifQ==</vt:lpwstr>
  </property>
</Properties>
</file>