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洛浦县文工团2024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368C4FA">
      <w:r>
        <w:br w:type="page"/>
      </w:r>
    </w:p>
    <w:p w14:paraId="51E4BBC0">
      <w:pPr>
        <w:spacing w:line="640" w:lineRule="exact"/>
        <w:jc w:val="center"/>
        <w:outlineLvl w:val="1"/>
      </w:pPr>
      <w:r>
        <w:rPr>
          <w:rFonts w:ascii="黑体" w:hAnsi="黑体" w:eastAsia="黑体"/>
          <w:sz w:val="32"/>
        </w:rPr>
        <w:t>第一部分 单位概况</w:t>
      </w:r>
    </w:p>
    <w:p w14:paraId="0AD89D09">
      <w:pPr>
        <w:spacing w:line="640" w:lineRule="exact"/>
        <w:ind w:firstLine="640"/>
        <w:jc w:val="both"/>
        <w:outlineLvl w:val="2"/>
      </w:pPr>
      <w:r>
        <w:rPr>
          <w:rFonts w:ascii="黑体" w:hAnsi="黑体" w:eastAsia="黑体"/>
          <w:sz w:val="32"/>
        </w:rPr>
        <w:t>一、主要职能</w:t>
      </w:r>
    </w:p>
    <w:p w14:paraId="5947320E">
      <w:pPr>
        <w:spacing w:line="580" w:lineRule="exact"/>
        <w:ind w:firstLine="640"/>
        <w:jc w:val="both"/>
      </w:pPr>
      <w:r>
        <w:rPr>
          <w:rFonts w:ascii="仿宋_GB2312" w:hAnsi="仿宋_GB2312" w:eastAsia="仿宋_GB2312"/>
          <w:sz w:val="32"/>
        </w:rPr>
        <w:t>创作演出(民族歌舞、文艺节目)剧目，为各族群众服务。舞台艺术作品创作，传统艺术整理加工与保护，国内外舞台艺术作品演出，艺术普及推广，艺术创作表演人才培养。</w:t>
      </w:r>
    </w:p>
    <w:p w14:paraId="0D818916">
      <w:pPr>
        <w:spacing w:line="640" w:lineRule="exact"/>
        <w:ind w:firstLine="640"/>
        <w:jc w:val="both"/>
        <w:outlineLvl w:val="2"/>
      </w:pPr>
      <w:r>
        <w:rPr>
          <w:rFonts w:ascii="黑体" w:hAnsi="黑体" w:eastAsia="黑体"/>
          <w:sz w:val="32"/>
        </w:rPr>
        <w:t>二、机构设置及人员情况</w:t>
      </w:r>
    </w:p>
    <w:p w14:paraId="4CBC2DB9">
      <w:pPr>
        <w:spacing w:line="580" w:lineRule="exact"/>
        <w:ind w:firstLine="640"/>
        <w:jc w:val="both"/>
      </w:pPr>
      <w:r>
        <w:rPr>
          <w:rFonts w:ascii="仿宋_GB2312" w:hAnsi="仿宋_GB2312" w:eastAsia="仿宋_GB2312"/>
          <w:sz w:val="32"/>
        </w:rPr>
        <w:t>洛浦县文工团2024年度，实有人数41人，其中：在职人员36人，增加1人；离休人员0人，增加0人；退休人员5人,增加0人。</w:t>
      </w:r>
    </w:p>
    <w:p w14:paraId="4B6BCB4E">
      <w:pPr>
        <w:spacing w:line="580" w:lineRule="exact"/>
        <w:ind w:firstLine="640"/>
        <w:jc w:val="both"/>
      </w:pPr>
      <w:r>
        <w:rPr>
          <w:rFonts w:ascii="仿宋_GB2312" w:hAnsi="仿宋_GB2312" w:eastAsia="仿宋_GB2312"/>
          <w:sz w:val="32"/>
        </w:rPr>
        <w:t>洛浦县文工团无下属预算单位，下设5个科室，分别是：办公室、财务室、舞蹈队、声乐队、音乐队。</w:t>
      </w:r>
    </w:p>
    <w:p w14:paraId="4F420EDB">
      <w:r>
        <w:br w:type="page"/>
      </w:r>
    </w:p>
    <w:p w14:paraId="0CDD1365">
      <w:pPr>
        <w:spacing w:line="240" w:lineRule="auto"/>
        <w:jc w:val="center"/>
        <w:outlineLvl w:val="1"/>
      </w:pPr>
      <w:r>
        <w:rPr>
          <w:rFonts w:ascii="黑体" w:hAnsi="黑体" w:eastAsia="黑体"/>
          <w:sz w:val="32"/>
        </w:rPr>
        <w:t>第二部分 部门决算情况说明</w:t>
      </w:r>
    </w:p>
    <w:p w14:paraId="77CFAE4F">
      <w:pPr>
        <w:spacing w:line="640" w:lineRule="exact"/>
        <w:ind w:firstLine="640"/>
        <w:jc w:val="both"/>
        <w:outlineLvl w:val="2"/>
      </w:pPr>
      <w:r>
        <w:rPr>
          <w:rFonts w:ascii="黑体" w:hAnsi="黑体" w:eastAsia="黑体"/>
          <w:sz w:val="32"/>
        </w:rPr>
        <w:t>一、收入支出决算总体情况说明</w:t>
      </w:r>
    </w:p>
    <w:p w14:paraId="0D4F5C6B">
      <w:pPr>
        <w:spacing w:line="580" w:lineRule="exact"/>
        <w:ind w:firstLine="640"/>
        <w:jc w:val="both"/>
      </w:pPr>
      <w:r>
        <w:rPr>
          <w:rFonts w:ascii="仿宋_GB2312" w:hAnsi="仿宋_GB2312" w:eastAsia="仿宋_GB2312"/>
          <w:b/>
          <w:sz w:val="32"/>
        </w:rPr>
        <w:t>2024年度收入总计692.59万元，</w:t>
      </w:r>
      <w:r>
        <w:rPr>
          <w:rFonts w:ascii="仿宋_GB2312" w:hAnsi="仿宋_GB2312" w:eastAsia="仿宋_GB2312"/>
          <w:b w:val="0"/>
          <w:sz w:val="32"/>
        </w:rPr>
        <w:t>其中：本年收入合计692.59万元，使用非财政拨款结余（含专用结余）0.00万元，年初结转和结余0.00万元。</w:t>
      </w:r>
    </w:p>
    <w:p w14:paraId="7B819168">
      <w:pPr>
        <w:spacing w:line="580" w:lineRule="exact"/>
        <w:ind w:firstLine="640"/>
        <w:jc w:val="both"/>
      </w:pPr>
      <w:r>
        <w:rPr>
          <w:rFonts w:ascii="仿宋_GB2312" w:hAnsi="仿宋_GB2312" w:eastAsia="仿宋_GB2312"/>
          <w:b/>
          <w:sz w:val="32"/>
        </w:rPr>
        <w:t>2024年度支出总计692.59万元，</w:t>
      </w:r>
      <w:r>
        <w:rPr>
          <w:rFonts w:ascii="仿宋_GB2312" w:hAnsi="仿宋_GB2312" w:eastAsia="仿宋_GB2312"/>
          <w:b w:val="0"/>
          <w:sz w:val="32"/>
        </w:rPr>
        <w:t>其中：本年支出合计692.59万元，结余分配0.00万元，年末结转和结余0.00万元。</w:t>
      </w:r>
    </w:p>
    <w:p w14:paraId="1EB74B06">
      <w:pPr>
        <w:spacing w:line="580" w:lineRule="exact"/>
        <w:ind w:firstLine="640"/>
        <w:jc w:val="both"/>
      </w:pPr>
      <w:r>
        <w:rPr>
          <w:rFonts w:ascii="仿宋_GB2312" w:hAnsi="仿宋_GB2312" w:eastAsia="仿宋_GB2312"/>
          <w:b w:val="0"/>
          <w:sz w:val="32"/>
        </w:rPr>
        <w:t>收入支出总体与上年相比，减少13.66万元，下降1.93%，主要原因是：本年减少送戏下乡补助经费。</w:t>
      </w:r>
    </w:p>
    <w:p w14:paraId="2ED49CC4">
      <w:pPr>
        <w:spacing w:line="640" w:lineRule="exact"/>
        <w:ind w:firstLine="640"/>
        <w:jc w:val="both"/>
        <w:outlineLvl w:val="2"/>
      </w:pPr>
      <w:r>
        <w:rPr>
          <w:rFonts w:ascii="黑体" w:hAnsi="黑体" w:eastAsia="黑体"/>
          <w:sz w:val="32"/>
        </w:rPr>
        <w:t>二、收入决算情况说明</w:t>
      </w:r>
    </w:p>
    <w:p w14:paraId="147F50C9">
      <w:pPr>
        <w:spacing w:line="580" w:lineRule="exact"/>
        <w:ind w:firstLine="640"/>
        <w:jc w:val="both"/>
      </w:pPr>
      <w:r>
        <w:rPr>
          <w:rFonts w:ascii="仿宋_GB2312" w:hAnsi="仿宋_GB2312" w:eastAsia="仿宋_GB2312"/>
          <w:b/>
          <w:sz w:val="32"/>
        </w:rPr>
        <w:t>本年收入692.59万元，</w:t>
      </w:r>
      <w:r>
        <w:rPr>
          <w:rFonts w:ascii="仿宋_GB2312" w:hAnsi="仿宋_GB2312" w:eastAsia="仿宋_GB2312"/>
          <w:b w:val="0"/>
          <w:sz w:val="32"/>
        </w:rPr>
        <w:t>其中：财政拨款收入692.59万元，占100.00%；上级补助收入0.00万元，占0.00%；事业收入0.00万元，占0.00%；经营收入0.00万元，占0.00%；附属单位上缴收入0.00万元，占0.00%；其他收入0.00万元，占0.00%。</w:t>
      </w:r>
    </w:p>
    <w:p w14:paraId="1A9CBF7F">
      <w:pPr>
        <w:spacing w:line="640" w:lineRule="exact"/>
        <w:ind w:firstLine="640"/>
        <w:jc w:val="both"/>
        <w:outlineLvl w:val="2"/>
      </w:pPr>
      <w:r>
        <w:rPr>
          <w:rFonts w:ascii="黑体" w:hAnsi="黑体" w:eastAsia="黑体"/>
          <w:sz w:val="32"/>
        </w:rPr>
        <w:t>三、支出决算情况说明</w:t>
      </w:r>
    </w:p>
    <w:p w14:paraId="4BF878B0">
      <w:pPr>
        <w:spacing w:line="580" w:lineRule="exact"/>
        <w:ind w:firstLine="640"/>
        <w:jc w:val="both"/>
      </w:pPr>
      <w:r>
        <w:rPr>
          <w:rFonts w:ascii="仿宋_GB2312" w:hAnsi="仿宋_GB2312" w:eastAsia="仿宋_GB2312"/>
          <w:b/>
          <w:sz w:val="32"/>
        </w:rPr>
        <w:t>本年支出692.59万元，</w:t>
      </w:r>
      <w:r>
        <w:rPr>
          <w:rFonts w:ascii="仿宋_GB2312" w:hAnsi="仿宋_GB2312" w:eastAsia="仿宋_GB2312"/>
          <w:b w:val="0"/>
          <w:sz w:val="32"/>
        </w:rPr>
        <w:t>其中：基本支出665.09万元，占96.03%；项目支出27.50万元，占3.97%；上缴上级支出0.00万元，占0.00%；经营支出0.00万元，占0.00%；对附属单位补助支出0.00万元，占0.00%。</w:t>
      </w:r>
    </w:p>
    <w:p w14:paraId="4EF46A88">
      <w:pPr>
        <w:spacing w:line="640" w:lineRule="exact"/>
        <w:ind w:firstLine="640"/>
        <w:jc w:val="both"/>
        <w:outlineLvl w:val="2"/>
      </w:pPr>
      <w:r>
        <w:rPr>
          <w:rFonts w:ascii="黑体" w:hAnsi="黑体" w:eastAsia="黑体"/>
          <w:sz w:val="32"/>
        </w:rPr>
        <w:t>四、财政拨款收入支出决算总体情况说明</w:t>
      </w:r>
    </w:p>
    <w:p w14:paraId="06018D92">
      <w:pPr>
        <w:spacing w:line="580" w:lineRule="exact"/>
        <w:ind w:firstLine="640"/>
        <w:jc w:val="both"/>
      </w:pPr>
      <w:r>
        <w:rPr>
          <w:rFonts w:ascii="仿宋_GB2312" w:hAnsi="仿宋_GB2312" w:eastAsia="仿宋_GB2312"/>
          <w:b/>
          <w:sz w:val="32"/>
        </w:rPr>
        <w:t>2024年度财政拨款收入总计692.59万元，</w:t>
      </w:r>
      <w:r>
        <w:rPr>
          <w:rFonts w:ascii="仿宋_GB2312" w:hAnsi="仿宋_GB2312" w:eastAsia="仿宋_GB2312"/>
          <w:b w:val="0"/>
          <w:sz w:val="32"/>
        </w:rPr>
        <w:t>其中：年初财政拨款结转和结余0.00万元，本年财政拨款收入692.59万元。</w:t>
      </w:r>
      <w:r>
        <w:rPr>
          <w:rFonts w:ascii="仿宋_GB2312" w:hAnsi="仿宋_GB2312" w:eastAsia="仿宋_GB2312"/>
          <w:b/>
          <w:sz w:val="32"/>
        </w:rPr>
        <w:t>财政拨款支出总计692.59万元，</w:t>
      </w:r>
      <w:r>
        <w:rPr>
          <w:rFonts w:ascii="仿宋_GB2312" w:hAnsi="仿宋_GB2312" w:eastAsia="仿宋_GB2312"/>
          <w:b w:val="0"/>
          <w:sz w:val="32"/>
        </w:rPr>
        <w:t>其中：年末财政拨款结转和结余0.00万元，本年财政拨款支出692.59万元。</w:t>
      </w:r>
    </w:p>
    <w:p w14:paraId="1BBB61A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减少13.66万元，下降1.93%，主要原因是：本年减少送戏下乡补助经费。</w:t>
      </w:r>
      <w:r>
        <w:rPr>
          <w:rFonts w:ascii="仿宋_GB2312" w:hAnsi="仿宋_GB2312" w:eastAsia="仿宋_GB2312"/>
          <w:b/>
          <w:sz w:val="32"/>
        </w:rPr>
        <w:t>与年初预算相比，</w:t>
      </w:r>
      <w:r>
        <w:rPr>
          <w:rFonts w:ascii="仿宋_GB2312" w:hAnsi="仿宋_GB2312" w:eastAsia="仿宋_GB2312"/>
          <w:b w:val="0"/>
          <w:sz w:val="32"/>
        </w:rPr>
        <w:t>年初预算数712.43万元，决算数692.59万元，预决算差异率-2.78%，主要原因是：年中调减送戏下乡补助经费。</w:t>
      </w:r>
    </w:p>
    <w:p w14:paraId="5F55C9B7">
      <w:pPr>
        <w:spacing w:line="640" w:lineRule="exact"/>
        <w:ind w:firstLine="640"/>
        <w:jc w:val="both"/>
        <w:outlineLvl w:val="2"/>
      </w:pPr>
      <w:r>
        <w:rPr>
          <w:rFonts w:ascii="黑体" w:hAnsi="黑体" w:eastAsia="黑体"/>
          <w:sz w:val="32"/>
        </w:rPr>
        <w:t>五、一般公共预算财政拨款支出决算情况说明</w:t>
      </w:r>
    </w:p>
    <w:p w14:paraId="1733E989">
      <w:pPr>
        <w:spacing w:line="640" w:lineRule="exact"/>
        <w:ind w:firstLine="640"/>
        <w:jc w:val="both"/>
        <w:outlineLvl w:val="3"/>
      </w:pPr>
      <w:r>
        <w:rPr>
          <w:rFonts w:ascii="楷体_GB2312" w:hAnsi="楷体_GB2312" w:eastAsia="楷体_GB2312"/>
          <w:b/>
          <w:sz w:val="32"/>
        </w:rPr>
        <w:t>（一）一般公共预算财政拨款支出决算总体情况</w:t>
      </w:r>
    </w:p>
    <w:p w14:paraId="090D78A4">
      <w:pPr>
        <w:spacing w:line="580" w:lineRule="exact"/>
        <w:ind w:firstLine="640"/>
        <w:jc w:val="both"/>
      </w:pPr>
      <w:r>
        <w:rPr>
          <w:rFonts w:ascii="仿宋_GB2312" w:hAnsi="仿宋_GB2312" w:eastAsia="仿宋_GB2312"/>
          <w:b/>
          <w:sz w:val="32"/>
        </w:rPr>
        <w:t>2024年度一般公共预算财政拨款支出689.35万元，</w:t>
      </w:r>
      <w:r>
        <w:rPr>
          <w:rFonts w:ascii="仿宋_GB2312" w:hAnsi="仿宋_GB2312" w:eastAsia="仿宋_GB2312"/>
          <w:b w:val="0"/>
          <w:sz w:val="32"/>
        </w:rPr>
        <w:t>占本年支出合计的99.53%。</w:t>
      </w:r>
      <w:r>
        <w:rPr>
          <w:rFonts w:ascii="仿宋_GB2312" w:hAnsi="仿宋_GB2312" w:eastAsia="仿宋_GB2312"/>
          <w:b/>
          <w:sz w:val="32"/>
        </w:rPr>
        <w:t>与上年相比，</w:t>
      </w:r>
      <w:r>
        <w:rPr>
          <w:rFonts w:ascii="仿宋_GB2312" w:hAnsi="仿宋_GB2312" w:eastAsia="仿宋_GB2312"/>
          <w:b w:val="0"/>
          <w:sz w:val="32"/>
        </w:rPr>
        <w:t>减少16.90万元，下降2.39%，主要原因是：本年减少送戏下乡补助经费。</w:t>
      </w:r>
      <w:r>
        <w:rPr>
          <w:rFonts w:ascii="仿宋_GB2312" w:hAnsi="仿宋_GB2312" w:eastAsia="仿宋_GB2312"/>
          <w:b/>
          <w:sz w:val="32"/>
        </w:rPr>
        <w:t>与年初预算相比,</w:t>
      </w:r>
      <w:r>
        <w:rPr>
          <w:rFonts w:ascii="仿宋_GB2312" w:hAnsi="仿宋_GB2312" w:eastAsia="仿宋_GB2312"/>
          <w:b w:val="0"/>
          <w:sz w:val="32"/>
        </w:rPr>
        <w:t>年初预算数712.43万元，决算数689.35万元，预决算差异率-3.24%，主要原因是：年中调减送戏下乡补助经费。</w:t>
      </w:r>
    </w:p>
    <w:p w14:paraId="19A5B1C6">
      <w:pPr>
        <w:spacing w:line="640" w:lineRule="exact"/>
        <w:ind w:firstLine="640"/>
        <w:jc w:val="both"/>
        <w:outlineLvl w:val="3"/>
      </w:pPr>
      <w:r>
        <w:rPr>
          <w:rFonts w:ascii="楷体_GB2312" w:hAnsi="楷体_GB2312" w:eastAsia="楷体_GB2312"/>
          <w:b/>
          <w:sz w:val="32"/>
        </w:rPr>
        <w:t>（二）一般公共预算财政拨款支出决算结构情况</w:t>
      </w:r>
    </w:p>
    <w:p w14:paraId="372D44E0">
      <w:pPr>
        <w:spacing w:line="580" w:lineRule="exact"/>
        <w:ind w:firstLine="640"/>
        <w:jc w:val="both"/>
      </w:pPr>
      <w:r>
        <w:rPr>
          <w:rFonts w:ascii="仿宋_GB2312" w:hAnsi="仿宋_GB2312" w:eastAsia="仿宋_GB2312"/>
          <w:b w:val="0"/>
          <w:sz w:val="32"/>
        </w:rPr>
        <w:t>1.文化旅游体育与传媒支出(类)689.35万元,占100.00%。</w:t>
      </w:r>
    </w:p>
    <w:p w14:paraId="489CFC9C">
      <w:pPr>
        <w:spacing w:line="640" w:lineRule="exact"/>
        <w:ind w:firstLine="640"/>
        <w:jc w:val="both"/>
        <w:outlineLvl w:val="3"/>
      </w:pPr>
      <w:r>
        <w:rPr>
          <w:rFonts w:ascii="楷体_GB2312" w:hAnsi="楷体_GB2312" w:eastAsia="楷体_GB2312"/>
          <w:b/>
          <w:sz w:val="32"/>
        </w:rPr>
        <w:t>（三）一般公共预算财政拨款支出决算具体情况</w:t>
      </w:r>
    </w:p>
    <w:p w14:paraId="41A26065">
      <w:pPr>
        <w:spacing w:line="580" w:lineRule="exact"/>
        <w:ind w:firstLine="640"/>
        <w:jc w:val="both"/>
      </w:pPr>
      <w:r>
        <w:rPr>
          <w:rFonts w:ascii="仿宋_GB2312" w:hAnsi="仿宋_GB2312" w:eastAsia="仿宋_GB2312"/>
          <w:b w:val="0"/>
          <w:sz w:val="32"/>
        </w:rPr>
        <w:t>1.文化旅游体育与传媒支出(类)文化和旅游(款)艺术表演团体(项):支出决算数为661.85万元，比上年决算增加43.35万元，增长7.01%,主要原因是：本年养老保险调整至本科目列支，导致经费增加。</w:t>
      </w:r>
    </w:p>
    <w:p w14:paraId="1E469672">
      <w:pPr>
        <w:spacing w:line="580" w:lineRule="exact"/>
        <w:ind w:firstLine="640"/>
        <w:jc w:val="both"/>
      </w:pPr>
      <w:r>
        <w:rPr>
          <w:rFonts w:ascii="仿宋_GB2312" w:hAnsi="仿宋_GB2312" w:eastAsia="仿宋_GB2312"/>
          <w:b w:val="0"/>
          <w:sz w:val="32"/>
        </w:rPr>
        <w:t>2.文化旅游体育与传媒支出(类)其他文化旅游体育与传媒支出(款)其他文化旅游体育与传媒支出(项):支出决算数为27.50万元，比上年决算减少6.23万元，下降18.47%,主要原因是：本年减少送戏下乡补助经费。</w:t>
      </w:r>
    </w:p>
    <w:p w14:paraId="2028E7D6">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0.00万元，比上年决算减少54.03万元，下降100.00%,主要原因是：本年功能科目调整，养老保险缴费上年度单独列支，本年调整至主科目列支，导致经费较上年减少。</w:t>
      </w:r>
    </w:p>
    <w:p w14:paraId="7EC2AE06">
      <w:pPr>
        <w:spacing w:line="640" w:lineRule="exact"/>
        <w:ind w:firstLine="640"/>
        <w:jc w:val="both"/>
        <w:outlineLvl w:val="2"/>
      </w:pPr>
      <w:r>
        <w:rPr>
          <w:rFonts w:ascii="黑体" w:hAnsi="黑体" w:eastAsia="黑体"/>
          <w:sz w:val="32"/>
        </w:rPr>
        <w:t>六、一般公共预算财政拨款基本支出决算情况说明</w:t>
      </w:r>
    </w:p>
    <w:p w14:paraId="61585511">
      <w:pPr>
        <w:spacing w:line="580" w:lineRule="exact"/>
        <w:ind w:firstLine="640"/>
        <w:jc w:val="both"/>
      </w:pPr>
      <w:r>
        <w:rPr>
          <w:rFonts w:ascii="仿宋_GB2312" w:hAnsi="仿宋_GB2312" w:eastAsia="仿宋_GB2312"/>
          <w:b w:val="0"/>
          <w:sz w:val="32"/>
        </w:rPr>
        <w:t>2024年度一般公共预算财政拨款基本支出661.85万元，其中：</w:t>
      </w:r>
      <w:r>
        <w:rPr>
          <w:rFonts w:ascii="仿宋_GB2312" w:hAnsi="仿宋_GB2312" w:eastAsia="仿宋_GB2312"/>
          <w:b/>
          <w:sz w:val="32"/>
        </w:rPr>
        <w:t>人员经费630.19万元，</w:t>
      </w:r>
      <w:r>
        <w:rPr>
          <w:rFonts w:ascii="仿宋_GB2312" w:hAnsi="仿宋_GB2312" w:eastAsia="仿宋_GB2312"/>
          <w:b w:val="0"/>
          <w:sz w:val="32"/>
        </w:rPr>
        <w:t>包括：基本工资、津贴补贴、绩效工资、机关事业单位基本养老保险缴费、职工基本医疗保险缴费、其他社会保障缴费、住房公积金、退休费、生活补助。</w:t>
      </w:r>
    </w:p>
    <w:p w14:paraId="547C272A">
      <w:pPr>
        <w:spacing w:line="580" w:lineRule="exact"/>
        <w:ind w:firstLine="640"/>
        <w:jc w:val="both"/>
      </w:pPr>
      <w:r>
        <w:rPr>
          <w:rFonts w:ascii="仿宋_GB2312" w:hAnsi="仿宋_GB2312" w:eastAsia="仿宋_GB2312"/>
          <w:b/>
          <w:sz w:val="32"/>
        </w:rPr>
        <w:t>公用经费31.65万元，</w:t>
      </w:r>
      <w:r>
        <w:rPr>
          <w:rFonts w:ascii="仿宋_GB2312" w:hAnsi="仿宋_GB2312" w:eastAsia="仿宋_GB2312"/>
          <w:b w:val="0"/>
          <w:sz w:val="32"/>
        </w:rPr>
        <w:t>包括：办公费、印刷费、电费、邮电费、取暖费、劳务费、公务用车运行维护费。</w:t>
      </w:r>
    </w:p>
    <w:p w14:paraId="27E5F597">
      <w:pPr>
        <w:spacing w:line="640" w:lineRule="exact"/>
        <w:ind w:firstLine="640"/>
        <w:jc w:val="both"/>
        <w:outlineLvl w:val="2"/>
      </w:pPr>
      <w:r>
        <w:rPr>
          <w:rFonts w:ascii="黑体" w:hAnsi="黑体" w:eastAsia="黑体"/>
          <w:sz w:val="32"/>
        </w:rPr>
        <w:t>七、政府性基金预算财政拨款收入支出决算情况说明</w:t>
      </w:r>
    </w:p>
    <w:p w14:paraId="39182429">
      <w:pPr>
        <w:spacing w:line="580" w:lineRule="exact"/>
        <w:ind w:firstLine="640"/>
        <w:jc w:val="both"/>
      </w:pPr>
      <w:r>
        <w:rPr>
          <w:rFonts w:ascii="仿宋_GB2312" w:hAnsi="仿宋_GB2312" w:eastAsia="仿宋_GB2312"/>
          <w:b/>
          <w:sz w:val="32"/>
        </w:rPr>
        <w:t>2024年度政府性基金预算财政拨款收入总计3.24万元，</w:t>
      </w:r>
      <w:r>
        <w:rPr>
          <w:rFonts w:ascii="仿宋_GB2312" w:hAnsi="仿宋_GB2312" w:eastAsia="仿宋_GB2312"/>
          <w:b w:val="0"/>
          <w:sz w:val="32"/>
        </w:rPr>
        <w:t>其中：年初结转和结余0.00万元，本年收入3.24万元。</w:t>
      </w:r>
      <w:r>
        <w:rPr>
          <w:rFonts w:ascii="仿宋_GB2312" w:hAnsi="仿宋_GB2312" w:eastAsia="仿宋_GB2312"/>
          <w:b/>
          <w:sz w:val="32"/>
        </w:rPr>
        <w:t>政府性基金预算财政拨款支出总计3.24万元，</w:t>
      </w:r>
      <w:r>
        <w:rPr>
          <w:rFonts w:ascii="仿宋_GB2312" w:hAnsi="仿宋_GB2312" w:eastAsia="仿宋_GB2312"/>
          <w:b w:val="0"/>
          <w:sz w:val="32"/>
        </w:rPr>
        <w:t>其中：年末结转和结余0.00万元，本年支出3.24万元。</w:t>
      </w:r>
    </w:p>
    <w:p w14:paraId="0C223A1E">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增加3.24万元，增长100.00%，主要原因是：本年增加农村社会事业支出。</w:t>
      </w:r>
      <w:r>
        <w:rPr>
          <w:rFonts w:ascii="仿宋_GB2312" w:hAnsi="仿宋_GB2312" w:eastAsia="仿宋_GB2312"/>
          <w:b/>
          <w:sz w:val="32"/>
        </w:rPr>
        <w:t>与年初预算相比，</w:t>
      </w:r>
      <w:r>
        <w:rPr>
          <w:rFonts w:ascii="仿宋_GB2312" w:hAnsi="仿宋_GB2312" w:eastAsia="仿宋_GB2312"/>
          <w:b w:val="0"/>
          <w:sz w:val="32"/>
        </w:rPr>
        <w:t>年初预算数0.00万元，决算数3.24万元，预决算差异率100.00%，主要原因是：年中追加农村社会事业支出，导致预决算存在差异。</w:t>
      </w:r>
    </w:p>
    <w:p w14:paraId="5D278FC8">
      <w:pPr>
        <w:spacing w:line="580" w:lineRule="exact"/>
        <w:ind w:firstLine="640"/>
        <w:jc w:val="both"/>
      </w:pPr>
      <w:r>
        <w:rPr>
          <w:rFonts w:ascii="仿宋_GB2312" w:hAnsi="仿宋_GB2312" w:eastAsia="仿宋_GB2312"/>
          <w:b w:val="0"/>
          <w:sz w:val="32"/>
        </w:rPr>
        <w:t>政府性基金预算财政拨款支出3.24万元。</w:t>
      </w:r>
    </w:p>
    <w:p w14:paraId="706F0BED">
      <w:pPr>
        <w:spacing w:line="580" w:lineRule="exact"/>
        <w:ind w:firstLine="640"/>
        <w:jc w:val="both"/>
      </w:pPr>
      <w:r>
        <w:rPr>
          <w:rFonts w:ascii="仿宋_GB2312" w:hAnsi="仿宋_GB2312" w:eastAsia="仿宋_GB2312"/>
          <w:b w:val="0"/>
          <w:sz w:val="32"/>
        </w:rPr>
        <w:t>1.城乡社区支出(类)国有土地使用权出让收入安排的支出(款)农村社会事业支出(项):支出决算数为3.24万元，比上年决算增加3.24万元，增长100.00%,主要原因是：本年增加农村社会事业支出。</w:t>
      </w:r>
    </w:p>
    <w:p w14:paraId="59D8E508">
      <w:pPr>
        <w:spacing w:line="640" w:lineRule="exact"/>
        <w:ind w:firstLine="640"/>
        <w:jc w:val="both"/>
        <w:outlineLvl w:val="2"/>
      </w:pPr>
      <w:r>
        <w:rPr>
          <w:rFonts w:ascii="黑体" w:hAnsi="黑体" w:eastAsia="黑体"/>
          <w:sz w:val="32"/>
        </w:rPr>
        <w:t>八、国有资本经营预算财政拨款收入支出决算情况说明</w:t>
      </w:r>
    </w:p>
    <w:p w14:paraId="3F29BF3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D1B0921">
      <w:pPr>
        <w:spacing w:line="640" w:lineRule="exact"/>
        <w:ind w:firstLine="640"/>
        <w:jc w:val="both"/>
        <w:outlineLvl w:val="2"/>
      </w:pPr>
      <w:r>
        <w:rPr>
          <w:rFonts w:ascii="黑体" w:hAnsi="黑体" w:eastAsia="黑体"/>
          <w:sz w:val="32"/>
        </w:rPr>
        <w:t>九、财政拨款“三公”经费支出决算情况说明</w:t>
      </w:r>
    </w:p>
    <w:p w14:paraId="5D01BA24">
      <w:pPr>
        <w:spacing w:line="580" w:lineRule="exact"/>
        <w:ind w:firstLine="640"/>
        <w:jc w:val="both"/>
      </w:pPr>
      <w:r>
        <w:rPr>
          <w:rFonts w:ascii="仿宋_GB2312" w:hAnsi="仿宋_GB2312" w:eastAsia="仿宋_GB2312"/>
          <w:b/>
          <w:sz w:val="32"/>
        </w:rPr>
        <w:t>2024年度财政拨款“三公”经费支出3.64万元，</w:t>
      </w:r>
      <w:r>
        <w:rPr>
          <w:rFonts w:ascii="仿宋_GB2312" w:hAnsi="仿宋_GB2312" w:eastAsia="仿宋_GB2312"/>
          <w:b w:val="0"/>
          <w:sz w:val="32"/>
        </w:rPr>
        <w:t>比上年增加0.49万元，增长15.56%，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3.64万元，占100.00%，比上年增加0.49万元，增长15.56%，主要原因是：本年因业务需求，用车次数增加，燃油费增加，导致公务用车运行维护费较上年增加。公务接待费支出0.00万元，占0.00%，比上年增加0.00万元，增长0.00%，主要原因是：2023年与2024年均未安排公务接待费支出。</w:t>
      </w:r>
    </w:p>
    <w:p w14:paraId="64F4D0A0">
      <w:pPr>
        <w:spacing w:line="580" w:lineRule="exact"/>
        <w:ind w:firstLine="640"/>
        <w:jc w:val="both"/>
      </w:pPr>
      <w:r>
        <w:rPr>
          <w:rFonts w:ascii="仿宋_GB2312" w:hAnsi="仿宋_GB2312" w:eastAsia="仿宋_GB2312"/>
          <w:b/>
          <w:sz w:val="32"/>
        </w:rPr>
        <w:t>具体情况如下：</w:t>
      </w:r>
    </w:p>
    <w:p w14:paraId="7A2FFB35">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767299F">
      <w:pPr>
        <w:spacing w:line="580" w:lineRule="exact"/>
        <w:ind w:firstLine="640"/>
        <w:jc w:val="both"/>
      </w:pPr>
      <w:r>
        <w:rPr>
          <w:rFonts w:ascii="仿宋_GB2312" w:hAnsi="仿宋_GB2312" w:eastAsia="仿宋_GB2312"/>
          <w:b w:val="0"/>
          <w:sz w:val="32"/>
        </w:rPr>
        <w:t>公务用车购置及运行维护费3.64万元，其中：公务用车购置费0.00万元，公务用车运行维护费3.64万元。公务用车运行维护费开支内容包括车辆加油费、维修费、保险费、审车费、过路费。公务用车购置数0辆，公务用车保有量2辆。国有资产占用情况中固定资产车辆2辆，与公务用车保有量差异原因是：本单位固定资产车辆与公务用车保有量一致无差异。</w:t>
      </w:r>
    </w:p>
    <w:p w14:paraId="23DF95CE">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638B957">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3.64万元，决算数3.64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3.64万元，决算数3.64万元，预决算差异率0.00%，主要原因是：严格按照预算执行，预决算无差异。公务接待费全年预算数0.00万元，决算数0.00万元，预决算差异率0.00%，主要原因是：本单位无公务接待费。</w:t>
      </w:r>
    </w:p>
    <w:p w14:paraId="364737D3">
      <w:pPr>
        <w:spacing w:line="640" w:lineRule="exact"/>
        <w:ind w:firstLine="640"/>
        <w:jc w:val="both"/>
        <w:outlineLvl w:val="2"/>
      </w:pPr>
      <w:r>
        <w:rPr>
          <w:rFonts w:ascii="黑体" w:hAnsi="黑体" w:eastAsia="黑体"/>
          <w:sz w:val="32"/>
        </w:rPr>
        <w:t>十、其他重要事项的情况说明</w:t>
      </w:r>
    </w:p>
    <w:p w14:paraId="7814D59D">
      <w:pPr>
        <w:spacing w:line="640" w:lineRule="exact"/>
        <w:ind w:firstLine="640"/>
        <w:jc w:val="both"/>
        <w:outlineLvl w:val="3"/>
      </w:pPr>
      <w:r>
        <w:rPr>
          <w:rFonts w:ascii="楷体_GB2312" w:hAnsi="楷体_GB2312" w:eastAsia="楷体_GB2312"/>
          <w:b/>
          <w:sz w:val="32"/>
        </w:rPr>
        <w:t>（一）机关运行经费及公用经费支出情况</w:t>
      </w:r>
    </w:p>
    <w:p w14:paraId="297D0CD4">
      <w:pPr>
        <w:spacing w:line="580" w:lineRule="exact"/>
        <w:ind w:firstLine="640"/>
        <w:jc w:val="both"/>
      </w:pPr>
      <w:r>
        <w:rPr>
          <w:rFonts w:ascii="仿宋_GB2312" w:hAnsi="仿宋_GB2312" w:eastAsia="仿宋_GB2312"/>
          <w:b w:val="0"/>
          <w:sz w:val="32"/>
        </w:rPr>
        <w:t>2024年度洛浦县文工团（事业单位）公用经费支出34.89万元，比上年减少5.25万元，下降13.08%，主要原因是：严格控制公用经费，合理节约办公用品，减少</w:t>
      </w:r>
      <w:r>
        <w:rPr>
          <w:rFonts w:hint="eastAsia" w:ascii="仿宋_GB2312" w:hAnsi="仿宋_GB2312" w:eastAsia="仿宋_GB2312"/>
          <w:b w:val="0"/>
          <w:sz w:val="32"/>
          <w:lang w:val="en-US" w:eastAsia="zh-CN"/>
        </w:rPr>
        <w:t>劳务费</w:t>
      </w:r>
      <w:r>
        <w:rPr>
          <w:rFonts w:ascii="仿宋_GB2312" w:hAnsi="仿宋_GB2312" w:eastAsia="仿宋_GB2312"/>
          <w:b w:val="0"/>
          <w:sz w:val="32"/>
        </w:rPr>
        <w:t>。</w:t>
      </w:r>
    </w:p>
    <w:p w14:paraId="087BDF20">
      <w:pPr>
        <w:spacing w:line="640" w:lineRule="exact"/>
        <w:ind w:firstLine="640"/>
        <w:jc w:val="both"/>
        <w:outlineLvl w:val="3"/>
      </w:pPr>
      <w:r>
        <w:rPr>
          <w:rFonts w:ascii="楷体_GB2312" w:hAnsi="楷体_GB2312" w:eastAsia="楷体_GB2312"/>
          <w:b/>
          <w:sz w:val="32"/>
        </w:rPr>
        <w:t>（二）政府采购情况</w:t>
      </w:r>
    </w:p>
    <w:p w14:paraId="248E9DDB">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27D28664">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3E1BCE99">
      <w:pPr>
        <w:spacing w:line="640" w:lineRule="exact"/>
        <w:ind w:firstLine="640"/>
        <w:jc w:val="both"/>
        <w:outlineLvl w:val="3"/>
      </w:pPr>
      <w:r>
        <w:rPr>
          <w:rFonts w:ascii="楷体_GB2312" w:hAnsi="楷体_GB2312" w:eastAsia="楷体_GB2312"/>
          <w:b/>
          <w:sz w:val="32"/>
        </w:rPr>
        <w:t>（三）国有资产占用情况说明</w:t>
      </w:r>
    </w:p>
    <w:p w14:paraId="0C7DDEA9">
      <w:pPr>
        <w:spacing w:line="580" w:lineRule="exact"/>
        <w:ind w:firstLine="640"/>
        <w:jc w:val="both"/>
      </w:pPr>
      <w:r>
        <w:rPr>
          <w:rFonts w:ascii="仿宋_GB2312" w:hAnsi="仿宋_GB2312" w:eastAsia="仿宋_GB2312"/>
          <w:b w:val="0"/>
          <w:sz w:val="32"/>
        </w:rPr>
        <w:t>截至2024年12月31日，房屋1,009.00平方米，价值33.14万元。车辆2辆，价值61.60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1D08B362">
      <w:pPr>
        <w:spacing w:line="640" w:lineRule="exact"/>
        <w:ind w:firstLine="640"/>
        <w:jc w:val="both"/>
        <w:outlineLvl w:val="2"/>
      </w:pPr>
      <w:r>
        <w:rPr>
          <w:rFonts w:ascii="黑体" w:hAnsi="黑体" w:eastAsia="黑体"/>
          <w:sz w:val="32"/>
        </w:rPr>
        <w:t>十一、预算绩效的情况说明</w:t>
      </w:r>
    </w:p>
    <w:p w14:paraId="56A3DFD5">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692.59万元，实际执行总额692.59万元；预算绩效评价项目2个，全年预算数69.62万元，全年执行数69.62万元。预算绩效管理取得的成效：提升了单位预算执行效率，通过预算绩效管理，可以</w:t>
      </w:r>
      <w:r>
        <w:rPr>
          <w:rFonts w:hint="eastAsia" w:ascii="仿宋_GB2312" w:hAnsi="仿宋_GB2312" w:eastAsia="仿宋_GB2312"/>
          <w:b w:val="0"/>
          <w:sz w:val="32"/>
          <w:lang w:eastAsia="zh-CN"/>
        </w:rPr>
        <w:t>保证</w:t>
      </w:r>
      <w:r>
        <w:rPr>
          <w:rFonts w:ascii="仿宋_GB2312" w:hAnsi="仿宋_GB2312" w:eastAsia="仿宋_GB2312"/>
          <w:b w:val="0"/>
          <w:sz w:val="32"/>
        </w:rPr>
        <w:t>资金执行过程中准确及时；优化了单位资源配置；减少了单位实际开支；增强了单位干部责任意识，增加了工作能力。发现的问题及原因：预算执行存在偏差,在预算执行中造成个别预算调剂现象。对个别资金使用方面预算不够细致，出现实际支出数超出了预算申报数和出现项目资金</w:t>
      </w:r>
      <w:r>
        <w:rPr>
          <w:rFonts w:hint="eastAsia" w:ascii="仿宋_GB2312" w:hAnsi="仿宋_GB2312" w:eastAsia="仿宋_GB2312"/>
          <w:b w:val="0"/>
          <w:sz w:val="32"/>
          <w:lang w:eastAsia="zh-CN"/>
        </w:rPr>
        <w:t>结余</w:t>
      </w:r>
      <w:r>
        <w:rPr>
          <w:rFonts w:ascii="仿宋_GB2312" w:hAnsi="仿宋_GB2312" w:eastAsia="仿宋_GB2312"/>
          <w:b w:val="0"/>
          <w:sz w:val="32"/>
        </w:rPr>
        <w:t>数额多的情况。没有严格将单位政府采购金额纳入本年度预算内。下一步改进措施：强化支出预算约束。进一步提高年初预算编制的科学性和准确性，完善预算执行动态 约束机制，加强财政预算资金管理，统筹协调推进项目执行，提高财政资金效益和效果；加强政府采购管理。严格履行政府采购程序，规范政府采购行为，加强对政府采购全流程活动的规范管理，推动政府采购相关制度贯彻落实；强化内部控制管理。严格按规定做好绩效目标申报、自评、公开等相关工作，提高财政资金使用绩效；加强实物资产管理，健全资产管理制度，规范资产清查和核算；加大绩效工作宣传力度，强化绩效理念。完善绩效指标，提高整体绩效目标质量。提升预算精细化管理水平。具体附整体支出绩效自评表，项目支出绩效自评表和评价报告。</w:t>
      </w:r>
    </w:p>
    <w:p w14:paraId="74859A2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F9EF238">
        <w:tblPrEx>
          <w:tblCellMar>
            <w:top w:w="0" w:type="dxa"/>
            <w:left w:w="108" w:type="dxa"/>
            <w:bottom w:w="0" w:type="dxa"/>
            <w:right w:w="108" w:type="dxa"/>
          </w:tblCellMar>
        </w:tblPrEx>
        <w:tc>
          <w:tcPr>
            <w:tcW w:w="8847" w:type="dxa"/>
            <w:gridSpan w:val="9"/>
            <w:vAlign w:val="center"/>
          </w:tcPr>
          <w:p w14:paraId="11D98743">
            <w:pPr>
              <w:jc w:val="center"/>
            </w:pPr>
            <w:r>
              <w:rPr>
                <w:rFonts w:ascii="宋体" w:hAnsi="宋体" w:eastAsia="宋体"/>
                <w:sz w:val="24"/>
              </w:rPr>
              <w:t>单位整体支出绩效自评表</w:t>
            </w:r>
          </w:p>
        </w:tc>
      </w:tr>
      <w:tr w14:paraId="6400E99F">
        <w:tblPrEx>
          <w:tblCellMar>
            <w:top w:w="0" w:type="dxa"/>
            <w:left w:w="108" w:type="dxa"/>
            <w:bottom w:w="0" w:type="dxa"/>
            <w:right w:w="108" w:type="dxa"/>
          </w:tblCellMar>
        </w:tblPrEx>
        <w:tc>
          <w:tcPr>
            <w:tcW w:w="8847" w:type="dxa"/>
            <w:gridSpan w:val="9"/>
            <w:vAlign w:val="center"/>
          </w:tcPr>
          <w:p w14:paraId="2CC00753">
            <w:pPr>
              <w:jc w:val="center"/>
            </w:pPr>
            <w:r>
              <w:rPr>
                <w:rFonts w:ascii="宋体" w:hAnsi="宋体" w:eastAsia="宋体"/>
                <w:sz w:val="24"/>
              </w:rPr>
              <w:t>（2024年度）</w:t>
            </w:r>
          </w:p>
        </w:tc>
      </w:tr>
      <w:tr w14:paraId="2038D9E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99F88">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C88AFCB">
            <w:pPr>
              <w:jc w:val="center"/>
            </w:pPr>
            <w:r>
              <w:rPr>
                <w:rFonts w:ascii="宋体" w:hAnsi="宋体" w:eastAsia="宋体"/>
                <w:sz w:val="16"/>
              </w:rPr>
              <w:t>洛浦县文工团</w:t>
            </w:r>
          </w:p>
        </w:tc>
      </w:tr>
      <w:tr w14:paraId="06AD57F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CCEC88">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D4932">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DB3F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A187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0775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0AB4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4159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19F1D9">
            <w:pPr>
              <w:jc w:val="center"/>
            </w:pPr>
            <w:r>
              <w:rPr>
                <w:rFonts w:ascii="宋体" w:hAnsi="宋体" w:eastAsia="宋体"/>
                <w:sz w:val="16"/>
              </w:rPr>
              <w:t>得分</w:t>
            </w:r>
          </w:p>
        </w:tc>
      </w:tr>
      <w:tr w14:paraId="6CE1B8C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6D7E0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92EDA1">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4FB3F">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90E8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9129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AC77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3839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1C49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8E81A">
            <w:pPr>
              <w:jc w:val="center"/>
            </w:pPr>
            <w:r>
              <w:rPr>
                <w:rFonts w:ascii="宋体" w:hAnsi="宋体" w:eastAsia="宋体"/>
                <w:sz w:val="16"/>
              </w:rPr>
              <w:t>-</w:t>
            </w:r>
          </w:p>
        </w:tc>
      </w:tr>
      <w:tr w14:paraId="68B128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CB2CE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99561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9A0AB">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595BD">
            <w:pPr>
              <w:jc w:val="center"/>
            </w:pPr>
            <w:r>
              <w:rPr>
                <w:rFonts w:ascii="宋体" w:hAnsi="宋体" w:eastAsia="宋体"/>
                <w:sz w:val="16"/>
              </w:rPr>
              <w:t>689.92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E5D52">
            <w:pPr>
              <w:jc w:val="center"/>
            </w:pPr>
            <w:r>
              <w:rPr>
                <w:rFonts w:ascii="宋体" w:hAnsi="宋体" w:eastAsia="宋体"/>
                <w:sz w:val="16"/>
              </w:rPr>
              <w:t>665.09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6477B">
            <w:pPr>
              <w:jc w:val="center"/>
            </w:pPr>
            <w:r>
              <w:rPr>
                <w:rFonts w:ascii="宋体" w:hAnsi="宋体" w:eastAsia="宋体"/>
                <w:sz w:val="16"/>
              </w:rPr>
              <w:t>665.09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31A9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0FC7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959BB">
            <w:pPr>
              <w:jc w:val="center"/>
            </w:pPr>
            <w:r>
              <w:rPr>
                <w:rFonts w:ascii="宋体" w:hAnsi="宋体" w:eastAsia="宋体"/>
                <w:sz w:val="16"/>
              </w:rPr>
              <w:t>-</w:t>
            </w:r>
          </w:p>
        </w:tc>
      </w:tr>
      <w:tr w14:paraId="21F87C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4E66F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B3603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6F102">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72712">
            <w:pPr>
              <w:jc w:val="center"/>
            </w:pPr>
            <w:r>
              <w:rPr>
                <w:rFonts w:ascii="宋体" w:hAnsi="宋体" w:eastAsia="宋体"/>
                <w:sz w:val="16"/>
              </w:rPr>
              <w:t>22.50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B1FCF">
            <w:pPr>
              <w:jc w:val="center"/>
            </w:pPr>
            <w:r>
              <w:rPr>
                <w:rFonts w:ascii="宋体" w:hAnsi="宋体" w:eastAsia="宋体"/>
                <w:sz w:val="16"/>
              </w:rPr>
              <w:t>27.50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8EB2F">
            <w:pPr>
              <w:jc w:val="center"/>
            </w:pPr>
            <w:r>
              <w:rPr>
                <w:rFonts w:ascii="宋体" w:hAnsi="宋体" w:eastAsia="宋体"/>
                <w:sz w:val="16"/>
              </w:rPr>
              <w:t>27.50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4DF3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FF40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78A1D">
            <w:pPr>
              <w:jc w:val="center"/>
            </w:pPr>
            <w:r>
              <w:rPr>
                <w:rFonts w:ascii="宋体" w:hAnsi="宋体" w:eastAsia="宋体"/>
                <w:sz w:val="16"/>
              </w:rPr>
              <w:t>-</w:t>
            </w:r>
          </w:p>
        </w:tc>
      </w:tr>
      <w:tr w14:paraId="4BCDB7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8572D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D3898">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DF0A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E4C3C">
            <w:pPr>
              <w:jc w:val="center"/>
            </w:pPr>
            <w:r>
              <w:rPr>
                <w:rFonts w:ascii="宋体" w:hAnsi="宋体" w:eastAsia="宋体"/>
                <w:sz w:val="16"/>
              </w:rPr>
              <w:t>712.42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8BD97">
            <w:pPr>
              <w:jc w:val="center"/>
            </w:pPr>
            <w:r>
              <w:rPr>
                <w:rFonts w:ascii="宋体" w:hAnsi="宋体" w:eastAsia="宋体"/>
                <w:sz w:val="16"/>
              </w:rPr>
              <w:t>692.59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4977A">
            <w:pPr>
              <w:jc w:val="center"/>
            </w:pPr>
            <w:r>
              <w:rPr>
                <w:rFonts w:ascii="宋体" w:hAnsi="宋体" w:eastAsia="宋体"/>
                <w:sz w:val="16"/>
              </w:rPr>
              <w:t>692.59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4E40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F0206">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91722">
            <w:pPr>
              <w:jc w:val="center"/>
            </w:pPr>
            <w:r>
              <w:rPr>
                <w:rFonts w:ascii="宋体" w:hAnsi="宋体" w:eastAsia="宋体"/>
                <w:sz w:val="16"/>
              </w:rPr>
              <w:t>10</w:t>
            </w:r>
          </w:p>
        </w:tc>
      </w:tr>
      <w:tr w14:paraId="69819F3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8F707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6FB358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F18E23">
            <w:pPr>
              <w:jc w:val="center"/>
            </w:pPr>
            <w:r>
              <w:rPr>
                <w:rFonts w:ascii="宋体" w:hAnsi="宋体" w:eastAsia="宋体"/>
                <w:sz w:val="16"/>
              </w:rPr>
              <w:t>实际完成情况</w:t>
            </w:r>
          </w:p>
        </w:tc>
      </w:tr>
      <w:tr w14:paraId="1536F7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BC1F9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9613BA8">
            <w:pPr>
              <w:jc w:val="both"/>
            </w:pPr>
            <w:r>
              <w:rPr>
                <w:rFonts w:ascii="宋体" w:hAnsi="宋体" w:eastAsia="宋体"/>
                <w:sz w:val="16"/>
              </w:rPr>
              <w:t>基本职能：创作演出（民族歌舞/剧目），为各族群众服务，舞台艺术作品创作，传统艺术整理工作与保护，国内外艺术作品演出艺术普及推广，艺术创作表演人才培养。</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单位机构设置及人员编制：单位无下属预算单位，编制数40，实有人数35人，在职35人，退休5人。</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中长期规划：贯彻执行党的文艺路线方针，弘扬和繁荣社会主义先进文化，推进强军文化创新发展，开展军事文艺创作演出，为强军服务、为基层服务、为官兵服务，完成党中央、中央军委赋予和批准的重大任务。创编、创作多个群众喜闻乐见、富有思想主题及宣传内容的文艺演出节目，提高送戏下乡演出节目质量，促进基层文艺活动提升，提高群众业余生活爱好。</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目标1：保障单位在职35人，退休5人的工资福利及各项补助正常发放及部门正常运转；</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目标2：规划诺肉孜节演出节目，安排各个队伍进行编创新节目，舞蹈队</w:t>
            </w:r>
            <w:r>
              <w:rPr>
                <w:rFonts w:hint="eastAsia" w:ascii="宋体" w:hAnsi="宋体"/>
                <w:sz w:val="16"/>
                <w:lang w:eastAsia="zh-CN"/>
              </w:rPr>
              <w:t>抓紧</w:t>
            </w:r>
            <w:r>
              <w:rPr>
                <w:rFonts w:ascii="宋体" w:hAnsi="宋体" w:eastAsia="宋体"/>
                <w:sz w:val="16"/>
              </w:rPr>
              <w:t>时间编创4个最新节目，组织进行建党</w:t>
            </w:r>
            <w:bookmarkStart w:id="0" w:name="_GoBack"/>
            <w:r>
              <w:rPr>
                <w:rFonts w:ascii="宋体" w:hAnsi="宋体" w:eastAsia="宋体"/>
                <w:sz w:val="16"/>
              </w:rPr>
              <w:t>,</w:t>
            </w:r>
            <w:bookmarkEnd w:id="0"/>
            <w:r>
              <w:rPr>
                <w:rFonts w:ascii="宋体" w:hAnsi="宋体" w:eastAsia="宋体"/>
                <w:sz w:val="16"/>
              </w:rPr>
              <w:t>国庆节活动。</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98DA83">
            <w:pPr>
              <w:jc w:val="both"/>
            </w:pPr>
            <w:r>
              <w:rPr>
                <w:rFonts w:hint="eastAsia" w:ascii="宋体" w:hAnsi="宋体"/>
                <w:sz w:val="16"/>
                <w:lang w:eastAsia="zh-CN"/>
              </w:rPr>
              <w:t>截至2024</w:t>
            </w:r>
            <w:r>
              <w:rPr>
                <w:rFonts w:ascii="宋体" w:hAnsi="宋体" w:eastAsia="宋体"/>
                <w:sz w:val="16"/>
              </w:rPr>
              <w:t>年12月保障了单位在职35人，退休5人的工资福利及各项补助正常发放及部门正常运转；已完成规划诺肉孜节演出节目，安排各个队伍进行编创新节目，舞蹈队</w:t>
            </w:r>
            <w:r>
              <w:rPr>
                <w:rFonts w:hint="eastAsia" w:ascii="宋体" w:hAnsi="宋体"/>
                <w:sz w:val="16"/>
                <w:lang w:eastAsia="zh-CN"/>
              </w:rPr>
              <w:t>抓紧时间</w:t>
            </w:r>
            <w:r>
              <w:rPr>
                <w:rFonts w:ascii="宋体" w:hAnsi="宋体" w:eastAsia="宋体"/>
                <w:sz w:val="16"/>
              </w:rPr>
              <w:t>编创4个最新节目，组织进行建党,国庆节活动等。创作演出（民族歌舞/剧目），为各族群众服务，舞台艺术作品创作，传统艺术整理工作与保护，国内外艺术作品演出艺术普及推广，艺术创作表演人才培养。贯彻执行党的文艺路线方针，弘扬和繁荣社会主义先进文化，推进强军文化创新发展，开展军事文艺创作演出，为强军服务、为基层服务、为官兵服务，完成党中央、中央军委赋予和批准的重大任务。创编、创作多个群众喜闻乐见、富有思想主题及宣传内容的文艺演出节目，提高送戏下乡演出节目质量，促进基层文艺活动提升，提高群众业余生活爱好。</w:t>
            </w:r>
          </w:p>
        </w:tc>
      </w:tr>
      <w:tr w14:paraId="10A83B1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3E39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CFD0D">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6516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E92D9">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67CB2">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A2D3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5E6D5">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D63A8">
            <w:pPr>
              <w:jc w:val="center"/>
            </w:pPr>
            <w:r>
              <w:rPr>
                <w:rFonts w:ascii="宋体" w:hAnsi="宋体" w:eastAsia="宋体"/>
                <w:sz w:val="16"/>
              </w:rPr>
              <w:t>得分</w:t>
            </w:r>
          </w:p>
        </w:tc>
      </w:tr>
      <w:tr w14:paraId="5919488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2E7A4F">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7CA8D7">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D10D8">
            <w:pPr>
              <w:jc w:val="center"/>
            </w:pPr>
            <w:r>
              <w:rPr>
                <w:rFonts w:ascii="宋体" w:hAnsi="宋体" w:eastAsia="宋体"/>
                <w:sz w:val="16"/>
              </w:rPr>
              <w:t>计划杏花节演出节目次数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B34BE">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E35EF">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397D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0CAD7">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E61AC">
            <w:pPr>
              <w:jc w:val="center"/>
            </w:pPr>
            <w:r>
              <w:rPr>
                <w:rFonts w:ascii="宋体" w:hAnsi="宋体" w:eastAsia="宋体"/>
                <w:sz w:val="16"/>
              </w:rPr>
              <w:t>20</w:t>
            </w:r>
          </w:p>
        </w:tc>
      </w:tr>
      <w:tr w14:paraId="1494C4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6C87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66E8A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C9501">
            <w:pPr>
              <w:jc w:val="center"/>
            </w:pPr>
            <w:r>
              <w:rPr>
                <w:rFonts w:ascii="宋体" w:hAnsi="宋体" w:eastAsia="宋体"/>
                <w:sz w:val="16"/>
              </w:rPr>
              <w:t>组织进行</w:t>
            </w:r>
            <w:r>
              <w:rPr>
                <w:rFonts w:hint="eastAsia" w:ascii="宋体" w:hAnsi="宋体"/>
                <w:sz w:val="16"/>
                <w:lang w:eastAsia="zh-CN"/>
              </w:rPr>
              <w:t>党建</w:t>
            </w:r>
            <w:r>
              <w:rPr>
                <w:rFonts w:ascii="宋体" w:hAnsi="宋体" w:eastAsia="宋体"/>
                <w:sz w:val="16"/>
              </w:rPr>
              <w:t>演出数量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DFAB3">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12F29">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F8DA8">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9FAC0">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9BB7B">
            <w:pPr>
              <w:jc w:val="center"/>
            </w:pPr>
            <w:r>
              <w:rPr>
                <w:rFonts w:ascii="宋体" w:hAnsi="宋体" w:eastAsia="宋体"/>
                <w:sz w:val="16"/>
              </w:rPr>
              <w:t>30</w:t>
            </w:r>
          </w:p>
        </w:tc>
      </w:tr>
      <w:tr w14:paraId="423299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2B0A3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62155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E55FF">
            <w:pPr>
              <w:jc w:val="center"/>
            </w:pPr>
            <w:r>
              <w:rPr>
                <w:rFonts w:ascii="宋体" w:hAnsi="宋体" w:eastAsia="宋体"/>
                <w:sz w:val="16"/>
              </w:rPr>
              <w:t>编创新节目数量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9B16E">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88281">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EFF8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1D00E">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77A31">
            <w:pPr>
              <w:jc w:val="center"/>
            </w:pPr>
            <w:r>
              <w:rPr>
                <w:rFonts w:ascii="宋体" w:hAnsi="宋体" w:eastAsia="宋体"/>
                <w:sz w:val="16"/>
              </w:rPr>
              <w:t>20</w:t>
            </w:r>
          </w:p>
        </w:tc>
      </w:tr>
      <w:tr w14:paraId="48962E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B60C2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B044B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0B036">
            <w:pPr>
              <w:jc w:val="center"/>
            </w:pPr>
            <w:r>
              <w:rPr>
                <w:rFonts w:ascii="宋体" w:hAnsi="宋体" w:eastAsia="宋体"/>
                <w:sz w:val="16"/>
              </w:rPr>
              <w:t>六合一下乡演出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2D123">
            <w:pPr>
              <w:jc w:val="center"/>
            </w:pPr>
            <w:r>
              <w:rPr>
                <w:rFonts w:ascii="宋体" w:hAnsi="宋体" w:eastAsia="宋体"/>
                <w:sz w:val="16"/>
              </w:rPr>
              <w:t>&lt;=80场次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3AFABC">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AED1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EDD5B">
            <w:pPr>
              <w:jc w:val="center"/>
            </w:pPr>
            <w:r>
              <w:rPr>
                <w:rFonts w:ascii="宋体" w:hAnsi="宋体" w:eastAsia="宋体"/>
                <w:sz w:val="16"/>
              </w:rPr>
              <w:t>80场次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A8867">
            <w:pPr>
              <w:jc w:val="center"/>
            </w:pPr>
            <w:r>
              <w:rPr>
                <w:rFonts w:ascii="宋体" w:hAnsi="宋体" w:eastAsia="宋体"/>
                <w:sz w:val="16"/>
              </w:rPr>
              <w:t>20</w:t>
            </w:r>
          </w:p>
        </w:tc>
      </w:tr>
    </w:tbl>
    <w:p w14:paraId="00524C0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794D52B">
        <w:tc>
          <w:tcPr>
            <w:tcW w:w="8847" w:type="dxa"/>
            <w:gridSpan w:val="9"/>
            <w:vAlign w:val="center"/>
          </w:tcPr>
          <w:p w14:paraId="783B0D4F">
            <w:pPr>
              <w:jc w:val="center"/>
            </w:pPr>
            <w:r>
              <w:rPr>
                <w:rFonts w:ascii="宋体" w:hAnsi="宋体" w:eastAsia="宋体"/>
                <w:sz w:val="24"/>
              </w:rPr>
              <w:t>项目支出绩效自评表</w:t>
            </w:r>
          </w:p>
        </w:tc>
      </w:tr>
      <w:tr w14:paraId="2DDE56A4">
        <w:tblPrEx>
          <w:tblCellMar>
            <w:top w:w="0" w:type="dxa"/>
            <w:left w:w="108" w:type="dxa"/>
            <w:bottom w:w="0" w:type="dxa"/>
            <w:right w:w="108" w:type="dxa"/>
          </w:tblCellMar>
        </w:tblPrEx>
        <w:tc>
          <w:tcPr>
            <w:tcW w:w="8847" w:type="dxa"/>
            <w:gridSpan w:val="9"/>
            <w:vAlign w:val="center"/>
          </w:tcPr>
          <w:p w14:paraId="19E631D8">
            <w:pPr>
              <w:jc w:val="center"/>
            </w:pPr>
            <w:r>
              <w:rPr>
                <w:rFonts w:ascii="宋体" w:hAnsi="宋体" w:eastAsia="宋体"/>
                <w:sz w:val="24"/>
              </w:rPr>
              <w:t>(2024年度)</w:t>
            </w:r>
          </w:p>
        </w:tc>
      </w:tr>
      <w:tr w14:paraId="12001D6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8AC7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7D06D03">
            <w:pPr>
              <w:jc w:val="center"/>
            </w:pPr>
            <w:r>
              <w:rPr>
                <w:rFonts w:ascii="宋体" w:hAnsi="宋体" w:eastAsia="宋体"/>
                <w:sz w:val="16"/>
              </w:rPr>
              <w:t>2024年中央补助地方公共文化服务体系建设项目</w:t>
            </w:r>
            <w:r>
              <w:rPr>
                <w:rFonts w:hint="eastAsia" w:ascii="宋体" w:hAnsi="宋体"/>
                <w:sz w:val="16"/>
                <w:lang w:eastAsia="zh-CN"/>
              </w:rPr>
              <w:t>－</w:t>
            </w:r>
            <w:r>
              <w:rPr>
                <w:rFonts w:ascii="宋体" w:hAnsi="宋体" w:eastAsia="宋体"/>
                <w:sz w:val="16"/>
              </w:rPr>
              <w:t>戏曲进乡村</w:t>
            </w:r>
          </w:p>
        </w:tc>
      </w:tr>
      <w:tr w14:paraId="100830F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105F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F8C4E8F">
            <w:pPr>
              <w:jc w:val="center"/>
            </w:pPr>
            <w:r>
              <w:rPr>
                <w:rFonts w:ascii="宋体" w:hAnsi="宋体" w:eastAsia="宋体"/>
                <w:sz w:val="16"/>
              </w:rPr>
              <w:t>洛浦县文工团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CD16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D60ECC7">
            <w:pPr>
              <w:jc w:val="center"/>
            </w:pPr>
            <w:r>
              <w:rPr>
                <w:rFonts w:ascii="宋体" w:hAnsi="宋体" w:eastAsia="宋体"/>
                <w:sz w:val="16"/>
              </w:rPr>
              <w:t>洛浦县文工团</w:t>
            </w:r>
          </w:p>
        </w:tc>
      </w:tr>
      <w:tr w14:paraId="19F40E7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FBB6B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25A4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B5F6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0152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FC1D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BC56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526E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4CCC9">
            <w:pPr>
              <w:jc w:val="center"/>
            </w:pPr>
            <w:r>
              <w:rPr>
                <w:rFonts w:ascii="宋体" w:hAnsi="宋体" w:eastAsia="宋体"/>
                <w:sz w:val="16"/>
              </w:rPr>
              <w:t>得分</w:t>
            </w:r>
          </w:p>
        </w:tc>
      </w:tr>
      <w:tr w14:paraId="3AE85C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52051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70D5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50F9F">
            <w:pPr>
              <w:jc w:val="center"/>
            </w:pPr>
            <w:r>
              <w:rPr>
                <w:rFonts w:ascii="宋体" w:hAnsi="宋体" w:eastAsia="宋体"/>
                <w:sz w:val="16"/>
              </w:rPr>
              <w:t>22.50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37228">
            <w:pPr>
              <w:jc w:val="center"/>
            </w:pPr>
            <w:r>
              <w:rPr>
                <w:rFonts w:ascii="宋体" w:hAnsi="宋体" w:eastAsia="宋体"/>
                <w:sz w:val="16"/>
              </w:rPr>
              <w:t>27.50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4AF8D">
            <w:pPr>
              <w:jc w:val="center"/>
            </w:pPr>
            <w:r>
              <w:rPr>
                <w:rFonts w:ascii="宋体" w:hAnsi="宋体" w:eastAsia="宋体"/>
                <w:sz w:val="16"/>
              </w:rPr>
              <w:t>27.50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934F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6F9C2">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830AB">
            <w:pPr>
              <w:jc w:val="center"/>
            </w:pPr>
            <w:r>
              <w:rPr>
                <w:rFonts w:ascii="宋体" w:hAnsi="宋体" w:eastAsia="宋体"/>
                <w:sz w:val="16"/>
              </w:rPr>
              <w:t>10.00分</w:t>
            </w:r>
          </w:p>
        </w:tc>
      </w:tr>
      <w:tr w14:paraId="05D3C0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923C0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A508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44FBB">
            <w:pPr>
              <w:jc w:val="center"/>
            </w:pPr>
            <w:r>
              <w:rPr>
                <w:rFonts w:ascii="宋体" w:hAnsi="宋体" w:eastAsia="宋体"/>
                <w:sz w:val="16"/>
              </w:rPr>
              <w:t>22.50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4104E">
            <w:pPr>
              <w:jc w:val="center"/>
            </w:pPr>
            <w:r>
              <w:rPr>
                <w:rFonts w:ascii="宋体" w:hAnsi="宋体" w:eastAsia="宋体"/>
                <w:sz w:val="16"/>
              </w:rPr>
              <w:t>27.50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0882B">
            <w:pPr>
              <w:jc w:val="center"/>
            </w:pPr>
            <w:r>
              <w:rPr>
                <w:rFonts w:ascii="宋体" w:hAnsi="宋体" w:eastAsia="宋体"/>
                <w:sz w:val="16"/>
              </w:rPr>
              <w:t>27.50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459E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EB7B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51F41">
            <w:pPr>
              <w:jc w:val="center"/>
            </w:pPr>
            <w:r>
              <w:rPr>
                <w:rFonts w:ascii="宋体" w:hAnsi="宋体" w:eastAsia="宋体"/>
                <w:sz w:val="16"/>
              </w:rPr>
              <w:t>—</w:t>
            </w:r>
          </w:p>
        </w:tc>
      </w:tr>
      <w:tr w14:paraId="4D4547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70E1B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0C3FE">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1582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72F1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0C1E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A25F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E3DC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33DA4">
            <w:pPr>
              <w:jc w:val="center"/>
            </w:pPr>
            <w:r>
              <w:rPr>
                <w:rFonts w:ascii="宋体" w:hAnsi="宋体" w:eastAsia="宋体"/>
                <w:sz w:val="16"/>
              </w:rPr>
              <w:t>—</w:t>
            </w:r>
          </w:p>
        </w:tc>
      </w:tr>
      <w:tr w14:paraId="2FA841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C7DD2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5BF36">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1933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5D35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F48D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DEF9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9701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3EB00">
            <w:pPr>
              <w:jc w:val="center"/>
            </w:pPr>
            <w:r>
              <w:rPr>
                <w:rFonts w:ascii="宋体" w:hAnsi="宋体" w:eastAsia="宋体"/>
                <w:sz w:val="16"/>
              </w:rPr>
              <w:t>—</w:t>
            </w:r>
          </w:p>
        </w:tc>
      </w:tr>
      <w:tr w14:paraId="2F69583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E5464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E58D76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190852">
            <w:pPr>
              <w:jc w:val="center"/>
            </w:pPr>
            <w:r>
              <w:rPr>
                <w:rFonts w:ascii="宋体" w:hAnsi="宋体" w:eastAsia="宋体"/>
                <w:sz w:val="16"/>
              </w:rPr>
              <w:t>实际完成情况</w:t>
            </w:r>
          </w:p>
        </w:tc>
      </w:tr>
      <w:tr w14:paraId="293025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8FF21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35D8878">
            <w:pPr>
              <w:jc w:val="both"/>
            </w:pPr>
            <w:r>
              <w:rPr>
                <w:rFonts w:ascii="宋体" w:hAnsi="宋体" w:eastAsia="宋体"/>
                <w:sz w:val="16"/>
              </w:rPr>
              <w:t>主要内容为：购买服装、设备、道具1批。保障2辆车正常运行，保障6名临聘人员工资，培训人员不低于80人次。购置管乐乐器及配件1批，节目创作不低于4支节目。通过实施本项目丰富群众生活，提高生活质量，促进文化的发展。通过实施本项目丰富群众生活，提高生活质量，促进文化的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FD7A5C">
            <w:pPr>
              <w:jc w:val="both"/>
            </w:pPr>
            <w:r>
              <w:rPr>
                <w:rFonts w:hint="eastAsia" w:ascii="宋体" w:hAnsi="宋体"/>
                <w:sz w:val="16"/>
                <w:lang w:eastAsia="zh-CN"/>
              </w:rPr>
              <w:t>截至</w:t>
            </w:r>
            <w:r>
              <w:rPr>
                <w:rFonts w:ascii="宋体" w:hAnsi="宋体" w:eastAsia="宋体"/>
                <w:sz w:val="16"/>
              </w:rPr>
              <w:t>2024年12月31日，本项目已保障1-12月2辆车正常运转及6名临聘人员演出补贴发放，购买服装、设备、道具批数1批，已形成资金支付27.5万元。通过项目的实施，持续促进文化发展，有效提高生活质量，丰富群众生活，社会效益基本达成目标。</w:t>
            </w:r>
          </w:p>
        </w:tc>
      </w:tr>
      <w:tr w14:paraId="43852C9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6C9425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B3F9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A145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7215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F47A8">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93EB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5339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9452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3BE88">
            <w:pPr>
              <w:jc w:val="center"/>
            </w:pPr>
            <w:r>
              <w:rPr>
                <w:rFonts w:ascii="宋体" w:hAnsi="宋体" w:eastAsia="宋体"/>
                <w:sz w:val="16"/>
              </w:rPr>
              <w:t>偏差原因分析及改进措施</w:t>
            </w:r>
          </w:p>
        </w:tc>
      </w:tr>
      <w:tr w14:paraId="2744F1F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01167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7CC71B">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ACCB2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F2E96">
            <w:pPr>
              <w:jc w:val="center"/>
            </w:pPr>
            <w:r>
              <w:rPr>
                <w:rFonts w:ascii="宋体" w:hAnsi="宋体" w:eastAsia="宋体"/>
                <w:sz w:val="16"/>
              </w:rPr>
              <w:t>购买服装、设备、道具批数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02FA3">
            <w:pPr>
              <w:jc w:val="center"/>
            </w:pPr>
            <w:r>
              <w:rPr>
                <w:rFonts w:ascii="宋体" w:hAnsi="宋体" w:eastAsia="宋体"/>
                <w:sz w:val="16"/>
              </w:rPr>
              <w:t>&gt;=1批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BC9BA">
            <w:pPr>
              <w:jc w:val="center"/>
            </w:pPr>
            <w:r>
              <w:rPr>
                <w:rFonts w:ascii="宋体" w:hAnsi="宋体" w:eastAsia="宋体"/>
                <w:sz w:val="16"/>
              </w:rPr>
              <w: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81C8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E94E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85643">
            <w:pPr>
              <w:jc w:val="center"/>
            </w:pPr>
          </w:p>
        </w:tc>
      </w:tr>
      <w:tr w14:paraId="5D8ECA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11DC4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4281A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2E36A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35548">
            <w:pPr>
              <w:jc w:val="center"/>
            </w:pPr>
            <w:r>
              <w:rPr>
                <w:rFonts w:ascii="宋体" w:hAnsi="宋体" w:eastAsia="宋体"/>
                <w:sz w:val="16"/>
              </w:rPr>
              <w:t>保障车辆数量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C2BBF">
            <w:pPr>
              <w:jc w:val="center"/>
            </w:pPr>
            <w:r>
              <w:rPr>
                <w:rFonts w:ascii="宋体" w:hAnsi="宋体" w:eastAsia="宋体"/>
                <w:sz w:val="16"/>
              </w:rPr>
              <w:t>=2辆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EC23F">
            <w:pPr>
              <w:jc w:val="center"/>
            </w:pPr>
            <w:r>
              <w:rPr>
                <w:rFonts w:ascii="宋体" w:hAnsi="宋体" w:eastAsia="宋体"/>
                <w:sz w:val="16"/>
              </w:rPr>
              <w:t>=2辆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C15E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FCD3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A30DD">
            <w:pPr>
              <w:jc w:val="center"/>
            </w:pPr>
          </w:p>
        </w:tc>
      </w:tr>
      <w:tr w14:paraId="2DB673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000D4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82685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8EE58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87BB5">
            <w:pPr>
              <w:jc w:val="center"/>
            </w:pPr>
            <w:r>
              <w:rPr>
                <w:rFonts w:ascii="宋体" w:hAnsi="宋体" w:eastAsia="宋体"/>
                <w:sz w:val="16"/>
              </w:rPr>
              <w:t>临聘人员数量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16028">
            <w:pPr>
              <w:jc w:val="center"/>
            </w:pPr>
            <w:r>
              <w:rPr>
                <w:rFonts w:ascii="宋体" w:hAnsi="宋体" w:eastAsia="宋体"/>
                <w:sz w:val="16"/>
              </w:rPr>
              <w:t>=6人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AB7DD">
            <w:pPr>
              <w:jc w:val="center"/>
            </w:pPr>
            <w:r>
              <w:rPr>
                <w:rFonts w:ascii="宋体" w:hAnsi="宋体" w:eastAsia="宋体"/>
                <w:sz w:val="16"/>
              </w:rPr>
              <w:t>=6人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039A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FE43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6B00C">
            <w:pPr>
              <w:jc w:val="center"/>
            </w:pPr>
          </w:p>
        </w:tc>
      </w:tr>
      <w:tr w14:paraId="40046F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58FC6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C9A1B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9DCC4E">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73108">
            <w:pPr>
              <w:jc w:val="center"/>
            </w:pPr>
            <w:r>
              <w:rPr>
                <w:rFonts w:ascii="宋体" w:hAnsi="宋体" w:eastAsia="宋体"/>
                <w:sz w:val="16"/>
              </w:rPr>
              <w:t>演出合格率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22D3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2ABE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9B39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821C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0E0BF">
            <w:pPr>
              <w:jc w:val="center"/>
            </w:pPr>
          </w:p>
        </w:tc>
      </w:tr>
      <w:tr w14:paraId="6C3B4B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6758B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AAD6B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65ADB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5453E">
            <w:pPr>
              <w:jc w:val="center"/>
            </w:pPr>
            <w:r>
              <w:rPr>
                <w:rFonts w:ascii="宋体" w:hAnsi="宋体" w:eastAsia="宋体"/>
                <w:sz w:val="16"/>
              </w:rPr>
              <w:t>质量验收合格率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1E6C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4CE2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EDEB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3D70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54A9B">
            <w:pPr>
              <w:jc w:val="center"/>
            </w:pPr>
          </w:p>
        </w:tc>
      </w:tr>
      <w:tr w14:paraId="4B75D6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E6646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58232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7841D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73552">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4B88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9E3F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E458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414F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00D26">
            <w:pPr>
              <w:jc w:val="center"/>
            </w:pPr>
          </w:p>
        </w:tc>
      </w:tr>
      <w:tr w14:paraId="7E4C37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F9E32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66CE5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451C85">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ED9AA">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C493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35F06">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15AB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5329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06FA6">
            <w:pPr>
              <w:jc w:val="center"/>
            </w:pPr>
          </w:p>
        </w:tc>
      </w:tr>
      <w:tr w14:paraId="6392DB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88D70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6DAEC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40A60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8C766">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5DF8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F973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9BAF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2673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302CB">
            <w:pPr>
              <w:jc w:val="center"/>
            </w:pPr>
          </w:p>
        </w:tc>
      </w:tr>
      <w:tr w14:paraId="1DBEBB6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738DD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DDEA49">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13EA9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AB209">
            <w:pPr>
              <w:jc w:val="center"/>
            </w:pPr>
            <w:r>
              <w:rPr>
                <w:rFonts w:ascii="宋体" w:hAnsi="宋体" w:eastAsia="宋体"/>
                <w:sz w:val="16"/>
              </w:rPr>
              <w:t>戏曲下乡演出费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6BC61">
            <w:pPr>
              <w:jc w:val="center"/>
            </w:pPr>
            <w:r>
              <w:rPr>
                <w:rFonts w:ascii="宋体" w:hAnsi="宋体" w:eastAsia="宋体"/>
                <w:sz w:val="16"/>
              </w:rPr>
              <w:t>&lt;=22.50万元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79190">
            <w:pPr>
              <w:jc w:val="center"/>
            </w:pPr>
            <w:r>
              <w:rPr>
                <w:rFonts w:ascii="宋体" w:hAnsi="宋体" w:eastAsia="宋体"/>
                <w:sz w:val="16"/>
              </w:rPr>
              <w:t>=22.5万元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F2E2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BECA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BA2EEE">
            <w:pPr>
              <w:jc w:val="center"/>
            </w:pPr>
          </w:p>
        </w:tc>
      </w:tr>
      <w:tr w14:paraId="21D0254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D9770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2A7DA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161B1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C671E">
            <w:pPr>
              <w:jc w:val="center"/>
            </w:pPr>
            <w:r>
              <w:rPr>
                <w:rFonts w:ascii="宋体" w:hAnsi="宋体" w:eastAsia="宋体"/>
                <w:sz w:val="16"/>
              </w:rPr>
              <w:t>购买设备、道具费用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FBDC5">
            <w:pPr>
              <w:jc w:val="center"/>
            </w:pPr>
            <w:r>
              <w:rPr>
                <w:rFonts w:ascii="宋体" w:hAnsi="宋体" w:eastAsia="宋体"/>
                <w:sz w:val="16"/>
              </w:rPr>
              <w:t>&lt;=5万元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DD0E8">
            <w:pPr>
              <w:jc w:val="center"/>
            </w:pPr>
            <w:r>
              <w:rPr>
                <w:rFonts w:ascii="宋体" w:hAnsi="宋体" w:eastAsia="宋体"/>
                <w:sz w:val="16"/>
              </w:rPr>
              <w:t>=5万元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6F05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4E31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CF499">
            <w:pPr>
              <w:jc w:val="center"/>
            </w:pPr>
          </w:p>
        </w:tc>
      </w:tr>
      <w:tr w14:paraId="5ECA18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718EA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B6FB56">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25502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EB7F8">
            <w:pPr>
              <w:jc w:val="center"/>
            </w:pPr>
            <w:r>
              <w:rPr>
                <w:rFonts w:ascii="宋体" w:hAnsi="宋体" w:eastAsia="宋体"/>
                <w:sz w:val="16"/>
              </w:rPr>
              <w:t>提高生活质量，丰富群众生活</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提高生活质量，丰富群众生活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E4902">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0F629">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B4E9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8C30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7DEFC">
            <w:pPr>
              <w:jc w:val="center"/>
            </w:pPr>
          </w:p>
        </w:tc>
      </w:tr>
      <w:tr w14:paraId="0D84B0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36153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B29F5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D7219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A703E">
            <w:pPr>
              <w:jc w:val="center"/>
            </w:pPr>
            <w:r>
              <w:rPr>
                <w:rFonts w:ascii="宋体" w:hAnsi="宋体" w:eastAsia="宋体"/>
                <w:sz w:val="16"/>
              </w:rPr>
              <w:t>促进文化发展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6D748">
            <w:pPr>
              <w:jc w:val="center"/>
            </w:pPr>
            <w:r>
              <w:rPr>
                <w:rFonts w:ascii="宋体" w:hAnsi="宋体" w:eastAsia="宋体"/>
                <w:sz w:val="16"/>
              </w:rPr>
              <w:t>持续促进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3B121">
            <w:pPr>
              <w:jc w:val="center"/>
            </w:pPr>
            <w:r>
              <w:rPr>
                <w:rFonts w:ascii="宋体" w:hAnsi="宋体" w:eastAsia="宋体"/>
                <w:sz w:val="16"/>
              </w:rPr>
              <w:t>持续促进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8C4F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D429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73ED4">
            <w:pPr>
              <w:jc w:val="center"/>
            </w:pPr>
          </w:p>
        </w:tc>
      </w:tr>
      <w:tr w14:paraId="2373CD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EC395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936D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4BD3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0CB03">
            <w:pPr>
              <w:jc w:val="center"/>
            </w:pPr>
            <w:r>
              <w:rPr>
                <w:rFonts w:ascii="宋体" w:hAnsi="宋体" w:eastAsia="宋体"/>
                <w:sz w:val="16"/>
              </w:rPr>
              <w:t>观看演出群众满意度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2F9D8">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9EDD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BAA4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0C1A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C6C6B">
            <w:pPr>
              <w:jc w:val="center"/>
            </w:pPr>
          </w:p>
        </w:tc>
      </w:tr>
      <w:tr w14:paraId="6FA1C580">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4AD8AA">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484757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6901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36235">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7E155A5"/>
        </w:tc>
      </w:tr>
    </w:tbl>
    <w:p w14:paraId="0DC6C89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97FA966">
        <w:tblPrEx>
          <w:tblCellMar>
            <w:top w:w="0" w:type="dxa"/>
            <w:left w:w="108" w:type="dxa"/>
            <w:bottom w:w="0" w:type="dxa"/>
            <w:right w:w="108" w:type="dxa"/>
          </w:tblCellMar>
        </w:tblPrEx>
        <w:tc>
          <w:tcPr>
            <w:tcW w:w="8847" w:type="dxa"/>
            <w:gridSpan w:val="9"/>
            <w:vAlign w:val="center"/>
          </w:tcPr>
          <w:p w14:paraId="00082C94">
            <w:pPr>
              <w:jc w:val="center"/>
            </w:pPr>
            <w:r>
              <w:rPr>
                <w:rFonts w:ascii="宋体" w:hAnsi="宋体" w:eastAsia="宋体"/>
                <w:sz w:val="24"/>
              </w:rPr>
              <w:t>项目支出绩效自评表</w:t>
            </w:r>
          </w:p>
        </w:tc>
      </w:tr>
      <w:tr w14:paraId="69A0DEA0">
        <w:tblPrEx>
          <w:tblCellMar>
            <w:top w:w="0" w:type="dxa"/>
            <w:left w:w="108" w:type="dxa"/>
            <w:bottom w:w="0" w:type="dxa"/>
            <w:right w:w="108" w:type="dxa"/>
          </w:tblCellMar>
        </w:tblPrEx>
        <w:tc>
          <w:tcPr>
            <w:tcW w:w="8847" w:type="dxa"/>
            <w:gridSpan w:val="9"/>
            <w:vAlign w:val="center"/>
          </w:tcPr>
          <w:p w14:paraId="004AAE3E">
            <w:pPr>
              <w:jc w:val="center"/>
            </w:pPr>
            <w:r>
              <w:rPr>
                <w:rFonts w:ascii="宋体" w:hAnsi="宋体" w:eastAsia="宋体"/>
                <w:sz w:val="24"/>
              </w:rPr>
              <w:t>(2024年度)</w:t>
            </w:r>
          </w:p>
        </w:tc>
      </w:tr>
      <w:tr w14:paraId="6E66F70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1FC60">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37790E0">
            <w:pPr>
              <w:jc w:val="center"/>
            </w:pPr>
            <w:r>
              <w:rPr>
                <w:rFonts w:ascii="宋体" w:hAnsi="宋体" w:eastAsia="宋体"/>
                <w:sz w:val="16"/>
              </w:rPr>
              <w:t>聘用人员工资（12人）</w:t>
            </w:r>
          </w:p>
        </w:tc>
      </w:tr>
      <w:tr w14:paraId="1842033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2C1A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97FBF3F">
            <w:pPr>
              <w:jc w:val="center"/>
            </w:pPr>
            <w:r>
              <w:rPr>
                <w:rFonts w:ascii="宋体" w:hAnsi="宋体" w:eastAsia="宋体"/>
                <w:sz w:val="16"/>
              </w:rPr>
              <w:t>洛浦县文工团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6221A">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21950DF">
            <w:pPr>
              <w:jc w:val="center"/>
            </w:pPr>
            <w:r>
              <w:rPr>
                <w:rFonts w:ascii="宋体" w:hAnsi="宋体" w:eastAsia="宋体"/>
                <w:sz w:val="16"/>
              </w:rPr>
              <w:t>洛浦县文工团</w:t>
            </w:r>
          </w:p>
        </w:tc>
      </w:tr>
      <w:tr w14:paraId="10B482A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BC450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0AD8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0267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F7FB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134F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4618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9880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529B5">
            <w:pPr>
              <w:jc w:val="center"/>
            </w:pPr>
            <w:r>
              <w:rPr>
                <w:rFonts w:ascii="宋体" w:hAnsi="宋体" w:eastAsia="宋体"/>
                <w:sz w:val="16"/>
              </w:rPr>
              <w:t>得分</w:t>
            </w:r>
          </w:p>
        </w:tc>
      </w:tr>
      <w:tr w14:paraId="762BD2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E09D1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B3234">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F5101">
            <w:pPr>
              <w:jc w:val="center"/>
            </w:pPr>
            <w:r>
              <w:rPr>
                <w:rFonts w:ascii="宋体" w:hAnsi="宋体" w:eastAsia="宋体"/>
                <w:sz w:val="16"/>
              </w:rPr>
              <w:t>19.44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7C07E">
            <w:pPr>
              <w:jc w:val="center"/>
            </w:pPr>
            <w:r>
              <w:rPr>
                <w:rFonts w:ascii="宋体" w:hAnsi="宋体" w:eastAsia="宋体"/>
                <w:sz w:val="16"/>
              </w:rPr>
              <w:t>42.12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02408">
            <w:pPr>
              <w:jc w:val="center"/>
            </w:pPr>
            <w:r>
              <w:rPr>
                <w:rFonts w:ascii="宋体" w:hAnsi="宋体" w:eastAsia="宋体"/>
                <w:sz w:val="16"/>
              </w:rPr>
              <w:t>42.12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020B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ACFE9">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E61D6">
            <w:pPr>
              <w:jc w:val="center"/>
            </w:pPr>
            <w:r>
              <w:rPr>
                <w:rFonts w:ascii="宋体" w:hAnsi="宋体" w:eastAsia="宋体"/>
                <w:sz w:val="16"/>
              </w:rPr>
              <w:t>10.00分</w:t>
            </w:r>
          </w:p>
        </w:tc>
      </w:tr>
      <w:tr w14:paraId="114E26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5EED4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75F2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7AE87">
            <w:pPr>
              <w:jc w:val="center"/>
            </w:pPr>
            <w:r>
              <w:rPr>
                <w:rFonts w:ascii="宋体" w:hAnsi="宋体" w:eastAsia="宋体"/>
                <w:sz w:val="16"/>
              </w:rPr>
              <w:t>19.44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0A8F4">
            <w:pPr>
              <w:jc w:val="center"/>
            </w:pPr>
            <w:r>
              <w:rPr>
                <w:rFonts w:ascii="宋体" w:hAnsi="宋体" w:eastAsia="宋体"/>
                <w:sz w:val="16"/>
              </w:rPr>
              <w:t>42.12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58A95">
            <w:pPr>
              <w:jc w:val="center"/>
            </w:pPr>
            <w:r>
              <w:rPr>
                <w:rFonts w:ascii="宋体" w:hAnsi="宋体" w:eastAsia="宋体"/>
                <w:sz w:val="16"/>
              </w:rPr>
              <w:t>42.12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B1B0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72EA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6BBF3">
            <w:pPr>
              <w:jc w:val="center"/>
            </w:pPr>
            <w:r>
              <w:rPr>
                <w:rFonts w:ascii="宋体" w:hAnsi="宋体" w:eastAsia="宋体"/>
                <w:sz w:val="16"/>
              </w:rPr>
              <w:t>—</w:t>
            </w:r>
          </w:p>
        </w:tc>
      </w:tr>
      <w:tr w14:paraId="493E4F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11FB1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9D09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5D8A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F963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2098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9033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DF50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D74AA">
            <w:pPr>
              <w:jc w:val="center"/>
            </w:pPr>
            <w:r>
              <w:rPr>
                <w:rFonts w:ascii="宋体" w:hAnsi="宋体" w:eastAsia="宋体"/>
                <w:sz w:val="16"/>
              </w:rPr>
              <w:t>—</w:t>
            </w:r>
          </w:p>
        </w:tc>
      </w:tr>
      <w:tr w14:paraId="1AB195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29092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9E0E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7AD8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E0A2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AA89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02DF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123A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30533">
            <w:pPr>
              <w:jc w:val="center"/>
            </w:pPr>
            <w:r>
              <w:rPr>
                <w:rFonts w:ascii="宋体" w:hAnsi="宋体" w:eastAsia="宋体"/>
                <w:sz w:val="16"/>
              </w:rPr>
              <w:t>—</w:t>
            </w:r>
          </w:p>
        </w:tc>
      </w:tr>
      <w:tr w14:paraId="748A7B8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10B74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D3DD30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AD0398">
            <w:pPr>
              <w:jc w:val="center"/>
            </w:pPr>
            <w:r>
              <w:rPr>
                <w:rFonts w:ascii="宋体" w:hAnsi="宋体" w:eastAsia="宋体"/>
                <w:sz w:val="16"/>
              </w:rPr>
              <w:t>实际完成情况</w:t>
            </w:r>
          </w:p>
        </w:tc>
      </w:tr>
      <w:tr w14:paraId="4A82B9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38497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DA1C01F">
            <w:pPr>
              <w:jc w:val="both"/>
            </w:pPr>
            <w:r>
              <w:rPr>
                <w:rFonts w:ascii="宋体" w:hAnsi="宋体" w:eastAsia="宋体"/>
                <w:sz w:val="16"/>
              </w:rPr>
              <w:t>根据《洛浦县2023年财经委员会会议纪要》（洛财纪字〔2023〕17号）文件实施此项目，项目主要内容为：保障12名临聘人员2023年11月</w:t>
            </w:r>
            <w:r>
              <w:rPr>
                <w:rFonts w:hint="eastAsia" w:ascii="宋体" w:hAnsi="宋体"/>
                <w:sz w:val="16"/>
                <w:lang w:eastAsia="zh-CN"/>
              </w:rPr>
              <w:t>—</w:t>
            </w:r>
            <w:r>
              <w:rPr>
                <w:rFonts w:ascii="宋体" w:hAnsi="宋体" w:eastAsia="宋体"/>
                <w:sz w:val="16"/>
              </w:rPr>
              <w:t>2024年11月工资按时发放。通过项目实施，保障临聘人员生活水平，提高工作积极性。</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22D1A7">
            <w:pPr>
              <w:jc w:val="both"/>
            </w:pPr>
            <w:r>
              <w:rPr>
                <w:rFonts w:ascii="宋体" w:hAnsi="宋体" w:eastAsia="宋体"/>
                <w:sz w:val="16"/>
              </w:rPr>
              <w:t>2023年11月</w:t>
            </w:r>
            <w:r>
              <w:rPr>
                <w:rFonts w:hint="eastAsia" w:ascii="宋体" w:hAnsi="宋体"/>
                <w:sz w:val="16"/>
                <w:lang w:eastAsia="zh-CN"/>
              </w:rPr>
              <w:t>—</w:t>
            </w:r>
            <w:r>
              <w:rPr>
                <w:rFonts w:ascii="宋体" w:hAnsi="宋体" w:eastAsia="宋体"/>
                <w:sz w:val="16"/>
              </w:rPr>
              <w:t>2024年11月保障发放12名临聘人员的工资，保障聘用人员的生活水平，提高了他们的积极性，圆满完成150场左右下乡，公益性演出等。</w:t>
            </w:r>
          </w:p>
        </w:tc>
      </w:tr>
      <w:tr w14:paraId="30807F5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7CFBDC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4B22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E630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DB8E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B7DA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0780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B4D8B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64A3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89812">
            <w:pPr>
              <w:jc w:val="center"/>
            </w:pPr>
            <w:r>
              <w:rPr>
                <w:rFonts w:ascii="宋体" w:hAnsi="宋体" w:eastAsia="宋体"/>
                <w:sz w:val="16"/>
              </w:rPr>
              <w:t>偏差原因分析及改进措施</w:t>
            </w:r>
          </w:p>
        </w:tc>
      </w:tr>
      <w:tr w14:paraId="79A08F8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63D84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18EA2A">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C37B7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B68E6">
            <w:pPr>
              <w:jc w:val="center"/>
            </w:pPr>
            <w:r>
              <w:rPr>
                <w:rFonts w:ascii="宋体" w:hAnsi="宋体" w:eastAsia="宋体"/>
                <w:sz w:val="16"/>
              </w:rPr>
              <w:t>临聘人员数量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BF2AE">
            <w:pPr>
              <w:jc w:val="center"/>
            </w:pPr>
            <w:r>
              <w:rPr>
                <w:rFonts w:ascii="宋体" w:hAnsi="宋体" w:eastAsia="宋体"/>
                <w:sz w:val="16"/>
              </w:rPr>
              <w:t>&gt;=12人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7A911">
            <w:pPr>
              <w:jc w:val="center"/>
            </w:pPr>
            <w:r>
              <w:rPr>
                <w:rFonts w:ascii="宋体" w:hAnsi="宋体" w:eastAsia="宋体"/>
                <w:sz w:val="16"/>
              </w:rPr>
              <w:t>=12人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A685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7346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98523">
            <w:pPr>
              <w:jc w:val="center"/>
            </w:pPr>
          </w:p>
        </w:tc>
      </w:tr>
      <w:tr w14:paraId="1E5FA3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3A961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DB438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D8B7D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7C9AF">
            <w:pPr>
              <w:jc w:val="center"/>
            </w:pPr>
            <w:r>
              <w:rPr>
                <w:rFonts w:ascii="宋体" w:hAnsi="宋体" w:eastAsia="宋体"/>
                <w:sz w:val="16"/>
              </w:rPr>
              <w:t>保障工作月数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9A30B">
            <w:pPr>
              <w:jc w:val="center"/>
            </w:pPr>
            <w:r>
              <w:rPr>
                <w:rFonts w:ascii="宋体" w:hAnsi="宋体" w:eastAsia="宋体"/>
                <w:sz w:val="16"/>
              </w:rPr>
              <w:t>=13月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DF80B">
            <w:pPr>
              <w:jc w:val="center"/>
            </w:pPr>
            <w:r>
              <w:rPr>
                <w:rFonts w:ascii="宋体" w:hAnsi="宋体" w:eastAsia="宋体"/>
                <w:sz w:val="16"/>
              </w:rPr>
              <w:t>=13月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F066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DE8A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D7846">
            <w:pPr>
              <w:jc w:val="center"/>
            </w:pPr>
          </w:p>
        </w:tc>
      </w:tr>
      <w:tr w14:paraId="2BE649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76404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6561F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C9B6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6F81B">
            <w:pPr>
              <w:jc w:val="center"/>
            </w:pPr>
            <w:r>
              <w:rPr>
                <w:rFonts w:ascii="宋体" w:hAnsi="宋体" w:eastAsia="宋体"/>
                <w:sz w:val="16"/>
              </w:rPr>
              <w:t>工资发放覆盖率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D340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E1DF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9729A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4C4B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26D7E">
            <w:pPr>
              <w:jc w:val="center"/>
            </w:pPr>
          </w:p>
        </w:tc>
      </w:tr>
      <w:tr w14:paraId="59C8F5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50734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80C3E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9755CD">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D08FD">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8C5C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A5C0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9CA6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87EF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10059">
            <w:pPr>
              <w:jc w:val="center"/>
            </w:pPr>
          </w:p>
        </w:tc>
      </w:tr>
      <w:tr w14:paraId="2945B5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6EDB7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B5FB3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0A4A7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EFA4C">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836EE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5EC3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6DD9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6ACD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FE051">
            <w:pPr>
              <w:jc w:val="center"/>
            </w:pPr>
          </w:p>
        </w:tc>
      </w:tr>
      <w:tr w14:paraId="31B067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EF2E3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D632F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AD8E7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DDC9FA">
            <w:pPr>
              <w:jc w:val="center"/>
            </w:pPr>
            <w:r>
              <w:rPr>
                <w:rFonts w:ascii="宋体" w:hAnsi="宋体" w:eastAsia="宋体"/>
                <w:sz w:val="16"/>
              </w:rPr>
              <w:t>补发开始时间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A8890">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10DD7">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5FAFD">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781D6">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43AFA8">
            <w:pPr>
              <w:jc w:val="center"/>
            </w:pPr>
          </w:p>
        </w:tc>
      </w:tr>
      <w:tr w14:paraId="4C0435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04886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199C2">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6391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6F1D24">
            <w:pPr>
              <w:jc w:val="center"/>
            </w:pPr>
            <w:r>
              <w:rPr>
                <w:rFonts w:ascii="宋体" w:hAnsi="宋体" w:eastAsia="宋体"/>
                <w:sz w:val="16"/>
              </w:rPr>
              <w:t>临聘人员人均工资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03D58">
            <w:pPr>
              <w:jc w:val="center"/>
            </w:pPr>
            <w:r>
              <w:rPr>
                <w:rFonts w:ascii="宋体" w:hAnsi="宋体" w:eastAsia="宋体"/>
                <w:sz w:val="16"/>
              </w:rPr>
              <w:t>&lt;=2700元/人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1C6BD">
            <w:pPr>
              <w:jc w:val="center"/>
            </w:pPr>
            <w:r>
              <w:rPr>
                <w:rFonts w:ascii="宋体" w:hAnsi="宋体" w:eastAsia="宋体"/>
                <w:sz w:val="16"/>
              </w:rPr>
              <w:t>=2700元/人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25B7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BF5E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CC4AF">
            <w:pPr>
              <w:jc w:val="center"/>
            </w:pPr>
          </w:p>
        </w:tc>
      </w:tr>
      <w:tr w14:paraId="44EE81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E2EEF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98A71">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41A9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3DBA4">
            <w:pPr>
              <w:jc w:val="center"/>
            </w:pPr>
            <w:r>
              <w:rPr>
                <w:rFonts w:ascii="宋体" w:hAnsi="宋体" w:eastAsia="宋体"/>
                <w:sz w:val="16"/>
              </w:rPr>
              <w:t>保障临聘人员工作积极性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E48F7">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99088">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A484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1A8B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FDE6D">
            <w:pPr>
              <w:jc w:val="center"/>
            </w:pPr>
          </w:p>
        </w:tc>
      </w:tr>
      <w:tr w14:paraId="28B43F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7B28A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848E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CA3D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98A09">
            <w:pPr>
              <w:jc w:val="center"/>
            </w:pPr>
            <w:r>
              <w:rPr>
                <w:rFonts w:ascii="宋体" w:hAnsi="宋体" w:eastAsia="宋体"/>
                <w:sz w:val="16"/>
              </w:rPr>
              <w:t>受益临聘人员满意度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A6A3F">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547D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C49B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DBF9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A80D6">
            <w:pPr>
              <w:jc w:val="center"/>
            </w:pPr>
          </w:p>
        </w:tc>
      </w:tr>
      <w:tr w14:paraId="778A5E59">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78EDC1">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12DA72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E382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9452B">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CB4F4EC"/>
        </w:tc>
      </w:tr>
    </w:tbl>
    <w:p w14:paraId="4E48A1E0">
      <w:r>
        <w:br w:type="page"/>
      </w:r>
    </w:p>
    <w:p w14:paraId="2522640D">
      <w:pPr>
        <w:spacing w:line="640" w:lineRule="exact"/>
        <w:ind w:firstLine="640"/>
        <w:jc w:val="both"/>
        <w:outlineLvl w:val="2"/>
      </w:pPr>
      <w:r>
        <w:rPr>
          <w:rFonts w:ascii="黑体" w:hAnsi="黑体" w:eastAsia="黑体"/>
          <w:sz w:val="32"/>
        </w:rPr>
        <w:t>十二、其他需说明的事项</w:t>
      </w:r>
    </w:p>
    <w:p w14:paraId="4B0F47D4">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43AFA7F3">
      <w:r>
        <w:br w:type="page"/>
      </w:r>
    </w:p>
    <w:p w14:paraId="6400EE94">
      <w:pPr>
        <w:spacing w:line="240" w:lineRule="auto"/>
        <w:jc w:val="center"/>
        <w:outlineLvl w:val="1"/>
      </w:pPr>
      <w:r>
        <w:rPr>
          <w:rFonts w:ascii="黑体" w:hAnsi="黑体" w:eastAsia="黑体"/>
          <w:sz w:val="32"/>
        </w:rPr>
        <w:t>第三部分 专业名词解释</w:t>
      </w:r>
    </w:p>
    <w:p w14:paraId="31DE8DD0">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8F5DDB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CA8E43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ED6736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0842A8F">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E7D04AB">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67E851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FE26817">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A77BF2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8BA8CE1">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F58160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29985AD">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2F9039D">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E01F80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48A1BDF">
      <w:r>
        <w:br w:type="page"/>
      </w:r>
    </w:p>
    <w:p w14:paraId="27F057A0">
      <w:pPr>
        <w:spacing w:line="240" w:lineRule="auto"/>
        <w:jc w:val="center"/>
        <w:outlineLvl w:val="1"/>
      </w:pPr>
      <w:r>
        <w:rPr>
          <w:rFonts w:ascii="黑体" w:hAnsi="黑体" w:eastAsia="黑体"/>
          <w:sz w:val="32"/>
        </w:rPr>
        <w:t>第四部分 部门决算报表（见附表）</w:t>
      </w:r>
    </w:p>
    <w:p w14:paraId="6AEA3AE1">
      <w:pPr>
        <w:spacing w:line="240" w:lineRule="auto"/>
        <w:ind w:firstLine="640"/>
        <w:jc w:val="both"/>
      </w:pPr>
      <w:r>
        <w:rPr>
          <w:rFonts w:ascii="仿宋_GB2312" w:hAnsi="仿宋_GB2312" w:eastAsia="仿宋_GB2312"/>
          <w:b w:val="0"/>
          <w:sz w:val="32"/>
        </w:rPr>
        <w:t>一、《收入支出决算总表》</w:t>
      </w:r>
    </w:p>
    <w:p w14:paraId="3CA856AE">
      <w:pPr>
        <w:spacing w:line="240" w:lineRule="auto"/>
        <w:ind w:firstLine="640"/>
        <w:jc w:val="both"/>
      </w:pPr>
      <w:r>
        <w:rPr>
          <w:rFonts w:ascii="仿宋_GB2312" w:hAnsi="仿宋_GB2312" w:eastAsia="仿宋_GB2312"/>
          <w:b w:val="0"/>
          <w:sz w:val="32"/>
        </w:rPr>
        <w:t>二、《收入决算表》</w:t>
      </w:r>
    </w:p>
    <w:p w14:paraId="4CCEE83D">
      <w:pPr>
        <w:spacing w:line="240" w:lineRule="auto"/>
        <w:ind w:firstLine="640"/>
        <w:jc w:val="both"/>
      </w:pPr>
      <w:r>
        <w:rPr>
          <w:rFonts w:ascii="仿宋_GB2312" w:hAnsi="仿宋_GB2312" w:eastAsia="仿宋_GB2312"/>
          <w:b w:val="0"/>
          <w:sz w:val="32"/>
        </w:rPr>
        <w:t>三、《支出决算表》</w:t>
      </w:r>
    </w:p>
    <w:p w14:paraId="19BA8FAD">
      <w:pPr>
        <w:spacing w:line="240" w:lineRule="auto"/>
        <w:ind w:firstLine="640"/>
        <w:jc w:val="both"/>
      </w:pPr>
      <w:r>
        <w:rPr>
          <w:rFonts w:ascii="仿宋_GB2312" w:hAnsi="仿宋_GB2312" w:eastAsia="仿宋_GB2312"/>
          <w:b w:val="0"/>
          <w:sz w:val="32"/>
        </w:rPr>
        <w:t>四、《财政拨款收入支出决算总表》</w:t>
      </w:r>
    </w:p>
    <w:p w14:paraId="6867B7C2">
      <w:pPr>
        <w:spacing w:line="240" w:lineRule="auto"/>
        <w:ind w:firstLine="640"/>
        <w:jc w:val="both"/>
      </w:pPr>
      <w:r>
        <w:rPr>
          <w:rFonts w:ascii="仿宋_GB2312" w:hAnsi="仿宋_GB2312" w:eastAsia="仿宋_GB2312"/>
          <w:b w:val="0"/>
          <w:sz w:val="32"/>
        </w:rPr>
        <w:t>五、《一般公共预算财政拨款支出决算表》</w:t>
      </w:r>
    </w:p>
    <w:p w14:paraId="4C0FAF0A">
      <w:pPr>
        <w:spacing w:line="240" w:lineRule="auto"/>
        <w:ind w:firstLine="640"/>
        <w:jc w:val="both"/>
      </w:pPr>
      <w:r>
        <w:rPr>
          <w:rFonts w:ascii="仿宋_GB2312" w:hAnsi="仿宋_GB2312" w:eastAsia="仿宋_GB2312"/>
          <w:b w:val="0"/>
          <w:sz w:val="32"/>
        </w:rPr>
        <w:t>六、《一般公共预算财政拨款基本支出决算表》</w:t>
      </w:r>
    </w:p>
    <w:p w14:paraId="5FE7B52E">
      <w:pPr>
        <w:spacing w:line="240" w:lineRule="auto"/>
        <w:ind w:firstLine="640"/>
        <w:jc w:val="both"/>
      </w:pPr>
      <w:r>
        <w:rPr>
          <w:rFonts w:ascii="仿宋_GB2312" w:hAnsi="仿宋_GB2312" w:eastAsia="仿宋_GB2312"/>
          <w:b w:val="0"/>
          <w:sz w:val="32"/>
        </w:rPr>
        <w:t>七、《政府性基金预算财政拨款收入支出决算表》</w:t>
      </w:r>
    </w:p>
    <w:p w14:paraId="4A833146">
      <w:pPr>
        <w:spacing w:line="240" w:lineRule="auto"/>
        <w:ind w:firstLine="640"/>
        <w:jc w:val="both"/>
      </w:pPr>
      <w:r>
        <w:rPr>
          <w:rFonts w:ascii="仿宋_GB2312" w:hAnsi="仿宋_GB2312" w:eastAsia="仿宋_GB2312"/>
          <w:b w:val="0"/>
          <w:sz w:val="32"/>
        </w:rPr>
        <w:t>八、《国有资本经营预算财政拨款收入支出决算表》</w:t>
      </w:r>
    </w:p>
    <w:p w14:paraId="7D082767">
      <w:pPr>
        <w:spacing w:line="240" w:lineRule="auto"/>
        <w:ind w:firstLine="640"/>
        <w:jc w:val="both"/>
      </w:pPr>
      <w:r>
        <w:rPr>
          <w:rFonts w:ascii="仿宋_GB2312" w:hAnsi="仿宋_GB2312" w:eastAsia="仿宋_GB2312"/>
          <w:b w:val="0"/>
          <w:sz w:val="32"/>
        </w:rPr>
        <w:t>九、《财政拨款“三公”经费支出决算表》</w:t>
      </w:r>
    </w:p>
    <w:p w14:paraId="06C95D58">
      <w:pPr>
        <w:spacing w:line="240" w:lineRule="auto"/>
        <w:ind w:firstLine="640"/>
        <w:jc w:val="both"/>
      </w:pPr>
    </w:p>
    <w:p w14:paraId="760F6FEE">
      <w:pPr>
        <w:spacing w:line="240" w:lineRule="auto"/>
        <w:ind w:firstLine="640"/>
        <w:jc w:val="both"/>
      </w:pPr>
    </w:p>
    <w:p w14:paraId="2B98500F">
      <w:pPr>
        <w:spacing w:line="240" w:lineRule="auto"/>
        <w:ind w:firstLine="640"/>
        <w:jc w:val="both"/>
      </w:pPr>
    </w:p>
    <w:p w14:paraId="401BC81C">
      <w:pPr>
        <w:spacing w:line="240" w:lineRule="auto"/>
        <w:ind w:firstLine="640"/>
        <w:jc w:val="both"/>
      </w:pPr>
    </w:p>
    <w:p w14:paraId="0F6C85D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19373A4"/>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602DD8"/>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4168</Words>
  <Characters>4768</Characters>
  <Lines>0</Lines>
  <Paragraphs>0</Paragraphs>
  <TotalTime>5</TotalTime>
  <ScaleCrop>false</ScaleCrop>
  <LinksUpToDate>false</LinksUpToDate>
  <CharactersWithSpaces>4777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2025-09-17T09:58:52Z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eyJoZGlkIjoiYmMxZDY5OGZlYzU4ZGEwZmUyZWNkMmU5NzBiZTFjZWEiLCJ1c2VySWQiOiI0MzE2NzY3NzkifQ==</vt:lpwstr>
  </property>
</Properties>
</file>