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洛浦县招商引资服务中心2024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68C690B4">
      <w:r>
        <w:br w:type="page"/>
      </w:r>
    </w:p>
    <w:p w14:paraId="6D786EE1">
      <w:pPr>
        <w:spacing w:line="640" w:lineRule="exact"/>
        <w:jc w:val="center"/>
        <w:outlineLvl w:val="1"/>
      </w:pPr>
      <w:r>
        <w:rPr>
          <w:rFonts w:ascii="黑体" w:hAnsi="黑体" w:eastAsia="黑体"/>
          <w:sz w:val="32"/>
        </w:rPr>
        <w:t>第一部分 单位概况</w:t>
      </w:r>
    </w:p>
    <w:p w14:paraId="586BCC16">
      <w:pPr>
        <w:spacing w:line="640" w:lineRule="exact"/>
        <w:ind w:firstLine="640"/>
        <w:jc w:val="both"/>
        <w:outlineLvl w:val="2"/>
      </w:pPr>
      <w:r>
        <w:rPr>
          <w:rFonts w:ascii="黑体" w:hAnsi="黑体" w:eastAsia="黑体"/>
          <w:sz w:val="32"/>
        </w:rPr>
        <w:t>一、主要职能</w:t>
      </w:r>
    </w:p>
    <w:p w14:paraId="320DA2C8">
      <w:pPr>
        <w:spacing w:line="580" w:lineRule="exact"/>
        <w:ind w:firstLine="640"/>
        <w:jc w:val="both"/>
      </w:pPr>
      <w:r>
        <w:rPr>
          <w:rFonts w:ascii="仿宋_GB2312" w:hAnsi="仿宋_GB2312" w:eastAsia="仿宋_GB2312"/>
          <w:sz w:val="32"/>
        </w:rPr>
        <w:t>(1)调研、挖掘、掌握县内资源优势、发展潜力，</w:t>
      </w:r>
      <w:r>
        <w:rPr>
          <w:rFonts w:hint="eastAsia" w:ascii="仿宋_GB2312" w:hAnsi="仿宋_GB2312" w:eastAsia="仿宋_GB2312"/>
          <w:sz w:val="32"/>
          <w:lang w:eastAsia="zh-CN"/>
        </w:rPr>
        <w:t>合理</w:t>
      </w:r>
      <w:r>
        <w:rPr>
          <w:rFonts w:ascii="仿宋_GB2312" w:hAnsi="仿宋_GB2312" w:eastAsia="仿宋_GB2312"/>
          <w:sz w:val="32"/>
        </w:rPr>
        <w:t>规划招商引资格局和布局方案。</w:t>
      </w:r>
    </w:p>
    <w:p w14:paraId="4B088AEF">
      <w:pPr>
        <w:spacing w:line="580" w:lineRule="exact"/>
        <w:ind w:firstLine="640"/>
        <w:jc w:val="both"/>
      </w:pPr>
      <w:r>
        <w:rPr>
          <w:rFonts w:ascii="仿宋_GB2312" w:hAnsi="仿宋_GB2312" w:eastAsia="仿宋_GB2312"/>
          <w:sz w:val="32"/>
        </w:rPr>
        <w:t>(2)研究制定招商引资优惠政策、改善优化投资环境有关规定，加大全县各个部门招商引资力度有关措施等政策规定方案，并负责实施通过的方案。</w:t>
      </w:r>
    </w:p>
    <w:p w14:paraId="72F18D3C">
      <w:pPr>
        <w:spacing w:line="580" w:lineRule="exact"/>
        <w:ind w:firstLine="640"/>
        <w:jc w:val="both"/>
      </w:pPr>
      <w:r>
        <w:rPr>
          <w:rFonts w:ascii="仿宋_GB2312" w:hAnsi="仿宋_GB2312" w:eastAsia="仿宋_GB2312"/>
          <w:sz w:val="32"/>
        </w:rPr>
        <w:t>(3)负责招商引资的组织、宣传、协调、服务、实施工作。</w:t>
      </w:r>
    </w:p>
    <w:p w14:paraId="4E190C9F">
      <w:pPr>
        <w:spacing w:line="580" w:lineRule="exact"/>
        <w:ind w:firstLine="640"/>
        <w:jc w:val="both"/>
      </w:pPr>
      <w:r>
        <w:rPr>
          <w:rFonts w:ascii="仿宋_GB2312" w:hAnsi="仿宋_GB2312" w:eastAsia="仿宋_GB2312"/>
          <w:sz w:val="32"/>
        </w:rPr>
        <w:t>(4)负责全县招商引资领导小组办公室的日常事务工作。</w:t>
      </w:r>
    </w:p>
    <w:p w14:paraId="62538C7E">
      <w:pPr>
        <w:spacing w:line="640" w:lineRule="exact"/>
        <w:ind w:firstLine="640"/>
        <w:jc w:val="both"/>
        <w:outlineLvl w:val="2"/>
      </w:pPr>
      <w:r>
        <w:rPr>
          <w:rFonts w:ascii="黑体" w:hAnsi="黑体" w:eastAsia="黑体"/>
          <w:sz w:val="32"/>
        </w:rPr>
        <w:t>二、机构设置及人员情况</w:t>
      </w:r>
    </w:p>
    <w:p w14:paraId="5CCB4EE9">
      <w:pPr>
        <w:spacing w:line="580" w:lineRule="exact"/>
        <w:ind w:firstLine="640"/>
        <w:jc w:val="both"/>
      </w:pPr>
      <w:r>
        <w:rPr>
          <w:rFonts w:ascii="仿宋_GB2312" w:hAnsi="仿宋_GB2312" w:eastAsia="仿宋_GB2312"/>
          <w:sz w:val="32"/>
        </w:rPr>
        <w:t>洛浦县招商引资服务中心2024年度，实有人数6人，其中：在职人员5人，减少1人；离休人员0人，增加0人；退休人员1人,增加0人。</w:t>
      </w:r>
    </w:p>
    <w:p w14:paraId="1BFC010A">
      <w:pPr>
        <w:spacing w:line="580" w:lineRule="exact"/>
        <w:ind w:firstLine="640"/>
        <w:jc w:val="both"/>
      </w:pPr>
      <w:r>
        <w:rPr>
          <w:rFonts w:ascii="仿宋_GB2312" w:hAnsi="仿宋_GB2312" w:eastAsia="仿宋_GB2312"/>
          <w:sz w:val="32"/>
        </w:rPr>
        <w:t>洛浦县招商引资服务中心无下属预算单位，下设3个科室，分别是：财务室、招商办、办公室。</w:t>
      </w:r>
    </w:p>
    <w:p w14:paraId="54942DA0">
      <w:r>
        <w:br w:type="page"/>
      </w:r>
    </w:p>
    <w:p w14:paraId="4AE1ABA4">
      <w:pPr>
        <w:spacing w:line="240" w:lineRule="auto"/>
        <w:jc w:val="center"/>
        <w:outlineLvl w:val="1"/>
      </w:pPr>
      <w:r>
        <w:rPr>
          <w:rFonts w:ascii="黑体" w:hAnsi="黑体" w:eastAsia="黑体"/>
          <w:sz w:val="32"/>
        </w:rPr>
        <w:t>第二部分 部门决算情况说明</w:t>
      </w:r>
    </w:p>
    <w:p w14:paraId="73B44A21">
      <w:pPr>
        <w:spacing w:line="640" w:lineRule="exact"/>
        <w:ind w:firstLine="640"/>
        <w:jc w:val="both"/>
        <w:outlineLvl w:val="2"/>
      </w:pPr>
      <w:r>
        <w:rPr>
          <w:rFonts w:ascii="黑体" w:hAnsi="黑体" w:eastAsia="黑体"/>
          <w:sz w:val="32"/>
        </w:rPr>
        <w:t>一、收入支出决算总体情况说明</w:t>
      </w:r>
    </w:p>
    <w:p w14:paraId="56370C4B">
      <w:pPr>
        <w:spacing w:line="580" w:lineRule="exact"/>
        <w:ind w:firstLine="640"/>
        <w:jc w:val="both"/>
      </w:pPr>
      <w:r>
        <w:rPr>
          <w:rFonts w:ascii="仿宋_GB2312" w:hAnsi="仿宋_GB2312" w:eastAsia="仿宋_GB2312"/>
          <w:b/>
          <w:sz w:val="32"/>
        </w:rPr>
        <w:t>2024年度收入总计378.57万元，</w:t>
      </w:r>
      <w:r>
        <w:rPr>
          <w:rFonts w:ascii="仿宋_GB2312" w:hAnsi="仿宋_GB2312" w:eastAsia="仿宋_GB2312"/>
          <w:b w:val="0"/>
          <w:sz w:val="32"/>
        </w:rPr>
        <w:t>其中：本年收入合计286.49万元，使用非财政拨款结余（含专用结余）0.00万元，年初结转和结余92.07万元。</w:t>
      </w:r>
    </w:p>
    <w:p w14:paraId="4153746B">
      <w:pPr>
        <w:spacing w:line="580" w:lineRule="exact"/>
        <w:ind w:firstLine="640"/>
        <w:jc w:val="both"/>
      </w:pPr>
      <w:r>
        <w:rPr>
          <w:rFonts w:ascii="仿宋_GB2312" w:hAnsi="仿宋_GB2312" w:eastAsia="仿宋_GB2312"/>
          <w:b/>
          <w:sz w:val="32"/>
        </w:rPr>
        <w:t>2024年度支出总计378.57万元，</w:t>
      </w:r>
      <w:r>
        <w:rPr>
          <w:rFonts w:ascii="仿宋_GB2312" w:hAnsi="仿宋_GB2312" w:eastAsia="仿宋_GB2312"/>
          <w:b w:val="0"/>
          <w:sz w:val="32"/>
        </w:rPr>
        <w:t>其中：本年支出合计204.61万元，结余分配0.00万元，年末结转和结余173.96万元。</w:t>
      </w:r>
    </w:p>
    <w:p w14:paraId="5B650820">
      <w:pPr>
        <w:spacing w:line="580" w:lineRule="exact"/>
        <w:ind w:firstLine="640"/>
        <w:jc w:val="both"/>
      </w:pPr>
      <w:r>
        <w:rPr>
          <w:rFonts w:ascii="仿宋_GB2312" w:hAnsi="仿宋_GB2312" w:eastAsia="仿宋_GB2312"/>
          <w:b w:val="0"/>
          <w:sz w:val="32"/>
        </w:rPr>
        <w:t>收入支出总体与上年相比，增加124.22万元，增长48.84%，主要原因是：本年增加</w:t>
      </w:r>
      <w:r>
        <w:rPr>
          <w:rFonts w:hint="eastAsia" w:ascii="仿宋_GB2312" w:hAnsi="仿宋_GB2312" w:eastAsia="仿宋_GB2312"/>
          <w:b w:val="0"/>
          <w:sz w:val="32"/>
          <w:lang w:eastAsia="zh-CN"/>
        </w:rPr>
        <w:t>中国移动</w:t>
      </w:r>
      <w:r>
        <w:rPr>
          <w:rFonts w:ascii="仿宋_GB2312" w:hAnsi="仿宋_GB2312" w:eastAsia="仿宋_GB2312"/>
          <w:b w:val="0"/>
          <w:sz w:val="32"/>
        </w:rPr>
        <w:t>捐赠收入资金。</w:t>
      </w:r>
    </w:p>
    <w:p w14:paraId="6E3A5CD3">
      <w:pPr>
        <w:spacing w:line="640" w:lineRule="exact"/>
        <w:ind w:firstLine="640"/>
        <w:jc w:val="both"/>
        <w:outlineLvl w:val="2"/>
      </w:pPr>
      <w:r>
        <w:rPr>
          <w:rFonts w:ascii="黑体" w:hAnsi="黑体" w:eastAsia="黑体"/>
          <w:sz w:val="32"/>
        </w:rPr>
        <w:t>二、收入决算情况说明</w:t>
      </w:r>
    </w:p>
    <w:p w14:paraId="4B9515E3">
      <w:pPr>
        <w:spacing w:line="580" w:lineRule="exact"/>
        <w:ind w:firstLine="640"/>
        <w:jc w:val="both"/>
      </w:pPr>
      <w:r>
        <w:rPr>
          <w:rFonts w:ascii="仿宋_GB2312" w:hAnsi="仿宋_GB2312" w:eastAsia="仿宋_GB2312"/>
          <w:b/>
          <w:sz w:val="32"/>
        </w:rPr>
        <w:t>本年收入286.49万元，</w:t>
      </w:r>
      <w:r>
        <w:rPr>
          <w:rFonts w:ascii="仿宋_GB2312" w:hAnsi="仿宋_GB2312" w:eastAsia="仿宋_GB2312"/>
          <w:b w:val="0"/>
          <w:sz w:val="32"/>
        </w:rPr>
        <w:t>其中：财政拨款收入100.21万元，占34.98%；上级补助收入0.00万元，占0.00%；事业收入0.00万元，占0.00%；经营收入0.00万元，占0.00%；附属单位上缴收入0.00万元，占0.00%；其他收入186.28万元，占65.02%。</w:t>
      </w:r>
    </w:p>
    <w:p w14:paraId="48EC9C0A">
      <w:pPr>
        <w:spacing w:line="640" w:lineRule="exact"/>
        <w:ind w:firstLine="640"/>
        <w:jc w:val="both"/>
        <w:outlineLvl w:val="2"/>
      </w:pPr>
      <w:r>
        <w:rPr>
          <w:rFonts w:ascii="黑体" w:hAnsi="黑体" w:eastAsia="黑体"/>
          <w:sz w:val="32"/>
        </w:rPr>
        <w:t>三、支出决算情况说明</w:t>
      </w:r>
    </w:p>
    <w:p w14:paraId="7A2C7C33">
      <w:pPr>
        <w:spacing w:line="580" w:lineRule="exact"/>
        <w:ind w:firstLine="640"/>
        <w:jc w:val="both"/>
      </w:pPr>
      <w:r>
        <w:rPr>
          <w:rFonts w:ascii="仿宋_GB2312" w:hAnsi="仿宋_GB2312" w:eastAsia="仿宋_GB2312"/>
          <w:b/>
          <w:sz w:val="32"/>
        </w:rPr>
        <w:t>本年支出204.61万元，</w:t>
      </w:r>
      <w:r>
        <w:rPr>
          <w:rFonts w:ascii="仿宋_GB2312" w:hAnsi="仿宋_GB2312" w:eastAsia="仿宋_GB2312"/>
          <w:b w:val="0"/>
          <w:sz w:val="32"/>
        </w:rPr>
        <w:t>其中：基本支出204.61万元，占100.00%；项目支出0.00万元，占0.00%；上缴上级支出0.00万元，占0.00%；经营支出0.00万元，占0.00%；对附属单位补助支出0.00万元，占0.00%。</w:t>
      </w:r>
    </w:p>
    <w:p w14:paraId="733A9F24">
      <w:pPr>
        <w:spacing w:line="640" w:lineRule="exact"/>
        <w:ind w:firstLine="640"/>
        <w:jc w:val="both"/>
        <w:outlineLvl w:val="2"/>
      </w:pPr>
      <w:r>
        <w:rPr>
          <w:rFonts w:ascii="黑体" w:hAnsi="黑体" w:eastAsia="黑体"/>
          <w:sz w:val="32"/>
        </w:rPr>
        <w:t>四、财政拨款收入支出决算总体情况说明</w:t>
      </w:r>
    </w:p>
    <w:p w14:paraId="2A273D96">
      <w:pPr>
        <w:spacing w:line="580" w:lineRule="exact"/>
        <w:ind w:firstLine="640"/>
        <w:jc w:val="both"/>
      </w:pPr>
      <w:r>
        <w:rPr>
          <w:rFonts w:ascii="仿宋_GB2312" w:hAnsi="仿宋_GB2312" w:eastAsia="仿宋_GB2312"/>
          <w:b/>
          <w:sz w:val="32"/>
        </w:rPr>
        <w:t>2024年度财政拨款收入总计100.21万元，</w:t>
      </w:r>
      <w:r>
        <w:rPr>
          <w:rFonts w:ascii="仿宋_GB2312" w:hAnsi="仿宋_GB2312" w:eastAsia="仿宋_GB2312"/>
          <w:b w:val="0"/>
          <w:sz w:val="32"/>
        </w:rPr>
        <w:t>其中：年初财政拨款结转和结余0.00万元，本年财政拨款收入100.21万元。</w:t>
      </w:r>
      <w:r>
        <w:rPr>
          <w:rFonts w:ascii="仿宋_GB2312" w:hAnsi="仿宋_GB2312" w:eastAsia="仿宋_GB2312"/>
          <w:b/>
          <w:sz w:val="32"/>
        </w:rPr>
        <w:t>财政拨款支出总计100.21万元，</w:t>
      </w:r>
      <w:r>
        <w:rPr>
          <w:rFonts w:ascii="仿宋_GB2312" w:hAnsi="仿宋_GB2312" w:eastAsia="仿宋_GB2312"/>
          <w:b w:val="0"/>
          <w:sz w:val="32"/>
        </w:rPr>
        <w:t>其中：年末财政拨款结转和结余0.00万元，本年财政拨款支出100.21万元。</w:t>
      </w:r>
    </w:p>
    <w:p w14:paraId="08AFC2A3">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减少36.94万元，下降26.93%，主要原因是：1.本年在职人员减少，相关人员经费较上年减少。2.本年企业补助费用补贴项目资金减少。</w:t>
      </w:r>
      <w:r>
        <w:rPr>
          <w:rFonts w:ascii="仿宋_GB2312" w:hAnsi="仿宋_GB2312" w:eastAsia="仿宋_GB2312"/>
          <w:b/>
          <w:sz w:val="32"/>
        </w:rPr>
        <w:t>与年初预算相比，</w:t>
      </w:r>
      <w:r>
        <w:rPr>
          <w:rFonts w:ascii="仿宋_GB2312" w:hAnsi="仿宋_GB2312" w:eastAsia="仿宋_GB2312"/>
          <w:b w:val="0"/>
          <w:sz w:val="32"/>
        </w:rPr>
        <w:t>年初预算数123.87万元，决算数100.21万元，预决算差异率-19.10%，主要原因是：1.本年在职人员减少，年中调减人员经费，导致预决算存在差异。2.年中调减企业补助费用补贴项目资金，导致预决算存在差异。</w:t>
      </w:r>
    </w:p>
    <w:p w14:paraId="2D899D95">
      <w:pPr>
        <w:spacing w:line="640" w:lineRule="exact"/>
        <w:ind w:firstLine="640"/>
        <w:jc w:val="both"/>
        <w:outlineLvl w:val="2"/>
      </w:pPr>
      <w:r>
        <w:rPr>
          <w:rFonts w:ascii="黑体" w:hAnsi="黑体" w:eastAsia="黑体"/>
          <w:sz w:val="32"/>
        </w:rPr>
        <w:t>五、一般公共预算财政拨款支出决算情况说明</w:t>
      </w:r>
    </w:p>
    <w:p w14:paraId="5D4CF8B9">
      <w:pPr>
        <w:spacing w:line="640" w:lineRule="exact"/>
        <w:ind w:firstLine="640"/>
        <w:jc w:val="both"/>
        <w:outlineLvl w:val="3"/>
      </w:pPr>
      <w:r>
        <w:rPr>
          <w:rFonts w:ascii="楷体_GB2312" w:hAnsi="楷体_GB2312" w:eastAsia="楷体_GB2312"/>
          <w:b/>
          <w:sz w:val="32"/>
        </w:rPr>
        <w:t>（一）一般公共预算财政拨款支出决算总体情况</w:t>
      </w:r>
    </w:p>
    <w:p w14:paraId="37C50B25">
      <w:pPr>
        <w:spacing w:line="580" w:lineRule="exact"/>
        <w:ind w:firstLine="640"/>
        <w:jc w:val="both"/>
      </w:pPr>
      <w:r>
        <w:rPr>
          <w:rFonts w:ascii="仿宋_GB2312" w:hAnsi="仿宋_GB2312" w:eastAsia="仿宋_GB2312"/>
          <w:b/>
          <w:sz w:val="32"/>
        </w:rPr>
        <w:t>2024年度一般公共预算财政拨款支出100.21万元，</w:t>
      </w:r>
      <w:r>
        <w:rPr>
          <w:rFonts w:ascii="仿宋_GB2312" w:hAnsi="仿宋_GB2312" w:eastAsia="仿宋_GB2312"/>
          <w:b w:val="0"/>
          <w:sz w:val="32"/>
        </w:rPr>
        <w:t>占本年支出合计的48.98%。</w:t>
      </w:r>
      <w:r>
        <w:rPr>
          <w:rFonts w:ascii="仿宋_GB2312" w:hAnsi="仿宋_GB2312" w:eastAsia="仿宋_GB2312"/>
          <w:b/>
          <w:sz w:val="32"/>
        </w:rPr>
        <w:t>与上年相比，</w:t>
      </w:r>
      <w:r>
        <w:rPr>
          <w:rFonts w:ascii="仿宋_GB2312" w:hAnsi="仿宋_GB2312" w:eastAsia="仿宋_GB2312"/>
          <w:b w:val="0"/>
          <w:sz w:val="32"/>
        </w:rPr>
        <w:t>减少36.94万元，下降26.93%，主要原因是：1.本年在职人员减少，相关人员经费较上年减少。2.本年企业补助费用补贴项目资金减少。</w:t>
      </w:r>
      <w:r>
        <w:rPr>
          <w:rFonts w:ascii="仿宋_GB2312" w:hAnsi="仿宋_GB2312" w:eastAsia="仿宋_GB2312"/>
          <w:b/>
          <w:sz w:val="32"/>
        </w:rPr>
        <w:t>与年初预算相比,</w:t>
      </w:r>
      <w:r>
        <w:rPr>
          <w:rFonts w:ascii="仿宋_GB2312" w:hAnsi="仿宋_GB2312" w:eastAsia="仿宋_GB2312"/>
          <w:b w:val="0"/>
          <w:sz w:val="32"/>
        </w:rPr>
        <w:t>年初预算数123.87万元，决算数100.21万元，预决算差异率-19.10%，主要原因是：1.本年在职人员减少，年中调减人员经费，导致预决算存在差异。2.年中调减企业补助费用补贴项目资金，导致预决算存在差异。</w:t>
      </w:r>
    </w:p>
    <w:p w14:paraId="40FBBDC4">
      <w:pPr>
        <w:spacing w:line="640" w:lineRule="exact"/>
        <w:ind w:firstLine="640"/>
        <w:jc w:val="both"/>
        <w:outlineLvl w:val="3"/>
      </w:pPr>
      <w:r>
        <w:rPr>
          <w:rFonts w:ascii="楷体_GB2312" w:hAnsi="楷体_GB2312" w:eastAsia="楷体_GB2312"/>
          <w:b/>
          <w:sz w:val="32"/>
        </w:rPr>
        <w:t>（二）一般公共预算财政拨款支出决算结构情况</w:t>
      </w:r>
    </w:p>
    <w:p w14:paraId="7A1B3229">
      <w:pPr>
        <w:spacing w:line="580" w:lineRule="exact"/>
        <w:ind w:firstLine="640"/>
        <w:jc w:val="both"/>
      </w:pPr>
      <w:r>
        <w:rPr>
          <w:rFonts w:ascii="仿宋_GB2312" w:hAnsi="仿宋_GB2312" w:eastAsia="仿宋_GB2312"/>
          <w:b w:val="0"/>
          <w:sz w:val="32"/>
        </w:rPr>
        <w:t>1.一般公共服务支出(类)75.72万元,占75.56%。</w:t>
      </w:r>
    </w:p>
    <w:p w14:paraId="44345429">
      <w:pPr>
        <w:spacing w:line="580" w:lineRule="exact"/>
        <w:ind w:firstLine="640"/>
        <w:jc w:val="both"/>
      </w:pPr>
      <w:r>
        <w:rPr>
          <w:rFonts w:ascii="仿宋_GB2312" w:hAnsi="仿宋_GB2312" w:eastAsia="仿宋_GB2312"/>
          <w:b w:val="0"/>
          <w:sz w:val="32"/>
        </w:rPr>
        <w:t>2.社会保障和就业支出(类)11.57万元,占11.55%。</w:t>
      </w:r>
    </w:p>
    <w:p w14:paraId="3258B37E">
      <w:pPr>
        <w:spacing w:line="580" w:lineRule="exact"/>
        <w:ind w:firstLine="640"/>
        <w:jc w:val="both"/>
      </w:pPr>
      <w:r>
        <w:rPr>
          <w:rFonts w:ascii="仿宋_GB2312" w:hAnsi="仿宋_GB2312" w:eastAsia="仿宋_GB2312"/>
          <w:b w:val="0"/>
          <w:sz w:val="32"/>
        </w:rPr>
        <w:t>3.卫生健康支出(类)5.39万元,占5.38%。</w:t>
      </w:r>
    </w:p>
    <w:p w14:paraId="3AB397C3">
      <w:pPr>
        <w:spacing w:line="580" w:lineRule="exact"/>
        <w:ind w:firstLine="640"/>
        <w:jc w:val="both"/>
      </w:pPr>
      <w:r>
        <w:rPr>
          <w:rFonts w:ascii="仿宋_GB2312" w:hAnsi="仿宋_GB2312" w:eastAsia="仿宋_GB2312"/>
          <w:b w:val="0"/>
          <w:sz w:val="32"/>
        </w:rPr>
        <w:t>4.住房保障支出(类)7.53万元,占7.51%。</w:t>
      </w:r>
    </w:p>
    <w:p w14:paraId="5045EE57">
      <w:pPr>
        <w:spacing w:line="640" w:lineRule="exact"/>
        <w:ind w:firstLine="640"/>
        <w:jc w:val="both"/>
        <w:outlineLvl w:val="3"/>
      </w:pPr>
      <w:r>
        <w:rPr>
          <w:rFonts w:ascii="楷体_GB2312" w:hAnsi="楷体_GB2312" w:eastAsia="楷体_GB2312"/>
          <w:b/>
          <w:sz w:val="32"/>
        </w:rPr>
        <w:t>（三）一般公共预算财政拨款支出决算具体情况</w:t>
      </w:r>
    </w:p>
    <w:p w14:paraId="6E483FC5">
      <w:pPr>
        <w:spacing w:line="580" w:lineRule="exact"/>
        <w:ind w:firstLine="640"/>
        <w:jc w:val="both"/>
      </w:pPr>
      <w:r>
        <w:rPr>
          <w:rFonts w:ascii="仿宋_GB2312" w:hAnsi="仿宋_GB2312" w:eastAsia="仿宋_GB2312"/>
          <w:b w:val="0"/>
          <w:sz w:val="32"/>
        </w:rPr>
        <w:t>1.一般公共服务支出(类)商贸事务(款)事业运行(项):支出决算数为75.72万元，比上年决算减少16.77万元，下降18.13%,主要原因是：本年功能科目调整，事业单位医疗，事业单位离退休，公务员医疗补助，住房公积金上年度在主科目列支，本年单独列支，导致经费较上年减少。</w:t>
      </w:r>
    </w:p>
    <w:p w14:paraId="626BC291">
      <w:pPr>
        <w:spacing w:line="580" w:lineRule="exact"/>
        <w:ind w:firstLine="640"/>
        <w:jc w:val="both"/>
      </w:pPr>
      <w:r>
        <w:rPr>
          <w:rFonts w:ascii="仿宋_GB2312" w:hAnsi="仿宋_GB2312" w:eastAsia="仿宋_GB2312"/>
          <w:b w:val="0"/>
          <w:sz w:val="32"/>
        </w:rPr>
        <w:t>2.一般公共服务支出(类)商贸事务(款)其他商贸事务支出(项):支出决算数为0.00万元，比上年决算减少32.60万元，下降100.00%,主要原因是：本年企业补助费用补贴项目资金减少。</w:t>
      </w:r>
    </w:p>
    <w:p w14:paraId="22D45E32">
      <w:pPr>
        <w:spacing w:line="580" w:lineRule="exact"/>
        <w:ind w:firstLine="640"/>
        <w:jc w:val="both"/>
      </w:pPr>
      <w:r>
        <w:rPr>
          <w:rFonts w:ascii="仿宋_GB2312" w:hAnsi="仿宋_GB2312" w:eastAsia="仿宋_GB2312"/>
          <w:b w:val="0"/>
          <w:sz w:val="32"/>
        </w:rPr>
        <w:t>3.社会保障和就业支出(类)行政事业单位养老支出(款)事业单位离退休(项):支出决算数为1.57万元，比上年决算增加1.57万元，增长100.00%,主要原因是：本年功能科目调整，事业单位离退休上年度在主科目列支，本年单独列支，导致经费较上年增加。</w:t>
      </w:r>
    </w:p>
    <w:p w14:paraId="1D76E3CC">
      <w:pPr>
        <w:spacing w:line="580" w:lineRule="exact"/>
        <w:ind w:firstLine="640"/>
        <w:jc w:val="both"/>
      </w:pPr>
      <w:r>
        <w:rPr>
          <w:rFonts w:ascii="仿宋_GB2312" w:hAnsi="仿宋_GB2312" w:eastAsia="仿宋_GB2312"/>
          <w:b w:val="0"/>
          <w:sz w:val="32"/>
        </w:rPr>
        <w:t>4.社会保障和就业支出(类)行政事业单位养老支出(款)机关事业单位基本养老保险缴费支出(项):支出决算数为10.00万元，比上年决算增加1.47万元，增长17.23%,主要原因是：本年在职人员工资基数调增，养老缴费基数上涨，相应支出增加。</w:t>
      </w:r>
    </w:p>
    <w:p w14:paraId="44FAA6B0">
      <w:pPr>
        <w:spacing w:line="580" w:lineRule="exact"/>
        <w:ind w:firstLine="640"/>
        <w:jc w:val="both"/>
      </w:pPr>
      <w:r>
        <w:rPr>
          <w:rFonts w:ascii="仿宋_GB2312" w:hAnsi="仿宋_GB2312" w:eastAsia="仿宋_GB2312"/>
          <w:b w:val="0"/>
          <w:sz w:val="32"/>
        </w:rPr>
        <w:t>5.社会保障和就业支出(类)行政事业单位养老支出(款)机关事业单位职业年金缴费支出(项):支出决算数为0.00万元，比上年决算减少3.53万元，下降100.00%,主要原因是：本年未补缴职业年金，导致职业年金缴费下降。</w:t>
      </w:r>
    </w:p>
    <w:p w14:paraId="7FDB07CD">
      <w:pPr>
        <w:spacing w:line="580" w:lineRule="exact"/>
        <w:ind w:firstLine="640"/>
        <w:jc w:val="both"/>
      </w:pPr>
      <w:r>
        <w:rPr>
          <w:rFonts w:ascii="仿宋_GB2312" w:hAnsi="仿宋_GB2312" w:eastAsia="仿宋_GB2312"/>
          <w:b w:val="0"/>
          <w:sz w:val="32"/>
        </w:rPr>
        <w:t>6.卫生健康支出(类)行政事业单位医疗(款)事业单位医疗(项):支出决算数为4.06万元，比上年决算增加4.06万元，增长100.00%,主要原因是：本年功能科目调整，事业单位医疗支出上年度在主科目列支，本年单独列支，导致经费较上年增加。</w:t>
      </w:r>
    </w:p>
    <w:p w14:paraId="03F1238A">
      <w:pPr>
        <w:spacing w:line="580" w:lineRule="exact"/>
        <w:ind w:firstLine="640"/>
        <w:jc w:val="both"/>
      </w:pPr>
      <w:r>
        <w:rPr>
          <w:rFonts w:ascii="仿宋_GB2312" w:hAnsi="仿宋_GB2312" w:eastAsia="仿宋_GB2312"/>
          <w:b w:val="0"/>
          <w:sz w:val="32"/>
        </w:rPr>
        <w:t>7.卫生健康支出(类)行政事业单位医疗(款)公务员医疗补助(项):支出决算数为1.33万元，比上年决算增加1.33万元，增长100.00%,主要原因是：本年功能科目调整，公务员医疗补助上年度在主科目列支，本年单独列支，导致经费较上年增加。</w:t>
      </w:r>
    </w:p>
    <w:p w14:paraId="49809119">
      <w:pPr>
        <w:spacing w:line="580" w:lineRule="exact"/>
        <w:ind w:firstLine="640"/>
        <w:jc w:val="both"/>
      </w:pPr>
      <w:r>
        <w:rPr>
          <w:rFonts w:ascii="仿宋_GB2312" w:hAnsi="仿宋_GB2312" w:eastAsia="仿宋_GB2312"/>
          <w:b w:val="0"/>
          <w:sz w:val="32"/>
        </w:rPr>
        <w:t>8.住房保障支出(类)住房改革支出(款)住房公积金(项):支出决算数为7.53万元，比上年决算增加7.53万元，增长100.00%,主要原因是：本年功能科目调整，住房公积金上年度在主科目列支，本年单独列支，导致经费较上年增加。</w:t>
      </w:r>
    </w:p>
    <w:p w14:paraId="1F48A9A0">
      <w:pPr>
        <w:spacing w:line="640" w:lineRule="exact"/>
        <w:ind w:firstLine="640"/>
        <w:jc w:val="both"/>
        <w:outlineLvl w:val="2"/>
      </w:pPr>
      <w:r>
        <w:rPr>
          <w:rFonts w:ascii="黑体" w:hAnsi="黑体" w:eastAsia="黑体"/>
          <w:sz w:val="32"/>
        </w:rPr>
        <w:t>六、一般公共预算财政拨款基本支出决算情况说明</w:t>
      </w:r>
    </w:p>
    <w:p w14:paraId="3481794A">
      <w:pPr>
        <w:spacing w:line="580" w:lineRule="exact"/>
        <w:ind w:firstLine="640"/>
        <w:jc w:val="both"/>
      </w:pPr>
      <w:r>
        <w:rPr>
          <w:rFonts w:ascii="仿宋_GB2312" w:hAnsi="仿宋_GB2312" w:eastAsia="仿宋_GB2312"/>
          <w:b w:val="0"/>
          <w:sz w:val="32"/>
        </w:rPr>
        <w:t>2024年度一般公共预算财政拨款基本支出100.21万元，其中：</w:t>
      </w:r>
      <w:r>
        <w:rPr>
          <w:rFonts w:ascii="仿宋_GB2312" w:hAnsi="仿宋_GB2312" w:eastAsia="仿宋_GB2312"/>
          <w:b/>
          <w:sz w:val="32"/>
        </w:rPr>
        <w:t>人员经费98.04万元，</w:t>
      </w:r>
      <w:r>
        <w:rPr>
          <w:rFonts w:ascii="仿宋_GB2312" w:hAnsi="仿宋_GB2312" w:eastAsia="仿宋_GB2312"/>
          <w:b w:val="0"/>
          <w:sz w:val="32"/>
        </w:rPr>
        <w:t>包括：基本工资、津贴补贴、绩效工资、机关事业单位基本养老保险缴费、职工基本医疗保险缴费、公务员医疗补助缴费、其他社会保障缴费、住房公积金、退休费。</w:t>
      </w:r>
    </w:p>
    <w:p w14:paraId="24EBB6EA">
      <w:pPr>
        <w:spacing w:line="580" w:lineRule="exact"/>
        <w:ind w:firstLine="640"/>
        <w:jc w:val="both"/>
      </w:pPr>
      <w:r>
        <w:rPr>
          <w:rFonts w:ascii="仿宋_GB2312" w:hAnsi="仿宋_GB2312" w:eastAsia="仿宋_GB2312"/>
          <w:b/>
          <w:sz w:val="32"/>
        </w:rPr>
        <w:t>公用经费2.17万元，</w:t>
      </w:r>
      <w:r>
        <w:rPr>
          <w:rFonts w:ascii="仿宋_GB2312" w:hAnsi="仿宋_GB2312" w:eastAsia="仿宋_GB2312"/>
          <w:b w:val="0"/>
          <w:sz w:val="32"/>
        </w:rPr>
        <w:t>包括：办公费、邮电费、工会经费、其他交通费用。</w:t>
      </w:r>
    </w:p>
    <w:p w14:paraId="325CBF43">
      <w:pPr>
        <w:spacing w:line="640" w:lineRule="exact"/>
        <w:ind w:firstLine="640"/>
        <w:jc w:val="both"/>
        <w:outlineLvl w:val="2"/>
      </w:pPr>
      <w:r>
        <w:rPr>
          <w:rFonts w:ascii="黑体" w:hAnsi="黑体" w:eastAsia="黑体"/>
          <w:sz w:val="32"/>
        </w:rPr>
        <w:t>七、政府性基金预算财政拨款收入支出决算情况说明</w:t>
      </w:r>
    </w:p>
    <w:p w14:paraId="53BA8753">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2AC2129C">
      <w:pPr>
        <w:spacing w:line="640" w:lineRule="exact"/>
        <w:ind w:firstLine="640"/>
        <w:jc w:val="both"/>
        <w:outlineLvl w:val="2"/>
      </w:pPr>
      <w:r>
        <w:rPr>
          <w:rFonts w:ascii="黑体" w:hAnsi="黑体" w:eastAsia="黑体"/>
          <w:sz w:val="32"/>
        </w:rPr>
        <w:t>八、国有资本经营预算财政拨款收入支出决算情况说明</w:t>
      </w:r>
    </w:p>
    <w:p w14:paraId="45A9F51D">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03DDA99B">
      <w:pPr>
        <w:spacing w:line="640" w:lineRule="exact"/>
        <w:ind w:firstLine="640"/>
        <w:jc w:val="both"/>
        <w:outlineLvl w:val="2"/>
      </w:pPr>
      <w:r>
        <w:rPr>
          <w:rFonts w:ascii="黑体" w:hAnsi="黑体" w:eastAsia="黑体"/>
          <w:sz w:val="32"/>
        </w:rPr>
        <w:t>九、财政拨款“三公”经费支出决算情况说明</w:t>
      </w:r>
    </w:p>
    <w:p w14:paraId="2B08EF07">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06FCBC04">
      <w:pPr>
        <w:spacing w:line="580" w:lineRule="exact"/>
        <w:ind w:firstLine="640"/>
        <w:jc w:val="both"/>
      </w:pPr>
      <w:r>
        <w:rPr>
          <w:rFonts w:ascii="仿宋_GB2312" w:hAnsi="仿宋_GB2312" w:eastAsia="仿宋_GB2312"/>
          <w:b/>
          <w:sz w:val="32"/>
        </w:rPr>
        <w:t>具体情况如下：</w:t>
      </w:r>
    </w:p>
    <w:p w14:paraId="2F9FED09">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28AD0BCE">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0EC85558">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01625DE2">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46939DB4">
      <w:pPr>
        <w:spacing w:line="640" w:lineRule="exact"/>
        <w:ind w:firstLine="640"/>
        <w:jc w:val="both"/>
        <w:outlineLvl w:val="2"/>
      </w:pPr>
      <w:r>
        <w:rPr>
          <w:rFonts w:ascii="黑体" w:hAnsi="黑体" w:eastAsia="黑体"/>
          <w:sz w:val="32"/>
        </w:rPr>
        <w:t>十、其他重要事项的情况说明</w:t>
      </w:r>
    </w:p>
    <w:p w14:paraId="75F6DFD9">
      <w:pPr>
        <w:spacing w:line="640" w:lineRule="exact"/>
        <w:ind w:firstLine="640"/>
        <w:jc w:val="both"/>
        <w:outlineLvl w:val="3"/>
      </w:pPr>
      <w:r>
        <w:rPr>
          <w:rFonts w:ascii="楷体_GB2312" w:hAnsi="楷体_GB2312" w:eastAsia="楷体_GB2312"/>
          <w:b/>
          <w:sz w:val="32"/>
        </w:rPr>
        <w:t>（一）机关运行经费及公用经费支出情况</w:t>
      </w:r>
    </w:p>
    <w:p w14:paraId="40FA16E2">
      <w:pPr>
        <w:spacing w:line="580" w:lineRule="exact"/>
        <w:ind w:firstLine="640"/>
        <w:jc w:val="both"/>
      </w:pPr>
      <w:r>
        <w:rPr>
          <w:rFonts w:ascii="仿宋_GB2312" w:hAnsi="仿宋_GB2312" w:eastAsia="仿宋_GB2312"/>
          <w:b w:val="0"/>
          <w:sz w:val="32"/>
        </w:rPr>
        <w:t>2024年度洛浦县招商引资服务中心（行政单位和参照公务员法管理事业单位）机关运行经费支出2.17万元，比上年增加0.81万元，增长59.56%，主要原因是：本年更新、维护补充办公用品，导致机关运行经费增加。</w:t>
      </w:r>
    </w:p>
    <w:p w14:paraId="5D558001">
      <w:pPr>
        <w:spacing w:line="640" w:lineRule="exact"/>
        <w:ind w:firstLine="640"/>
        <w:jc w:val="both"/>
        <w:outlineLvl w:val="3"/>
      </w:pPr>
      <w:r>
        <w:rPr>
          <w:rFonts w:ascii="楷体_GB2312" w:hAnsi="楷体_GB2312" w:eastAsia="楷体_GB2312"/>
          <w:b/>
          <w:sz w:val="32"/>
        </w:rPr>
        <w:t>（二）政府采购情况</w:t>
      </w:r>
    </w:p>
    <w:p w14:paraId="49C855F7">
      <w:pPr>
        <w:spacing w:line="580" w:lineRule="exact"/>
        <w:ind w:firstLine="640"/>
        <w:jc w:val="both"/>
      </w:pPr>
      <w:r>
        <w:rPr>
          <w:rFonts w:ascii="仿宋_GB2312" w:hAnsi="仿宋_GB2312" w:eastAsia="仿宋_GB2312"/>
          <w:b w:val="0"/>
          <w:sz w:val="32"/>
        </w:rPr>
        <w:t>2024年度政府采购支出总额0.00万元，其中：政府采购货物支出0.00万元、政府采购工程支出0.00万元、政府采购服务支出0.00万元。</w:t>
      </w:r>
    </w:p>
    <w:p w14:paraId="34BD9AF7">
      <w:pPr>
        <w:spacing w:line="580" w:lineRule="exact"/>
        <w:ind w:firstLine="640"/>
        <w:jc w:val="both"/>
      </w:pPr>
      <w:r>
        <w:rPr>
          <w:rFonts w:ascii="仿宋_GB2312" w:hAnsi="仿宋_GB2312" w:eastAsia="仿宋_GB2312"/>
          <w:b w:val="0"/>
          <w:sz w:val="32"/>
        </w:rPr>
        <w:t>授予中小企业合同金额0.00万元，占政府采购支出总额的0.00%，其中：授予小微企业合同金额0.00万元，占政府采购支出总额的0.00%。</w:t>
      </w:r>
    </w:p>
    <w:p w14:paraId="6A210C17">
      <w:pPr>
        <w:spacing w:line="640" w:lineRule="exact"/>
        <w:ind w:firstLine="640"/>
        <w:jc w:val="both"/>
        <w:outlineLvl w:val="3"/>
      </w:pPr>
      <w:r>
        <w:rPr>
          <w:rFonts w:ascii="楷体_GB2312" w:hAnsi="楷体_GB2312" w:eastAsia="楷体_GB2312"/>
          <w:b/>
          <w:sz w:val="32"/>
        </w:rPr>
        <w:t>（三）国有资产占用情况说明</w:t>
      </w:r>
    </w:p>
    <w:p w14:paraId="7B110BE6">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1736DCC7">
      <w:pPr>
        <w:spacing w:line="640" w:lineRule="exact"/>
        <w:ind w:firstLine="640"/>
        <w:jc w:val="both"/>
        <w:outlineLvl w:val="2"/>
      </w:pPr>
      <w:r>
        <w:rPr>
          <w:rFonts w:ascii="黑体" w:hAnsi="黑体" w:eastAsia="黑体"/>
          <w:sz w:val="32"/>
        </w:rPr>
        <w:t>十一、预算绩效的情况说明</w:t>
      </w:r>
    </w:p>
    <w:p w14:paraId="3D02EDDE">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378.56万元，实际执行总额204.61万元；预算绩效评价项目0个，全年预算数0.00万元，全年执行数0.00万元。预算绩效管理取得的成效：一是确保资金的高效使用，切实发挥财政资金的使用效果；二是严格按照工作职责和相关文件依据，确保专款专用。发现的问题及原因：一是预算部门整体支出绩效总体目标与履职效能的数量指标、质量指标缺乏对应性，关联性和可操作性不强。部门对项目绩效目标的设定和各项指标的理解、认识不到位，导致项目绩效目标不够明确、不够细化、不够量化，缺乏可衡量性和可实现性。二是预算编制和执行存在差异，部分项目预算没有执行完，部分项目预算调整幅度较大，部分项目未按预算批复的明细项目使用，临时性工作追加经费较多，预算编制的精确性有待进一步提高。下一步改进措施：一是进一步加强单位的预算意识，严格按照预算编制的相关制度和要求以及下一年度的工作计划，细化编制部门预算，提高预算编制的科学性、合理性、严谨性。二是加强预算管理，严格预算执行。按部门预算执行进度严格资金划拨程序，增强预算执行的时效性和均衡性。同时，对年中重大预算调整事项应经充分论证及集体决策，按规范程序逐步报批。三是加强预算收支核算。内部机构相关处室要按照项目建设进度合理编制项目经费预算，并严格按项目进度执行预算，增强预算的约束力和严肃性，尽量避免年中追加大金额项目经费。具体附整体支出绩效自评表。</w:t>
      </w:r>
    </w:p>
    <w:p w14:paraId="172D33E1">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8AD1E99">
        <w:tblPrEx>
          <w:tblCellMar>
            <w:top w:w="0" w:type="dxa"/>
            <w:left w:w="108" w:type="dxa"/>
            <w:bottom w:w="0" w:type="dxa"/>
            <w:right w:w="108" w:type="dxa"/>
          </w:tblCellMar>
        </w:tblPrEx>
        <w:tc>
          <w:tcPr>
            <w:tcW w:w="8847" w:type="dxa"/>
            <w:gridSpan w:val="9"/>
            <w:vAlign w:val="center"/>
          </w:tcPr>
          <w:p w14:paraId="3F173088">
            <w:pPr>
              <w:jc w:val="center"/>
            </w:pPr>
            <w:r>
              <w:rPr>
                <w:rFonts w:ascii="宋体" w:hAnsi="宋体" w:eastAsia="宋体"/>
                <w:sz w:val="24"/>
              </w:rPr>
              <w:t>单位整体支出绩效自评表</w:t>
            </w:r>
          </w:p>
        </w:tc>
      </w:tr>
      <w:tr w14:paraId="21872D99">
        <w:tblPrEx>
          <w:tblCellMar>
            <w:top w:w="0" w:type="dxa"/>
            <w:left w:w="108" w:type="dxa"/>
            <w:bottom w:w="0" w:type="dxa"/>
            <w:right w:w="108" w:type="dxa"/>
          </w:tblCellMar>
        </w:tblPrEx>
        <w:tc>
          <w:tcPr>
            <w:tcW w:w="8847" w:type="dxa"/>
            <w:gridSpan w:val="9"/>
            <w:vAlign w:val="center"/>
          </w:tcPr>
          <w:p w14:paraId="619AE303">
            <w:pPr>
              <w:jc w:val="center"/>
            </w:pPr>
            <w:r>
              <w:rPr>
                <w:rFonts w:ascii="宋体" w:hAnsi="宋体" w:eastAsia="宋体"/>
                <w:sz w:val="24"/>
              </w:rPr>
              <w:t>（2024年度）</w:t>
            </w:r>
          </w:p>
        </w:tc>
      </w:tr>
      <w:tr w14:paraId="1B515C9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19FE2D">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81A74B4">
            <w:pPr>
              <w:jc w:val="center"/>
            </w:pPr>
            <w:r>
              <w:rPr>
                <w:rFonts w:ascii="宋体" w:hAnsi="宋体" w:eastAsia="宋体"/>
                <w:sz w:val="16"/>
              </w:rPr>
              <w:t>洛浦县招商引资服务中心</w:t>
            </w:r>
          </w:p>
        </w:tc>
      </w:tr>
      <w:tr w14:paraId="1567918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C012F6">
            <w:pPr>
              <w:jc w:val="center"/>
            </w:pPr>
            <w:r>
              <w:rPr>
                <w:rFonts w:ascii="宋体" w:hAnsi="宋体" w:eastAsia="宋体"/>
                <w:sz w:val="16"/>
              </w:rPr>
              <w:t>年度预算（万元）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5F5509">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64C607">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DD7728">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0A022C">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5A3FC0">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8997A5">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9419AA">
            <w:pPr>
              <w:jc w:val="center"/>
            </w:pPr>
            <w:r>
              <w:rPr>
                <w:rFonts w:ascii="宋体" w:hAnsi="宋体" w:eastAsia="宋体"/>
                <w:sz w:val="16"/>
              </w:rPr>
              <w:t>得分</w:t>
            </w:r>
          </w:p>
        </w:tc>
      </w:tr>
      <w:tr w14:paraId="2EB8CDA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0E9E50"/>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391745">
            <w:pPr>
              <w:jc w:val="center"/>
            </w:pPr>
            <w:r>
              <w:rPr>
                <w:rFonts w:ascii="宋体" w:hAnsi="宋体" w:eastAsia="宋体"/>
                <w:sz w:val="16"/>
              </w:rPr>
              <w:t>财政资金（万元）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21AE78">
            <w:pPr>
              <w:jc w:val="center"/>
            </w:pPr>
            <w:r>
              <w:rPr>
                <w:rFonts w:ascii="宋体" w:hAnsi="宋体" w:eastAsia="宋体"/>
                <w:sz w:val="16"/>
              </w:rPr>
              <w:t>上级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0A983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12731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AD7E3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14B54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8506C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DDB4AA">
            <w:pPr>
              <w:jc w:val="center"/>
            </w:pPr>
            <w:r>
              <w:rPr>
                <w:rFonts w:ascii="宋体" w:hAnsi="宋体" w:eastAsia="宋体"/>
                <w:sz w:val="16"/>
              </w:rPr>
              <w:t>-</w:t>
            </w:r>
          </w:p>
        </w:tc>
      </w:tr>
      <w:tr w14:paraId="6817836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6F43F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828A6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380507">
            <w:pPr>
              <w:jc w:val="center"/>
            </w:pPr>
            <w:r>
              <w:rPr>
                <w:rFonts w:ascii="宋体" w:hAnsi="宋体" w:eastAsia="宋体"/>
                <w:sz w:val="16"/>
              </w:rPr>
              <w:t>本级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C98DD5">
            <w:pPr>
              <w:jc w:val="center"/>
            </w:pPr>
            <w:r>
              <w:rPr>
                <w:rFonts w:ascii="宋体" w:hAnsi="宋体" w:eastAsia="宋体"/>
                <w:sz w:val="16"/>
              </w:rPr>
              <w:t>123.87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A885C3">
            <w:pPr>
              <w:jc w:val="center"/>
            </w:pPr>
            <w:r>
              <w:rPr>
                <w:rFonts w:ascii="宋体" w:hAnsi="宋体" w:eastAsia="宋体"/>
                <w:sz w:val="16"/>
              </w:rPr>
              <w:t>274.17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C09386">
            <w:pPr>
              <w:jc w:val="center"/>
            </w:pPr>
            <w:r>
              <w:rPr>
                <w:rFonts w:ascii="宋体" w:hAnsi="宋体" w:eastAsia="宋体"/>
                <w:sz w:val="16"/>
              </w:rPr>
              <w:t>204.61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3BD30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24646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90D379">
            <w:pPr>
              <w:jc w:val="center"/>
            </w:pPr>
            <w:r>
              <w:rPr>
                <w:rFonts w:ascii="宋体" w:hAnsi="宋体" w:eastAsia="宋体"/>
                <w:sz w:val="16"/>
              </w:rPr>
              <w:t>-</w:t>
            </w:r>
          </w:p>
        </w:tc>
      </w:tr>
      <w:tr w14:paraId="60A8E96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9D939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771A8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80B2D1">
            <w:pPr>
              <w:jc w:val="center"/>
            </w:pPr>
            <w:r>
              <w:rPr>
                <w:rFonts w:ascii="宋体" w:hAnsi="宋体" w:eastAsia="宋体"/>
                <w:sz w:val="16"/>
              </w:rPr>
              <w:t>其他</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ECA74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5619BA">
            <w:pPr>
              <w:jc w:val="center"/>
            </w:pPr>
            <w:r>
              <w:rPr>
                <w:rFonts w:ascii="宋体" w:hAnsi="宋体" w:eastAsia="宋体"/>
                <w:sz w:val="16"/>
              </w:rPr>
              <w:t>104.39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BDFE8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E5227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3F15A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A5ED14">
            <w:pPr>
              <w:jc w:val="center"/>
            </w:pPr>
            <w:r>
              <w:rPr>
                <w:rFonts w:ascii="宋体" w:hAnsi="宋体" w:eastAsia="宋体"/>
                <w:sz w:val="16"/>
              </w:rPr>
              <w:t>-</w:t>
            </w:r>
          </w:p>
        </w:tc>
      </w:tr>
      <w:tr w14:paraId="358878B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ECC8B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B8183B">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21D6D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5BAAD9">
            <w:pPr>
              <w:jc w:val="center"/>
            </w:pPr>
            <w:r>
              <w:rPr>
                <w:rFonts w:ascii="宋体" w:hAnsi="宋体" w:eastAsia="宋体"/>
                <w:sz w:val="16"/>
              </w:rPr>
              <w:t>123.87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33610B">
            <w:pPr>
              <w:jc w:val="center"/>
            </w:pPr>
            <w:r>
              <w:rPr>
                <w:rFonts w:ascii="宋体" w:hAnsi="宋体" w:eastAsia="宋体"/>
                <w:sz w:val="16"/>
              </w:rPr>
              <w:t>378.56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9D180E">
            <w:pPr>
              <w:jc w:val="center"/>
            </w:pPr>
            <w:r>
              <w:rPr>
                <w:rFonts w:ascii="宋体" w:hAnsi="宋体" w:eastAsia="宋体"/>
                <w:sz w:val="16"/>
              </w:rPr>
              <w:t>204.61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C3CF9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020C66">
            <w:pPr>
              <w:jc w:val="center"/>
            </w:pPr>
            <w:r>
              <w:rPr>
                <w:rFonts w:ascii="宋体" w:hAnsi="宋体" w:eastAsia="宋体"/>
                <w:sz w:val="16"/>
              </w:rPr>
              <w:t>54.05%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2887EF">
            <w:pPr>
              <w:jc w:val="center"/>
            </w:pPr>
            <w:r>
              <w:rPr>
                <w:rFonts w:ascii="宋体" w:hAnsi="宋体" w:eastAsia="宋体"/>
                <w:sz w:val="16"/>
              </w:rPr>
              <w:t>5.4</w:t>
            </w:r>
          </w:p>
        </w:tc>
      </w:tr>
      <w:tr w14:paraId="73C4395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229368">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8DC7444">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43E7845">
            <w:pPr>
              <w:jc w:val="center"/>
            </w:pPr>
            <w:r>
              <w:rPr>
                <w:rFonts w:ascii="宋体" w:hAnsi="宋体" w:eastAsia="宋体"/>
                <w:sz w:val="16"/>
              </w:rPr>
              <w:t>实际完成情况</w:t>
            </w:r>
          </w:p>
        </w:tc>
      </w:tr>
      <w:tr w14:paraId="09A4826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DE9601"/>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90BD2E0">
            <w:pPr>
              <w:jc w:val="both"/>
            </w:pPr>
            <w:r>
              <w:rPr>
                <w:rFonts w:ascii="宋体" w:hAnsi="宋体" w:eastAsia="宋体"/>
                <w:sz w:val="16"/>
              </w:rPr>
              <w:t>1.保障单位在职6人，退休1人的工资福利及各项补助正常发放及部门正常运转；</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2.以“五大产业集群”为招商引资重点方向，大力推动</w:t>
            </w:r>
            <w:r>
              <w:rPr>
                <w:rFonts w:hint="eastAsia" w:ascii="宋体" w:hAnsi="宋体"/>
                <w:sz w:val="16"/>
                <w:lang w:eastAsia="zh-CN"/>
              </w:rPr>
              <w:t>招</w:t>
            </w:r>
            <w:r>
              <w:rPr>
                <w:rFonts w:ascii="宋体" w:hAnsi="宋体" w:eastAsia="宋体"/>
                <w:sz w:val="16"/>
              </w:rPr>
              <w:t>商引资工作，</w:t>
            </w:r>
            <w:r>
              <w:rPr>
                <w:rFonts w:hint="eastAsia" w:ascii="宋体" w:hAnsi="宋体"/>
                <w:sz w:val="16"/>
                <w:lang w:eastAsia="zh-CN"/>
              </w:rPr>
              <w:t>进一步</w:t>
            </w:r>
            <w:r>
              <w:rPr>
                <w:rFonts w:ascii="宋体" w:hAnsi="宋体" w:eastAsia="宋体"/>
                <w:sz w:val="16"/>
              </w:rPr>
              <w:t>构建多元化产业齐头并进的发展模式，促进全县经济健康和谐快速增长。</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3.招引劳动密集型企业2家。</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4.年内完成</w:t>
            </w:r>
            <w:r>
              <w:rPr>
                <w:rFonts w:hint="eastAsia" w:ascii="宋体" w:hAnsi="宋体"/>
                <w:sz w:val="16"/>
                <w:lang w:eastAsia="zh-CN"/>
              </w:rPr>
              <w:t>招</w:t>
            </w:r>
            <w:r>
              <w:rPr>
                <w:rFonts w:ascii="宋体" w:hAnsi="宋体" w:eastAsia="宋体"/>
                <w:sz w:val="16"/>
              </w:rPr>
              <w:t>商引资任务103亿元。</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8B36098">
            <w:pPr>
              <w:jc w:val="both"/>
            </w:pPr>
            <w:r>
              <w:rPr>
                <w:rFonts w:ascii="宋体" w:hAnsi="宋体" w:eastAsia="宋体"/>
                <w:sz w:val="16"/>
              </w:rPr>
              <w:t>1.保障单位在职6人，退休1人的工资福利及各项补助正常发放及部门正常运转；</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2.以“五大产业集群”为</w:t>
            </w:r>
            <w:bookmarkStart w:id="0" w:name="_GoBack"/>
            <w:bookmarkEnd w:id="0"/>
            <w:r>
              <w:rPr>
                <w:rFonts w:ascii="宋体" w:hAnsi="宋体" w:eastAsia="宋体"/>
                <w:sz w:val="16"/>
              </w:rPr>
              <w:t>招商引资重点方向，大力推动</w:t>
            </w:r>
            <w:r>
              <w:rPr>
                <w:rFonts w:hint="eastAsia" w:ascii="宋体" w:hAnsi="宋体"/>
                <w:sz w:val="16"/>
                <w:lang w:eastAsia="zh-CN"/>
              </w:rPr>
              <w:t>招</w:t>
            </w:r>
            <w:r>
              <w:rPr>
                <w:rFonts w:ascii="宋体" w:hAnsi="宋体" w:eastAsia="宋体"/>
                <w:sz w:val="16"/>
              </w:rPr>
              <w:t>商引资工作，</w:t>
            </w:r>
            <w:r>
              <w:rPr>
                <w:rFonts w:hint="eastAsia" w:ascii="宋体" w:hAnsi="宋体"/>
                <w:sz w:val="16"/>
                <w:lang w:eastAsia="zh-CN"/>
              </w:rPr>
              <w:t>进一步</w:t>
            </w:r>
            <w:r>
              <w:rPr>
                <w:rFonts w:ascii="宋体" w:hAnsi="宋体" w:eastAsia="宋体"/>
                <w:sz w:val="16"/>
              </w:rPr>
              <w:t>构建多元化产业齐头并进的发展模式，促进全县经济健康和谐快速增长。</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3.已招引劳动密集型企业2家。</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4.2024年1-12月底全县</w:t>
            </w:r>
            <w:r>
              <w:rPr>
                <w:rFonts w:hint="eastAsia" w:ascii="宋体" w:hAnsi="宋体"/>
                <w:sz w:val="16"/>
                <w:lang w:eastAsia="zh-CN"/>
              </w:rPr>
              <w:t>招</w:t>
            </w:r>
            <w:r>
              <w:rPr>
                <w:rFonts w:ascii="宋体" w:hAnsi="宋体" w:eastAsia="宋体"/>
                <w:sz w:val="16"/>
              </w:rPr>
              <w:t>商引资项目到位资金累计110.15亿元，同比增长34.19%，完成地区</w:t>
            </w:r>
            <w:r>
              <w:rPr>
                <w:rFonts w:hint="eastAsia" w:ascii="宋体" w:hAnsi="宋体"/>
                <w:sz w:val="16"/>
                <w:lang w:eastAsia="zh-CN"/>
              </w:rPr>
              <w:t>招</w:t>
            </w:r>
            <w:r>
              <w:rPr>
                <w:rFonts w:ascii="宋体" w:hAnsi="宋体" w:eastAsia="宋体"/>
                <w:sz w:val="16"/>
              </w:rPr>
              <w:t>商引资任务的106.94%。</w:t>
            </w:r>
          </w:p>
        </w:tc>
      </w:tr>
      <w:tr w14:paraId="0FAE9B9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998105">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3E5B74">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2E09B1">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30001A">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B33D0E">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76A408">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CC548D">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64F0E6">
            <w:pPr>
              <w:jc w:val="center"/>
            </w:pPr>
            <w:r>
              <w:rPr>
                <w:rFonts w:ascii="宋体" w:hAnsi="宋体" w:eastAsia="宋体"/>
                <w:sz w:val="16"/>
              </w:rPr>
              <w:t>得分</w:t>
            </w:r>
          </w:p>
        </w:tc>
      </w:tr>
      <w:tr w14:paraId="6FD4975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27A971">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287805">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3A110D">
            <w:pPr>
              <w:jc w:val="center"/>
            </w:pPr>
            <w:r>
              <w:rPr>
                <w:rFonts w:ascii="宋体" w:hAnsi="宋体" w:eastAsia="宋体"/>
                <w:sz w:val="16"/>
              </w:rPr>
              <w:t>完成招引劳动密集型企业数量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61314A">
            <w:pPr>
              <w:jc w:val="center"/>
            </w:pPr>
            <w:r>
              <w:rPr>
                <w:rFonts w:ascii="宋体" w:hAnsi="宋体" w:eastAsia="宋体"/>
                <w:sz w:val="16"/>
              </w:rPr>
              <w:t>&gt;=3家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456801">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77F34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1373CD">
            <w:pPr>
              <w:jc w:val="center"/>
            </w:pPr>
            <w:r>
              <w:rPr>
                <w:rFonts w:ascii="宋体" w:hAnsi="宋体" w:eastAsia="宋体"/>
                <w:sz w:val="16"/>
              </w:rPr>
              <w:t>3家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43C0D8">
            <w:pPr>
              <w:jc w:val="center"/>
            </w:pPr>
            <w:r>
              <w:rPr>
                <w:rFonts w:ascii="宋体" w:hAnsi="宋体" w:eastAsia="宋体"/>
                <w:sz w:val="16"/>
              </w:rPr>
              <w:t>20</w:t>
            </w:r>
          </w:p>
        </w:tc>
      </w:tr>
      <w:tr w14:paraId="5BF49BD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86763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F4ECA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16711F">
            <w:pPr>
              <w:jc w:val="center"/>
            </w:pPr>
            <w:r>
              <w:rPr>
                <w:rFonts w:ascii="宋体" w:hAnsi="宋体" w:eastAsia="宋体"/>
                <w:sz w:val="16"/>
              </w:rPr>
              <w:t>保障工作人员数量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C690F1">
            <w:pPr>
              <w:jc w:val="center"/>
            </w:pPr>
            <w:r>
              <w:rPr>
                <w:rFonts w:ascii="宋体" w:hAnsi="宋体" w:eastAsia="宋体"/>
                <w:sz w:val="16"/>
              </w:rPr>
              <w:t>&gt;=5人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94877A">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799FC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B9BE11">
            <w:pPr>
              <w:jc w:val="center"/>
            </w:pPr>
            <w:r>
              <w:rPr>
                <w:rFonts w:ascii="宋体" w:hAnsi="宋体" w:eastAsia="宋体"/>
                <w:sz w:val="16"/>
              </w:rPr>
              <w:t>6人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D360CD">
            <w:pPr>
              <w:jc w:val="center"/>
            </w:pPr>
            <w:r>
              <w:rPr>
                <w:rFonts w:ascii="宋体" w:hAnsi="宋体" w:eastAsia="宋体"/>
                <w:sz w:val="16"/>
              </w:rPr>
              <w:t>20</w:t>
            </w:r>
          </w:p>
        </w:tc>
      </w:tr>
      <w:tr w14:paraId="337742B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1F21E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E7463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8F23D6">
            <w:pPr>
              <w:jc w:val="center"/>
            </w:pPr>
            <w:r>
              <w:rPr>
                <w:rFonts w:ascii="宋体" w:hAnsi="宋体" w:eastAsia="宋体"/>
                <w:sz w:val="16"/>
              </w:rPr>
              <w:t>保障公务用车数量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4D531E">
            <w:pPr>
              <w:jc w:val="center"/>
            </w:pPr>
            <w:r>
              <w:rPr>
                <w:rFonts w:ascii="宋体" w:hAnsi="宋体" w:eastAsia="宋体"/>
                <w:sz w:val="16"/>
              </w:rPr>
              <w:t>&gt;=1辆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4823C3">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83680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070CD8">
            <w:pPr>
              <w:jc w:val="center"/>
            </w:pPr>
            <w:r>
              <w:rPr>
                <w:rFonts w:ascii="宋体" w:hAnsi="宋体" w:eastAsia="宋体"/>
                <w:sz w:val="16"/>
              </w:rPr>
              <w:t>1辆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192691">
            <w:pPr>
              <w:jc w:val="center"/>
            </w:pPr>
            <w:r>
              <w:rPr>
                <w:rFonts w:ascii="宋体" w:hAnsi="宋体" w:eastAsia="宋体"/>
                <w:sz w:val="16"/>
              </w:rPr>
              <w:t>20</w:t>
            </w:r>
          </w:p>
        </w:tc>
      </w:tr>
      <w:tr w14:paraId="23C0A53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85120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2D8A7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4C08DD">
            <w:pPr>
              <w:jc w:val="center"/>
            </w:pPr>
            <w:r>
              <w:rPr>
                <w:rFonts w:ascii="宋体" w:hAnsi="宋体" w:eastAsia="宋体"/>
                <w:sz w:val="16"/>
              </w:rPr>
              <w:t>招商引资考核目标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317900">
            <w:pPr>
              <w:jc w:val="center"/>
            </w:pPr>
            <w:r>
              <w:rPr>
                <w:rFonts w:ascii="宋体" w:hAnsi="宋体" w:eastAsia="宋体"/>
                <w:sz w:val="16"/>
              </w:rPr>
              <w:t>&gt;=103亿元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D01C92">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943F45">
            <w:pPr>
              <w:jc w:val="center"/>
            </w:pPr>
            <w:r>
              <w:rPr>
                <w:rFonts w:ascii="宋体" w:hAnsi="宋体" w:eastAsia="宋体"/>
                <w:sz w:val="16"/>
              </w:rPr>
              <w:t>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783846">
            <w:pPr>
              <w:jc w:val="center"/>
            </w:pPr>
            <w:r>
              <w:rPr>
                <w:rFonts w:ascii="宋体" w:hAnsi="宋体" w:eastAsia="宋体"/>
                <w:sz w:val="16"/>
              </w:rPr>
              <w:t>110.15亿元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0660D2">
            <w:pPr>
              <w:jc w:val="center"/>
            </w:pPr>
            <w:r>
              <w:rPr>
                <w:rFonts w:ascii="宋体" w:hAnsi="宋体" w:eastAsia="宋体"/>
                <w:sz w:val="16"/>
              </w:rPr>
              <w:t>30</w:t>
            </w:r>
          </w:p>
        </w:tc>
      </w:tr>
    </w:tbl>
    <w:p w14:paraId="48A6762B">
      <w:r>
        <w:br w:type="page"/>
      </w:r>
    </w:p>
    <w:p w14:paraId="2CFE7DA8">
      <w:pPr>
        <w:spacing w:line="640" w:lineRule="exact"/>
        <w:ind w:firstLine="640"/>
        <w:jc w:val="both"/>
        <w:outlineLvl w:val="2"/>
      </w:pPr>
      <w:r>
        <w:rPr>
          <w:rFonts w:ascii="黑体" w:hAnsi="黑体" w:eastAsia="黑体"/>
          <w:sz w:val="32"/>
        </w:rPr>
        <w:t>十二、其他需说明的事项</w:t>
      </w:r>
    </w:p>
    <w:p w14:paraId="790335B9">
      <w:pPr>
        <w:spacing w:line="580" w:lineRule="exact"/>
        <w:ind w:firstLine="640"/>
        <w:jc w:val="both"/>
      </w:pPr>
      <w:r>
        <w:rPr>
          <w:rFonts w:ascii="仿宋_GB2312" w:hAnsi="仿宋_GB2312" w:eastAsia="仿宋_GB2312"/>
          <w:b w:val="0"/>
          <w:sz w:val="32"/>
        </w:rPr>
        <w:t>本单位2024年度无政府采购支出，授予中小企业合同金额0.00万元。</w:t>
      </w:r>
    </w:p>
    <w:p w14:paraId="15218EAA">
      <w:r>
        <w:br w:type="page"/>
      </w:r>
    </w:p>
    <w:p w14:paraId="354CCE7D">
      <w:pPr>
        <w:spacing w:line="240" w:lineRule="auto"/>
        <w:jc w:val="center"/>
        <w:outlineLvl w:val="1"/>
      </w:pPr>
      <w:r>
        <w:rPr>
          <w:rFonts w:ascii="黑体" w:hAnsi="黑体" w:eastAsia="黑体"/>
          <w:sz w:val="32"/>
        </w:rPr>
        <w:t>第三部分 专业名词解释</w:t>
      </w:r>
    </w:p>
    <w:p w14:paraId="20A2E0B8">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5581EFB4">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78C4C340">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71AEE85C">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2E92082A">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4E7F4831">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38E237C2">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0A05C373">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B1BB3C4">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05E087A5">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538E9445">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2CD73BB1">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695A0410">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01E257D">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6ED7D068">
      <w:r>
        <w:br w:type="page"/>
      </w:r>
    </w:p>
    <w:p w14:paraId="3D6F7D62">
      <w:pPr>
        <w:spacing w:line="240" w:lineRule="auto"/>
        <w:jc w:val="center"/>
        <w:outlineLvl w:val="1"/>
      </w:pPr>
      <w:r>
        <w:rPr>
          <w:rFonts w:ascii="黑体" w:hAnsi="黑体" w:eastAsia="黑体"/>
          <w:sz w:val="32"/>
        </w:rPr>
        <w:t>第四部分 部门决算报表（见附表）</w:t>
      </w:r>
    </w:p>
    <w:p w14:paraId="73994385">
      <w:pPr>
        <w:spacing w:line="240" w:lineRule="auto"/>
        <w:ind w:firstLine="640"/>
        <w:jc w:val="both"/>
      </w:pPr>
      <w:r>
        <w:rPr>
          <w:rFonts w:ascii="仿宋_GB2312" w:hAnsi="仿宋_GB2312" w:eastAsia="仿宋_GB2312"/>
          <w:b w:val="0"/>
          <w:sz w:val="32"/>
        </w:rPr>
        <w:t>一、《收入支出决算总表》</w:t>
      </w:r>
    </w:p>
    <w:p w14:paraId="7D406893">
      <w:pPr>
        <w:spacing w:line="240" w:lineRule="auto"/>
        <w:ind w:firstLine="640"/>
        <w:jc w:val="both"/>
      </w:pPr>
      <w:r>
        <w:rPr>
          <w:rFonts w:ascii="仿宋_GB2312" w:hAnsi="仿宋_GB2312" w:eastAsia="仿宋_GB2312"/>
          <w:b w:val="0"/>
          <w:sz w:val="32"/>
        </w:rPr>
        <w:t>二、《收入决算表》</w:t>
      </w:r>
    </w:p>
    <w:p w14:paraId="48866704">
      <w:pPr>
        <w:spacing w:line="240" w:lineRule="auto"/>
        <w:ind w:firstLine="640"/>
        <w:jc w:val="both"/>
      </w:pPr>
      <w:r>
        <w:rPr>
          <w:rFonts w:ascii="仿宋_GB2312" w:hAnsi="仿宋_GB2312" w:eastAsia="仿宋_GB2312"/>
          <w:b w:val="0"/>
          <w:sz w:val="32"/>
        </w:rPr>
        <w:t>三、《支出决算表》</w:t>
      </w:r>
    </w:p>
    <w:p w14:paraId="33D0F7D4">
      <w:pPr>
        <w:spacing w:line="240" w:lineRule="auto"/>
        <w:ind w:firstLine="640"/>
        <w:jc w:val="both"/>
      </w:pPr>
      <w:r>
        <w:rPr>
          <w:rFonts w:ascii="仿宋_GB2312" w:hAnsi="仿宋_GB2312" w:eastAsia="仿宋_GB2312"/>
          <w:b w:val="0"/>
          <w:sz w:val="32"/>
        </w:rPr>
        <w:t>四、《财政拨款收入支出决算总表》</w:t>
      </w:r>
    </w:p>
    <w:p w14:paraId="2E6B656B">
      <w:pPr>
        <w:spacing w:line="240" w:lineRule="auto"/>
        <w:ind w:firstLine="640"/>
        <w:jc w:val="both"/>
      </w:pPr>
      <w:r>
        <w:rPr>
          <w:rFonts w:ascii="仿宋_GB2312" w:hAnsi="仿宋_GB2312" w:eastAsia="仿宋_GB2312"/>
          <w:b w:val="0"/>
          <w:sz w:val="32"/>
        </w:rPr>
        <w:t>五、《一般公共预算财政拨款支出决算表》</w:t>
      </w:r>
    </w:p>
    <w:p w14:paraId="0BFFBB9B">
      <w:pPr>
        <w:spacing w:line="240" w:lineRule="auto"/>
        <w:ind w:firstLine="640"/>
        <w:jc w:val="both"/>
      </w:pPr>
      <w:r>
        <w:rPr>
          <w:rFonts w:ascii="仿宋_GB2312" w:hAnsi="仿宋_GB2312" w:eastAsia="仿宋_GB2312"/>
          <w:b w:val="0"/>
          <w:sz w:val="32"/>
        </w:rPr>
        <w:t>六、《一般公共预算财政拨款基本支出决算表》</w:t>
      </w:r>
    </w:p>
    <w:p w14:paraId="0A79F2E9">
      <w:pPr>
        <w:spacing w:line="240" w:lineRule="auto"/>
        <w:ind w:firstLine="640"/>
        <w:jc w:val="both"/>
      </w:pPr>
      <w:r>
        <w:rPr>
          <w:rFonts w:ascii="仿宋_GB2312" w:hAnsi="仿宋_GB2312" w:eastAsia="仿宋_GB2312"/>
          <w:b w:val="0"/>
          <w:sz w:val="32"/>
        </w:rPr>
        <w:t>七、《政府性基金预算财政拨款收入支出决算表》</w:t>
      </w:r>
    </w:p>
    <w:p w14:paraId="781BBA80">
      <w:pPr>
        <w:spacing w:line="240" w:lineRule="auto"/>
        <w:ind w:firstLine="640"/>
        <w:jc w:val="both"/>
      </w:pPr>
      <w:r>
        <w:rPr>
          <w:rFonts w:ascii="仿宋_GB2312" w:hAnsi="仿宋_GB2312" w:eastAsia="仿宋_GB2312"/>
          <w:b w:val="0"/>
          <w:sz w:val="32"/>
        </w:rPr>
        <w:t>八、《国有资本经营预算财政拨款收入支出决算表》</w:t>
      </w:r>
    </w:p>
    <w:p w14:paraId="3DB00D81">
      <w:pPr>
        <w:spacing w:line="240" w:lineRule="auto"/>
        <w:ind w:firstLine="640"/>
        <w:jc w:val="both"/>
      </w:pPr>
      <w:r>
        <w:rPr>
          <w:rFonts w:ascii="仿宋_GB2312" w:hAnsi="仿宋_GB2312" w:eastAsia="仿宋_GB2312"/>
          <w:b w:val="0"/>
          <w:sz w:val="32"/>
        </w:rPr>
        <w:t>九、《财政拨款“三公”经费支出决算表》</w:t>
      </w:r>
    </w:p>
    <w:p w14:paraId="21A77D23">
      <w:pPr>
        <w:spacing w:line="240" w:lineRule="auto"/>
        <w:ind w:firstLine="640"/>
        <w:jc w:val="both"/>
      </w:pPr>
    </w:p>
    <w:p w14:paraId="23C436C3">
      <w:pPr>
        <w:spacing w:line="240" w:lineRule="auto"/>
        <w:ind w:firstLine="640"/>
        <w:jc w:val="both"/>
      </w:pPr>
    </w:p>
    <w:p w14:paraId="44883C47">
      <w:pPr>
        <w:spacing w:line="240" w:lineRule="auto"/>
        <w:ind w:firstLine="640"/>
        <w:jc w:val="both"/>
      </w:pPr>
    </w:p>
    <w:p w14:paraId="4A620ECE">
      <w:pPr>
        <w:spacing w:line="240" w:lineRule="auto"/>
        <w:ind w:firstLine="640"/>
        <w:jc w:val="both"/>
      </w:pPr>
    </w:p>
    <w:p w14:paraId="7A083386">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70D9042-C788-4860-AE2A-AF8464708E4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068D3F7D-7E79-4CA2-9516-FEC6E15FB0F6}"/>
  </w:font>
  <w:font w:name="仿宋_GB2312">
    <w:panose1 w:val="02010609030101010101"/>
    <w:charset w:val="86"/>
    <w:family w:val="modern"/>
    <w:pitch w:val="default"/>
    <w:sig w:usb0="00000001" w:usb1="080E0000" w:usb2="00000000" w:usb3="00000000" w:csb0="00040000" w:csb1="00000000"/>
    <w:embedRegular r:id="rId3" w:fontKey="{D0D4C0E2-1E68-4917-B2CB-36423A3C969F}"/>
  </w:font>
  <w:font w:name="楷体_GB2312">
    <w:panose1 w:val="02010609030101010101"/>
    <w:charset w:val="86"/>
    <w:family w:val="auto"/>
    <w:pitch w:val="default"/>
    <w:sig w:usb0="00000001" w:usb1="080E0000" w:usb2="00000000" w:usb3="00000000" w:csb0="00040000" w:csb1="00000000"/>
    <w:embedRegular r:id="rId4" w:fontKey="{FCDC2FB6-ED25-4CFA-BE28-F02BE420AC65}"/>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7704181"/>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E941354"/>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4712</Words>
  <Characters>5376</Characters>
  <Lines>0</Lines>
  <Paragraphs>0</Paragraphs>
  <TotalTime>2</TotalTime>
  <ScaleCrop>false</ScaleCrop>
  <LinksUpToDate>false</LinksUpToDate>
  <CharactersWithSpaces>5384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来财&amp;十个晴天</cp:lastModifiedBy>
  <cp:lastPrinted>2024-07-22T11:58:00Z</cp:lastPrinted>
  <dcterms:modified xsi:type="dcterms:W3CDTF">2025-09-18T04:15:53Z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B858A68E913346F885B5BC17D4DBEB06_13</vt:lpwstr>
  </property>
  <property fmtid="{D5CDD505-2E9C-101B-9397-08002B2CF9AE}" pid="4" name="KSOTemplateDocerSaveRecord">
    <vt:lpwstr>eyJoZGlkIjoiMGIxZTI3ODM4ZmVjOGE5NDFiYmE3OTRiMjQ5OTEyNzIiLCJ1c2VySWQiOiIzNzI2MDMzNTYifQ==</vt:lpwstr>
  </property>
</Properties>
</file>