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洛浦县恰尔巴格镇卫生院2024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1F59F47">
      <w:r>
        <w:br w:type="page"/>
      </w:r>
    </w:p>
    <w:p w14:paraId="036D0542">
      <w:pPr>
        <w:spacing w:line="640" w:lineRule="exact"/>
        <w:jc w:val="center"/>
        <w:outlineLvl w:val="1"/>
      </w:pPr>
      <w:r>
        <w:rPr>
          <w:rFonts w:ascii="黑体" w:hAnsi="黑体" w:eastAsia="黑体"/>
          <w:sz w:val="32"/>
        </w:rPr>
        <w:t>第一部分 单位概况</w:t>
      </w:r>
    </w:p>
    <w:p w14:paraId="45371B0B">
      <w:pPr>
        <w:spacing w:line="640" w:lineRule="exact"/>
        <w:ind w:firstLine="640"/>
        <w:jc w:val="both"/>
        <w:outlineLvl w:val="2"/>
      </w:pPr>
      <w:r>
        <w:rPr>
          <w:rFonts w:ascii="黑体" w:hAnsi="黑体" w:eastAsia="黑体"/>
          <w:sz w:val="32"/>
        </w:rPr>
        <w:t>一、主要职能</w:t>
      </w:r>
    </w:p>
    <w:p w14:paraId="16F118F0">
      <w:pPr>
        <w:spacing w:line="580" w:lineRule="exact"/>
        <w:ind w:firstLine="640"/>
        <w:jc w:val="both"/>
      </w:pPr>
      <w:r>
        <w:rPr>
          <w:rFonts w:ascii="仿宋_GB2312" w:hAnsi="仿宋_GB2312" w:eastAsia="仿宋_GB2312"/>
          <w:sz w:val="32"/>
        </w:rPr>
        <w:t>为人民身体健康提供医疗与预防保健服务，常见病，多发病护理，恢复期病人康复治疗与护理预防保健，卫生技术人员培训，初级卫生保健规则实施，卫生监督与信息管理。</w:t>
      </w:r>
    </w:p>
    <w:p w14:paraId="3D65A8B3">
      <w:pPr>
        <w:spacing w:line="640" w:lineRule="exact"/>
        <w:ind w:firstLine="640"/>
        <w:jc w:val="both"/>
        <w:outlineLvl w:val="2"/>
      </w:pPr>
      <w:r>
        <w:rPr>
          <w:rFonts w:ascii="黑体" w:hAnsi="黑体" w:eastAsia="黑体"/>
          <w:sz w:val="32"/>
        </w:rPr>
        <w:t>二、机构设置及人员情况</w:t>
      </w:r>
    </w:p>
    <w:p w14:paraId="4FF8A585">
      <w:pPr>
        <w:spacing w:line="580" w:lineRule="exact"/>
        <w:ind w:firstLine="640"/>
        <w:jc w:val="both"/>
      </w:pPr>
      <w:r>
        <w:rPr>
          <w:rFonts w:ascii="仿宋_GB2312" w:hAnsi="仿宋_GB2312" w:eastAsia="仿宋_GB2312"/>
          <w:sz w:val="32"/>
        </w:rPr>
        <w:t>洛浦县恰尔巴格镇卫生院2024年度，实有人数66人，其中：在职人员54人，增加4人；离休人员0人，增加0人；退休人员12人,增加0人。</w:t>
      </w:r>
    </w:p>
    <w:p w14:paraId="1CC397E3">
      <w:pPr>
        <w:spacing w:line="580" w:lineRule="exact"/>
        <w:ind w:firstLine="640"/>
        <w:jc w:val="both"/>
      </w:pPr>
      <w:r>
        <w:rPr>
          <w:rFonts w:ascii="仿宋_GB2312" w:hAnsi="仿宋_GB2312" w:eastAsia="仿宋_GB2312"/>
          <w:sz w:val="32"/>
        </w:rPr>
        <w:t>洛浦县恰尔巴格镇卫生院无下属预算单位，下设7个科室，分别是：公共卫生科、体检科、综合医疗科、辅助检查科、中医科、财务科、办公室。</w:t>
      </w:r>
    </w:p>
    <w:p w14:paraId="1A2C8687">
      <w:r>
        <w:br w:type="page"/>
      </w:r>
    </w:p>
    <w:p w14:paraId="09A26FBD">
      <w:pPr>
        <w:spacing w:line="240" w:lineRule="auto"/>
        <w:jc w:val="center"/>
        <w:outlineLvl w:val="1"/>
      </w:pPr>
      <w:r>
        <w:rPr>
          <w:rFonts w:ascii="黑体" w:hAnsi="黑体" w:eastAsia="黑体"/>
          <w:sz w:val="32"/>
        </w:rPr>
        <w:t>第二部分 部门决算情况说明</w:t>
      </w:r>
    </w:p>
    <w:p w14:paraId="0E0AC1F0">
      <w:pPr>
        <w:spacing w:line="640" w:lineRule="exact"/>
        <w:ind w:firstLine="640"/>
        <w:jc w:val="both"/>
        <w:outlineLvl w:val="2"/>
      </w:pPr>
      <w:r>
        <w:rPr>
          <w:rFonts w:ascii="黑体" w:hAnsi="黑体" w:eastAsia="黑体"/>
          <w:sz w:val="32"/>
        </w:rPr>
        <w:t>一、收入支出决算总体情况说明</w:t>
      </w:r>
    </w:p>
    <w:p w14:paraId="3BA09631">
      <w:pPr>
        <w:spacing w:line="580" w:lineRule="exact"/>
        <w:ind w:firstLine="640"/>
        <w:jc w:val="both"/>
      </w:pPr>
      <w:r>
        <w:rPr>
          <w:rFonts w:ascii="仿宋_GB2312" w:hAnsi="仿宋_GB2312" w:eastAsia="仿宋_GB2312"/>
          <w:b/>
          <w:sz w:val="32"/>
        </w:rPr>
        <w:t>2024年度收入总计3,320.01万元，</w:t>
      </w:r>
      <w:r>
        <w:rPr>
          <w:rFonts w:ascii="仿宋_GB2312" w:hAnsi="仿宋_GB2312" w:eastAsia="仿宋_GB2312"/>
          <w:b w:val="0"/>
          <w:sz w:val="32"/>
        </w:rPr>
        <w:t>其中：本年收入合计3,271.84万元，使用非财政拨款结余（含专用结余）48.16万元，年初结转和结余0.00万元。</w:t>
      </w:r>
    </w:p>
    <w:p w14:paraId="3A38EACC">
      <w:pPr>
        <w:spacing w:line="580" w:lineRule="exact"/>
        <w:ind w:firstLine="640"/>
        <w:jc w:val="both"/>
      </w:pPr>
      <w:r>
        <w:rPr>
          <w:rFonts w:ascii="仿宋_GB2312" w:hAnsi="仿宋_GB2312" w:eastAsia="仿宋_GB2312"/>
          <w:b/>
          <w:sz w:val="32"/>
        </w:rPr>
        <w:t>2024年度支出总计3,320.01万元，</w:t>
      </w:r>
      <w:r>
        <w:rPr>
          <w:rFonts w:ascii="仿宋_GB2312" w:hAnsi="仿宋_GB2312" w:eastAsia="仿宋_GB2312"/>
          <w:b w:val="0"/>
          <w:sz w:val="32"/>
        </w:rPr>
        <w:t>其中：本年支出合计3,320.01万元，结余分配0.00万元，年末结转和结余0.00万元。</w:t>
      </w:r>
    </w:p>
    <w:p w14:paraId="53212921">
      <w:pPr>
        <w:spacing w:line="580" w:lineRule="exact"/>
        <w:ind w:firstLine="640"/>
        <w:jc w:val="both"/>
      </w:pPr>
      <w:r>
        <w:rPr>
          <w:rFonts w:ascii="仿宋_GB2312" w:hAnsi="仿宋_GB2312" w:eastAsia="仿宋_GB2312"/>
          <w:b w:val="0"/>
          <w:sz w:val="32"/>
        </w:rPr>
        <w:t>收入支出总体与上年相比，减少323.18万元，下降8.87%，主要原因是：本年医疗业务收入大量减少。</w:t>
      </w:r>
    </w:p>
    <w:p w14:paraId="6152717B">
      <w:pPr>
        <w:spacing w:line="640" w:lineRule="exact"/>
        <w:ind w:firstLine="640"/>
        <w:jc w:val="both"/>
        <w:outlineLvl w:val="2"/>
      </w:pPr>
      <w:r>
        <w:rPr>
          <w:rFonts w:ascii="黑体" w:hAnsi="黑体" w:eastAsia="黑体"/>
          <w:sz w:val="32"/>
        </w:rPr>
        <w:t>二、收入决算情况说明</w:t>
      </w:r>
    </w:p>
    <w:p w14:paraId="52289D76">
      <w:pPr>
        <w:spacing w:line="580" w:lineRule="exact"/>
        <w:ind w:firstLine="640"/>
        <w:jc w:val="both"/>
      </w:pPr>
      <w:r>
        <w:rPr>
          <w:rFonts w:ascii="仿宋_GB2312" w:hAnsi="仿宋_GB2312" w:eastAsia="仿宋_GB2312"/>
          <w:b/>
          <w:sz w:val="32"/>
        </w:rPr>
        <w:t>本年收入3,271.84万元，</w:t>
      </w:r>
      <w:r>
        <w:rPr>
          <w:rFonts w:ascii="仿宋_GB2312" w:hAnsi="仿宋_GB2312" w:eastAsia="仿宋_GB2312"/>
          <w:b w:val="0"/>
          <w:sz w:val="32"/>
        </w:rPr>
        <w:t>其中：财政拨款收入1,997.69万元，占61.06%；上级补助收入0.00万元，占0.00%；事业收入1,274.15万元，占38.94%；经营收入0.00万元，占0.00%；附属单位上缴收入0.00万元，占0.00%；其他收入0.00万元，占0.00%。</w:t>
      </w:r>
    </w:p>
    <w:p w14:paraId="6E777AFB">
      <w:pPr>
        <w:spacing w:line="640" w:lineRule="exact"/>
        <w:ind w:firstLine="640"/>
        <w:jc w:val="both"/>
        <w:outlineLvl w:val="2"/>
      </w:pPr>
      <w:r>
        <w:rPr>
          <w:rFonts w:ascii="黑体" w:hAnsi="黑体" w:eastAsia="黑体"/>
          <w:sz w:val="32"/>
        </w:rPr>
        <w:t>三、支出决算情况说明</w:t>
      </w:r>
    </w:p>
    <w:p w14:paraId="70C8A196">
      <w:pPr>
        <w:spacing w:line="580" w:lineRule="exact"/>
        <w:ind w:firstLine="640"/>
        <w:jc w:val="both"/>
      </w:pPr>
      <w:r>
        <w:rPr>
          <w:rFonts w:ascii="仿宋_GB2312" w:hAnsi="仿宋_GB2312" w:eastAsia="仿宋_GB2312"/>
          <w:b/>
          <w:sz w:val="32"/>
        </w:rPr>
        <w:t>本年支出3,320.01万元，</w:t>
      </w:r>
      <w:r>
        <w:rPr>
          <w:rFonts w:ascii="仿宋_GB2312" w:hAnsi="仿宋_GB2312" w:eastAsia="仿宋_GB2312"/>
          <w:b w:val="0"/>
          <w:sz w:val="32"/>
        </w:rPr>
        <w:t>其中：基本支出2,311.67万元，占69.63%；项目支出1,008.34万元，占30.37%；上缴上级支出0.00万元，占0.00%；经营支出0.00万元，占0.00%；对附属单位补助支出0.00万元，占0.00%。</w:t>
      </w:r>
    </w:p>
    <w:p w14:paraId="45360BE2">
      <w:pPr>
        <w:spacing w:line="640" w:lineRule="exact"/>
        <w:ind w:firstLine="640"/>
        <w:jc w:val="both"/>
        <w:outlineLvl w:val="2"/>
      </w:pPr>
      <w:r>
        <w:rPr>
          <w:rFonts w:ascii="黑体" w:hAnsi="黑体" w:eastAsia="黑体"/>
          <w:sz w:val="32"/>
        </w:rPr>
        <w:t>四、财政拨款收入支出决算总体情况说明</w:t>
      </w:r>
    </w:p>
    <w:p w14:paraId="1DD10769">
      <w:pPr>
        <w:spacing w:line="580" w:lineRule="exact"/>
        <w:ind w:firstLine="640"/>
        <w:jc w:val="both"/>
      </w:pPr>
      <w:r>
        <w:rPr>
          <w:rFonts w:ascii="仿宋_GB2312" w:hAnsi="仿宋_GB2312" w:eastAsia="仿宋_GB2312"/>
          <w:b/>
          <w:sz w:val="32"/>
        </w:rPr>
        <w:t>2024年度财政拨款收入总计1,997.69万元，</w:t>
      </w:r>
      <w:r>
        <w:rPr>
          <w:rFonts w:ascii="仿宋_GB2312" w:hAnsi="仿宋_GB2312" w:eastAsia="仿宋_GB2312"/>
          <w:b w:val="0"/>
          <w:sz w:val="32"/>
        </w:rPr>
        <w:t>其中：年初财政拨款结转和结余0.00万元，本年财政拨款收入1,997.69万元。</w:t>
      </w:r>
      <w:r>
        <w:rPr>
          <w:rFonts w:ascii="仿宋_GB2312" w:hAnsi="仿宋_GB2312" w:eastAsia="仿宋_GB2312"/>
          <w:b/>
          <w:sz w:val="32"/>
        </w:rPr>
        <w:t>财政拨款支出总计1,997.69万元，</w:t>
      </w:r>
      <w:r>
        <w:rPr>
          <w:rFonts w:ascii="仿宋_GB2312" w:hAnsi="仿宋_GB2312" w:eastAsia="仿宋_GB2312"/>
          <w:b w:val="0"/>
          <w:sz w:val="32"/>
        </w:rPr>
        <w:t>其中：年末财政拨款结转和结余0.00万元，本年财政拨款支出1,997.69万元。</w:t>
      </w:r>
    </w:p>
    <w:p w14:paraId="4AEFBB3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279.64万元，增长16.28%，主要原因是：本年在职人员增加，在职人员工资调增、社保、公积金基数调增，人员经费增加。本年增加医疗服务与保障能力提升补助资金，2024年中央医疗服务与保障能力提升【医疗卫生机构能力建设】补助资金，城乡医疗救助的彩票公益金支出。</w:t>
      </w:r>
      <w:r>
        <w:rPr>
          <w:rFonts w:ascii="仿宋_GB2312" w:hAnsi="仿宋_GB2312" w:eastAsia="仿宋_GB2312"/>
          <w:b/>
          <w:sz w:val="32"/>
        </w:rPr>
        <w:t>与年初预算相比，</w:t>
      </w:r>
      <w:r>
        <w:rPr>
          <w:rFonts w:ascii="仿宋_GB2312" w:hAnsi="仿宋_GB2312" w:eastAsia="仿宋_GB2312"/>
          <w:b w:val="0"/>
          <w:sz w:val="32"/>
        </w:rPr>
        <w:t>年初预算数930.32万元，决算数1,997.69万元，预决算差异率114.73%，主要原因是：年中追加人员工资、社保、公积金基数调增部分资金，追加医疗服务与保障能力提升补助资金、基本药物制度补助资金</w:t>
      </w:r>
      <w:r>
        <w:rPr>
          <w:rFonts w:hint="eastAsia" w:ascii="仿宋_GB2312" w:hAnsi="仿宋_GB2312" w:eastAsia="仿宋_GB2312"/>
          <w:b w:val="0"/>
          <w:sz w:val="32"/>
          <w:lang w:eastAsia="zh-CN"/>
        </w:rPr>
        <w:t>，</w:t>
      </w:r>
      <w:r>
        <w:rPr>
          <w:rFonts w:ascii="仿宋_GB2312" w:hAnsi="仿宋_GB2312" w:eastAsia="仿宋_GB2312"/>
          <w:b w:val="0"/>
          <w:sz w:val="32"/>
        </w:rPr>
        <w:t>城乡医疗救助的彩票公益金支出，导致预决算存在差异。</w:t>
      </w:r>
    </w:p>
    <w:p w14:paraId="4F33E0E7">
      <w:pPr>
        <w:spacing w:line="640" w:lineRule="exact"/>
        <w:ind w:firstLine="640"/>
        <w:jc w:val="both"/>
        <w:outlineLvl w:val="2"/>
      </w:pPr>
      <w:r>
        <w:rPr>
          <w:rFonts w:ascii="黑体" w:hAnsi="黑体" w:eastAsia="黑体"/>
          <w:sz w:val="32"/>
        </w:rPr>
        <w:t>五、一般公共预算财政拨款支出决算情况说明</w:t>
      </w:r>
    </w:p>
    <w:p w14:paraId="23516555">
      <w:pPr>
        <w:spacing w:line="640" w:lineRule="exact"/>
        <w:ind w:firstLine="640"/>
        <w:jc w:val="both"/>
        <w:outlineLvl w:val="3"/>
      </w:pPr>
      <w:r>
        <w:rPr>
          <w:rFonts w:ascii="楷体_GB2312" w:hAnsi="楷体_GB2312" w:eastAsia="楷体_GB2312"/>
          <w:b/>
          <w:sz w:val="32"/>
        </w:rPr>
        <w:t>（一）一般公共预算财政拨款支出决算总体情况</w:t>
      </w:r>
    </w:p>
    <w:p w14:paraId="71CB7718">
      <w:pPr>
        <w:spacing w:line="580" w:lineRule="exact"/>
        <w:ind w:firstLine="640"/>
        <w:jc w:val="both"/>
      </w:pPr>
      <w:r>
        <w:rPr>
          <w:rFonts w:ascii="仿宋_GB2312" w:hAnsi="仿宋_GB2312" w:eastAsia="仿宋_GB2312"/>
          <w:b/>
          <w:sz w:val="32"/>
        </w:rPr>
        <w:t>2024年度一般公共预算财政拨款支出1,992.08万元，</w:t>
      </w:r>
      <w:r>
        <w:rPr>
          <w:rFonts w:ascii="仿宋_GB2312" w:hAnsi="仿宋_GB2312" w:eastAsia="仿宋_GB2312"/>
          <w:b w:val="0"/>
          <w:sz w:val="32"/>
        </w:rPr>
        <w:t>占本年支出合计的60.00%。</w:t>
      </w:r>
      <w:r>
        <w:rPr>
          <w:rFonts w:ascii="仿宋_GB2312" w:hAnsi="仿宋_GB2312" w:eastAsia="仿宋_GB2312"/>
          <w:b/>
          <w:sz w:val="32"/>
        </w:rPr>
        <w:t>与上年相比，</w:t>
      </w:r>
      <w:r>
        <w:rPr>
          <w:rFonts w:ascii="仿宋_GB2312" w:hAnsi="仿宋_GB2312" w:eastAsia="仿宋_GB2312"/>
          <w:b w:val="0"/>
          <w:sz w:val="32"/>
        </w:rPr>
        <w:t>增加274.03万元，增长15.95%，主要原因是：本年在职人员增加，在职人员工资调增、社保、公积金基数调增，人员经费增加。本年增加医疗服务与保障能力提升补助资金，2024年中央医疗服务与保障能力提升【医疗卫生机构能力建设】补助资金。</w:t>
      </w:r>
      <w:r>
        <w:rPr>
          <w:rFonts w:ascii="仿宋_GB2312" w:hAnsi="仿宋_GB2312" w:eastAsia="仿宋_GB2312"/>
          <w:b/>
          <w:sz w:val="32"/>
        </w:rPr>
        <w:t>与年初预算相比,</w:t>
      </w:r>
      <w:r>
        <w:rPr>
          <w:rFonts w:ascii="仿宋_GB2312" w:hAnsi="仿宋_GB2312" w:eastAsia="仿宋_GB2312"/>
          <w:b w:val="0"/>
          <w:sz w:val="32"/>
        </w:rPr>
        <w:t>年初预算数930.32万元，决算数1,992.08万元，预决算差异率114.13%，主要原因是：年中追加人员工资、社保、公积金基数调增部分资金，追加医疗服务与保障能力提升补助资金、基本药物制度补助资金，导致预决算存在差异。</w:t>
      </w:r>
    </w:p>
    <w:p w14:paraId="44B4709C">
      <w:pPr>
        <w:spacing w:line="640" w:lineRule="exact"/>
        <w:ind w:firstLine="640"/>
        <w:jc w:val="both"/>
        <w:outlineLvl w:val="3"/>
      </w:pPr>
      <w:r>
        <w:rPr>
          <w:rFonts w:ascii="楷体_GB2312" w:hAnsi="楷体_GB2312" w:eastAsia="楷体_GB2312"/>
          <w:b/>
          <w:sz w:val="32"/>
        </w:rPr>
        <w:t>（二）一般公共预算财政拨款支出决算结构情况</w:t>
      </w:r>
    </w:p>
    <w:p w14:paraId="5616D672">
      <w:pPr>
        <w:spacing w:line="580" w:lineRule="exact"/>
        <w:ind w:firstLine="640"/>
        <w:jc w:val="both"/>
      </w:pPr>
      <w:r>
        <w:rPr>
          <w:rFonts w:ascii="仿宋_GB2312" w:hAnsi="仿宋_GB2312" w:eastAsia="仿宋_GB2312"/>
          <w:b w:val="0"/>
          <w:sz w:val="32"/>
        </w:rPr>
        <w:t>1.社会保障和就业支出(类)124.33万元,占6.24%。</w:t>
      </w:r>
    </w:p>
    <w:p w14:paraId="12262988">
      <w:pPr>
        <w:spacing w:line="580" w:lineRule="exact"/>
        <w:ind w:firstLine="640"/>
        <w:jc w:val="both"/>
      </w:pPr>
      <w:r>
        <w:rPr>
          <w:rFonts w:ascii="仿宋_GB2312" w:hAnsi="仿宋_GB2312" w:eastAsia="仿宋_GB2312"/>
          <w:b w:val="0"/>
          <w:sz w:val="32"/>
        </w:rPr>
        <w:t>2.卫生健康支出(类)1,794.05万元,占90.06%。</w:t>
      </w:r>
    </w:p>
    <w:p w14:paraId="3DFDE2FC">
      <w:pPr>
        <w:spacing w:line="580" w:lineRule="exact"/>
        <w:ind w:firstLine="640"/>
        <w:jc w:val="both"/>
      </w:pPr>
      <w:r>
        <w:rPr>
          <w:rFonts w:ascii="仿宋_GB2312" w:hAnsi="仿宋_GB2312" w:eastAsia="仿宋_GB2312"/>
          <w:b w:val="0"/>
          <w:sz w:val="32"/>
        </w:rPr>
        <w:t>3.住房保障支出(类)73.70万元,占3.70%。</w:t>
      </w:r>
    </w:p>
    <w:p w14:paraId="2A84855F">
      <w:pPr>
        <w:spacing w:line="640" w:lineRule="exact"/>
        <w:ind w:firstLine="640"/>
        <w:jc w:val="both"/>
        <w:outlineLvl w:val="3"/>
      </w:pPr>
      <w:r>
        <w:rPr>
          <w:rFonts w:ascii="楷体_GB2312" w:hAnsi="楷体_GB2312" w:eastAsia="楷体_GB2312"/>
          <w:b/>
          <w:sz w:val="32"/>
        </w:rPr>
        <w:t>（三）一般公共预算财政拨款支出决算具体情况</w:t>
      </w:r>
    </w:p>
    <w:p w14:paraId="04185260">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16.30万元，比上年决算增加16.30万元，增长100.00%,主要原因是：本年功能科目调整，事业单位离退休上年度在主科目列支，本年单独列支，导致经费较上年增加。</w:t>
      </w:r>
    </w:p>
    <w:p w14:paraId="7ED47E3D">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2.社会保障和就业支出(类)行政事业单位养老支出(款)机关事业单位基本养老保险缴费支出(项):支出决算数为96.33万元，比上年决算增加16.01万元，增长19.93%,主要原因是：本年在职人员</w:t>
      </w:r>
      <w:r>
        <w:rPr>
          <w:rFonts w:hint="eastAsia" w:ascii="仿宋_GB2312" w:hAnsi="仿宋_GB2312" w:eastAsia="仿宋_GB2312"/>
          <w:b w:val="0"/>
          <w:sz w:val="32"/>
          <w:lang w:val="en-US" w:eastAsia="zh-CN"/>
        </w:rPr>
        <w:t>增加，人员</w:t>
      </w:r>
      <w:r>
        <w:rPr>
          <w:rFonts w:ascii="仿宋_GB2312" w:hAnsi="仿宋_GB2312" w:eastAsia="仿宋_GB2312"/>
          <w:b w:val="0"/>
          <w:sz w:val="32"/>
        </w:rPr>
        <w:t>工资基数调增，养老缴费基数上涨，相应支出增加。</w:t>
      </w:r>
    </w:p>
    <w:p w14:paraId="110F4FAF">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11.70万元，比上年决算增加11.70万元，增长100.00%,主要原因是：本年功能科目调整，机关事业单位职业年金缴费上年度在主科目列支，本年单独列支，导致经费较上年增加。</w:t>
      </w:r>
    </w:p>
    <w:p w14:paraId="25CA5009">
      <w:pPr>
        <w:spacing w:line="580" w:lineRule="exact"/>
        <w:ind w:firstLine="640"/>
        <w:jc w:val="both"/>
      </w:pPr>
      <w:r>
        <w:rPr>
          <w:rFonts w:ascii="仿宋_GB2312" w:hAnsi="仿宋_GB2312" w:eastAsia="仿宋_GB2312"/>
          <w:b w:val="0"/>
          <w:sz w:val="32"/>
        </w:rPr>
        <w:t>4.卫生健康支出(类)卫生健康管理事务(款)其他卫生健康管理事务支出(项):支出决算数为205.60万元，比上年决算增加175.97万元，增长593.89%,主要原因是：本年增加医疗服务与保障能力提升补助资金。</w:t>
      </w:r>
    </w:p>
    <w:p w14:paraId="69CD55D3">
      <w:pPr>
        <w:spacing w:line="580" w:lineRule="exact"/>
        <w:ind w:firstLine="640"/>
        <w:jc w:val="both"/>
      </w:pPr>
      <w:r>
        <w:rPr>
          <w:rFonts w:ascii="仿宋_GB2312" w:hAnsi="仿宋_GB2312" w:eastAsia="仿宋_GB2312"/>
          <w:b w:val="0"/>
          <w:sz w:val="32"/>
        </w:rPr>
        <w:t>5.卫生健康支出(类)公立医院(款)综合医院(项):支出决算数为0.00万元，比上年决算减少8.24万元，下降100.00%,主要原因是：本年减少对口支援人员巡回医疗服务项目资金。</w:t>
      </w:r>
    </w:p>
    <w:p w14:paraId="58C1A5D3">
      <w:pPr>
        <w:spacing w:line="580" w:lineRule="exact"/>
        <w:ind w:firstLine="640"/>
        <w:jc w:val="both"/>
      </w:pPr>
      <w:r>
        <w:rPr>
          <w:rFonts w:ascii="仿宋_GB2312" w:hAnsi="仿宋_GB2312" w:eastAsia="仿宋_GB2312"/>
          <w:b w:val="0"/>
          <w:sz w:val="32"/>
        </w:rPr>
        <w:t>6.卫生健康支出(类)基层医疗卫生机构(款)乡镇卫生院(项):支出决算数为752.19万元，比上年决算减少83.10万元，下降9.95%,主要原因是：上年度退休人员经费，在职人员医疗缴费、住房公积金上年度在主科目列支，本年单独列支，导致本科目经费减少。</w:t>
      </w:r>
    </w:p>
    <w:p w14:paraId="526D2D92">
      <w:pPr>
        <w:spacing w:line="580" w:lineRule="exact"/>
        <w:ind w:firstLine="640"/>
        <w:jc w:val="both"/>
      </w:pPr>
      <w:r>
        <w:rPr>
          <w:rFonts w:ascii="仿宋_GB2312" w:hAnsi="仿宋_GB2312" w:eastAsia="仿宋_GB2312"/>
          <w:b w:val="0"/>
          <w:sz w:val="32"/>
        </w:rPr>
        <w:t>7.卫生健康支出(类)基层医疗卫生机构(款)其他基层医疗卫生机构支出(项):支出决算数为175.40万元，比上年决算增加117.44万元，增长202.62%,主要原因是：本年增加2024年中央医疗服务与保障能力提升【医疗卫生机构能力建设】补助资金。</w:t>
      </w:r>
    </w:p>
    <w:p w14:paraId="7C415743">
      <w:pPr>
        <w:spacing w:line="580" w:lineRule="exact"/>
        <w:ind w:firstLine="640"/>
        <w:jc w:val="both"/>
      </w:pPr>
      <w:r>
        <w:rPr>
          <w:rFonts w:ascii="仿宋_GB2312" w:hAnsi="仿宋_GB2312" w:eastAsia="仿宋_GB2312"/>
          <w:b w:val="0"/>
          <w:sz w:val="32"/>
        </w:rPr>
        <w:t>8.卫生健康支出(类)公共卫生(款)基本公共卫生服务(项):支出决算数为364.96万元，比上年决算减少58.34万元，下降13.78%,主要原因是：本年基本公共卫生服务项目资金较上年减少。</w:t>
      </w:r>
    </w:p>
    <w:p w14:paraId="04682113">
      <w:pPr>
        <w:spacing w:line="580" w:lineRule="exact"/>
        <w:ind w:firstLine="640"/>
        <w:jc w:val="both"/>
      </w:pPr>
      <w:r>
        <w:rPr>
          <w:rFonts w:ascii="仿宋_GB2312" w:hAnsi="仿宋_GB2312" w:eastAsia="仿宋_GB2312"/>
          <w:b w:val="0"/>
          <w:sz w:val="32"/>
        </w:rPr>
        <w:t>9.卫生健康支出(类)公共卫生(款)重大公共卫生服务(项):支出决算数为3.15万元，比上年决算减少4.89万元，下降60.82%,主要原因是：本年重大公共卫生（传染病防治，精神病服务管理，癫痫服务管理）项目资金减少。</w:t>
      </w:r>
    </w:p>
    <w:p w14:paraId="4813EB96">
      <w:pPr>
        <w:spacing w:line="580" w:lineRule="exact"/>
        <w:ind w:firstLine="640"/>
        <w:jc w:val="both"/>
      </w:pPr>
      <w:r>
        <w:rPr>
          <w:rFonts w:ascii="仿宋_GB2312" w:hAnsi="仿宋_GB2312" w:eastAsia="仿宋_GB2312"/>
          <w:b w:val="0"/>
          <w:sz w:val="32"/>
        </w:rPr>
        <w:t>10.卫生健康支出(类)公共卫生(款)其他公共卫生支出(项):支出决算数为251.01万元，比上年决算减少24.27万元，下降8.82%,主要原因是：本年地方公共卫生服务（全民健康体检）项目资金较上年减少。</w:t>
      </w:r>
    </w:p>
    <w:p w14:paraId="5317F4B2">
      <w:pPr>
        <w:spacing w:line="580" w:lineRule="exact"/>
        <w:ind w:firstLine="640"/>
        <w:jc w:val="both"/>
      </w:pPr>
      <w:r>
        <w:rPr>
          <w:rFonts w:ascii="仿宋_GB2312" w:hAnsi="仿宋_GB2312" w:eastAsia="仿宋_GB2312"/>
          <w:b w:val="0"/>
          <w:sz w:val="32"/>
        </w:rPr>
        <w:t>11.卫生健康支出(类)</w:t>
      </w:r>
      <w:bookmarkStart w:id="0" w:name="_GoBack"/>
      <w:r>
        <w:rPr>
          <w:rFonts w:ascii="仿宋_GB2312" w:hAnsi="仿宋_GB2312" w:eastAsia="仿宋_GB2312"/>
          <w:b w:val="0"/>
          <w:sz w:val="32"/>
        </w:rPr>
        <w:t>计划生育</w:t>
      </w:r>
      <w:bookmarkEnd w:id="0"/>
      <w:r>
        <w:rPr>
          <w:rFonts w:ascii="仿宋_GB2312" w:hAnsi="仿宋_GB2312" w:eastAsia="仿宋_GB2312"/>
          <w:b w:val="0"/>
          <w:sz w:val="32"/>
        </w:rPr>
        <w:t>事务(款)计划生育服务(项):支出决算数为2.61万元，比上年决算增加2.61万元，增长100.00%,主要原因是：本年新增</w:t>
      </w:r>
      <w:r>
        <w:rPr>
          <w:rFonts w:hint="eastAsia" w:ascii="仿宋_GB2312" w:hAnsi="仿宋_GB2312" w:eastAsia="仿宋_GB2312"/>
          <w:b w:val="0"/>
          <w:sz w:val="32"/>
          <w:lang w:eastAsia="zh-CN"/>
        </w:rPr>
        <w:t>JHSY</w:t>
      </w:r>
      <w:r>
        <w:rPr>
          <w:rFonts w:ascii="仿宋_GB2312" w:hAnsi="仿宋_GB2312" w:eastAsia="仿宋_GB2312"/>
          <w:b w:val="0"/>
          <w:sz w:val="32"/>
        </w:rPr>
        <w:t>事务服务资金支出。</w:t>
      </w:r>
    </w:p>
    <w:p w14:paraId="16FC33D9">
      <w:pPr>
        <w:spacing w:line="580" w:lineRule="exact"/>
        <w:ind w:firstLine="640"/>
        <w:jc w:val="both"/>
      </w:pPr>
      <w:r>
        <w:rPr>
          <w:rFonts w:ascii="仿宋_GB2312" w:hAnsi="仿宋_GB2312" w:eastAsia="仿宋_GB2312"/>
          <w:b w:val="0"/>
          <w:sz w:val="32"/>
        </w:rPr>
        <w:t>12.卫生健康支出(类)行政事业单位医疗(款)事业单位医疗(项):支出决算数为39.13万元，比上年决算增加39.13万元，增长100.00%,主要原因是：本年功能科目调整，事业单位医疗支出上年度在主科目列支，本年单独列支，导致经费较上年增长100%。</w:t>
      </w:r>
    </w:p>
    <w:p w14:paraId="3003AD04">
      <w:pPr>
        <w:spacing w:line="580" w:lineRule="exact"/>
        <w:ind w:firstLine="640"/>
        <w:jc w:val="both"/>
      </w:pPr>
      <w:r>
        <w:rPr>
          <w:rFonts w:ascii="仿宋_GB2312" w:hAnsi="仿宋_GB2312" w:eastAsia="仿宋_GB2312"/>
          <w:b w:val="0"/>
          <w:sz w:val="32"/>
        </w:rPr>
        <w:t>13.住房保障支出(类)住房改革支出(款)住房公积金(项):支出决算数为73.70万元，比上年决算增加73.70万元，增长100.00%,主要原因是：本年功能科目调整，住房公积金上年度在主科目列支，本年单独列支，导致经费较上年增加。</w:t>
      </w:r>
    </w:p>
    <w:p w14:paraId="6ED92489">
      <w:pPr>
        <w:spacing w:line="640" w:lineRule="exact"/>
        <w:ind w:firstLine="640"/>
        <w:jc w:val="both"/>
        <w:outlineLvl w:val="2"/>
      </w:pPr>
      <w:r>
        <w:rPr>
          <w:rFonts w:ascii="黑体" w:hAnsi="黑体" w:eastAsia="黑体"/>
          <w:sz w:val="32"/>
        </w:rPr>
        <w:t>六、一般公共预算财政拨款基本支出决算情况说明</w:t>
      </w:r>
    </w:p>
    <w:p w14:paraId="68CFF8BC">
      <w:pPr>
        <w:spacing w:line="580" w:lineRule="exact"/>
        <w:ind w:firstLine="640"/>
        <w:jc w:val="both"/>
      </w:pPr>
      <w:r>
        <w:rPr>
          <w:rFonts w:ascii="仿宋_GB2312" w:hAnsi="仿宋_GB2312" w:eastAsia="仿宋_GB2312"/>
          <w:b w:val="0"/>
          <w:sz w:val="32"/>
        </w:rPr>
        <w:t>2024年度一般公共预算财政拨款基本支出989.35万元，其中：</w:t>
      </w:r>
      <w:r>
        <w:rPr>
          <w:rFonts w:ascii="仿宋_GB2312" w:hAnsi="仿宋_GB2312" w:eastAsia="仿宋_GB2312"/>
          <w:b/>
          <w:sz w:val="32"/>
        </w:rPr>
        <w:t>人员经费989.35万元，</w:t>
      </w:r>
      <w:r>
        <w:rPr>
          <w:rFonts w:ascii="仿宋_GB2312" w:hAnsi="仿宋_GB2312" w:eastAsia="仿宋_GB2312"/>
          <w:b w:val="0"/>
          <w:sz w:val="32"/>
        </w:rPr>
        <w:t>包括：基本工资、津贴补贴、绩效工资、机关事业单位基本养老保险缴费、职业年金缴费、职工基本医疗保险缴费、其他社会保障缴费、住房公积金、退休费、抚恤金、生活补助。</w:t>
      </w:r>
    </w:p>
    <w:p w14:paraId="26EB0533">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17E1AFC1">
      <w:pPr>
        <w:spacing w:line="640" w:lineRule="exact"/>
        <w:ind w:firstLine="640"/>
        <w:jc w:val="both"/>
        <w:outlineLvl w:val="2"/>
      </w:pPr>
      <w:r>
        <w:rPr>
          <w:rFonts w:ascii="黑体" w:hAnsi="黑体" w:eastAsia="黑体"/>
          <w:sz w:val="32"/>
        </w:rPr>
        <w:t>七、政府性基金预算财政拨款收入支出决算情况说明</w:t>
      </w:r>
    </w:p>
    <w:p w14:paraId="277C33CB">
      <w:pPr>
        <w:spacing w:line="580" w:lineRule="exact"/>
        <w:ind w:firstLine="640"/>
        <w:jc w:val="both"/>
      </w:pPr>
      <w:r>
        <w:rPr>
          <w:rFonts w:ascii="仿宋_GB2312" w:hAnsi="仿宋_GB2312" w:eastAsia="仿宋_GB2312"/>
          <w:b/>
          <w:sz w:val="32"/>
        </w:rPr>
        <w:t>2024年度政府性基金预算财政拨款收入总计5.61万元，</w:t>
      </w:r>
      <w:r>
        <w:rPr>
          <w:rFonts w:ascii="仿宋_GB2312" w:hAnsi="仿宋_GB2312" w:eastAsia="仿宋_GB2312"/>
          <w:b w:val="0"/>
          <w:sz w:val="32"/>
        </w:rPr>
        <w:t>其中：年初结转和结余0.00万元，本年收入5.61万元。</w:t>
      </w:r>
      <w:r>
        <w:rPr>
          <w:rFonts w:ascii="仿宋_GB2312" w:hAnsi="仿宋_GB2312" w:eastAsia="仿宋_GB2312"/>
          <w:b/>
          <w:sz w:val="32"/>
        </w:rPr>
        <w:t>政府性基金预算财政拨款支出总计5.61万元，</w:t>
      </w:r>
      <w:r>
        <w:rPr>
          <w:rFonts w:ascii="仿宋_GB2312" w:hAnsi="仿宋_GB2312" w:eastAsia="仿宋_GB2312"/>
          <w:b w:val="0"/>
          <w:sz w:val="32"/>
        </w:rPr>
        <w:t>其中：年末结转和结余0.00万元，本年支出5.61万元。</w:t>
      </w:r>
    </w:p>
    <w:p w14:paraId="41E8B4E1">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增加5.61万元，增长100.00%，主要原因是：本年新增彩票公益金-用于城乡医疗救助的彩票公益金支出。</w:t>
      </w:r>
      <w:r>
        <w:rPr>
          <w:rFonts w:ascii="仿宋_GB2312" w:hAnsi="仿宋_GB2312" w:eastAsia="仿宋_GB2312"/>
          <w:b/>
          <w:sz w:val="32"/>
        </w:rPr>
        <w:t>与年初预算相比，</w:t>
      </w:r>
      <w:r>
        <w:rPr>
          <w:rFonts w:ascii="仿宋_GB2312" w:hAnsi="仿宋_GB2312" w:eastAsia="仿宋_GB2312"/>
          <w:b w:val="0"/>
          <w:sz w:val="32"/>
        </w:rPr>
        <w:t>年初预算数0.00万元，决算数5.61万元，预决算差异率100.00%，主要原因是：年中追加彩票公益金-用于城乡医疗救助的彩票公益金支出，导致预决算存在差异。</w:t>
      </w:r>
    </w:p>
    <w:p w14:paraId="01ED4285">
      <w:pPr>
        <w:spacing w:line="580" w:lineRule="exact"/>
        <w:ind w:firstLine="640"/>
        <w:jc w:val="both"/>
      </w:pPr>
      <w:r>
        <w:rPr>
          <w:rFonts w:ascii="仿宋_GB2312" w:hAnsi="仿宋_GB2312" w:eastAsia="仿宋_GB2312"/>
          <w:b w:val="0"/>
          <w:sz w:val="32"/>
        </w:rPr>
        <w:t>政府性基金预算财政拨款支出5.61万元。</w:t>
      </w:r>
    </w:p>
    <w:p w14:paraId="11F6B269">
      <w:pPr>
        <w:spacing w:line="580" w:lineRule="exact"/>
        <w:ind w:firstLine="640"/>
        <w:jc w:val="both"/>
      </w:pPr>
      <w:r>
        <w:rPr>
          <w:rFonts w:ascii="仿宋_GB2312" w:hAnsi="仿宋_GB2312" w:eastAsia="仿宋_GB2312"/>
          <w:b w:val="0"/>
          <w:sz w:val="32"/>
        </w:rPr>
        <w:t>1.其他支出(类)彩票公益金安排的支出(款)用于城乡医疗救助的彩票公益金支出(项):支出决算数为5.61万元，比上年决算增加5.61万元，增长100.00%,主要原因是：本年新增彩票公益金-用于城乡医疗救助的彩票公益金支出。</w:t>
      </w:r>
    </w:p>
    <w:p w14:paraId="067E09A3">
      <w:pPr>
        <w:spacing w:line="640" w:lineRule="exact"/>
        <w:ind w:firstLine="640"/>
        <w:jc w:val="both"/>
        <w:outlineLvl w:val="2"/>
      </w:pPr>
      <w:r>
        <w:rPr>
          <w:rFonts w:ascii="黑体" w:hAnsi="黑体" w:eastAsia="黑体"/>
          <w:sz w:val="32"/>
        </w:rPr>
        <w:t>八、国有资本经营预算财政拨款收入支出决算情况说明</w:t>
      </w:r>
    </w:p>
    <w:p w14:paraId="7ED82D3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601E142">
      <w:pPr>
        <w:spacing w:line="640" w:lineRule="exact"/>
        <w:ind w:firstLine="640"/>
        <w:jc w:val="both"/>
        <w:outlineLvl w:val="2"/>
      </w:pPr>
      <w:r>
        <w:rPr>
          <w:rFonts w:ascii="黑体" w:hAnsi="黑体" w:eastAsia="黑体"/>
          <w:sz w:val="32"/>
        </w:rPr>
        <w:t>九、财政拨款“三公”经费支出决算情况说明</w:t>
      </w:r>
    </w:p>
    <w:p w14:paraId="75D798A4">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56572F9B">
      <w:pPr>
        <w:spacing w:line="580" w:lineRule="exact"/>
        <w:ind w:firstLine="640"/>
        <w:jc w:val="both"/>
      </w:pPr>
      <w:r>
        <w:rPr>
          <w:rFonts w:ascii="仿宋_GB2312" w:hAnsi="仿宋_GB2312" w:eastAsia="仿宋_GB2312"/>
          <w:b/>
          <w:sz w:val="32"/>
        </w:rPr>
        <w:t>具体情况如下：</w:t>
      </w:r>
    </w:p>
    <w:p w14:paraId="6692EB27">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0B1880D">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3辆，与公务用车保有量差异原因是：差异车辆为一般业务用车，预算未安排公务用车运行维护费。</w:t>
      </w:r>
    </w:p>
    <w:p w14:paraId="68D82553">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803FC5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101CD95D">
      <w:pPr>
        <w:spacing w:line="640" w:lineRule="exact"/>
        <w:ind w:firstLine="640"/>
        <w:jc w:val="both"/>
        <w:outlineLvl w:val="2"/>
      </w:pPr>
      <w:r>
        <w:rPr>
          <w:rFonts w:ascii="黑体" w:hAnsi="黑体" w:eastAsia="黑体"/>
          <w:sz w:val="32"/>
        </w:rPr>
        <w:t>十、其他重要事项的情况说明</w:t>
      </w:r>
    </w:p>
    <w:p w14:paraId="41EA3790">
      <w:pPr>
        <w:spacing w:line="640" w:lineRule="exact"/>
        <w:ind w:firstLine="640"/>
        <w:jc w:val="both"/>
        <w:outlineLvl w:val="3"/>
      </w:pPr>
      <w:r>
        <w:rPr>
          <w:rFonts w:ascii="楷体_GB2312" w:hAnsi="楷体_GB2312" w:eastAsia="楷体_GB2312"/>
          <w:b/>
          <w:sz w:val="32"/>
        </w:rPr>
        <w:t>（一）机关运行经费及公用经费支出情况</w:t>
      </w:r>
    </w:p>
    <w:p w14:paraId="27EE64C7">
      <w:pPr>
        <w:spacing w:line="580" w:lineRule="exact"/>
        <w:ind w:firstLine="640"/>
        <w:jc w:val="both"/>
      </w:pPr>
      <w:r>
        <w:rPr>
          <w:rFonts w:ascii="仿宋_GB2312" w:hAnsi="仿宋_GB2312" w:eastAsia="仿宋_GB2312"/>
          <w:b w:val="0"/>
          <w:sz w:val="32"/>
        </w:rPr>
        <w:t>2024年度洛浦县恰尔巴格镇卫生院（事业单位）公用经费支出0.00万元，比上年增加0.00万元，增长0.00%，主要原因是：2023年与2024年均未安排公用经费支出。</w:t>
      </w:r>
    </w:p>
    <w:p w14:paraId="62BEB991">
      <w:pPr>
        <w:spacing w:line="640" w:lineRule="exact"/>
        <w:ind w:firstLine="640"/>
        <w:jc w:val="both"/>
        <w:outlineLvl w:val="3"/>
      </w:pPr>
      <w:r>
        <w:rPr>
          <w:rFonts w:ascii="楷体_GB2312" w:hAnsi="楷体_GB2312" w:eastAsia="楷体_GB2312"/>
          <w:b/>
          <w:sz w:val="32"/>
        </w:rPr>
        <w:t>（二）政府采购情况</w:t>
      </w:r>
    </w:p>
    <w:p w14:paraId="54527789">
      <w:pPr>
        <w:spacing w:line="580" w:lineRule="exact"/>
        <w:ind w:firstLine="640"/>
        <w:jc w:val="both"/>
      </w:pPr>
      <w:r>
        <w:rPr>
          <w:rFonts w:ascii="仿宋_GB2312" w:hAnsi="仿宋_GB2312" w:eastAsia="仿宋_GB2312"/>
          <w:b w:val="0"/>
          <w:sz w:val="32"/>
        </w:rPr>
        <w:t>2024年度政府采购支出总额272.77万元，其中：政府采购货物支出189.95万元、政府采购工程支出78.76万元、政府采购服务支出4.06万元。</w:t>
      </w:r>
    </w:p>
    <w:p w14:paraId="47BC1E23">
      <w:pPr>
        <w:spacing w:line="580" w:lineRule="exact"/>
        <w:ind w:firstLine="640"/>
        <w:jc w:val="both"/>
      </w:pPr>
      <w:r>
        <w:rPr>
          <w:rFonts w:ascii="仿宋_GB2312" w:hAnsi="仿宋_GB2312" w:eastAsia="仿宋_GB2312"/>
          <w:b w:val="0"/>
          <w:sz w:val="32"/>
        </w:rPr>
        <w:t>授予中小企业合同金额272.77万元，占政府采购支出总额的100.00%，其中：授予小微企业合同金额271.16万元，占政府采购支出总额的99.41%。</w:t>
      </w:r>
    </w:p>
    <w:p w14:paraId="469D1D74">
      <w:pPr>
        <w:spacing w:line="640" w:lineRule="exact"/>
        <w:ind w:firstLine="640"/>
        <w:jc w:val="both"/>
        <w:outlineLvl w:val="3"/>
      </w:pPr>
      <w:r>
        <w:rPr>
          <w:rFonts w:ascii="楷体_GB2312" w:hAnsi="楷体_GB2312" w:eastAsia="楷体_GB2312"/>
          <w:b/>
          <w:sz w:val="32"/>
        </w:rPr>
        <w:t>（三）国有资产占用情况说明</w:t>
      </w:r>
    </w:p>
    <w:p w14:paraId="39668838">
      <w:pPr>
        <w:spacing w:line="580" w:lineRule="exact"/>
        <w:ind w:firstLine="640"/>
        <w:jc w:val="both"/>
      </w:pPr>
      <w:r>
        <w:rPr>
          <w:rFonts w:ascii="仿宋_GB2312" w:hAnsi="仿宋_GB2312" w:eastAsia="仿宋_GB2312"/>
          <w:b w:val="0"/>
          <w:sz w:val="32"/>
        </w:rPr>
        <w:t>截至2024年12月31日，房屋9,707.19平方米，价值2,911.59万元。车辆3辆，价值56.43万元，其中：副部（省）级及以上领导用车0辆、主要负责人用车0辆、机要通信用车0辆、应急保障用车1辆、执法执勤用车0辆、特种专业技术用车1辆、离退休干部服务用车0辆、其他用车1辆，其他用车主要是：医疗专用救护车。单价100万元（含）以上设备（不含车辆）0台（套）。</w:t>
      </w:r>
    </w:p>
    <w:p w14:paraId="3F3E6392">
      <w:pPr>
        <w:spacing w:line="640" w:lineRule="exact"/>
        <w:ind w:firstLine="640"/>
        <w:jc w:val="both"/>
        <w:outlineLvl w:val="2"/>
      </w:pPr>
      <w:r>
        <w:rPr>
          <w:rFonts w:ascii="黑体" w:hAnsi="黑体" w:eastAsia="黑体"/>
          <w:sz w:val="32"/>
        </w:rPr>
        <w:t>十一、预算绩效的情况说明</w:t>
      </w:r>
    </w:p>
    <w:p w14:paraId="4867CD09">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3,320.01万元，实际执行总额3,320.01万元；预算绩效评价项目2个，全年预算数191.10万元，全年执行数191.10万元。预算绩效管理取得的成效：一是成本控制情况：严格按照相关的专项资金管理办法，实行多重审批控制专项经费的支出，二是成本节约情况：项目根据实际情况做出合理预算，支出严格控制在预算范围内，本着节约成本，防止资源浪费的原则将项目成效最大化。发现的问题及原因：一是未能全面深入认识理解绩效管理工作的意义。落实意识不到位，绩效管理经验不足，预算绩效管理工作有待进一步落实，二是绩效指标的明确性、可衡量性、相关性还需进一步提升。预算精细化管理还需完善，预算编制管理水平仍有进一步提升的空间。下一步改进措施：一是恰尔巴格镇卫生院以后的整体绩效管理工作方面，加大绩效工作宣传力度，重视培训，培养工作，强化绩效理念，二是进一步完善绩效指标，提高整体绩效目标质量。提升预算精细化管理水平，逐步提高整体指标实际效益，同步，继续完善预算绩效管理相关工作制度，建立全过程预算绩效管理链条，有效贯彻落实全面实施绩效管理的精神。具体附整体支出绩效自评表，项目支出绩效自评表。</w:t>
      </w:r>
    </w:p>
    <w:p w14:paraId="1EDBFDE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9C0DEDF">
        <w:tblPrEx>
          <w:tblCellMar>
            <w:top w:w="0" w:type="dxa"/>
            <w:left w:w="108" w:type="dxa"/>
            <w:bottom w:w="0" w:type="dxa"/>
            <w:right w:w="108" w:type="dxa"/>
          </w:tblCellMar>
        </w:tblPrEx>
        <w:tc>
          <w:tcPr>
            <w:tcW w:w="8847" w:type="dxa"/>
            <w:gridSpan w:val="9"/>
            <w:vAlign w:val="center"/>
          </w:tcPr>
          <w:p w14:paraId="6EFBBAC6">
            <w:pPr>
              <w:jc w:val="center"/>
            </w:pPr>
            <w:r>
              <w:rPr>
                <w:rFonts w:ascii="宋体" w:hAnsi="宋体" w:eastAsia="宋体"/>
                <w:sz w:val="24"/>
              </w:rPr>
              <w:t>单位整体支出绩效自评表</w:t>
            </w:r>
          </w:p>
        </w:tc>
      </w:tr>
      <w:tr w14:paraId="7BAAF833">
        <w:tblPrEx>
          <w:tblCellMar>
            <w:top w:w="0" w:type="dxa"/>
            <w:left w:w="108" w:type="dxa"/>
            <w:bottom w:w="0" w:type="dxa"/>
            <w:right w:w="108" w:type="dxa"/>
          </w:tblCellMar>
        </w:tblPrEx>
        <w:tc>
          <w:tcPr>
            <w:tcW w:w="8847" w:type="dxa"/>
            <w:gridSpan w:val="9"/>
            <w:vAlign w:val="center"/>
          </w:tcPr>
          <w:p w14:paraId="6C0DB5D0">
            <w:pPr>
              <w:jc w:val="center"/>
            </w:pPr>
            <w:r>
              <w:rPr>
                <w:rFonts w:ascii="宋体" w:hAnsi="宋体" w:eastAsia="宋体"/>
                <w:sz w:val="24"/>
              </w:rPr>
              <w:t>（2024年度）</w:t>
            </w:r>
          </w:p>
        </w:tc>
      </w:tr>
      <w:tr w14:paraId="294AFE4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4E361">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2E11CE0">
            <w:pPr>
              <w:jc w:val="center"/>
            </w:pPr>
            <w:r>
              <w:rPr>
                <w:rFonts w:ascii="宋体" w:hAnsi="宋体" w:eastAsia="宋体"/>
                <w:sz w:val="16"/>
              </w:rPr>
              <w:t>洛浦县恰尔巴格镇卫生院</w:t>
            </w:r>
          </w:p>
        </w:tc>
      </w:tr>
      <w:tr w14:paraId="1F450AC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EAFE04">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F27B9">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FCF2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2A21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99FA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58B0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0939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94DA0">
            <w:pPr>
              <w:jc w:val="center"/>
            </w:pPr>
            <w:r>
              <w:rPr>
                <w:rFonts w:ascii="宋体" w:hAnsi="宋体" w:eastAsia="宋体"/>
                <w:sz w:val="16"/>
              </w:rPr>
              <w:t>得分</w:t>
            </w:r>
          </w:p>
        </w:tc>
      </w:tr>
      <w:tr w14:paraId="6DE2F9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4F57D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2C8741">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28545">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6D47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2032D">
            <w:pPr>
              <w:jc w:val="center"/>
            </w:pPr>
            <w:r>
              <w:rPr>
                <w:rFonts w:ascii="宋体" w:hAnsi="宋体" w:eastAsia="宋体"/>
                <w:sz w:val="16"/>
              </w:rPr>
              <w:t>1,008.34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ACFFA">
            <w:pPr>
              <w:jc w:val="center"/>
            </w:pPr>
            <w:r>
              <w:rPr>
                <w:rFonts w:ascii="宋体" w:hAnsi="宋体" w:eastAsia="宋体"/>
                <w:sz w:val="16"/>
              </w:rPr>
              <w:t>1,008.34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88D6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1487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965AB">
            <w:pPr>
              <w:jc w:val="center"/>
            </w:pPr>
            <w:r>
              <w:rPr>
                <w:rFonts w:ascii="宋体" w:hAnsi="宋体" w:eastAsia="宋体"/>
                <w:sz w:val="16"/>
              </w:rPr>
              <w:t>-</w:t>
            </w:r>
          </w:p>
        </w:tc>
      </w:tr>
      <w:tr w14:paraId="58CE45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05F4B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4DF5B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C6BE3">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BD3AF">
            <w:pPr>
              <w:jc w:val="center"/>
            </w:pPr>
            <w:r>
              <w:rPr>
                <w:rFonts w:ascii="宋体" w:hAnsi="宋体" w:eastAsia="宋体"/>
                <w:sz w:val="16"/>
              </w:rPr>
              <w:t>2,604.40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6B308">
            <w:pPr>
              <w:jc w:val="center"/>
            </w:pPr>
            <w:r>
              <w:rPr>
                <w:rFonts w:ascii="宋体" w:hAnsi="宋体" w:eastAsia="宋体"/>
                <w:sz w:val="16"/>
              </w:rPr>
              <w:t>2,311.67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1A49A">
            <w:pPr>
              <w:jc w:val="center"/>
            </w:pPr>
            <w:r>
              <w:rPr>
                <w:rFonts w:ascii="宋体" w:hAnsi="宋体" w:eastAsia="宋体"/>
                <w:sz w:val="16"/>
              </w:rPr>
              <w:t>2,311.67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F5EC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870B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039DE">
            <w:pPr>
              <w:jc w:val="center"/>
            </w:pPr>
            <w:r>
              <w:rPr>
                <w:rFonts w:ascii="宋体" w:hAnsi="宋体" w:eastAsia="宋体"/>
                <w:sz w:val="16"/>
              </w:rPr>
              <w:t>-</w:t>
            </w:r>
          </w:p>
        </w:tc>
      </w:tr>
      <w:tr w14:paraId="194278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55E8E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E5AC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37023">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84A5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4A3F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3792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06D7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11C2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522CB">
            <w:pPr>
              <w:jc w:val="center"/>
            </w:pPr>
            <w:r>
              <w:rPr>
                <w:rFonts w:ascii="宋体" w:hAnsi="宋体" w:eastAsia="宋体"/>
                <w:sz w:val="16"/>
              </w:rPr>
              <w:t>-</w:t>
            </w:r>
          </w:p>
        </w:tc>
      </w:tr>
      <w:tr w14:paraId="10D07B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1E31C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94DBA">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F9F5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0E87C">
            <w:pPr>
              <w:jc w:val="center"/>
            </w:pPr>
            <w:r>
              <w:rPr>
                <w:rFonts w:ascii="宋体" w:hAnsi="宋体" w:eastAsia="宋体"/>
                <w:sz w:val="16"/>
              </w:rPr>
              <w:t>2,604.40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539EB">
            <w:pPr>
              <w:jc w:val="center"/>
            </w:pPr>
            <w:r>
              <w:rPr>
                <w:rFonts w:ascii="宋体" w:hAnsi="宋体" w:eastAsia="宋体"/>
                <w:sz w:val="16"/>
              </w:rPr>
              <w:t>3,320.01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0EE73">
            <w:pPr>
              <w:jc w:val="center"/>
            </w:pPr>
            <w:r>
              <w:rPr>
                <w:rFonts w:ascii="宋体" w:hAnsi="宋体" w:eastAsia="宋体"/>
                <w:sz w:val="16"/>
              </w:rPr>
              <w:t>3,320.01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AAFF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3F605">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E5EE8">
            <w:pPr>
              <w:jc w:val="center"/>
            </w:pPr>
            <w:r>
              <w:rPr>
                <w:rFonts w:ascii="宋体" w:hAnsi="宋体" w:eastAsia="宋体"/>
                <w:sz w:val="16"/>
              </w:rPr>
              <w:t>10</w:t>
            </w:r>
          </w:p>
        </w:tc>
      </w:tr>
      <w:tr w14:paraId="6B140DB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A9802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0FA929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B8DB9A">
            <w:pPr>
              <w:jc w:val="center"/>
            </w:pPr>
            <w:r>
              <w:rPr>
                <w:rFonts w:ascii="宋体" w:hAnsi="宋体" w:eastAsia="宋体"/>
                <w:sz w:val="16"/>
              </w:rPr>
              <w:t>实际完成情况</w:t>
            </w:r>
          </w:p>
        </w:tc>
      </w:tr>
      <w:tr w14:paraId="3F066E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BCE7F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27ECAA0">
            <w:pPr>
              <w:jc w:val="both"/>
            </w:pPr>
            <w:r>
              <w:rPr>
                <w:rFonts w:ascii="宋体" w:hAnsi="宋体" w:eastAsia="宋体"/>
                <w:sz w:val="16"/>
              </w:rPr>
              <w:t>1.保障人员经费正常发放及提高村医和聘用人员的业务能力。2.2024年搞好基本公共卫生服务工作及提高全民健康体检工作的合格率。3.进一步加强基本药物制度，提高药品的合格率。4.保障卫生院及村卫生室的各种工作的正常运行。</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6D25BE">
            <w:pPr>
              <w:jc w:val="both"/>
            </w:pPr>
            <w:r>
              <w:rPr>
                <w:rFonts w:hint="eastAsia" w:ascii="宋体" w:hAnsi="宋体"/>
                <w:sz w:val="16"/>
                <w:lang w:eastAsia="zh-CN"/>
              </w:rPr>
              <w:t>截至2024</w:t>
            </w:r>
            <w:r>
              <w:rPr>
                <w:rFonts w:ascii="宋体" w:hAnsi="宋体" w:eastAsia="宋体"/>
                <w:sz w:val="16"/>
              </w:rPr>
              <w:t>年12月，</w:t>
            </w:r>
            <w:r>
              <w:rPr>
                <w:rFonts w:hint="eastAsia" w:ascii="宋体" w:hAnsi="宋体"/>
                <w:sz w:val="16"/>
                <w:lang w:eastAsia="zh-CN"/>
              </w:rPr>
              <w:t>本单位</w:t>
            </w:r>
            <w:r>
              <w:rPr>
                <w:rFonts w:ascii="宋体" w:hAnsi="宋体" w:eastAsia="宋体"/>
                <w:sz w:val="16"/>
              </w:rPr>
              <w:t>已保障办公人员127人，保障公务用车5辆，补助健康体检26768人，开展儿童、孕妇、老年人、慢病患者随访1次/季度，开展健康教育活动18种，设置健康教育宣传栏3个，开展公众健康咨询活动9次，举办健康知识讲座18次，开展计免工作培训32次。</w:t>
            </w:r>
          </w:p>
        </w:tc>
      </w:tr>
      <w:tr w14:paraId="27FB09D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C94A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D3A07">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B22C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7532D">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4F681">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8B1E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C6048">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170BA">
            <w:pPr>
              <w:jc w:val="center"/>
            </w:pPr>
            <w:r>
              <w:rPr>
                <w:rFonts w:ascii="宋体" w:hAnsi="宋体" w:eastAsia="宋体"/>
                <w:sz w:val="16"/>
              </w:rPr>
              <w:t>得分</w:t>
            </w:r>
          </w:p>
        </w:tc>
      </w:tr>
      <w:tr w14:paraId="6DB4192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A271A4">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E59F67">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50D5F">
            <w:pPr>
              <w:jc w:val="center"/>
            </w:pPr>
            <w:r>
              <w:rPr>
                <w:rFonts w:ascii="宋体" w:hAnsi="宋体" w:eastAsia="宋体"/>
                <w:sz w:val="16"/>
              </w:rPr>
              <w:t>保障办公人员数量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AB6C4">
            <w:pPr>
              <w:jc w:val="center"/>
            </w:pPr>
            <w:r>
              <w:rPr>
                <w:rFonts w:ascii="宋体" w:hAnsi="宋体" w:eastAsia="宋体"/>
                <w:sz w:val="16"/>
              </w:rPr>
              <w:t>&gt;=127人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95243">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C1C5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7DA8F">
            <w:pPr>
              <w:jc w:val="center"/>
            </w:pPr>
            <w:r>
              <w:rPr>
                <w:rFonts w:ascii="宋体" w:hAnsi="宋体" w:eastAsia="宋体"/>
                <w:sz w:val="16"/>
              </w:rPr>
              <w:t>127人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CAB7B">
            <w:pPr>
              <w:jc w:val="center"/>
            </w:pPr>
            <w:r>
              <w:rPr>
                <w:rFonts w:ascii="宋体" w:hAnsi="宋体" w:eastAsia="宋体"/>
                <w:sz w:val="16"/>
              </w:rPr>
              <w:t>10</w:t>
            </w:r>
          </w:p>
        </w:tc>
      </w:tr>
      <w:tr w14:paraId="47C50E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7950A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60E9D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68D43">
            <w:pPr>
              <w:jc w:val="center"/>
            </w:pPr>
            <w:r>
              <w:rPr>
                <w:rFonts w:ascii="宋体" w:hAnsi="宋体" w:eastAsia="宋体"/>
                <w:sz w:val="16"/>
              </w:rPr>
              <w:t>公务保障用车数量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92D52">
            <w:pPr>
              <w:jc w:val="center"/>
            </w:pPr>
            <w:r>
              <w:rPr>
                <w:rFonts w:ascii="宋体" w:hAnsi="宋体" w:eastAsia="宋体"/>
                <w:sz w:val="16"/>
              </w:rPr>
              <w:t>&gt;=5辆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E52FA">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1591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CA1EC">
            <w:pPr>
              <w:jc w:val="center"/>
            </w:pPr>
            <w:r>
              <w:rPr>
                <w:rFonts w:ascii="宋体" w:hAnsi="宋体" w:eastAsia="宋体"/>
                <w:sz w:val="16"/>
              </w:rPr>
              <w:t>5辆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EC3E7">
            <w:pPr>
              <w:jc w:val="center"/>
            </w:pPr>
            <w:r>
              <w:rPr>
                <w:rFonts w:ascii="宋体" w:hAnsi="宋体" w:eastAsia="宋体"/>
                <w:sz w:val="16"/>
              </w:rPr>
              <w:t>10</w:t>
            </w:r>
          </w:p>
        </w:tc>
      </w:tr>
      <w:tr w14:paraId="73864C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208A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ED46A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2CA5E">
            <w:pPr>
              <w:jc w:val="center"/>
            </w:pPr>
            <w:r>
              <w:rPr>
                <w:rFonts w:ascii="宋体" w:hAnsi="宋体" w:eastAsia="宋体"/>
                <w:sz w:val="16"/>
              </w:rPr>
              <w:t>补助健康体检人数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E12F8">
            <w:pPr>
              <w:jc w:val="center"/>
            </w:pPr>
            <w:r>
              <w:rPr>
                <w:rFonts w:ascii="宋体" w:hAnsi="宋体" w:eastAsia="宋体"/>
                <w:sz w:val="16"/>
              </w:rPr>
              <w:t>&gt;=26768人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740C8">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DE09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F58F5">
            <w:pPr>
              <w:jc w:val="center"/>
            </w:pPr>
            <w:r>
              <w:rPr>
                <w:rFonts w:ascii="宋体" w:hAnsi="宋体" w:eastAsia="宋体"/>
                <w:sz w:val="16"/>
              </w:rPr>
              <w:t>26768人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AB212">
            <w:pPr>
              <w:jc w:val="center"/>
            </w:pPr>
            <w:r>
              <w:rPr>
                <w:rFonts w:ascii="宋体" w:hAnsi="宋体" w:eastAsia="宋体"/>
                <w:sz w:val="16"/>
              </w:rPr>
              <w:t>10</w:t>
            </w:r>
          </w:p>
        </w:tc>
      </w:tr>
      <w:tr w14:paraId="7585CF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99B06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FA16C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C009C">
            <w:pPr>
              <w:jc w:val="center"/>
            </w:pPr>
            <w:r>
              <w:rPr>
                <w:rFonts w:ascii="宋体" w:hAnsi="宋体" w:eastAsia="宋体"/>
                <w:sz w:val="16"/>
              </w:rPr>
              <w:t>开展儿童、孕妇、老年人、慢病患者随访</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AD933">
            <w:pPr>
              <w:jc w:val="center"/>
            </w:pPr>
            <w:r>
              <w:rPr>
                <w:rFonts w:ascii="宋体" w:hAnsi="宋体" w:eastAsia="宋体"/>
                <w:sz w:val="16"/>
              </w:rPr>
              <w:t>&gt;=1次/季度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FEC46">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B13D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7893D">
            <w:pPr>
              <w:jc w:val="center"/>
            </w:pPr>
            <w:r>
              <w:rPr>
                <w:rFonts w:ascii="宋体" w:hAnsi="宋体" w:eastAsia="宋体"/>
                <w:sz w:val="16"/>
              </w:rPr>
              <w:t>1次/季度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3C66D">
            <w:pPr>
              <w:jc w:val="center"/>
            </w:pPr>
            <w:r>
              <w:rPr>
                <w:rFonts w:ascii="宋体" w:hAnsi="宋体" w:eastAsia="宋体"/>
                <w:sz w:val="16"/>
              </w:rPr>
              <w:t>10</w:t>
            </w:r>
          </w:p>
        </w:tc>
      </w:tr>
      <w:tr w14:paraId="6DDD05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643CA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6C1C2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40BFA">
            <w:pPr>
              <w:jc w:val="center"/>
            </w:pPr>
            <w:r>
              <w:rPr>
                <w:rFonts w:ascii="宋体" w:hAnsi="宋体" w:eastAsia="宋体"/>
                <w:sz w:val="16"/>
              </w:rPr>
              <w:t>开展健康教育活动数量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D39B6">
            <w:pPr>
              <w:jc w:val="center"/>
            </w:pPr>
            <w:r>
              <w:rPr>
                <w:rFonts w:ascii="宋体" w:hAnsi="宋体" w:eastAsia="宋体"/>
                <w:sz w:val="16"/>
              </w:rPr>
              <w:t>&gt;=18种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B25E3">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A352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F5985">
            <w:pPr>
              <w:jc w:val="center"/>
            </w:pPr>
            <w:r>
              <w:rPr>
                <w:rFonts w:ascii="宋体" w:hAnsi="宋体" w:eastAsia="宋体"/>
                <w:sz w:val="16"/>
              </w:rPr>
              <w:t>18种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48BBA">
            <w:pPr>
              <w:jc w:val="center"/>
            </w:pPr>
            <w:r>
              <w:rPr>
                <w:rFonts w:ascii="宋体" w:hAnsi="宋体" w:eastAsia="宋体"/>
                <w:sz w:val="16"/>
              </w:rPr>
              <w:t>10</w:t>
            </w:r>
          </w:p>
        </w:tc>
      </w:tr>
      <w:tr w14:paraId="1B1530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11678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050D5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7FF07">
            <w:pPr>
              <w:jc w:val="center"/>
            </w:pPr>
            <w:r>
              <w:rPr>
                <w:rFonts w:ascii="宋体" w:hAnsi="宋体" w:eastAsia="宋体"/>
                <w:sz w:val="16"/>
              </w:rPr>
              <w:t>设置健康教育宣传栏数量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D2CC8">
            <w:pPr>
              <w:jc w:val="center"/>
            </w:pPr>
            <w:r>
              <w:rPr>
                <w:rFonts w:ascii="宋体" w:hAnsi="宋体" w:eastAsia="宋体"/>
                <w:sz w:val="16"/>
              </w:rPr>
              <w:t>&gt;=3个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CAAD3">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4DB0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8F78C">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9DEA3">
            <w:pPr>
              <w:jc w:val="center"/>
            </w:pPr>
            <w:r>
              <w:rPr>
                <w:rFonts w:ascii="宋体" w:hAnsi="宋体" w:eastAsia="宋体"/>
                <w:sz w:val="16"/>
              </w:rPr>
              <w:t>10</w:t>
            </w:r>
          </w:p>
        </w:tc>
      </w:tr>
      <w:tr w14:paraId="3D1CCA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A519F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0FDC2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7AF54">
            <w:pPr>
              <w:jc w:val="center"/>
            </w:pPr>
            <w:r>
              <w:rPr>
                <w:rFonts w:ascii="宋体" w:hAnsi="宋体" w:eastAsia="宋体"/>
                <w:sz w:val="16"/>
              </w:rPr>
              <w:t>开展公众健康咨询活动次数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04C11">
            <w:pPr>
              <w:jc w:val="center"/>
            </w:pPr>
            <w:r>
              <w:rPr>
                <w:rFonts w:ascii="宋体" w:hAnsi="宋体" w:eastAsia="宋体"/>
                <w:sz w:val="16"/>
              </w:rPr>
              <w:t>&gt;=9次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F9428">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FD11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6DA91">
            <w:pPr>
              <w:jc w:val="center"/>
            </w:pPr>
            <w:r>
              <w:rPr>
                <w:rFonts w:ascii="宋体" w:hAnsi="宋体" w:eastAsia="宋体"/>
                <w:sz w:val="16"/>
              </w:rPr>
              <w:t>9次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A20E6">
            <w:pPr>
              <w:jc w:val="center"/>
            </w:pPr>
            <w:r>
              <w:rPr>
                <w:rFonts w:ascii="宋体" w:hAnsi="宋体" w:eastAsia="宋体"/>
                <w:sz w:val="16"/>
              </w:rPr>
              <w:t>10</w:t>
            </w:r>
          </w:p>
        </w:tc>
      </w:tr>
      <w:tr w14:paraId="0AEF5F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E62CD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735F2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DE784">
            <w:pPr>
              <w:jc w:val="center"/>
            </w:pPr>
            <w:r>
              <w:rPr>
                <w:rFonts w:ascii="宋体" w:hAnsi="宋体" w:eastAsia="宋体"/>
                <w:sz w:val="16"/>
              </w:rPr>
              <w:t>举办健康知识讲座次数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20743">
            <w:pPr>
              <w:jc w:val="center"/>
            </w:pPr>
            <w:r>
              <w:rPr>
                <w:rFonts w:ascii="宋体" w:hAnsi="宋体" w:eastAsia="宋体"/>
                <w:sz w:val="16"/>
              </w:rPr>
              <w:t>&gt;=18次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6144F">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A6AD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4FCF8">
            <w:pPr>
              <w:jc w:val="center"/>
            </w:pPr>
            <w:r>
              <w:rPr>
                <w:rFonts w:ascii="宋体" w:hAnsi="宋体" w:eastAsia="宋体"/>
                <w:sz w:val="16"/>
              </w:rPr>
              <w:t>18次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94D25">
            <w:pPr>
              <w:jc w:val="center"/>
            </w:pPr>
            <w:r>
              <w:rPr>
                <w:rFonts w:ascii="宋体" w:hAnsi="宋体" w:eastAsia="宋体"/>
                <w:sz w:val="16"/>
              </w:rPr>
              <w:t>10</w:t>
            </w:r>
          </w:p>
        </w:tc>
      </w:tr>
      <w:tr w14:paraId="70D2B8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7987D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61421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1472A">
            <w:pPr>
              <w:jc w:val="center"/>
            </w:pPr>
            <w:r>
              <w:rPr>
                <w:rFonts w:ascii="宋体" w:hAnsi="宋体" w:eastAsia="宋体"/>
                <w:sz w:val="16"/>
              </w:rPr>
              <w:t>开展计免工作培训次数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EE9AB">
            <w:pPr>
              <w:jc w:val="center"/>
            </w:pPr>
            <w:r>
              <w:rPr>
                <w:rFonts w:ascii="宋体" w:hAnsi="宋体" w:eastAsia="宋体"/>
                <w:sz w:val="16"/>
              </w:rPr>
              <w:t>&gt;=32次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9E777">
            <w:pPr>
              <w:jc w:val="center"/>
            </w:pPr>
            <w:r>
              <w:rPr>
                <w:rFonts w:ascii="宋体" w:hAnsi="宋体" w:eastAsia="宋体"/>
                <w:sz w:val="16"/>
              </w:rPr>
              <w:t>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0F9D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DC332">
            <w:pPr>
              <w:jc w:val="center"/>
            </w:pPr>
            <w:r>
              <w:rPr>
                <w:rFonts w:ascii="宋体" w:hAnsi="宋体" w:eastAsia="宋体"/>
                <w:sz w:val="16"/>
              </w:rPr>
              <w:t>32次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BEF46">
            <w:pPr>
              <w:jc w:val="center"/>
            </w:pPr>
            <w:r>
              <w:rPr>
                <w:rFonts w:ascii="宋体" w:hAnsi="宋体" w:eastAsia="宋体"/>
                <w:sz w:val="16"/>
              </w:rPr>
              <w:t>10</w:t>
            </w:r>
          </w:p>
        </w:tc>
      </w:tr>
    </w:tbl>
    <w:p w14:paraId="4494897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ABD1049">
        <w:tblPrEx>
          <w:tblCellMar>
            <w:top w:w="0" w:type="dxa"/>
            <w:left w:w="108" w:type="dxa"/>
            <w:bottom w:w="0" w:type="dxa"/>
            <w:right w:w="108" w:type="dxa"/>
          </w:tblCellMar>
        </w:tblPrEx>
        <w:tc>
          <w:tcPr>
            <w:tcW w:w="8847" w:type="dxa"/>
            <w:gridSpan w:val="9"/>
            <w:vAlign w:val="center"/>
          </w:tcPr>
          <w:p w14:paraId="00EC82FD">
            <w:pPr>
              <w:jc w:val="center"/>
            </w:pPr>
            <w:r>
              <w:rPr>
                <w:rFonts w:ascii="宋体" w:hAnsi="宋体" w:eastAsia="宋体"/>
                <w:sz w:val="24"/>
              </w:rPr>
              <w:t>项目支出绩效自评表</w:t>
            </w:r>
          </w:p>
        </w:tc>
      </w:tr>
      <w:tr w14:paraId="1435C6FB">
        <w:tblPrEx>
          <w:tblCellMar>
            <w:top w:w="0" w:type="dxa"/>
            <w:left w:w="108" w:type="dxa"/>
            <w:bottom w:w="0" w:type="dxa"/>
            <w:right w:w="108" w:type="dxa"/>
          </w:tblCellMar>
        </w:tblPrEx>
        <w:tc>
          <w:tcPr>
            <w:tcW w:w="8847" w:type="dxa"/>
            <w:gridSpan w:val="9"/>
            <w:vAlign w:val="center"/>
          </w:tcPr>
          <w:p w14:paraId="1271B341">
            <w:pPr>
              <w:jc w:val="center"/>
            </w:pPr>
            <w:r>
              <w:rPr>
                <w:rFonts w:ascii="宋体" w:hAnsi="宋体" w:eastAsia="宋体"/>
                <w:sz w:val="24"/>
              </w:rPr>
              <w:t>(2024年度)</w:t>
            </w:r>
          </w:p>
        </w:tc>
      </w:tr>
      <w:tr w14:paraId="16E386E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FD8F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30DD58F">
            <w:pPr>
              <w:jc w:val="center"/>
            </w:pPr>
            <w:r>
              <w:rPr>
                <w:rFonts w:ascii="宋体" w:hAnsi="宋体" w:eastAsia="宋体"/>
                <w:sz w:val="16"/>
              </w:rPr>
              <w:t>2023年结转2024年专项资金-和地财社</w:t>
            </w:r>
            <w:r>
              <w:rPr>
                <w:rFonts w:hint="eastAsia" w:ascii="宋体" w:hAnsi="宋体"/>
                <w:sz w:val="16"/>
                <w:lang w:eastAsia="zh-CN"/>
              </w:rPr>
              <w:t>〔2022〕78号</w:t>
            </w:r>
            <w:r>
              <w:rPr>
                <w:rFonts w:ascii="宋体" w:hAnsi="宋体" w:eastAsia="宋体"/>
                <w:sz w:val="16"/>
              </w:rPr>
              <w:t>：2023年自治区医疗服务与保障能力提升[卫生健康人才培养]补助资金-支援团队</w:t>
            </w:r>
          </w:p>
        </w:tc>
      </w:tr>
      <w:tr w14:paraId="6358DA3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626D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1F6A5BA">
            <w:pPr>
              <w:jc w:val="center"/>
            </w:pPr>
            <w:r>
              <w:rPr>
                <w:rFonts w:ascii="宋体" w:hAnsi="宋体" w:eastAsia="宋体"/>
                <w:sz w:val="16"/>
              </w:rPr>
              <w:t>洛浦县卫生健康委员会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7C51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C6B58B0">
            <w:pPr>
              <w:jc w:val="center"/>
            </w:pPr>
            <w:r>
              <w:rPr>
                <w:rFonts w:ascii="宋体" w:hAnsi="宋体" w:eastAsia="宋体"/>
                <w:sz w:val="16"/>
              </w:rPr>
              <w:t>洛浦县恰尔巴格镇卫生院</w:t>
            </w:r>
          </w:p>
        </w:tc>
      </w:tr>
      <w:tr w14:paraId="62BF9F5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7635F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A43A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C376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F862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6D56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00B3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41E0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2CFA3">
            <w:pPr>
              <w:jc w:val="center"/>
            </w:pPr>
            <w:r>
              <w:rPr>
                <w:rFonts w:ascii="宋体" w:hAnsi="宋体" w:eastAsia="宋体"/>
                <w:sz w:val="16"/>
              </w:rPr>
              <w:t>得分</w:t>
            </w:r>
          </w:p>
        </w:tc>
      </w:tr>
      <w:tr w14:paraId="482ED8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CCD65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1752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67400">
            <w:pPr>
              <w:jc w:val="center"/>
            </w:pPr>
            <w:r>
              <w:rPr>
                <w:rFonts w:ascii="宋体" w:hAnsi="宋体" w:eastAsia="宋体"/>
                <w:sz w:val="16"/>
              </w:rPr>
              <w:t>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B3E4A">
            <w:pPr>
              <w:jc w:val="center"/>
            </w:pPr>
            <w:r>
              <w:rPr>
                <w:rFonts w:ascii="宋体" w:hAnsi="宋体" w:eastAsia="宋体"/>
                <w:sz w:val="16"/>
              </w:rPr>
              <w:t>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A044E">
            <w:pPr>
              <w:jc w:val="center"/>
            </w:pPr>
            <w:r>
              <w:rPr>
                <w:rFonts w:ascii="宋体" w:hAnsi="宋体" w:eastAsia="宋体"/>
                <w:sz w:val="16"/>
              </w:rPr>
              <w:t>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302C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D9850">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9C684">
            <w:pPr>
              <w:jc w:val="center"/>
            </w:pPr>
            <w:r>
              <w:rPr>
                <w:rFonts w:ascii="宋体" w:hAnsi="宋体" w:eastAsia="宋体"/>
                <w:sz w:val="16"/>
              </w:rPr>
              <w:t>10.00</w:t>
            </w:r>
          </w:p>
        </w:tc>
      </w:tr>
      <w:tr w14:paraId="7CC128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96BB3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B80A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C1E55">
            <w:pPr>
              <w:jc w:val="center"/>
            </w:pPr>
            <w:r>
              <w:rPr>
                <w:rFonts w:ascii="宋体" w:hAnsi="宋体" w:eastAsia="宋体"/>
                <w:sz w:val="16"/>
              </w:rPr>
              <w:t>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00246">
            <w:pPr>
              <w:jc w:val="center"/>
            </w:pPr>
            <w:r>
              <w:rPr>
                <w:rFonts w:ascii="宋体" w:hAnsi="宋体" w:eastAsia="宋体"/>
                <w:sz w:val="16"/>
              </w:rPr>
              <w:t>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CEB9A">
            <w:pPr>
              <w:jc w:val="center"/>
            </w:pPr>
            <w:r>
              <w:rPr>
                <w:rFonts w:ascii="宋体" w:hAnsi="宋体" w:eastAsia="宋体"/>
                <w:sz w:val="16"/>
              </w:rPr>
              <w:t>1.50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8411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9515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3C30E">
            <w:pPr>
              <w:jc w:val="center"/>
            </w:pPr>
            <w:r>
              <w:rPr>
                <w:rFonts w:ascii="宋体" w:hAnsi="宋体" w:eastAsia="宋体"/>
                <w:sz w:val="16"/>
              </w:rPr>
              <w:t>—</w:t>
            </w:r>
          </w:p>
        </w:tc>
      </w:tr>
      <w:tr w14:paraId="743129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B2E33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8614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FD16A">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E9104">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5E53A">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5779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5B3F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EFF93">
            <w:pPr>
              <w:jc w:val="center"/>
            </w:pPr>
            <w:r>
              <w:rPr>
                <w:rFonts w:ascii="宋体" w:hAnsi="宋体" w:eastAsia="宋体"/>
                <w:sz w:val="16"/>
              </w:rPr>
              <w:t>—</w:t>
            </w:r>
          </w:p>
        </w:tc>
      </w:tr>
      <w:tr w14:paraId="424764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6754B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E491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B68C3">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E6CD0">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139C2">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5D8A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10B3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4D923">
            <w:pPr>
              <w:jc w:val="center"/>
            </w:pPr>
            <w:r>
              <w:rPr>
                <w:rFonts w:ascii="宋体" w:hAnsi="宋体" w:eastAsia="宋体"/>
                <w:sz w:val="16"/>
              </w:rPr>
              <w:t>—</w:t>
            </w:r>
          </w:p>
        </w:tc>
      </w:tr>
      <w:tr w14:paraId="0B0215E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17914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2923E0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109695">
            <w:pPr>
              <w:jc w:val="center"/>
            </w:pPr>
            <w:r>
              <w:rPr>
                <w:rFonts w:ascii="宋体" w:hAnsi="宋体" w:eastAsia="宋体"/>
                <w:sz w:val="16"/>
              </w:rPr>
              <w:t>实际完成情况</w:t>
            </w:r>
          </w:p>
        </w:tc>
      </w:tr>
      <w:tr w14:paraId="3B2481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B919C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984C0C3">
            <w:pPr>
              <w:jc w:val="both"/>
            </w:pPr>
            <w:r>
              <w:rPr>
                <w:rFonts w:ascii="宋体" w:hAnsi="宋体" w:eastAsia="宋体"/>
                <w:sz w:val="16"/>
              </w:rPr>
              <w:t>根据2023年结转2024年专项资金-和地财社</w:t>
            </w:r>
            <w:r>
              <w:rPr>
                <w:rFonts w:hint="eastAsia" w:ascii="宋体" w:hAnsi="宋体"/>
                <w:sz w:val="16"/>
                <w:lang w:eastAsia="zh-CN"/>
              </w:rPr>
              <w:t>〔2022〕78号</w:t>
            </w:r>
            <w:r>
              <w:rPr>
                <w:rFonts w:ascii="宋体" w:hAnsi="宋体" w:eastAsia="宋体"/>
                <w:sz w:val="16"/>
              </w:rPr>
              <w:t>文件要求，为</w:t>
            </w:r>
            <w:r>
              <w:rPr>
                <w:rFonts w:hint="eastAsia" w:ascii="宋体" w:hAnsi="宋体"/>
                <w:sz w:val="16"/>
                <w:lang w:eastAsia="zh-CN"/>
              </w:rPr>
              <w:t>提升</w:t>
            </w:r>
            <w:r>
              <w:rPr>
                <w:rFonts w:ascii="宋体" w:hAnsi="宋体" w:eastAsia="宋体"/>
                <w:sz w:val="16"/>
              </w:rPr>
              <w:t>对口支援工作效率，项目总投资为1.5万元，项目完成时间为2024年12月；通过本项目实施，保障3个对口支援的补助按时发放，提高业务能力，争取使受益干部满意度达到95%以上。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48BC90">
            <w:pPr>
              <w:jc w:val="both"/>
            </w:pPr>
            <w:r>
              <w:rPr>
                <w:rFonts w:hint="eastAsia" w:ascii="宋体" w:hAnsi="宋体"/>
                <w:sz w:val="16"/>
                <w:lang w:eastAsia="zh-CN"/>
              </w:rPr>
              <w:t>截至</w:t>
            </w:r>
            <w:r>
              <w:rPr>
                <w:rFonts w:ascii="宋体" w:hAnsi="宋体" w:eastAsia="宋体"/>
                <w:sz w:val="16"/>
              </w:rPr>
              <w:t>2024年12月31日，该项目已保障3个对口支援的补助按时发放。通过本项目实施，提高业务能力。</w:t>
            </w:r>
          </w:p>
        </w:tc>
      </w:tr>
      <w:tr w14:paraId="4801D25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C3407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C59E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F3EB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708D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AC28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F71B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A6B7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340F7">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A37E2">
            <w:pPr>
              <w:jc w:val="center"/>
            </w:pPr>
            <w:r>
              <w:rPr>
                <w:rFonts w:ascii="宋体" w:hAnsi="宋体" w:eastAsia="宋体"/>
                <w:sz w:val="16"/>
              </w:rPr>
              <w:t>偏差原因分析及改进措施</w:t>
            </w:r>
          </w:p>
        </w:tc>
      </w:tr>
      <w:tr w14:paraId="7EDA35E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6F756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4E5BE9">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23FA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0D76C">
            <w:pPr>
              <w:jc w:val="center"/>
            </w:pPr>
            <w:r>
              <w:rPr>
                <w:rFonts w:ascii="宋体" w:hAnsi="宋体" w:eastAsia="宋体"/>
                <w:sz w:val="16"/>
              </w:rPr>
              <w:t>保障对口支援数量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BD1B4">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F2149">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5318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C182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1180B">
            <w:pPr>
              <w:jc w:val="center"/>
            </w:pPr>
          </w:p>
        </w:tc>
      </w:tr>
      <w:tr w14:paraId="113A2B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4194B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9BCAC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915D7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12D74">
            <w:pPr>
              <w:jc w:val="center"/>
            </w:pPr>
            <w:r>
              <w:rPr>
                <w:rFonts w:ascii="宋体" w:hAnsi="宋体" w:eastAsia="宋体"/>
                <w:sz w:val="16"/>
              </w:rPr>
              <w:t>补贴发放覆盖率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E662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46D25">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C431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A61D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73BD7">
            <w:pPr>
              <w:jc w:val="center"/>
            </w:pPr>
          </w:p>
        </w:tc>
      </w:tr>
      <w:tr w14:paraId="003ACF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C93EB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F5F61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47F0A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0E965">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6BF7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9D206">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D6CE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97B9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8AECB">
            <w:pPr>
              <w:jc w:val="center"/>
            </w:pPr>
          </w:p>
        </w:tc>
      </w:tr>
      <w:tr w14:paraId="4A3269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1FD12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9BEF7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BCAEF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3F31D">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CA393">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D3974">
            <w:pPr>
              <w:jc w:val="center"/>
            </w:pPr>
            <w:r>
              <w:rPr>
                <w:rFonts w:hint="eastAsia" w:ascii="宋体" w:hAnsi="宋体"/>
                <w:sz w:val="16"/>
                <w:lang w:eastAsia="zh-CN"/>
              </w:rPr>
              <w:t>2024年1月1日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DDCA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C6E1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5CC08">
            <w:pPr>
              <w:jc w:val="center"/>
            </w:pPr>
          </w:p>
        </w:tc>
      </w:tr>
      <w:tr w14:paraId="0039E0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07FE9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F440B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785C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7DFDB">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27392">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8090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C24C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5828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16FD6">
            <w:pPr>
              <w:jc w:val="center"/>
            </w:pPr>
          </w:p>
        </w:tc>
      </w:tr>
      <w:tr w14:paraId="3060A0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9C26A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E0750">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2C84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660DE">
            <w:pPr>
              <w:jc w:val="center"/>
            </w:pPr>
            <w:r>
              <w:rPr>
                <w:rFonts w:ascii="宋体" w:hAnsi="宋体" w:eastAsia="宋体"/>
                <w:sz w:val="16"/>
              </w:rPr>
              <w:t>恰尔巴格镇卫生院对口支援经费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A479C">
            <w:pPr>
              <w:jc w:val="center"/>
            </w:pPr>
            <w:r>
              <w:rPr>
                <w:rFonts w:ascii="宋体" w:hAnsi="宋体" w:eastAsia="宋体"/>
                <w:sz w:val="16"/>
              </w:rPr>
              <w:t>≤1.5万元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48473">
            <w:pPr>
              <w:jc w:val="center"/>
            </w:pPr>
            <w:r>
              <w:rPr>
                <w:rFonts w:ascii="宋体" w:hAnsi="宋体" w:eastAsia="宋体"/>
                <w:sz w:val="16"/>
              </w:rPr>
              <w:t>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0428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48DA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A0301">
            <w:pPr>
              <w:jc w:val="center"/>
            </w:pPr>
          </w:p>
        </w:tc>
      </w:tr>
      <w:tr w14:paraId="0DE88C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CF59C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0073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3227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C5337">
            <w:pPr>
              <w:jc w:val="center"/>
            </w:pPr>
            <w:r>
              <w:rPr>
                <w:rFonts w:ascii="宋体" w:hAnsi="宋体" w:eastAsia="宋体"/>
                <w:sz w:val="16"/>
              </w:rPr>
              <w:t>提高对口支援工作积极性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436AF">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8E182">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FCA4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17D2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0F5B1">
            <w:pPr>
              <w:jc w:val="center"/>
            </w:pPr>
          </w:p>
        </w:tc>
      </w:tr>
      <w:tr w14:paraId="6D9EE3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3309A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BF2A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90E2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7021E">
            <w:pPr>
              <w:jc w:val="center"/>
            </w:pPr>
            <w:r>
              <w:rPr>
                <w:rFonts w:ascii="宋体" w:hAnsi="宋体" w:eastAsia="宋体"/>
                <w:sz w:val="16"/>
              </w:rPr>
              <w:t>受益干部满意度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C154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C898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C1F6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5FCF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E255B">
            <w:pPr>
              <w:jc w:val="center"/>
            </w:pPr>
          </w:p>
        </w:tc>
      </w:tr>
      <w:tr w14:paraId="4F1C057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4A0D4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31EDA4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2E1C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E586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582EA1B"/>
        </w:tc>
      </w:tr>
    </w:tbl>
    <w:p w14:paraId="3363AF0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27E3942">
        <w:tblPrEx>
          <w:tblCellMar>
            <w:top w:w="0" w:type="dxa"/>
            <w:left w:w="108" w:type="dxa"/>
            <w:bottom w:w="0" w:type="dxa"/>
            <w:right w:w="108" w:type="dxa"/>
          </w:tblCellMar>
        </w:tblPrEx>
        <w:tc>
          <w:tcPr>
            <w:tcW w:w="8847" w:type="dxa"/>
            <w:gridSpan w:val="9"/>
            <w:vAlign w:val="center"/>
          </w:tcPr>
          <w:p w14:paraId="3DF2311F">
            <w:pPr>
              <w:jc w:val="center"/>
            </w:pPr>
            <w:r>
              <w:rPr>
                <w:rFonts w:ascii="宋体" w:hAnsi="宋体" w:eastAsia="宋体"/>
                <w:sz w:val="24"/>
              </w:rPr>
              <w:t>项目支出绩效自评表</w:t>
            </w:r>
          </w:p>
        </w:tc>
      </w:tr>
      <w:tr w14:paraId="3B2B3AD3">
        <w:tblPrEx>
          <w:tblCellMar>
            <w:top w:w="0" w:type="dxa"/>
            <w:left w:w="108" w:type="dxa"/>
            <w:bottom w:w="0" w:type="dxa"/>
            <w:right w:w="108" w:type="dxa"/>
          </w:tblCellMar>
        </w:tblPrEx>
        <w:tc>
          <w:tcPr>
            <w:tcW w:w="8847" w:type="dxa"/>
            <w:gridSpan w:val="9"/>
            <w:vAlign w:val="center"/>
          </w:tcPr>
          <w:p w14:paraId="0A34E270">
            <w:pPr>
              <w:jc w:val="center"/>
            </w:pPr>
            <w:r>
              <w:rPr>
                <w:rFonts w:ascii="宋体" w:hAnsi="宋体" w:eastAsia="宋体"/>
                <w:sz w:val="24"/>
              </w:rPr>
              <w:t>(2024年度)</w:t>
            </w:r>
          </w:p>
        </w:tc>
      </w:tr>
      <w:tr w14:paraId="3AF701B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D538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6A61D57">
            <w:pPr>
              <w:jc w:val="center"/>
            </w:pPr>
            <w:r>
              <w:rPr>
                <w:rFonts w:ascii="宋体" w:hAnsi="宋体" w:eastAsia="宋体"/>
                <w:sz w:val="16"/>
              </w:rPr>
              <w:t>中央直达-和地财社</w:t>
            </w:r>
            <w:r>
              <w:rPr>
                <w:rFonts w:hint="eastAsia" w:ascii="宋体" w:hAnsi="宋体"/>
                <w:sz w:val="16"/>
                <w:lang w:eastAsia="zh-CN"/>
              </w:rPr>
              <w:t>〔2023〕49号</w:t>
            </w:r>
            <w:r>
              <w:rPr>
                <w:rFonts w:ascii="宋体" w:hAnsi="宋体" w:eastAsia="宋体"/>
                <w:sz w:val="16"/>
              </w:rPr>
              <w:t>：2023年中央医疗服务与保障能力提升[医疗卫生机构能力建设]补助资金</w:t>
            </w:r>
          </w:p>
        </w:tc>
      </w:tr>
      <w:tr w14:paraId="6DF3ACE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3CAD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B72324">
            <w:pPr>
              <w:jc w:val="center"/>
            </w:pPr>
            <w:r>
              <w:rPr>
                <w:rFonts w:ascii="宋体" w:hAnsi="宋体" w:eastAsia="宋体"/>
                <w:sz w:val="16"/>
              </w:rPr>
              <w:t>洛浦县卫生健康委</w:t>
            </w:r>
            <w:r>
              <w:rPr>
                <w:rFonts w:hint="eastAsia" w:ascii="宋体" w:hAnsi="宋体"/>
                <w:sz w:val="16"/>
                <w:lang w:eastAsia="zh-CN"/>
              </w:rPr>
              <w:t>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69D6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4A64050">
            <w:pPr>
              <w:jc w:val="center"/>
            </w:pPr>
            <w:r>
              <w:rPr>
                <w:rFonts w:ascii="宋体" w:hAnsi="宋体" w:eastAsia="宋体"/>
                <w:sz w:val="16"/>
              </w:rPr>
              <w:t>洛浦县恰尔巴格镇卫生院</w:t>
            </w:r>
          </w:p>
        </w:tc>
      </w:tr>
      <w:tr w14:paraId="3D2E174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9F6F4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F3B5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F3BE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21C1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A649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F9FF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C148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0B0FC">
            <w:pPr>
              <w:jc w:val="center"/>
            </w:pPr>
            <w:r>
              <w:rPr>
                <w:rFonts w:ascii="宋体" w:hAnsi="宋体" w:eastAsia="宋体"/>
                <w:sz w:val="16"/>
              </w:rPr>
              <w:t>得分</w:t>
            </w:r>
          </w:p>
        </w:tc>
      </w:tr>
      <w:tr w14:paraId="7C0161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771F2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390F2">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F8ED0">
            <w:pPr>
              <w:jc w:val="center"/>
            </w:pPr>
            <w:r>
              <w:rPr>
                <w:rFonts w:ascii="宋体" w:hAnsi="宋体" w:eastAsia="宋体"/>
                <w:sz w:val="16"/>
              </w:rPr>
              <w:t>189.60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8BD67">
            <w:pPr>
              <w:jc w:val="center"/>
            </w:pPr>
            <w:r>
              <w:rPr>
                <w:rFonts w:ascii="宋体" w:hAnsi="宋体" w:eastAsia="宋体"/>
                <w:sz w:val="16"/>
              </w:rPr>
              <w:t>189.60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E5474">
            <w:pPr>
              <w:jc w:val="center"/>
            </w:pPr>
            <w:r>
              <w:rPr>
                <w:rFonts w:ascii="宋体" w:hAnsi="宋体" w:eastAsia="宋体"/>
                <w:sz w:val="16"/>
              </w:rPr>
              <w:t>189.60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12A2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72092">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6D5B6E">
            <w:pPr>
              <w:jc w:val="center"/>
            </w:pPr>
            <w:r>
              <w:rPr>
                <w:rFonts w:ascii="宋体" w:hAnsi="宋体" w:eastAsia="宋体"/>
                <w:sz w:val="16"/>
              </w:rPr>
              <w:t>10.00</w:t>
            </w:r>
          </w:p>
        </w:tc>
      </w:tr>
      <w:tr w14:paraId="440C8A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C04B3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50B3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436CD">
            <w:pPr>
              <w:jc w:val="center"/>
            </w:pPr>
            <w:r>
              <w:rPr>
                <w:rFonts w:ascii="宋体" w:hAnsi="宋体" w:eastAsia="宋体"/>
                <w:sz w:val="16"/>
              </w:rPr>
              <w:t>189.60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9CC2B">
            <w:pPr>
              <w:jc w:val="center"/>
            </w:pPr>
            <w:r>
              <w:rPr>
                <w:rFonts w:ascii="宋体" w:hAnsi="宋体" w:eastAsia="宋体"/>
                <w:sz w:val="16"/>
              </w:rPr>
              <w:t>189.60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F2862">
            <w:pPr>
              <w:jc w:val="center"/>
            </w:pPr>
            <w:r>
              <w:rPr>
                <w:rFonts w:ascii="宋体" w:hAnsi="宋体" w:eastAsia="宋体"/>
                <w:sz w:val="16"/>
              </w:rPr>
              <w:t>189.60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5E8F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6762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39D2B">
            <w:pPr>
              <w:jc w:val="center"/>
            </w:pPr>
            <w:r>
              <w:rPr>
                <w:rFonts w:ascii="宋体" w:hAnsi="宋体" w:eastAsia="宋体"/>
                <w:sz w:val="16"/>
              </w:rPr>
              <w:t>—</w:t>
            </w:r>
          </w:p>
        </w:tc>
      </w:tr>
      <w:tr w14:paraId="5A0076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F5C4E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E465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F8A2A">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6B052">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8B2BD">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F4DA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92E4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64A46">
            <w:pPr>
              <w:jc w:val="center"/>
            </w:pPr>
            <w:r>
              <w:rPr>
                <w:rFonts w:ascii="宋体" w:hAnsi="宋体" w:eastAsia="宋体"/>
                <w:sz w:val="16"/>
              </w:rPr>
              <w:t>—</w:t>
            </w:r>
          </w:p>
        </w:tc>
      </w:tr>
      <w:tr w14:paraId="751C76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6B8CE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234F6">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7F045">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12A0C">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5850E">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D26F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7871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9F9CD">
            <w:pPr>
              <w:jc w:val="center"/>
            </w:pPr>
            <w:r>
              <w:rPr>
                <w:rFonts w:ascii="宋体" w:hAnsi="宋体" w:eastAsia="宋体"/>
                <w:sz w:val="16"/>
              </w:rPr>
              <w:t>—</w:t>
            </w:r>
          </w:p>
        </w:tc>
      </w:tr>
      <w:tr w14:paraId="3334522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E24B7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1A9295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5A9999">
            <w:pPr>
              <w:jc w:val="center"/>
            </w:pPr>
            <w:r>
              <w:rPr>
                <w:rFonts w:ascii="宋体" w:hAnsi="宋体" w:eastAsia="宋体"/>
                <w:sz w:val="16"/>
              </w:rPr>
              <w:t>实际完成情况</w:t>
            </w:r>
          </w:p>
        </w:tc>
      </w:tr>
      <w:tr w14:paraId="08A3C6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CBA20A"/>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D7EA571">
            <w:pPr>
              <w:jc w:val="both"/>
            </w:pPr>
            <w:r>
              <w:rPr>
                <w:rFonts w:ascii="宋体" w:hAnsi="宋体" w:eastAsia="宋体"/>
                <w:sz w:val="16"/>
              </w:rPr>
              <w:t>根据《关于拨付2023年中央医疗服务与保障能力提升（医疗卫生机构能力建设）补助资金的通知》（和地财社〔2023〕49号），用于医疗卫生机构能力建设采购医疗设备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76B529">
            <w:pPr>
              <w:jc w:val="both"/>
            </w:pPr>
            <w:r>
              <w:rPr>
                <w:rFonts w:ascii="宋体" w:hAnsi="宋体" w:eastAsia="宋体"/>
                <w:sz w:val="16"/>
              </w:rPr>
              <w:t>根据《关于拨付2023年中央医疗服务与保障能力提升（医疗卫生机构能力建设）补助资金的通知》（和地财社〔2023〕49号），用于医疗卫生机构能力建设采购1台CT，一台电子阴道镜。通过项目的实施，有效提高医疗卫生服务能力。</w:t>
            </w:r>
          </w:p>
        </w:tc>
      </w:tr>
      <w:tr w14:paraId="415A7AD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E73700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8B36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B626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AF0C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0BD2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5420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DC61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F04E7">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A90D9">
            <w:pPr>
              <w:jc w:val="center"/>
            </w:pPr>
            <w:r>
              <w:rPr>
                <w:rFonts w:ascii="宋体" w:hAnsi="宋体" w:eastAsia="宋体"/>
                <w:sz w:val="16"/>
              </w:rPr>
              <w:t>偏差原因分析及改进措施</w:t>
            </w:r>
          </w:p>
        </w:tc>
      </w:tr>
      <w:tr w14:paraId="6F3571C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8237C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7A7C6F">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38CD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37D40">
            <w:pPr>
              <w:jc w:val="center"/>
            </w:pPr>
            <w:r>
              <w:rPr>
                <w:rFonts w:ascii="宋体" w:hAnsi="宋体" w:eastAsia="宋体"/>
                <w:sz w:val="16"/>
              </w:rPr>
              <w:t>采购医疗设备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3F5C1">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0D5E7">
            <w:pPr>
              <w:jc w:val="center"/>
            </w:pPr>
            <w:r>
              <w:rPr>
                <w:rFonts w:ascii="宋体" w:hAnsi="宋体" w:eastAsia="宋体"/>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B168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B421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DF028">
            <w:pPr>
              <w:jc w:val="center"/>
            </w:pPr>
          </w:p>
        </w:tc>
      </w:tr>
      <w:tr w14:paraId="19B0EE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D5F4E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639E1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95BE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0C587">
            <w:pPr>
              <w:jc w:val="center"/>
            </w:pPr>
            <w:r>
              <w:rPr>
                <w:rFonts w:ascii="宋体" w:hAnsi="宋体" w:eastAsia="宋体"/>
                <w:sz w:val="16"/>
              </w:rPr>
              <w:t>采购验收合格率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DBEA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E755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0291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AFAD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E52A5">
            <w:pPr>
              <w:jc w:val="center"/>
            </w:pPr>
          </w:p>
        </w:tc>
      </w:tr>
      <w:tr w14:paraId="0C54BF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09369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560B8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AA74F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D9252">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4B69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0A76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1861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342A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54CB9">
            <w:pPr>
              <w:jc w:val="center"/>
            </w:pPr>
          </w:p>
        </w:tc>
      </w:tr>
      <w:tr w14:paraId="4D6E01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94124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A6E62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1E879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15DDE">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F6D8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8DFB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3E90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ED35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B3670">
            <w:pPr>
              <w:jc w:val="center"/>
            </w:pPr>
          </w:p>
        </w:tc>
      </w:tr>
      <w:tr w14:paraId="424620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288EB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514D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A69B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BBB0B">
            <w:pPr>
              <w:jc w:val="center"/>
            </w:pPr>
            <w:r>
              <w:rPr>
                <w:rFonts w:ascii="宋体" w:hAnsi="宋体" w:eastAsia="宋体"/>
                <w:sz w:val="16"/>
              </w:rPr>
              <w:t>医疗设备采购成本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72388">
            <w:pPr>
              <w:jc w:val="center"/>
            </w:pPr>
            <w:r>
              <w:rPr>
                <w:rFonts w:ascii="宋体" w:hAnsi="宋体" w:eastAsia="宋体"/>
                <w:sz w:val="16"/>
              </w:rPr>
              <w:t>≤189.6万元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46D29">
            <w:pPr>
              <w:jc w:val="center"/>
            </w:pPr>
            <w:r>
              <w:rPr>
                <w:rFonts w:ascii="宋体" w:hAnsi="宋体" w:eastAsia="宋体"/>
                <w:sz w:val="16"/>
              </w:rPr>
              <w:t>189.6万元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50CF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3B56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BBBAB">
            <w:pPr>
              <w:jc w:val="center"/>
            </w:pPr>
          </w:p>
        </w:tc>
      </w:tr>
      <w:tr w14:paraId="3B3E66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5D1CC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FC92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EC094">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B1867">
            <w:pPr>
              <w:jc w:val="center"/>
            </w:pPr>
            <w:r>
              <w:rPr>
                <w:rFonts w:ascii="宋体" w:hAnsi="宋体" w:eastAsia="宋体"/>
                <w:sz w:val="16"/>
              </w:rPr>
              <w:t>提高医疗卫生服务能力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89620">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BC95B">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0FCD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A090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2EC90">
            <w:pPr>
              <w:jc w:val="center"/>
            </w:pPr>
          </w:p>
        </w:tc>
      </w:tr>
      <w:tr w14:paraId="09AE5C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1CC90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FF7D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CF47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25AB3">
            <w:pPr>
              <w:jc w:val="center"/>
            </w:pPr>
            <w:r>
              <w:rPr>
                <w:rFonts w:ascii="宋体" w:hAnsi="宋体" w:eastAsia="宋体"/>
                <w:sz w:val="16"/>
              </w:rPr>
              <w:t>患者满意度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4BE0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F2D1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B70B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050A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0F4CF">
            <w:pPr>
              <w:jc w:val="center"/>
            </w:pPr>
          </w:p>
        </w:tc>
      </w:tr>
      <w:tr w14:paraId="58222793">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8C913C">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F21D10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4EDD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F483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2759B70"/>
        </w:tc>
      </w:tr>
    </w:tbl>
    <w:p w14:paraId="22F7076F">
      <w:r>
        <w:br w:type="page"/>
      </w:r>
    </w:p>
    <w:p w14:paraId="42CB9E5A">
      <w:pPr>
        <w:spacing w:line="640" w:lineRule="exact"/>
        <w:ind w:firstLine="640"/>
        <w:jc w:val="both"/>
        <w:outlineLvl w:val="2"/>
      </w:pPr>
      <w:r>
        <w:rPr>
          <w:rFonts w:ascii="黑体" w:hAnsi="黑体" w:eastAsia="黑体"/>
          <w:sz w:val="32"/>
        </w:rPr>
        <w:t>十二、其他需说明的事项</w:t>
      </w:r>
    </w:p>
    <w:p w14:paraId="3FB63F28">
      <w:pPr>
        <w:spacing w:line="580" w:lineRule="exact"/>
        <w:ind w:firstLine="640"/>
        <w:jc w:val="both"/>
      </w:pPr>
      <w:r>
        <w:rPr>
          <w:rFonts w:ascii="仿宋_GB2312" w:hAnsi="仿宋_GB2312" w:eastAsia="仿宋_GB2312"/>
          <w:b w:val="0"/>
          <w:sz w:val="32"/>
        </w:rPr>
        <w:t>本单位无其他需说明的事项。</w:t>
      </w:r>
    </w:p>
    <w:p w14:paraId="34A6C3F4">
      <w:r>
        <w:br w:type="page"/>
      </w:r>
    </w:p>
    <w:p w14:paraId="686598E0">
      <w:pPr>
        <w:spacing w:line="240" w:lineRule="auto"/>
        <w:jc w:val="center"/>
        <w:outlineLvl w:val="1"/>
      </w:pPr>
      <w:r>
        <w:rPr>
          <w:rFonts w:ascii="黑体" w:hAnsi="黑体" w:eastAsia="黑体"/>
          <w:sz w:val="32"/>
        </w:rPr>
        <w:t>第三部分 专业名词解释</w:t>
      </w:r>
    </w:p>
    <w:p w14:paraId="059830B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5124CF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678075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00CA14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6D1E2B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33D65A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0F8BAC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085CBC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4A8AE4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4B0A83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D19443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1F5989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F0B4D9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861B07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A234F19">
      <w:r>
        <w:br w:type="page"/>
      </w:r>
    </w:p>
    <w:p w14:paraId="69BC6031">
      <w:pPr>
        <w:spacing w:line="240" w:lineRule="auto"/>
        <w:jc w:val="center"/>
        <w:outlineLvl w:val="1"/>
      </w:pPr>
      <w:r>
        <w:rPr>
          <w:rFonts w:ascii="黑体" w:hAnsi="黑体" w:eastAsia="黑体"/>
          <w:sz w:val="32"/>
        </w:rPr>
        <w:t>第四部分 部门决算报表（见附表）</w:t>
      </w:r>
    </w:p>
    <w:p w14:paraId="46C7CF34">
      <w:pPr>
        <w:spacing w:line="240" w:lineRule="auto"/>
        <w:ind w:firstLine="640"/>
        <w:jc w:val="both"/>
      </w:pPr>
      <w:r>
        <w:rPr>
          <w:rFonts w:ascii="仿宋_GB2312" w:hAnsi="仿宋_GB2312" w:eastAsia="仿宋_GB2312"/>
          <w:b w:val="0"/>
          <w:sz w:val="32"/>
        </w:rPr>
        <w:t>一、《收入支出决算总表》</w:t>
      </w:r>
    </w:p>
    <w:p w14:paraId="2CDF8380">
      <w:pPr>
        <w:spacing w:line="240" w:lineRule="auto"/>
        <w:ind w:firstLine="640"/>
        <w:jc w:val="both"/>
      </w:pPr>
      <w:r>
        <w:rPr>
          <w:rFonts w:ascii="仿宋_GB2312" w:hAnsi="仿宋_GB2312" w:eastAsia="仿宋_GB2312"/>
          <w:b w:val="0"/>
          <w:sz w:val="32"/>
        </w:rPr>
        <w:t>二、《收入决算表》</w:t>
      </w:r>
    </w:p>
    <w:p w14:paraId="52BE3305">
      <w:pPr>
        <w:spacing w:line="240" w:lineRule="auto"/>
        <w:ind w:firstLine="640"/>
        <w:jc w:val="both"/>
      </w:pPr>
      <w:r>
        <w:rPr>
          <w:rFonts w:ascii="仿宋_GB2312" w:hAnsi="仿宋_GB2312" w:eastAsia="仿宋_GB2312"/>
          <w:b w:val="0"/>
          <w:sz w:val="32"/>
        </w:rPr>
        <w:t>三、《支出决算表》</w:t>
      </w:r>
    </w:p>
    <w:p w14:paraId="07325886">
      <w:pPr>
        <w:spacing w:line="240" w:lineRule="auto"/>
        <w:ind w:firstLine="640"/>
        <w:jc w:val="both"/>
      </w:pPr>
      <w:r>
        <w:rPr>
          <w:rFonts w:ascii="仿宋_GB2312" w:hAnsi="仿宋_GB2312" w:eastAsia="仿宋_GB2312"/>
          <w:b w:val="0"/>
          <w:sz w:val="32"/>
        </w:rPr>
        <w:t>四、《财政拨款收入支出决算总表》</w:t>
      </w:r>
    </w:p>
    <w:p w14:paraId="458FBB20">
      <w:pPr>
        <w:spacing w:line="240" w:lineRule="auto"/>
        <w:ind w:firstLine="640"/>
        <w:jc w:val="both"/>
      </w:pPr>
      <w:r>
        <w:rPr>
          <w:rFonts w:ascii="仿宋_GB2312" w:hAnsi="仿宋_GB2312" w:eastAsia="仿宋_GB2312"/>
          <w:b w:val="0"/>
          <w:sz w:val="32"/>
        </w:rPr>
        <w:t>五、《一般公共预算财政拨款支出决算表》</w:t>
      </w:r>
    </w:p>
    <w:p w14:paraId="5CA1EAAF">
      <w:pPr>
        <w:spacing w:line="240" w:lineRule="auto"/>
        <w:ind w:firstLine="640"/>
        <w:jc w:val="both"/>
      </w:pPr>
      <w:r>
        <w:rPr>
          <w:rFonts w:ascii="仿宋_GB2312" w:hAnsi="仿宋_GB2312" w:eastAsia="仿宋_GB2312"/>
          <w:b w:val="0"/>
          <w:sz w:val="32"/>
        </w:rPr>
        <w:t>六、《一般公共预算财政拨款基本支出决算表》</w:t>
      </w:r>
    </w:p>
    <w:p w14:paraId="7573223A">
      <w:pPr>
        <w:spacing w:line="240" w:lineRule="auto"/>
        <w:ind w:firstLine="640"/>
        <w:jc w:val="both"/>
      </w:pPr>
      <w:r>
        <w:rPr>
          <w:rFonts w:ascii="仿宋_GB2312" w:hAnsi="仿宋_GB2312" w:eastAsia="仿宋_GB2312"/>
          <w:b w:val="0"/>
          <w:sz w:val="32"/>
        </w:rPr>
        <w:t>七、《政府性基金预算财政拨款收入支出决算表》</w:t>
      </w:r>
    </w:p>
    <w:p w14:paraId="6ED67404">
      <w:pPr>
        <w:spacing w:line="240" w:lineRule="auto"/>
        <w:ind w:firstLine="640"/>
        <w:jc w:val="both"/>
      </w:pPr>
      <w:r>
        <w:rPr>
          <w:rFonts w:ascii="仿宋_GB2312" w:hAnsi="仿宋_GB2312" w:eastAsia="仿宋_GB2312"/>
          <w:b w:val="0"/>
          <w:sz w:val="32"/>
        </w:rPr>
        <w:t>八、《国有资本经营预算财政拨款收入支出决算表》</w:t>
      </w:r>
    </w:p>
    <w:p w14:paraId="7D4B5912">
      <w:pPr>
        <w:spacing w:line="240" w:lineRule="auto"/>
        <w:ind w:firstLine="640"/>
        <w:jc w:val="both"/>
      </w:pPr>
      <w:r>
        <w:rPr>
          <w:rFonts w:ascii="仿宋_GB2312" w:hAnsi="仿宋_GB2312" w:eastAsia="仿宋_GB2312"/>
          <w:b w:val="0"/>
          <w:sz w:val="32"/>
        </w:rPr>
        <w:t>九、《财政拨款“三公”经费支出决算表》</w:t>
      </w:r>
    </w:p>
    <w:p w14:paraId="2FBF737C">
      <w:pPr>
        <w:spacing w:line="240" w:lineRule="auto"/>
        <w:ind w:firstLine="640"/>
        <w:jc w:val="both"/>
      </w:pPr>
    </w:p>
    <w:p w14:paraId="18906F58">
      <w:pPr>
        <w:spacing w:line="240" w:lineRule="auto"/>
        <w:ind w:firstLine="640"/>
        <w:jc w:val="both"/>
      </w:pPr>
    </w:p>
    <w:p w14:paraId="6C71D4B9">
      <w:pPr>
        <w:spacing w:line="240" w:lineRule="auto"/>
        <w:ind w:firstLine="640"/>
        <w:jc w:val="both"/>
      </w:pPr>
    </w:p>
    <w:p w14:paraId="767B1572">
      <w:pPr>
        <w:spacing w:line="240" w:lineRule="auto"/>
        <w:ind w:firstLine="640"/>
        <w:jc w:val="both"/>
      </w:pPr>
    </w:p>
    <w:p w14:paraId="2BF472B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DB072D4"/>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AB60C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5790</Words>
  <Characters>6787</Characters>
  <Lines>0</Lines>
  <Paragraphs>0</Paragraphs>
  <TotalTime>3</TotalTime>
  <ScaleCrop>false</ScaleCrop>
  <LinksUpToDate>false</LinksUpToDate>
  <CharactersWithSpaces>6795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2025-09-18T03:23:07Z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eyJoZGlkIjoiN2E1ZDY0MDI5MTE3YjM0ZGMyMzg4N2EwMDI4ZjJiM2YiLCJ1c2VySWQiOiIyNTk4NTcxMjUifQ==</vt:lpwstr>
  </property>
</Properties>
</file>