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854971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洛浦县恰尔巴格镇中学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8BF96F">
      <w:r>
        <w:br w:type="page"/>
      </w:r>
    </w:p>
    <w:p w14:paraId="73298102">
      <w:pPr>
        <w:spacing w:line="640" w:lineRule="exact"/>
        <w:jc w:val="center"/>
        <w:outlineLvl w:val="1"/>
      </w:pPr>
      <w:r>
        <w:rPr>
          <w:rFonts w:ascii="黑体" w:hAnsi="黑体" w:eastAsia="黑体"/>
          <w:sz w:val="32"/>
        </w:rPr>
        <w:t>第一部分 单位概况</w:t>
      </w:r>
    </w:p>
    <w:p w14:paraId="0C467EA5">
      <w:pPr>
        <w:spacing w:line="640" w:lineRule="exact"/>
        <w:ind w:firstLine="640"/>
        <w:jc w:val="both"/>
        <w:outlineLvl w:val="2"/>
      </w:pPr>
      <w:r>
        <w:rPr>
          <w:rFonts w:ascii="黑体" w:hAnsi="黑体" w:eastAsia="黑体"/>
          <w:sz w:val="32"/>
        </w:rPr>
        <w:t>一、主要职能</w:t>
      </w:r>
    </w:p>
    <w:p w14:paraId="660FEDCC">
      <w:pPr>
        <w:spacing w:line="580" w:lineRule="exact"/>
        <w:ind w:firstLine="640"/>
        <w:jc w:val="both"/>
      </w:pPr>
      <w:r>
        <w:rPr>
          <w:rFonts w:ascii="仿宋_GB2312" w:hAnsi="仿宋_GB2312" w:eastAsia="仿宋_GB2312"/>
          <w:sz w:val="32"/>
        </w:rPr>
        <w:t>洛浦县恰尔巴格镇中学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197B3EFE">
      <w:pPr>
        <w:spacing w:line="640" w:lineRule="exact"/>
        <w:ind w:firstLine="640"/>
        <w:jc w:val="both"/>
        <w:outlineLvl w:val="2"/>
      </w:pPr>
      <w:r>
        <w:rPr>
          <w:rFonts w:ascii="黑体" w:hAnsi="黑体" w:eastAsia="黑体"/>
          <w:sz w:val="32"/>
        </w:rPr>
        <w:t>二、机构设置及人员情况</w:t>
      </w:r>
    </w:p>
    <w:p w14:paraId="339E7F59">
      <w:pPr>
        <w:spacing w:line="580" w:lineRule="exact"/>
        <w:ind w:firstLine="640"/>
        <w:jc w:val="both"/>
      </w:pPr>
      <w:r>
        <w:rPr>
          <w:rFonts w:ascii="仿宋_GB2312" w:hAnsi="仿宋_GB2312" w:eastAsia="仿宋_GB2312"/>
          <w:sz w:val="32"/>
        </w:rPr>
        <w:t>洛浦县恰尔巴格镇中学2024年度，实有人数195人，其中：在职人员172人，增加2人；离休人员0人，增加0人；退休人员23人,增加1人。</w:t>
      </w:r>
    </w:p>
    <w:p w14:paraId="0328271D">
      <w:pPr>
        <w:spacing w:line="580" w:lineRule="exact"/>
        <w:ind w:firstLine="640"/>
        <w:jc w:val="both"/>
      </w:pPr>
      <w:r>
        <w:rPr>
          <w:rFonts w:ascii="仿宋_GB2312" w:hAnsi="仿宋_GB2312" w:eastAsia="仿宋_GB2312"/>
          <w:sz w:val="32"/>
        </w:rPr>
        <w:t>洛浦县恰尔巴格镇中学无下属预算单位，下设5个科室，分别是：校务办、党建办、教务科、总务室、教务室。</w:t>
      </w:r>
    </w:p>
    <w:p w14:paraId="08554889">
      <w:r>
        <w:br w:type="page"/>
      </w:r>
    </w:p>
    <w:p w14:paraId="3845F483">
      <w:pPr>
        <w:spacing w:line="240" w:lineRule="auto"/>
        <w:jc w:val="center"/>
        <w:outlineLvl w:val="1"/>
      </w:pPr>
      <w:r>
        <w:rPr>
          <w:rFonts w:ascii="黑体" w:hAnsi="黑体" w:eastAsia="黑体"/>
          <w:sz w:val="32"/>
        </w:rPr>
        <w:t>第二部分 部门决算情况说明</w:t>
      </w:r>
    </w:p>
    <w:p w14:paraId="51E8DA78">
      <w:pPr>
        <w:spacing w:line="640" w:lineRule="exact"/>
        <w:ind w:firstLine="640"/>
        <w:jc w:val="both"/>
        <w:outlineLvl w:val="2"/>
      </w:pPr>
      <w:r>
        <w:rPr>
          <w:rFonts w:ascii="黑体" w:hAnsi="黑体" w:eastAsia="黑体"/>
          <w:sz w:val="32"/>
        </w:rPr>
        <w:t>一、收入支出决算总体情况说明</w:t>
      </w:r>
    </w:p>
    <w:p w14:paraId="5687DA54">
      <w:pPr>
        <w:spacing w:line="580" w:lineRule="exact"/>
        <w:ind w:firstLine="640"/>
        <w:jc w:val="both"/>
      </w:pPr>
      <w:r>
        <w:rPr>
          <w:rFonts w:ascii="仿宋_GB2312" w:hAnsi="仿宋_GB2312" w:eastAsia="仿宋_GB2312"/>
          <w:b/>
          <w:sz w:val="32"/>
        </w:rPr>
        <w:t>2024年度收入总计3,850.88万元，</w:t>
      </w:r>
      <w:r>
        <w:rPr>
          <w:rFonts w:ascii="仿宋_GB2312" w:hAnsi="仿宋_GB2312" w:eastAsia="仿宋_GB2312"/>
          <w:b w:val="0"/>
          <w:sz w:val="32"/>
        </w:rPr>
        <w:t>其中：本年收入合计3,850.88万元，使用非财政拨款结余（含专用结余）0.00万元，年初结转和结余0.00万元。</w:t>
      </w:r>
    </w:p>
    <w:p w14:paraId="0414B048">
      <w:pPr>
        <w:spacing w:line="580" w:lineRule="exact"/>
        <w:ind w:firstLine="640"/>
        <w:jc w:val="both"/>
      </w:pPr>
      <w:r>
        <w:rPr>
          <w:rFonts w:ascii="仿宋_GB2312" w:hAnsi="仿宋_GB2312" w:eastAsia="仿宋_GB2312"/>
          <w:b/>
          <w:sz w:val="32"/>
        </w:rPr>
        <w:t>2024年度支出总计3,850.88万元，</w:t>
      </w:r>
      <w:r>
        <w:rPr>
          <w:rFonts w:ascii="仿宋_GB2312" w:hAnsi="仿宋_GB2312" w:eastAsia="仿宋_GB2312"/>
          <w:b w:val="0"/>
          <w:sz w:val="32"/>
        </w:rPr>
        <w:t>其中：本年支出合计3,850.88万元，结余分配0.00万元，年末结转和结余0.00万元。</w:t>
      </w:r>
    </w:p>
    <w:p w14:paraId="7E8A1410">
      <w:pPr>
        <w:spacing w:line="580" w:lineRule="exact"/>
        <w:ind w:firstLine="640"/>
        <w:jc w:val="both"/>
      </w:pPr>
      <w:r>
        <w:rPr>
          <w:rFonts w:ascii="仿宋_GB2312" w:hAnsi="仿宋_GB2312" w:eastAsia="仿宋_GB2312"/>
          <w:b w:val="0"/>
          <w:sz w:val="32"/>
        </w:rPr>
        <w:t>收入支出总体与上年相比，增加144.99万元，增长3.91%，主要原因是：本年在职人员工资调增，社保，住房公积金等相关人员经费增加，增加营养改善资金等项目经费，导致相关经费增加。</w:t>
      </w:r>
    </w:p>
    <w:p w14:paraId="59D22E76">
      <w:pPr>
        <w:spacing w:line="640" w:lineRule="exact"/>
        <w:ind w:firstLine="640"/>
        <w:jc w:val="both"/>
        <w:outlineLvl w:val="2"/>
      </w:pPr>
      <w:r>
        <w:rPr>
          <w:rFonts w:ascii="黑体" w:hAnsi="黑体" w:eastAsia="黑体"/>
          <w:sz w:val="32"/>
        </w:rPr>
        <w:t>二、收入决算情况说明</w:t>
      </w:r>
    </w:p>
    <w:p w14:paraId="625B3E9D">
      <w:pPr>
        <w:spacing w:line="580" w:lineRule="exact"/>
        <w:ind w:firstLine="640"/>
        <w:jc w:val="both"/>
      </w:pPr>
      <w:r>
        <w:rPr>
          <w:rFonts w:ascii="仿宋_GB2312" w:hAnsi="仿宋_GB2312" w:eastAsia="仿宋_GB2312"/>
          <w:b/>
          <w:sz w:val="32"/>
        </w:rPr>
        <w:t>本年收入3,850.88万元，</w:t>
      </w:r>
      <w:r>
        <w:rPr>
          <w:rFonts w:ascii="仿宋_GB2312" w:hAnsi="仿宋_GB2312" w:eastAsia="仿宋_GB2312"/>
          <w:b w:val="0"/>
          <w:sz w:val="32"/>
        </w:rPr>
        <w:t>其中：财政拨款收入3,850.88万元，占100.00%；上级补助收入0.00万元，占0.00%；事业收入0.00万元，占0.00%；经营收入0.00万元，占0.00%；附属单位上缴收入0.00万元，占0.00%；其他收入0.00万元，占0.00%。</w:t>
      </w:r>
    </w:p>
    <w:p w14:paraId="58BD4AA9">
      <w:pPr>
        <w:spacing w:line="640" w:lineRule="exact"/>
        <w:ind w:firstLine="640"/>
        <w:jc w:val="both"/>
        <w:outlineLvl w:val="2"/>
      </w:pPr>
      <w:r>
        <w:rPr>
          <w:rFonts w:ascii="黑体" w:hAnsi="黑体" w:eastAsia="黑体"/>
          <w:sz w:val="32"/>
        </w:rPr>
        <w:t>三、支出决算情况说明</w:t>
      </w:r>
    </w:p>
    <w:p w14:paraId="5073394C">
      <w:pPr>
        <w:spacing w:line="580" w:lineRule="exact"/>
        <w:ind w:firstLine="640"/>
        <w:jc w:val="both"/>
      </w:pPr>
      <w:r>
        <w:rPr>
          <w:rFonts w:ascii="仿宋_GB2312" w:hAnsi="仿宋_GB2312" w:eastAsia="仿宋_GB2312"/>
          <w:b/>
          <w:sz w:val="32"/>
        </w:rPr>
        <w:t>本年支出3,850.88万元，</w:t>
      </w:r>
      <w:r>
        <w:rPr>
          <w:rFonts w:ascii="仿宋_GB2312" w:hAnsi="仿宋_GB2312" w:eastAsia="仿宋_GB2312"/>
          <w:b w:val="0"/>
          <w:sz w:val="32"/>
        </w:rPr>
        <w:t>其中：基本支出3,392.51万元，占88.10%；项目支出458.38万元，占11.90%；上缴上级支出0.00万元，占0.00%；经营支出0.00万元，占0.00%；对附属单位补助支出0.00万元，占0.00%。</w:t>
      </w:r>
    </w:p>
    <w:p w14:paraId="0B077F51">
      <w:pPr>
        <w:spacing w:line="640" w:lineRule="exact"/>
        <w:ind w:firstLine="640"/>
        <w:jc w:val="both"/>
        <w:outlineLvl w:val="2"/>
      </w:pPr>
      <w:r>
        <w:rPr>
          <w:rFonts w:ascii="黑体" w:hAnsi="黑体" w:eastAsia="黑体"/>
          <w:sz w:val="32"/>
        </w:rPr>
        <w:t>四、财政拨款收入支出决算总体情况说明</w:t>
      </w:r>
    </w:p>
    <w:p w14:paraId="64AD70BA">
      <w:pPr>
        <w:spacing w:line="580" w:lineRule="exact"/>
        <w:ind w:firstLine="640"/>
        <w:jc w:val="both"/>
      </w:pPr>
      <w:r>
        <w:rPr>
          <w:rFonts w:ascii="仿宋_GB2312" w:hAnsi="仿宋_GB2312" w:eastAsia="仿宋_GB2312"/>
          <w:b/>
          <w:sz w:val="32"/>
        </w:rPr>
        <w:t>2024年度财政拨款收入总计3,850.88万元，</w:t>
      </w:r>
      <w:r>
        <w:rPr>
          <w:rFonts w:ascii="仿宋_GB2312" w:hAnsi="仿宋_GB2312" w:eastAsia="仿宋_GB2312"/>
          <w:b w:val="0"/>
          <w:sz w:val="32"/>
        </w:rPr>
        <w:t>其中：年初财政拨款结转和结余0.00万元，本年财政拨款收入3,850.88万元。</w:t>
      </w:r>
      <w:r>
        <w:rPr>
          <w:rFonts w:ascii="仿宋_GB2312" w:hAnsi="仿宋_GB2312" w:eastAsia="仿宋_GB2312"/>
          <w:b/>
          <w:sz w:val="32"/>
        </w:rPr>
        <w:t>财政拨款支出总计3,850.88万元，</w:t>
      </w:r>
      <w:r>
        <w:rPr>
          <w:rFonts w:ascii="仿宋_GB2312" w:hAnsi="仿宋_GB2312" w:eastAsia="仿宋_GB2312"/>
          <w:b w:val="0"/>
          <w:sz w:val="32"/>
        </w:rPr>
        <w:t>其中：年末财政拨款结转和结余0.00万元，本年财政拨款支出3,850.88万元。</w:t>
      </w:r>
    </w:p>
    <w:p w14:paraId="68BBB3C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增加145.27万元，增长3.92%，主要原因是：本年在职人员工资调增，社保，住房公积金等相关人员经费增加，增加营养改善资金等项目经费，导致相关经费增加。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年初预算数3,775.77万元，决算数3,850.88万元，预决算差异率1.99%，主要原因是：年中追加人员工资、社保、公积金基数调增部分资金，导致预决算存在差异。</w:t>
      </w:r>
    </w:p>
    <w:p w14:paraId="1099E2A6">
      <w:pPr>
        <w:spacing w:line="640" w:lineRule="exact"/>
        <w:ind w:firstLine="640"/>
        <w:jc w:val="both"/>
        <w:outlineLvl w:val="2"/>
      </w:pPr>
      <w:r>
        <w:rPr>
          <w:rFonts w:ascii="黑体" w:hAnsi="黑体" w:eastAsia="黑体"/>
          <w:sz w:val="32"/>
        </w:rPr>
        <w:t>五、一般公共预算财政拨款支出决算情况说明</w:t>
      </w:r>
    </w:p>
    <w:p w14:paraId="2C6A0413">
      <w:pPr>
        <w:spacing w:line="640" w:lineRule="exact"/>
        <w:ind w:firstLine="640"/>
        <w:jc w:val="both"/>
        <w:outlineLvl w:val="3"/>
      </w:pPr>
      <w:r>
        <w:rPr>
          <w:rFonts w:ascii="楷体_GB2312" w:hAnsi="楷体_GB2312" w:eastAsia="楷体_GB2312"/>
          <w:b/>
          <w:sz w:val="32"/>
        </w:rPr>
        <w:t>（一）一般公共预算财政拨款支出决算总体情况</w:t>
      </w:r>
    </w:p>
    <w:p w14:paraId="37BE608B">
      <w:pPr>
        <w:spacing w:line="580" w:lineRule="exact"/>
        <w:ind w:firstLine="640"/>
        <w:jc w:val="both"/>
      </w:pPr>
      <w:r>
        <w:rPr>
          <w:rFonts w:ascii="仿宋_GB2312" w:hAnsi="仿宋_GB2312" w:eastAsia="仿宋_GB2312"/>
          <w:b/>
          <w:sz w:val="32"/>
        </w:rPr>
        <w:t>2024年度一般公共预算财政拨款支出3,849.38万元，</w:t>
      </w:r>
      <w:r>
        <w:rPr>
          <w:rFonts w:ascii="仿宋_GB2312" w:hAnsi="仿宋_GB2312" w:eastAsia="仿宋_GB2312"/>
          <w:b w:val="0"/>
          <w:sz w:val="32"/>
        </w:rPr>
        <w:t>占本年支出合计的99.96%。</w:t>
      </w:r>
      <w:r>
        <w:rPr>
          <w:rFonts w:ascii="仿宋_GB2312" w:hAnsi="仿宋_GB2312" w:eastAsia="仿宋_GB2312"/>
          <w:b/>
          <w:sz w:val="32"/>
        </w:rPr>
        <w:t>与上年相比，</w:t>
      </w:r>
      <w:r>
        <w:rPr>
          <w:rFonts w:ascii="仿宋_GB2312" w:hAnsi="仿宋_GB2312" w:eastAsia="仿宋_GB2312"/>
          <w:b w:val="0"/>
          <w:sz w:val="32"/>
        </w:rPr>
        <w:t>增加144.77万元，增长3.91%，主要原因是：本年在职人员工资调增，社保，住房公积金等相关人员经费增加，增加营养改善资金等项目经费，导致相关经费增加。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年初预算数3,775.77万元，决算数3,849.38万元，预决算差异率1.95%，主要原因是：年中追加人员工资、社保、公积金基数调增部分资金，导致预决算存在差异。</w:t>
      </w:r>
    </w:p>
    <w:p w14:paraId="51A2E397">
      <w:pPr>
        <w:spacing w:line="640" w:lineRule="exact"/>
        <w:ind w:firstLine="640"/>
        <w:jc w:val="both"/>
        <w:outlineLvl w:val="3"/>
      </w:pPr>
      <w:r>
        <w:rPr>
          <w:rFonts w:ascii="楷体_GB2312" w:hAnsi="楷体_GB2312" w:eastAsia="楷体_GB2312"/>
          <w:b/>
          <w:sz w:val="32"/>
        </w:rPr>
        <w:t>（二）一般公共预算财政拨款支出决算结构情况</w:t>
      </w:r>
    </w:p>
    <w:p w14:paraId="5D2AA635">
      <w:pPr>
        <w:spacing w:line="580" w:lineRule="exact"/>
        <w:ind w:firstLine="640"/>
        <w:jc w:val="both"/>
      </w:pPr>
      <w:r>
        <w:rPr>
          <w:rFonts w:ascii="仿宋_GB2312" w:hAnsi="仿宋_GB2312" w:eastAsia="仿宋_GB2312"/>
          <w:b w:val="0"/>
          <w:sz w:val="32"/>
        </w:rPr>
        <w:t>1.教育支出(类)3,849.38万元,占100.00%。</w:t>
      </w:r>
    </w:p>
    <w:p w14:paraId="221645F0">
      <w:pPr>
        <w:spacing w:line="640" w:lineRule="exact"/>
        <w:ind w:firstLine="640"/>
        <w:jc w:val="both"/>
        <w:outlineLvl w:val="3"/>
      </w:pPr>
      <w:r>
        <w:rPr>
          <w:rFonts w:ascii="楷体_GB2312" w:hAnsi="楷体_GB2312" w:eastAsia="楷体_GB2312"/>
          <w:b/>
          <w:sz w:val="32"/>
        </w:rPr>
        <w:t>（三）一般公共预算财政拨款支出决算具体情况</w:t>
      </w:r>
    </w:p>
    <w:p w14:paraId="7D6A2A0E">
      <w:pPr>
        <w:spacing w:line="580" w:lineRule="exact"/>
        <w:ind w:firstLine="640"/>
        <w:jc w:val="both"/>
      </w:pPr>
      <w:r>
        <w:rPr>
          <w:rFonts w:ascii="仿宋_GB2312" w:hAnsi="仿宋_GB2312" w:eastAsia="仿宋_GB2312"/>
          <w:b w:val="0"/>
          <w:sz w:val="32"/>
        </w:rPr>
        <w:t>1.教育支出(类)普通教育(款)初中教育(项):支出决算数为3,849.38万元，比上年决算增加235.17万元，增长6.51%,主要原因是：本年在职人员工资调增，社保，住房公积金等相关人员经费增加，本年科目调整，家庭经济困难寄宿学生生活补助、学生营养改善补助较上年在其他普通教育支出列支，本年在初中教育列支，导致经费增加。</w:t>
      </w:r>
    </w:p>
    <w:p w14:paraId="4598C0F4">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45.56万元，下降100.00%,主要原因是：本年科目调整，家庭经济困难寄宿学生生活补助、学生营养改善补助较上年在此科目列支，本年在初中教育列支，导致经费下降。</w:t>
      </w:r>
    </w:p>
    <w:p w14:paraId="57702A9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24.08万元，下降100.00%,主要原因是：本年功能科目调整，养老保险缴费上年度单独列支，本年调整至主科目列支，导致经费较上年减少。</w:t>
      </w:r>
    </w:p>
    <w:p w14:paraId="06623DB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4.社会保障和就业支出(类)行政事业单位养老支出(款)机关事业单位职业年金缴费支出(项):支出决算数为0.00万元，比上年决算减少9.01万元，下降100.00%,主要原因是：本年未安排职业年金缴费支出。</w:t>
      </w:r>
    </w:p>
    <w:p w14:paraId="7D85A108">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5.社会保障和就业支出(类)抚恤(款)死亡抚恤(项):支出决算数为0.00万元，比上年决算减少11.76万元，下降100.00%,主要原因是：本年无新增死亡人员，死亡抚恤金较上年减少。</w:t>
      </w:r>
    </w:p>
    <w:p w14:paraId="655BB6D4">
      <w:pPr>
        <w:spacing w:line="640" w:lineRule="exact"/>
        <w:ind w:firstLine="640"/>
        <w:jc w:val="both"/>
        <w:outlineLvl w:val="2"/>
      </w:pPr>
      <w:r>
        <w:rPr>
          <w:rFonts w:ascii="黑体" w:hAnsi="黑体" w:eastAsia="黑体"/>
          <w:sz w:val="32"/>
        </w:rPr>
        <w:t>六、一般公共预算财政拨款基本支出决算情况说明</w:t>
      </w:r>
    </w:p>
    <w:p w14:paraId="1041BE02">
      <w:pPr>
        <w:spacing w:line="580" w:lineRule="exact"/>
        <w:ind w:firstLine="640"/>
        <w:jc w:val="both"/>
      </w:pPr>
      <w:r>
        <w:rPr>
          <w:rFonts w:ascii="仿宋_GB2312" w:hAnsi="仿宋_GB2312" w:eastAsia="仿宋_GB2312"/>
          <w:b w:val="0"/>
          <w:sz w:val="32"/>
        </w:rPr>
        <w:t>2024年度一般公共预算财政拨款基本支出3,392.51万元，其中：</w:t>
      </w:r>
      <w:r>
        <w:rPr>
          <w:rFonts w:ascii="仿宋_GB2312" w:hAnsi="仿宋_GB2312" w:eastAsia="仿宋_GB2312"/>
          <w:b/>
          <w:sz w:val="32"/>
        </w:rPr>
        <w:t>人员经费3,175.77万元，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包括：基本工资、津贴补贴、绩效工资、机关事业单位基本养老保险缴费、职工基本医疗保险缴费、其他社会保障缴费、住房公积金、退休费、生活补助、医疗费补助。</w:t>
      </w:r>
    </w:p>
    <w:p w14:paraId="600DF3DF">
      <w:pPr>
        <w:spacing w:line="580" w:lineRule="exact"/>
        <w:ind w:firstLine="640"/>
        <w:jc w:val="both"/>
      </w:pPr>
      <w:r>
        <w:rPr>
          <w:rFonts w:ascii="仿宋_GB2312" w:hAnsi="仿宋_GB2312" w:eastAsia="仿宋_GB2312"/>
          <w:b/>
          <w:sz w:val="32"/>
        </w:rPr>
        <w:t>公用经费216.73万元，</w:t>
      </w:r>
      <w:r>
        <w:rPr>
          <w:rFonts w:ascii="仿宋_GB2312" w:hAnsi="仿宋_GB2312" w:eastAsia="仿宋_GB2312"/>
          <w:b w:val="0"/>
          <w:sz w:val="32"/>
        </w:rPr>
        <w:t>包括：办公费、印刷费、水费、电费、邮电费、取暖费、物业管理费、维修（护）费、培训费、专用材料费、其他交通费用、办公设备购置。</w:t>
      </w:r>
    </w:p>
    <w:p w14:paraId="054DD67D">
      <w:pPr>
        <w:spacing w:line="640" w:lineRule="exact"/>
        <w:ind w:firstLine="640"/>
        <w:jc w:val="both"/>
        <w:outlineLvl w:val="2"/>
      </w:pPr>
      <w:r>
        <w:rPr>
          <w:rFonts w:ascii="黑体" w:hAnsi="黑体" w:eastAsia="黑体"/>
          <w:sz w:val="32"/>
        </w:rPr>
        <w:t>七、政府性基金预算财政拨款收入支出决算情况说明</w:t>
      </w:r>
    </w:p>
    <w:p w14:paraId="5E05217C">
      <w:pPr>
        <w:spacing w:line="580" w:lineRule="exact"/>
        <w:ind w:firstLine="640"/>
        <w:jc w:val="both"/>
      </w:pPr>
      <w:r>
        <w:rPr>
          <w:rFonts w:ascii="仿宋_GB2312" w:hAnsi="仿宋_GB2312" w:eastAsia="仿宋_GB2312"/>
          <w:b/>
          <w:sz w:val="32"/>
        </w:rPr>
        <w:t>2024年度政府性基金预算财政拨款收入总计1.50万元，</w:t>
      </w:r>
      <w:r>
        <w:rPr>
          <w:rFonts w:ascii="仿宋_GB2312" w:hAnsi="仿宋_GB2312" w:eastAsia="仿宋_GB2312"/>
          <w:b w:val="0"/>
          <w:sz w:val="32"/>
        </w:rPr>
        <w:t>其中：年初结转和结余0.00万元，本年收入1.50万元。</w:t>
      </w:r>
      <w:r>
        <w:rPr>
          <w:rFonts w:ascii="仿宋_GB2312" w:hAnsi="仿宋_GB2312" w:eastAsia="仿宋_GB2312"/>
          <w:b/>
          <w:sz w:val="32"/>
        </w:rPr>
        <w:t>政府性基金预算财政拨款支出总计1.50万元，</w:t>
      </w:r>
      <w:r>
        <w:rPr>
          <w:rFonts w:ascii="仿宋_GB2312" w:hAnsi="仿宋_GB2312" w:eastAsia="仿宋_GB2312"/>
          <w:b w:val="0"/>
          <w:sz w:val="32"/>
        </w:rPr>
        <w:t>其中：年末结转和结余0.00万元，本年支出1.50万元。</w:t>
      </w:r>
    </w:p>
    <w:p w14:paraId="7E8D595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增加0.50万元，增长50.00%，主要原因是：本年增加中央专项彩票公益金支持乡村学校少年宫项目资金，导致相关经费增加。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年初预算数0.00万元，决算数1.50万元，预决算差异率100.00%，主要原因是：年中追加中央专项彩票公益金支持乡村学校少年宫项目资金，导致预决算差异。</w:t>
      </w:r>
    </w:p>
    <w:p w14:paraId="589EC866">
      <w:pPr>
        <w:spacing w:line="580" w:lineRule="exact"/>
        <w:ind w:firstLine="640"/>
        <w:jc w:val="both"/>
      </w:pPr>
      <w:r>
        <w:rPr>
          <w:rFonts w:ascii="仿宋_GB2312" w:hAnsi="仿宋_GB2312" w:eastAsia="仿宋_GB2312"/>
          <w:b w:val="0"/>
          <w:sz w:val="32"/>
        </w:rPr>
        <w:t>政府性基金预算财政拨款支出1.50万元。</w:t>
      </w:r>
    </w:p>
    <w:p w14:paraId="2385374A">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1.50万元，比上年决算增加0.50万元，增长50.00%,主要原因是：本年增加中央专项彩票公益金支持乡村学校少年宫项目资金，导致相关经费增加。</w:t>
      </w:r>
    </w:p>
    <w:p w14:paraId="16283CF9">
      <w:pPr>
        <w:spacing w:line="640" w:lineRule="exact"/>
        <w:ind w:firstLine="640"/>
        <w:jc w:val="both"/>
        <w:outlineLvl w:val="2"/>
      </w:pPr>
      <w:r>
        <w:rPr>
          <w:rFonts w:ascii="黑体" w:hAnsi="黑体" w:eastAsia="黑体"/>
          <w:sz w:val="32"/>
        </w:rPr>
        <w:t>八、国有资本经营预算财政拨款收入支出决算情况说明</w:t>
      </w:r>
    </w:p>
    <w:p w14:paraId="22BB063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D05C1E9">
      <w:pPr>
        <w:spacing w:line="640" w:lineRule="exact"/>
        <w:ind w:firstLine="640"/>
        <w:jc w:val="both"/>
        <w:outlineLvl w:val="2"/>
      </w:pPr>
      <w:r>
        <w:rPr>
          <w:rFonts w:ascii="黑体" w:hAnsi="黑体" w:eastAsia="黑体"/>
          <w:sz w:val="32"/>
        </w:rPr>
        <w:t>九、财政拨款“三公”经费支出决算情况说明</w:t>
      </w:r>
    </w:p>
    <w:p w14:paraId="093EEAE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B2F383D">
      <w:pPr>
        <w:spacing w:line="580" w:lineRule="exact"/>
        <w:ind w:firstLine="640"/>
        <w:jc w:val="both"/>
      </w:pPr>
      <w:r>
        <w:rPr>
          <w:rFonts w:ascii="仿宋_GB2312" w:hAnsi="仿宋_GB2312" w:eastAsia="仿宋_GB2312"/>
          <w:b/>
          <w:sz w:val="32"/>
        </w:rPr>
        <w:t>具体情况如下：</w:t>
      </w:r>
    </w:p>
    <w:p w14:paraId="0FD79AB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7A774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198C85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F63BDD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226810F">
      <w:pPr>
        <w:spacing w:line="640" w:lineRule="exact"/>
        <w:ind w:firstLine="640"/>
        <w:jc w:val="both"/>
        <w:outlineLvl w:val="2"/>
      </w:pPr>
      <w:r>
        <w:rPr>
          <w:rFonts w:ascii="黑体" w:hAnsi="黑体" w:eastAsia="黑体"/>
          <w:sz w:val="32"/>
        </w:rPr>
        <w:t>十、其他重要事项的情况说明</w:t>
      </w:r>
    </w:p>
    <w:p w14:paraId="536918D1">
      <w:pPr>
        <w:spacing w:line="640" w:lineRule="exact"/>
        <w:ind w:firstLine="640"/>
        <w:jc w:val="both"/>
        <w:outlineLvl w:val="3"/>
      </w:pPr>
      <w:r>
        <w:rPr>
          <w:rFonts w:ascii="楷体_GB2312" w:hAnsi="楷体_GB2312" w:eastAsia="楷体_GB2312"/>
          <w:b/>
          <w:sz w:val="32"/>
        </w:rPr>
        <w:t>（一）机关运行经费及公用经费支出情况</w:t>
      </w:r>
    </w:p>
    <w:p w14:paraId="4EC80510">
      <w:pPr>
        <w:spacing w:line="580" w:lineRule="exact"/>
        <w:ind w:firstLine="640"/>
        <w:jc w:val="both"/>
      </w:pPr>
      <w:r>
        <w:rPr>
          <w:rFonts w:ascii="仿宋_GB2312" w:hAnsi="仿宋_GB2312" w:eastAsia="仿宋_GB2312"/>
          <w:b w:val="0"/>
          <w:sz w:val="32"/>
        </w:rPr>
        <w:t>2024年度洛浦县恰尔巴格镇中学（事业单位）公用经费支出216.73万元，比上年减少13.32万元，下降5.79%，主要原因是：严格控制公用经费，合理节约办公用品，减少不必要开支。</w:t>
      </w:r>
    </w:p>
    <w:p w14:paraId="231FCA40">
      <w:pPr>
        <w:spacing w:line="640" w:lineRule="exact"/>
        <w:ind w:firstLine="640"/>
        <w:jc w:val="both"/>
        <w:outlineLvl w:val="3"/>
      </w:pPr>
      <w:r>
        <w:rPr>
          <w:rFonts w:ascii="楷体_GB2312" w:hAnsi="楷体_GB2312" w:eastAsia="楷体_GB2312"/>
          <w:b/>
          <w:sz w:val="32"/>
        </w:rPr>
        <w:t>（二）政府采购情况</w:t>
      </w:r>
    </w:p>
    <w:p w14:paraId="5E326D12">
      <w:pPr>
        <w:spacing w:line="580" w:lineRule="exact"/>
        <w:ind w:firstLine="640"/>
        <w:jc w:val="both"/>
      </w:pPr>
      <w:r>
        <w:rPr>
          <w:rFonts w:ascii="仿宋_GB2312" w:hAnsi="仿宋_GB2312" w:eastAsia="仿宋_GB2312"/>
          <w:b w:val="0"/>
          <w:sz w:val="32"/>
        </w:rPr>
        <w:t>2024年度政府采购支出总额33.46万元，其中：政府采购货物支出24.36万元、政府采购工程支出4.04万元、政府采购服务支出5.05万元。</w:t>
      </w:r>
    </w:p>
    <w:p w14:paraId="02901C4F">
      <w:pPr>
        <w:spacing w:line="580" w:lineRule="exact"/>
        <w:ind w:firstLine="640"/>
        <w:jc w:val="both"/>
      </w:pPr>
      <w:r>
        <w:rPr>
          <w:rFonts w:ascii="仿宋_GB2312" w:hAnsi="仿宋_GB2312" w:eastAsia="仿宋_GB2312"/>
          <w:b w:val="0"/>
          <w:sz w:val="32"/>
        </w:rPr>
        <w:t>授予中小企业合同金额33.46万元，占政府采购支出总额的100.00%，其中：授予小微企业合同金额28.77万元，占政府采购支出总额的85.98%。</w:t>
      </w:r>
    </w:p>
    <w:p w14:paraId="1853A708">
      <w:pPr>
        <w:spacing w:line="640" w:lineRule="exact"/>
        <w:ind w:firstLine="640"/>
        <w:jc w:val="both"/>
        <w:outlineLvl w:val="3"/>
      </w:pPr>
      <w:r>
        <w:rPr>
          <w:rFonts w:ascii="楷体_GB2312" w:hAnsi="楷体_GB2312" w:eastAsia="楷体_GB2312"/>
          <w:b/>
          <w:sz w:val="32"/>
        </w:rPr>
        <w:t>（三）国有资产占用情况说明</w:t>
      </w:r>
    </w:p>
    <w:p w14:paraId="5305DC1F">
      <w:pPr>
        <w:spacing w:line="580" w:lineRule="exact"/>
        <w:ind w:firstLine="640"/>
        <w:jc w:val="both"/>
      </w:pPr>
      <w:r>
        <w:rPr>
          <w:rFonts w:ascii="仿宋_GB2312" w:hAnsi="仿宋_GB2312" w:eastAsia="仿宋_GB2312"/>
          <w:b w:val="0"/>
          <w:sz w:val="32"/>
        </w:rPr>
        <w:t>截至2024年12月31日，房屋9,071.50平方米，价值922.07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63B6C0C">
      <w:pPr>
        <w:spacing w:line="640" w:lineRule="exact"/>
        <w:ind w:firstLine="640"/>
        <w:jc w:val="both"/>
        <w:outlineLvl w:val="2"/>
      </w:pPr>
      <w:r>
        <w:rPr>
          <w:rFonts w:ascii="黑体" w:hAnsi="黑体" w:eastAsia="黑体"/>
          <w:sz w:val="32"/>
        </w:rPr>
        <w:t>十一、预算绩效的情况说明</w:t>
      </w:r>
    </w:p>
    <w:p w14:paraId="37420CE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3,850.89万元，实际执行总额3,850.89万元；预算绩效评价项目6个，全年预算数675.10万元，全年执行数675.10万元。预算绩效管理取得的成效：一是项目按照预期指标值，达标率高，项目实施成效与利用率较高；二是对项目实施前中后期管控及时科学分析，有效</w:t>
      </w:r>
      <w:r>
        <w:rPr>
          <w:rFonts w:hint="eastAsia" w:ascii="仿宋_GB2312" w:hAnsi="仿宋_GB2312" w:eastAsia="仿宋_GB2312"/>
          <w:b w:val="0"/>
          <w:sz w:val="32"/>
          <w:lang w:eastAsia="zh-CN"/>
        </w:rPr>
        <w:t>地</w:t>
      </w:r>
      <w:r>
        <w:rPr>
          <w:rFonts w:ascii="仿宋_GB2312" w:hAnsi="仿宋_GB2312" w:eastAsia="仿宋_GB2312"/>
          <w:b w:val="0"/>
          <w:sz w:val="32"/>
        </w:rPr>
        <w:t>把握实施节点，项目建成后综合评价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提高资金使用效益。在遵守法律法规的前提下，统筹兼顾、量力而行、讲求绩效，圆满完成党中央、自治区和地区决策部署提出的各项要求。二是强化内部控制管理，严格按规定做好绩效目标申报、自评、公开等相关工作，提高财政资金使用绩效；加强实物资产管理，健全资产管理制度，规范资产清查和核算。具体附整体支出绩效自评表，项目支出绩效自评表和评价报告。</w:t>
      </w:r>
    </w:p>
    <w:p w14:paraId="4E55A5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88A1A5">
        <w:tblPrEx>
          <w:tblCellMar>
            <w:top w:w="0" w:type="dxa"/>
            <w:left w:w="108" w:type="dxa"/>
            <w:bottom w:w="0" w:type="dxa"/>
            <w:right w:w="108" w:type="dxa"/>
          </w:tblCellMar>
        </w:tblPrEx>
        <w:tc>
          <w:tcPr>
            <w:tcW w:w="8847" w:type="dxa"/>
            <w:gridSpan w:val="9"/>
            <w:vAlign w:val="center"/>
          </w:tcPr>
          <w:p w14:paraId="7C9A03F2">
            <w:pPr>
              <w:jc w:val="center"/>
            </w:pPr>
            <w:r>
              <w:rPr>
                <w:rFonts w:ascii="宋体" w:hAnsi="宋体" w:eastAsia="宋体"/>
                <w:sz w:val="24"/>
              </w:rPr>
              <w:t>单位整体支出绩效自评表</w:t>
            </w:r>
          </w:p>
        </w:tc>
      </w:tr>
      <w:tr w14:paraId="5CB9CC62">
        <w:tblPrEx>
          <w:tblCellMar>
            <w:top w:w="0" w:type="dxa"/>
            <w:left w:w="108" w:type="dxa"/>
            <w:bottom w:w="0" w:type="dxa"/>
            <w:right w:w="108" w:type="dxa"/>
          </w:tblCellMar>
        </w:tblPrEx>
        <w:tc>
          <w:tcPr>
            <w:tcW w:w="8847" w:type="dxa"/>
            <w:gridSpan w:val="9"/>
            <w:vAlign w:val="center"/>
          </w:tcPr>
          <w:p w14:paraId="028514A2">
            <w:pPr>
              <w:jc w:val="center"/>
            </w:pPr>
            <w:r>
              <w:rPr>
                <w:rFonts w:ascii="宋体" w:hAnsi="宋体" w:eastAsia="宋体"/>
                <w:sz w:val="24"/>
              </w:rPr>
              <w:t>（2024年度）</w:t>
            </w:r>
          </w:p>
        </w:tc>
      </w:tr>
      <w:tr w14:paraId="31B691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85F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28A26C">
            <w:pPr>
              <w:jc w:val="center"/>
            </w:pPr>
            <w:r>
              <w:rPr>
                <w:rFonts w:ascii="宋体" w:hAnsi="宋体" w:eastAsia="宋体"/>
                <w:sz w:val="16"/>
              </w:rPr>
              <w:t>洛浦县恰尔巴格镇中学</w:t>
            </w:r>
          </w:p>
        </w:tc>
      </w:tr>
      <w:tr w14:paraId="78D6D4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848C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040F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EE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337E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298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7CB2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D3E1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4D7C">
            <w:pPr>
              <w:jc w:val="center"/>
            </w:pPr>
            <w:r>
              <w:rPr>
                <w:rFonts w:ascii="宋体" w:hAnsi="宋体" w:eastAsia="宋体"/>
                <w:sz w:val="16"/>
              </w:rPr>
              <w:t>得分</w:t>
            </w:r>
          </w:p>
        </w:tc>
      </w:tr>
      <w:tr w14:paraId="2FF9C7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870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F92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428D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371FA">
            <w:pPr>
              <w:jc w:val="center"/>
            </w:pPr>
            <w:r>
              <w:rPr>
                <w:rFonts w:ascii="宋体" w:hAnsi="宋体" w:eastAsia="宋体"/>
                <w:sz w:val="16"/>
              </w:rPr>
              <w:t>716.20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061E">
            <w:pPr>
              <w:jc w:val="center"/>
            </w:pPr>
            <w:r>
              <w:rPr>
                <w:rFonts w:ascii="宋体" w:hAnsi="宋体" w:eastAsia="宋体"/>
                <w:sz w:val="16"/>
              </w:rPr>
              <w:t>675.12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C0BAD">
            <w:pPr>
              <w:jc w:val="center"/>
            </w:pPr>
            <w:r>
              <w:rPr>
                <w:rFonts w:ascii="宋体" w:hAnsi="宋体" w:eastAsia="宋体"/>
                <w:sz w:val="16"/>
              </w:rPr>
              <w:t>675.12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164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B2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6A7B3">
            <w:pPr>
              <w:jc w:val="center"/>
            </w:pPr>
            <w:r>
              <w:rPr>
                <w:rFonts w:ascii="宋体" w:hAnsi="宋体" w:eastAsia="宋体"/>
                <w:sz w:val="16"/>
              </w:rPr>
              <w:t>-</w:t>
            </w:r>
          </w:p>
        </w:tc>
      </w:tr>
      <w:tr w14:paraId="1651E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3F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782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C42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2CC3">
            <w:pPr>
              <w:jc w:val="center"/>
            </w:pPr>
            <w:r>
              <w:rPr>
                <w:rFonts w:ascii="宋体" w:hAnsi="宋体" w:eastAsia="宋体"/>
                <w:sz w:val="16"/>
              </w:rPr>
              <w:t>3,059.57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BC8D">
            <w:pPr>
              <w:jc w:val="center"/>
            </w:pPr>
            <w:r>
              <w:rPr>
                <w:rFonts w:ascii="宋体" w:hAnsi="宋体" w:eastAsia="宋体"/>
                <w:sz w:val="16"/>
              </w:rPr>
              <w:t>3,175.77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91C3">
            <w:pPr>
              <w:jc w:val="center"/>
            </w:pPr>
            <w:r>
              <w:rPr>
                <w:rFonts w:ascii="宋体" w:hAnsi="宋体" w:eastAsia="宋体"/>
                <w:sz w:val="16"/>
              </w:rPr>
              <w:t>3,175.77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19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A2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19C2D">
            <w:pPr>
              <w:jc w:val="center"/>
            </w:pPr>
            <w:r>
              <w:rPr>
                <w:rFonts w:ascii="宋体" w:hAnsi="宋体" w:eastAsia="宋体"/>
                <w:sz w:val="16"/>
              </w:rPr>
              <w:t>-</w:t>
            </w:r>
          </w:p>
        </w:tc>
      </w:tr>
      <w:tr w14:paraId="6875D0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6F2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C9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AD0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1E5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8B1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E5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1A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56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E1CF">
            <w:pPr>
              <w:jc w:val="center"/>
            </w:pPr>
            <w:r>
              <w:rPr>
                <w:rFonts w:ascii="宋体" w:hAnsi="宋体" w:eastAsia="宋体"/>
                <w:sz w:val="16"/>
              </w:rPr>
              <w:t>-</w:t>
            </w:r>
          </w:p>
        </w:tc>
      </w:tr>
      <w:tr w14:paraId="3A636A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F29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0F26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7A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E9C1">
            <w:pPr>
              <w:jc w:val="center"/>
            </w:pPr>
            <w:r>
              <w:rPr>
                <w:rFonts w:ascii="宋体" w:hAnsi="宋体" w:eastAsia="宋体"/>
                <w:sz w:val="16"/>
              </w:rPr>
              <w:t>3,775.77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2D41">
            <w:pPr>
              <w:jc w:val="center"/>
            </w:pPr>
            <w:r>
              <w:rPr>
                <w:rFonts w:ascii="宋体" w:hAnsi="宋体" w:eastAsia="宋体"/>
                <w:sz w:val="16"/>
              </w:rPr>
              <w:t>3,850.89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2CCE">
            <w:pPr>
              <w:jc w:val="center"/>
            </w:pPr>
            <w:r>
              <w:rPr>
                <w:rFonts w:ascii="宋体" w:hAnsi="宋体" w:eastAsia="宋体"/>
                <w:sz w:val="16"/>
              </w:rPr>
              <w:t>3,850.89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8F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2BBC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3465">
            <w:pPr>
              <w:jc w:val="center"/>
            </w:pPr>
            <w:r>
              <w:rPr>
                <w:rFonts w:ascii="宋体" w:hAnsi="宋体" w:eastAsia="宋体"/>
                <w:sz w:val="16"/>
              </w:rPr>
              <w:t>10</w:t>
            </w:r>
          </w:p>
        </w:tc>
      </w:tr>
      <w:tr w14:paraId="31D751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9EB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C8FF6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212160">
            <w:pPr>
              <w:jc w:val="center"/>
            </w:pPr>
            <w:r>
              <w:rPr>
                <w:rFonts w:ascii="宋体" w:hAnsi="宋体" w:eastAsia="宋体"/>
                <w:sz w:val="16"/>
              </w:rPr>
              <w:t>实际完成情况</w:t>
            </w:r>
          </w:p>
        </w:tc>
      </w:tr>
      <w:tr w14:paraId="068584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9746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0E094B">
            <w:pPr>
              <w:jc w:val="both"/>
            </w:pPr>
            <w:r>
              <w:rPr>
                <w:rFonts w:hint="eastAsia" w:ascii="宋体" w:hAnsi="宋体"/>
                <w:sz w:val="16"/>
                <w:lang w:eastAsia="zh-CN"/>
              </w:rPr>
              <w:t>1.</w:t>
            </w:r>
            <w:r>
              <w:rPr>
                <w:rFonts w:ascii="宋体" w:hAnsi="宋体" w:eastAsia="宋体"/>
                <w:sz w:val="16"/>
              </w:rPr>
              <w:t>计划保障学生数量1891人，保障在职人员数量168人，其中人员经费支出3059.5686万元，项目支出716.1991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37F1CF">
            <w:pPr>
              <w:jc w:val="both"/>
            </w:pPr>
            <w:r>
              <w:rPr>
                <w:rFonts w:hint="eastAsia" w:ascii="宋体" w:hAnsi="宋体"/>
                <w:sz w:val="16"/>
                <w:lang w:eastAsia="zh-CN"/>
              </w:rPr>
              <w:t>截至</w:t>
            </w:r>
            <w:r>
              <w:rPr>
                <w:rFonts w:ascii="宋体" w:hAnsi="宋体" w:eastAsia="宋体"/>
                <w:sz w:val="16"/>
              </w:rPr>
              <w:t>2024年12月31日，保障学生数量实际完成指标值1891人，保障在职人数量实际完成指标值172人，开展教师培训工作实际完成指标值10次，开展德育党建工作实际完成指标值18次。部门资金已使用3850.88万元。通过这些业务的实施，全面推进素质教育，全面提高教育教学质量，组织开展本镇中小学的教育教学科研和教育教学改革，以科学的发展观和以人为本的管理理念注重学生的全面发展。</w:t>
            </w:r>
          </w:p>
        </w:tc>
      </w:tr>
      <w:tr w14:paraId="7F4345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D89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0C45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E1D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E97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B161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32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5F2F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F2D06">
            <w:pPr>
              <w:jc w:val="center"/>
            </w:pPr>
            <w:r>
              <w:rPr>
                <w:rFonts w:ascii="宋体" w:hAnsi="宋体" w:eastAsia="宋体"/>
                <w:sz w:val="16"/>
              </w:rPr>
              <w:t>得分</w:t>
            </w:r>
          </w:p>
        </w:tc>
      </w:tr>
      <w:tr w14:paraId="5F2479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3AF0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CC0C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EDD09">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E4BB4">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8359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CA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241C">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E96B8">
            <w:pPr>
              <w:jc w:val="center"/>
            </w:pPr>
            <w:r>
              <w:rPr>
                <w:rFonts w:ascii="宋体" w:hAnsi="宋体" w:eastAsia="宋体"/>
                <w:sz w:val="16"/>
              </w:rPr>
              <w:t>20</w:t>
            </w:r>
          </w:p>
        </w:tc>
      </w:tr>
      <w:tr w14:paraId="4868D3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861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8C4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F7D8">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7BEE5">
            <w:pPr>
              <w:jc w:val="center"/>
            </w:pPr>
            <w:r>
              <w:rPr>
                <w:rFonts w:ascii="宋体" w:hAnsi="宋体" w:eastAsia="宋体"/>
                <w:sz w:val="16"/>
              </w:rPr>
              <w:t>=168人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3D76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FF5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2ED8">
            <w:pPr>
              <w:jc w:val="center"/>
            </w:pPr>
            <w:r>
              <w:rPr>
                <w:rFonts w:ascii="宋体" w:hAnsi="宋体" w:eastAsia="宋体"/>
                <w:sz w:val="16"/>
              </w:rPr>
              <w:t>172人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C5E8">
            <w:pPr>
              <w:jc w:val="center"/>
            </w:pPr>
            <w:r>
              <w:rPr>
                <w:rFonts w:ascii="宋体" w:hAnsi="宋体" w:eastAsia="宋体"/>
                <w:sz w:val="16"/>
              </w:rPr>
              <w:t>20</w:t>
            </w:r>
          </w:p>
        </w:tc>
      </w:tr>
      <w:tr w14:paraId="46327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9CE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2A8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5A78">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4AC19">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E00E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32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9CF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B71D">
            <w:pPr>
              <w:jc w:val="center"/>
            </w:pPr>
            <w:r>
              <w:rPr>
                <w:rFonts w:ascii="宋体" w:hAnsi="宋体" w:eastAsia="宋体"/>
                <w:sz w:val="16"/>
              </w:rPr>
              <w:t>20</w:t>
            </w:r>
          </w:p>
        </w:tc>
      </w:tr>
      <w:tr w14:paraId="5FB5D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39D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83B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00EC">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C40B">
            <w:pPr>
              <w:jc w:val="center"/>
            </w:pPr>
            <w:r>
              <w:rPr>
                <w:rFonts w:ascii="宋体" w:hAnsi="宋体" w:eastAsia="宋体"/>
                <w:sz w:val="16"/>
              </w:rPr>
              <w:t>&gt;=18次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BAB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730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64903">
            <w:pPr>
              <w:jc w:val="center"/>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AFDAF">
            <w:pPr>
              <w:jc w:val="center"/>
            </w:pPr>
            <w:r>
              <w:rPr>
                <w:rFonts w:ascii="宋体" w:hAnsi="宋体" w:eastAsia="宋体"/>
                <w:sz w:val="16"/>
              </w:rPr>
              <w:t>30</w:t>
            </w:r>
          </w:p>
        </w:tc>
      </w:tr>
    </w:tbl>
    <w:p w14:paraId="40F7AA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665BE3">
        <w:tblPrEx>
          <w:tblCellMar>
            <w:top w:w="0" w:type="dxa"/>
            <w:left w:w="108" w:type="dxa"/>
            <w:bottom w:w="0" w:type="dxa"/>
            <w:right w:w="108" w:type="dxa"/>
          </w:tblCellMar>
        </w:tblPrEx>
        <w:tc>
          <w:tcPr>
            <w:tcW w:w="8847" w:type="dxa"/>
            <w:gridSpan w:val="9"/>
            <w:vAlign w:val="center"/>
          </w:tcPr>
          <w:p w14:paraId="0F085966">
            <w:pPr>
              <w:jc w:val="center"/>
            </w:pPr>
            <w:r>
              <w:rPr>
                <w:rFonts w:ascii="宋体" w:hAnsi="宋体" w:eastAsia="宋体"/>
                <w:sz w:val="24"/>
              </w:rPr>
              <w:t>项目支出绩效自评表</w:t>
            </w:r>
          </w:p>
        </w:tc>
      </w:tr>
      <w:tr w14:paraId="6FC8CA88">
        <w:tblPrEx>
          <w:tblCellMar>
            <w:top w:w="0" w:type="dxa"/>
            <w:left w:w="108" w:type="dxa"/>
            <w:bottom w:w="0" w:type="dxa"/>
            <w:right w:w="108" w:type="dxa"/>
          </w:tblCellMar>
        </w:tblPrEx>
        <w:tc>
          <w:tcPr>
            <w:tcW w:w="8847" w:type="dxa"/>
            <w:gridSpan w:val="9"/>
            <w:vAlign w:val="center"/>
          </w:tcPr>
          <w:p w14:paraId="27E6BD49">
            <w:pPr>
              <w:jc w:val="center"/>
            </w:pPr>
            <w:r>
              <w:rPr>
                <w:rFonts w:ascii="宋体" w:hAnsi="宋体" w:eastAsia="宋体"/>
                <w:sz w:val="24"/>
              </w:rPr>
              <w:t>(2024年度)</w:t>
            </w:r>
          </w:p>
        </w:tc>
      </w:tr>
      <w:tr w14:paraId="4C2BE3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3DD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DFB6C4">
            <w:pPr>
              <w:jc w:val="center"/>
            </w:pPr>
            <w:r>
              <w:rPr>
                <w:rFonts w:ascii="宋体" w:hAnsi="宋体" w:eastAsia="宋体"/>
                <w:sz w:val="16"/>
              </w:rPr>
              <w:t>2021年结转2024年自治区直达资金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〔2021〕1号－</w:t>
            </w: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w:t>
            </w:r>
          </w:p>
        </w:tc>
      </w:tr>
      <w:tr w14:paraId="2791E0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76A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021A31">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2A8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7884EA">
            <w:pPr>
              <w:jc w:val="center"/>
            </w:pPr>
            <w:r>
              <w:rPr>
                <w:rFonts w:ascii="宋体" w:hAnsi="宋体" w:eastAsia="宋体"/>
                <w:sz w:val="16"/>
              </w:rPr>
              <w:t>洛浦县恰尔巴格镇中学</w:t>
            </w:r>
          </w:p>
        </w:tc>
      </w:tr>
      <w:tr w14:paraId="1CBA99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DD8B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EA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86B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FF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5982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2BC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A2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20965">
            <w:pPr>
              <w:jc w:val="center"/>
            </w:pPr>
            <w:r>
              <w:rPr>
                <w:rFonts w:ascii="宋体" w:hAnsi="宋体" w:eastAsia="宋体"/>
                <w:sz w:val="16"/>
              </w:rPr>
              <w:t>得分</w:t>
            </w:r>
          </w:p>
        </w:tc>
      </w:tr>
      <w:tr w14:paraId="4AE12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4E0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3018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3CB9">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93A2">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E51E">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FAB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0DF5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7FDE">
            <w:pPr>
              <w:jc w:val="center"/>
            </w:pPr>
            <w:r>
              <w:rPr>
                <w:rFonts w:ascii="宋体" w:hAnsi="宋体" w:eastAsia="宋体"/>
                <w:sz w:val="16"/>
              </w:rPr>
              <w:t>10.00分</w:t>
            </w:r>
          </w:p>
        </w:tc>
      </w:tr>
      <w:tr w14:paraId="02A64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84A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7AF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64FE">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B4FF8">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0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E7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CC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9EC0">
            <w:pPr>
              <w:jc w:val="center"/>
            </w:pPr>
            <w:r>
              <w:rPr>
                <w:rFonts w:ascii="宋体" w:hAnsi="宋体" w:eastAsia="宋体"/>
                <w:sz w:val="16"/>
              </w:rPr>
              <w:t>—</w:t>
            </w:r>
          </w:p>
        </w:tc>
      </w:tr>
      <w:tr w14:paraId="3ED3D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3AC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0C69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B70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076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951F">
            <w:pPr>
              <w:jc w:val="center"/>
            </w:pPr>
            <w:r>
              <w:rPr>
                <w:rFonts w:ascii="宋体" w:hAnsi="宋体" w:eastAsia="宋体"/>
                <w:sz w:val="16"/>
              </w:rPr>
              <w:t>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442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7A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D2EA">
            <w:pPr>
              <w:jc w:val="center"/>
            </w:pPr>
            <w:r>
              <w:rPr>
                <w:rFonts w:ascii="宋体" w:hAnsi="宋体" w:eastAsia="宋体"/>
                <w:sz w:val="16"/>
              </w:rPr>
              <w:t>—</w:t>
            </w:r>
          </w:p>
        </w:tc>
      </w:tr>
      <w:tr w14:paraId="38A35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A6D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474B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A7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B8F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8FC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3D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BA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DF39">
            <w:pPr>
              <w:jc w:val="center"/>
            </w:pPr>
            <w:r>
              <w:rPr>
                <w:rFonts w:ascii="宋体" w:hAnsi="宋体" w:eastAsia="宋体"/>
                <w:sz w:val="16"/>
              </w:rPr>
              <w:t>—</w:t>
            </w:r>
          </w:p>
        </w:tc>
      </w:tr>
      <w:tr w14:paraId="795DAF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0132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650DA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0E3E7">
            <w:pPr>
              <w:jc w:val="center"/>
            </w:pPr>
            <w:r>
              <w:rPr>
                <w:rFonts w:ascii="宋体" w:hAnsi="宋体" w:eastAsia="宋体"/>
                <w:sz w:val="16"/>
              </w:rPr>
              <w:t>实际完成情况</w:t>
            </w:r>
          </w:p>
        </w:tc>
      </w:tr>
      <w:tr w14:paraId="7C45A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CEC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163437">
            <w:pPr>
              <w:jc w:val="both"/>
            </w:pPr>
            <w:r>
              <w:rPr>
                <w:rFonts w:ascii="宋体" w:hAnsi="宋体" w:eastAsia="宋体"/>
                <w:sz w:val="16"/>
              </w:rPr>
              <w:t>计划保障学生数量1891人，其中项目支出6.31万元。通过保障学生正常学习，有效提升学生的学习能力，持续推行素质教育，争取受益学生满意度达到95%以上。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49AAB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保障学生数量1891人，其中项目支出6.31万元。通过保障学生正常学习，有效提升学生的学习能力，持续推行素质教育</w:t>
            </w:r>
          </w:p>
        </w:tc>
      </w:tr>
      <w:tr w14:paraId="0426ED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A0C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88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0BE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AB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F55E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B66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FD80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284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8F5D7">
            <w:pPr>
              <w:jc w:val="center"/>
            </w:pPr>
            <w:r>
              <w:rPr>
                <w:rFonts w:ascii="宋体" w:hAnsi="宋体" w:eastAsia="宋体"/>
                <w:sz w:val="16"/>
              </w:rPr>
              <w:t>偏差原因分析及改进措施</w:t>
            </w:r>
          </w:p>
        </w:tc>
      </w:tr>
      <w:tr w14:paraId="2228DE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4142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608C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8A1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AD14">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6BF2D">
            <w:pPr>
              <w:jc w:val="center"/>
            </w:pPr>
            <w:r>
              <w:rPr>
                <w:rFonts w:ascii="宋体" w:hAnsi="宋体" w:eastAsia="宋体"/>
                <w:sz w:val="16"/>
              </w:rPr>
              <w:t>&gt;=1891人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83428">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D22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D9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789C">
            <w:pPr>
              <w:jc w:val="center"/>
            </w:pPr>
          </w:p>
        </w:tc>
      </w:tr>
      <w:tr w14:paraId="765B2A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DA3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DE6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C48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919D">
            <w:pPr>
              <w:jc w:val="center"/>
            </w:pPr>
            <w:r>
              <w:rPr>
                <w:rFonts w:ascii="宋体" w:hAnsi="宋体" w:eastAsia="宋体"/>
                <w:sz w:val="16"/>
              </w:rPr>
              <w:t>保障学校个数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984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A5F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F62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E2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3798D">
            <w:pPr>
              <w:jc w:val="center"/>
            </w:pPr>
          </w:p>
        </w:tc>
      </w:tr>
      <w:tr w14:paraId="551A9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AFE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504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2B5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C8805">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5B3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59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9E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5CE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02794">
            <w:pPr>
              <w:jc w:val="center"/>
            </w:pPr>
          </w:p>
        </w:tc>
      </w:tr>
      <w:tr w14:paraId="4E37C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6A9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6E9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7785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9E278">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A75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1D7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4F3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7F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D1725">
            <w:pPr>
              <w:jc w:val="center"/>
            </w:pPr>
          </w:p>
        </w:tc>
      </w:tr>
      <w:tr w14:paraId="7E0C1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26C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389C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87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B3DD">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536C">
            <w:pPr>
              <w:jc w:val="center"/>
            </w:pPr>
            <w:r>
              <w:rPr>
                <w:rFonts w:ascii="宋体" w:hAnsi="宋体" w:eastAsia="宋体"/>
                <w:sz w:val="16"/>
              </w:rPr>
              <w:t>&lt;=6.31万元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FA44">
            <w:pPr>
              <w:jc w:val="center"/>
            </w:pPr>
            <w:r>
              <w:rPr>
                <w:rFonts w:ascii="宋体" w:hAnsi="宋体" w:eastAsia="宋体"/>
                <w:sz w:val="16"/>
              </w:rPr>
              <w:t>=6.31万元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8EA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AC6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C4C7">
            <w:pPr>
              <w:jc w:val="center"/>
            </w:pPr>
          </w:p>
        </w:tc>
      </w:tr>
      <w:tr w14:paraId="23E16D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19E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49A5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CB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D903">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8A46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C70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82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BD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3400">
            <w:pPr>
              <w:jc w:val="center"/>
            </w:pPr>
          </w:p>
        </w:tc>
      </w:tr>
      <w:tr w14:paraId="7862A2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A7A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F3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3AE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7FDF5">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E539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245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2B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229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F684">
            <w:pPr>
              <w:jc w:val="center"/>
            </w:pPr>
          </w:p>
        </w:tc>
      </w:tr>
      <w:tr w14:paraId="0D4EFC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98481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290F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227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424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B35A07"/>
        </w:tc>
      </w:tr>
    </w:tbl>
    <w:p w14:paraId="61AFE3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ADF8A9">
        <w:tblPrEx>
          <w:tblCellMar>
            <w:top w:w="0" w:type="dxa"/>
            <w:left w:w="108" w:type="dxa"/>
            <w:bottom w:w="0" w:type="dxa"/>
            <w:right w:w="108" w:type="dxa"/>
          </w:tblCellMar>
        </w:tblPrEx>
        <w:tc>
          <w:tcPr>
            <w:tcW w:w="8847" w:type="dxa"/>
            <w:gridSpan w:val="9"/>
            <w:vAlign w:val="center"/>
          </w:tcPr>
          <w:p w14:paraId="77D24EEB">
            <w:pPr>
              <w:jc w:val="center"/>
            </w:pPr>
            <w:r>
              <w:rPr>
                <w:rFonts w:ascii="宋体" w:hAnsi="宋体" w:eastAsia="宋体"/>
                <w:sz w:val="24"/>
              </w:rPr>
              <w:t>项目支出绩效自评表</w:t>
            </w:r>
          </w:p>
        </w:tc>
      </w:tr>
      <w:tr w14:paraId="369A25DC">
        <w:tblPrEx>
          <w:tblCellMar>
            <w:top w:w="0" w:type="dxa"/>
            <w:left w:w="108" w:type="dxa"/>
            <w:bottom w:w="0" w:type="dxa"/>
            <w:right w:w="108" w:type="dxa"/>
          </w:tblCellMar>
        </w:tblPrEx>
        <w:tc>
          <w:tcPr>
            <w:tcW w:w="8847" w:type="dxa"/>
            <w:gridSpan w:val="9"/>
            <w:vAlign w:val="center"/>
          </w:tcPr>
          <w:p w14:paraId="669A78F7">
            <w:pPr>
              <w:jc w:val="center"/>
            </w:pPr>
            <w:r>
              <w:rPr>
                <w:rFonts w:ascii="宋体" w:hAnsi="宋体" w:eastAsia="宋体"/>
                <w:sz w:val="24"/>
              </w:rPr>
              <w:t>(2024年度)</w:t>
            </w:r>
          </w:p>
        </w:tc>
      </w:tr>
      <w:tr w14:paraId="4762A0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CD50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7BFD3A">
            <w:pPr>
              <w:jc w:val="center"/>
            </w:pPr>
            <w:r>
              <w:rPr>
                <w:rFonts w:ascii="宋体" w:hAnsi="宋体" w:eastAsia="宋体"/>
                <w:sz w:val="16"/>
              </w:rPr>
              <w:t>2024年中央彩票公益金少年宫补助经费</w:t>
            </w:r>
          </w:p>
        </w:tc>
      </w:tr>
      <w:tr w14:paraId="77B549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E4FE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76CEDE">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398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55FD7C">
            <w:pPr>
              <w:jc w:val="center"/>
            </w:pPr>
            <w:r>
              <w:rPr>
                <w:rFonts w:ascii="宋体" w:hAnsi="宋体" w:eastAsia="宋体"/>
                <w:sz w:val="16"/>
              </w:rPr>
              <w:t>洛浦县恰尔巴格镇中学</w:t>
            </w:r>
          </w:p>
        </w:tc>
      </w:tr>
      <w:tr w14:paraId="14CA0E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795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8A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461F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F1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EB1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54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183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6BF8">
            <w:pPr>
              <w:jc w:val="center"/>
            </w:pPr>
            <w:r>
              <w:rPr>
                <w:rFonts w:ascii="宋体" w:hAnsi="宋体" w:eastAsia="宋体"/>
                <w:sz w:val="16"/>
              </w:rPr>
              <w:t>得分</w:t>
            </w:r>
          </w:p>
        </w:tc>
      </w:tr>
      <w:tr w14:paraId="2D9A25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6E9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50E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1EF5">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8E6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590C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1D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EA64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34610">
            <w:pPr>
              <w:jc w:val="center"/>
            </w:pPr>
            <w:r>
              <w:rPr>
                <w:rFonts w:ascii="宋体" w:hAnsi="宋体" w:eastAsia="宋体"/>
                <w:sz w:val="16"/>
              </w:rPr>
              <w:t>10.00分</w:t>
            </w:r>
          </w:p>
        </w:tc>
      </w:tr>
      <w:tr w14:paraId="4533DC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05C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700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EA3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65F9">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6911">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3A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78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41DC">
            <w:pPr>
              <w:jc w:val="center"/>
            </w:pPr>
            <w:r>
              <w:rPr>
                <w:rFonts w:ascii="宋体" w:hAnsi="宋体" w:eastAsia="宋体"/>
                <w:sz w:val="16"/>
              </w:rPr>
              <w:t>—</w:t>
            </w:r>
          </w:p>
        </w:tc>
      </w:tr>
      <w:tr w14:paraId="0A0BA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94C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3C19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BE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80B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20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A7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5D1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7083D">
            <w:pPr>
              <w:jc w:val="center"/>
            </w:pPr>
            <w:r>
              <w:rPr>
                <w:rFonts w:ascii="宋体" w:hAnsi="宋体" w:eastAsia="宋体"/>
                <w:sz w:val="16"/>
              </w:rPr>
              <w:t>—</w:t>
            </w:r>
          </w:p>
        </w:tc>
      </w:tr>
      <w:tr w14:paraId="04A75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D58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572C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5FF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9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D5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E6B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1C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57F1">
            <w:pPr>
              <w:jc w:val="center"/>
            </w:pPr>
            <w:r>
              <w:rPr>
                <w:rFonts w:ascii="宋体" w:hAnsi="宋体" w:eastAsia="宋体"/>
                <w:sz w:val="16"/>
              </w:rPr>
              <w:t>—</w:t>
            </w:r>
          </w:p>
        </w:tc>
      </w:tr>
      <w:tr w14:paraId="312D60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D78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26B99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1DCD1">
            <w:pPr>
              <w:jc w:val="center"/>
            </w:pPr>
            <w:r>
              <w:rPr>
                <w:rFonts w:ascii="宋体" w:hAnsi="宋体" w:eastAsia="宋体"/>
                <w:sz w:val="16"/>
              </w:rPr>
              <w:t>实际完成情况</w:t>
            </w:r>
          </w:p>
        </w:tc>
      </w:tr>
      <w:tr w14:paraId="13604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386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C5DB8">
            <w:pPr>
              <w:jc w:val="both"/>
            </w:pPr>
            <w:r>
              <w:rPr>
                <w:rFonts w:ascii="宋体" w:hAnsi="宋体" w:eastAsia="宋体"/>
                <w:sz w:val="16"/>
              </w:rPr>
              <w:t>保障学生各项音体美课外活动正常运转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1B53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已完成1891名学生各项音体美课外活动正常运转，资金已使用1.5万元。通过项目的实</w:t>
            </w:r>
            <w:bookmarkStart w:id="0" w:name="_GoBack"/>
            <w:bookmarkEnd w:id="0"/>
            <w:r>
              <w:rPr>
                <w:rFonts w:ascii="宋体" w:hAnsi="宋体" w:eastAsia="宋体"/>
                <w:sz w:val="16"/>
              </w:rPr>
              <w:t>施</w:t>
            </w:r>
            <w:r>
              <w:rPr>
                <w:rFonts w:hint="eastAsia" w:ascii="宋体" w:hAnsi="宋体"/>
                <w:sz w:val="16"/>
                <w:lang w:eastAsia="zh-CN"/>
              </w:rPr>
              <w:t>，为</w:t>
            </w:r>
            <w:r>
              <w:rPr>
                <w:rFonts w:ascii="宋体" w:hAnsi="宋体" w:eastAsia="宋体"/>
                <w:sz w:val="16"/>
              </w:rPr>
              <w:t>少年宫正常运转</w:t>
            </w:r>
            <w:r>
              <w:rPr>
                <w:rFonts w:hint="eastAsia" w:ascii="宋体" w:hAnsi="宋体"/>
                <w:sz w:val="16"/>
                <w:lang w:eastAsia="zh-CN"/>
              </w:rPr>
              <w:t>提供</w:t>
            </w:r>
            <w:r>
              <w:rPr>
                <w:rFonts w:ascii="宋体" w:hAnsi="宋体" w:eastAsia="宋体"/>
                <w:sz w:val="16"/>
              </w:rPr>
              <w:t>财力支持。</w:t>
            </w:r>
          </w:p>
        </w:tc>
      </w:tr>
      <w:tr w14:paraId="09B0A7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3E30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EDC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5AD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52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59BC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03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417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C01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2F005">
            <w:pPr>
              <w:jc w:val="center"/>
            </w:pPr>
            <w:r>
              <w:rPr>
                <w:rFonts w:ascii="宋体" w:hAnsi="宋体" w:eastAsia="宋体"/>
                <w:sz w:val="16"/>
              </w:rPr>
              <w:t>偏差原因分析及改进措施</w:t>
            </w:r>
          </w:p>
        </w:tc>
      </w:tr>
      <w:tr w14:paraId="12FA07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6657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17C3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B18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3CA90">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62F2">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79E2">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CD1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7A1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E6E87">
            <w:pPr>
              <w:jc w:val="center"/>
            </w:pPr>
          </w:p>
        </w:tc>
      </w:tr>
      <w:tr w14:paraId="078849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20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309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8CC7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10640">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9CE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F25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F68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D46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594B">
            <w:pPr>
              <w:jc w:val="center"/>
            </w:pPr>
          </w:p>
        </w:tc>
      </w:tr>
      <w:tr w14:paraId="5E6BBD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7A4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45F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F5C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154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283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261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985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27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B87A">
            <w:pPr>
              <w:jc w:val="center"/>
            </w:pPr>
          </w:p>
        </w:tc>
      </w:tr>
      <w:tr w14:paraId="7675F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BCD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29E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8E4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CF58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295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66C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E79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D8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CE879">
            <w:pPr>
              <w:jc w:val="center"/>
            </w:pPr>
          </w:p>
        </w:tc>
      </w:tr>
      <w:tr w14:paraId="078CBD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FB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F8CF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3FAC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AE1A">
            <w:pPr>
              <w:jc w:val="center"/>
            </w:pPr>
            <w:r>
              <w:rPr>
                <w:rFonts w:ascii="宋体" w:hAnsi="宋体" w:eastAsia="宋体"/>
                <w:sz w:val="16"/>
              </w:rPr>
              <w:t>少年宫资金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18C22">
            <w:pPr>
              <w:jc w:val="center"/>
            </w:pPr>
            <w:r>
              <w:rPr>
                <w:rFonts w:ascii="宋体" w:hAnsi="宋体" w:eastAsia="宋体"/>
                <w:sz w:val="16"/>
              </w:rPr>
              <w:t>&lt;=1.50万元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A481">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BB6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C65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EF7B9">
            <w:pPr>
              <w:jc w:val="center"/>
            </w:pPr>
          </w:p>
        </w:tc>
      </w:tr>
      <w:tr w14:paraId="6A680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6E4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6E41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DE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1516">
            <w:pPr>
              <w:jc w:val="center"/>
            </w:pPr>
            <w:r>
              <w:rPr>
                <w:rFonts w:ascii="宋体" w:hAnsi="宋体" w:eastAsia="宋体"/>
                <w:sz w:val="16"/>
              </w:rPr>
              <w:t>少年宫正常运转提高财力支持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A2A3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DF0F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79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A9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C1726">
            <w:pPr>
              <w:jc w:val="center"/>
            </w:pPr>
          </w:p>
        </w:tc>
      </w:tr>
      <w:tr w14:paraId="30C1B9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585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133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1D3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B4D23">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CDF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8886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1A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E49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915FC">
            <w:pPr>
              <w:jc w:val="center"/>
            </w:pPr>
          </w:p>
        </w:tc>
      </w:tr>
      <w:tr w14:paraId="31E493B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5C2E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E95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5A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DD9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956FB1"/>
        </w:tc>
      </w:tr>
    </w:tbl>
    <w:p w14:paraId="57AC40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F3A27F">
        <w:tblPrEx>
          <w:tblCellMar>
            <w:top w:w="0" w:type="dxa"/>
            <w:left w:w="108" w:type="dxa"/>
            <w:bottom w:w="0" w:type="dxa"/>
            <w:right w:w="108" w:type="dxa"/>
          </w:tblCellMar>
        </w:tblPrEx>
        <w:tc>
          <w:tcPr>
            <w:tcW w:w="8847" w:type="dxa"/>
            <w:gridSpan w:val="9"/>
            <w:vAlign w:val="center"/>
          </w:tcPr>
          <w:p w14:paraId="3395CB46">
            <w:pPr>
              <w:jc w:val="center"/>
            </w:pPr>
            <w:r>
              <w:rPr>
                <w:rFonts w:ascii="宋体" w:hAnsi="宋体" w:eastAsia="宋体"/>
                <w:sz w:val="24"/>
              </w:rPr>
              <w:t>项目支出绩效自评表</w:t>
            </w:r>
          </w:p>
        </w:tc>
      </w:tr>
      <w:tr w14:paraId="54A7F573">
        <w:tblPrEx>
          <w:tblCellMar>
            <w:top w:w="0" w:type="dxa"/>
            <w:left w:w="108" w:type="dxa"/>
            <w:bottom w:w="0" w:type="dxa"/>
            <w:right w:w="108" w:type="dxa"/>
          </w:tblCellMar>
        </w:tblPrEx>
        <w:tc>
          <w:tcPr>
            <w:tcW w:w="8847" w:type="dxa"/>
            <w:gridSpan w:val="9"/>
            <w:vAlign w:val="center"/>
          </w:tcPr>
          <w:p w14:paraId="050D9A6F">
            <w:pPr>
              <w:jc w:val="center"/>
            </w:pPr>
            <w:r>
              <w:rPr>
                <w:rFonts w:ascii="宋体" w:hAnsi="宋体" w:eastAsia="宋体"/>
                <w:sz w:val="24"/>
              </w:rPr>
              <w:t>(2024年度)</w:t>
            </w:r>
          </w:p>
        </w:tc>
      </w:tr>
      <w:tr w14:paraId="7F978A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BCBE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20E808">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35A3BF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7F4A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20945A">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ACC9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7FD74D">
            <w:pPr>
              <w:jc w:val="center"/>
            </w:pPr>
            <w:r>
              <w:rPr>
                <w:rFonts w:ascii="宋体" w:hAnsi="宋体" w:eastAsia="宋体"/>
                <w:sz w:val="16"/>
              </w:rPr>
              <w:t>洛浦县恰尔巴格镇中学</w:t>
            </w:r>
          </w:p>
        </w:tc>
      </w:tr>
      <w:tr w14:paraId="5A2444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6D9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845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A383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0BB8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379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E88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CE4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F7B5">
            <w:pPr>
              <w:jc w:val="center"/>
            </w:pPr>
            <w:r>
              <w:rPr>
                <w:rFonts w:ascii="宋体" w:hAnsi="宋体" w:eastAsia="宋体"/>
                <w:sz w:val="16"/>
              </w:rPr>
              <w:t>得分</w:t>
            </w:r>
          </w:p>
        </w:tc>
      </w:tr>
      <w:tr w14:paraId="67652B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BCB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78E4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44FE">
            <w:pPr>
              <w:jc w:val="center"/>
            </w:pPr>
            <w:r>
              <w:rPr>
                <w:rFonts w:ascii="宋体" w:hAnsi="宋体" w:eastAsia="宋体"/>
                <w:sz w:val="16"/>
              </w:rPr>
              <w:t>491.31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258E">
            <w:pPr>
              <w:jc w:val="center"/>
            </w:pPr>
            <w:r>
              <w:rPr>
                <w:rFonts w:ascii="宋体" w:hAnsi="宋体" w:eastAsia="宋体"/>
                <w:sz w:val="16"/>
              </w:rPr>
              <w:t>442.03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F59A4">
            <w:pPr>
              <w:jc w:val="center"/>
            </w:pPr>
            <w:r>
              <w:rPr>
                <w:rFonts w:ascii="宋体" w:hAnsi="宋体" w:eastAsia="宋体"/>
                <w:sz w:val="16"/>
              </w:rPr>
              <w:t>442.03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B9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1C67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367B">
            <w:pPr>
              <w:jc w:val="center"/>
            </w:pPr>
            <w:r>
              <w:rPr>
                <w:rFonts w:ascii="宋体" w:hAnsi="宋体" w:eastAsia="宋体"/>
                <w:sz w:val="16"/>
              </w:rPr>
              <w:t>10.00分</w:t>
            </w:r>
          </w:p>
        </w:tc>
      </w:tr>
      <w:tr w14:paraId="30D4D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F41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07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218DC">
            <w:pPr>
              <w:jc w:val="center"/>
            </w:pPr>
            <w:r>
              <w:rPr>
                <w:rFonts w:ascii="宋体" w:hAnsi="宋体" w:eastAsia="宋体"/>
                <w:sz w:val="16"/>
              </w:rPr>
              <w:t>491.31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67038">
            <w:pPr>
              <w:jc w:val="center"/>
            </w:pPr>
            <w:r>
              <w:rPr>
                <w:rFonts w:ascii="宋体" w:hAnsi="宋体" w:eastAsia="宋体"/>
                <w:sz w:val="16"/>
              </w:rPr>
              <w:t>442.03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61FC3">
            <w:pPr>
              <w:jc w:val="center"/>
            </w:pPr>
            <w:r>
              <w:rPr>
                <w:rFonts w:ascii="宋体" w:hAnsi="宋体" w:eastAsia="宋体"/>
                <w:sz w:val="16"/>
              </w:rPr>
              <w:t>442.03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389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06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1F78">
            <w:pPr>
              <w:jc w:val="center"/>
            </w:pPr>
            <w:r>
              <w:rPr>
                <w:rFonts w:ascii="宋体" w:hAnsi="宋体" w:eastAsia="宋体"/>
                <w:sz w:val="16"/>
              </w:rPr>
              <w:t>—</w:t>
            </w:r>
          </w:p>
        </w:tc>
      </w:tr>
      <w:tr w14:paraId="16C6B5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494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71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605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32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8C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C7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EE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9EBCD">
            <w:pPr>
              <w:jc w:val="center"/>
            </w:pPr>
            <w:r>
              <w:rPr>
                <w:rFonts w:ascii="宋体" w:hAnsi="宋体" w:eastAsia="宋体"/>
                <w:sz w:val="16"/>
              </w:rPr>
              <w:t>—</w:t>
            </w:r>
          </w:p>
        </w:tc>
      </w:tr>
      <w:tr w14:paraId="2D96CF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C0F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55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D2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9B6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5D1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6E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062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E459F">
            <w:pPr>
              <w:jc w:val="center"/>
            </w:pPr>
            <w:r>
              <w:rPr>
                <w:rFonts w:ascii="宋体" w:hAnsi="宋体" w:eastAsia="宋体"/>
                <w:sz w:val="16"/>
              </w:rPr>
              <w:t>—</w:t>
            </w:r>
          </w:p>
        </w:tc>
      </w:tr>
      <w:tr w14:paraId="53EA86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DB31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566B1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01C7BD">
            <w:pPr>
              <w:jc w:val="center"/>
            </w:pPr>
            <w:r>
              <w:rPr>
                <w:rFonts w:ascii="宋体" w:hAnsi="宋体" w:eastAsia="宋体"/>
                <w:sz w:val="16"/>
              </w:rPr>
              <w:t>实际完成情况</w:t>
            </w:r>
          </w:p>
        </w:tc>
      </w:tr>
      <w:tr w14:paraId="2153DF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3937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DBA15">
            <w:pPr>
              <w:jc w:val="both"/>
            </w:pPr>
            <w:r>
              <w:rPr>
                <w:rFonts w:ascii="宋体" w:hAnsi="宋体" w:eastAsia="宋体"/>
                <w:sz w:val="16"/>
              </w:rPr>
              <w:t>计划保障学生数量5063人，保障在职人员数量168人，其中项目支出442.03万元。通过保障部门正常运转，有效提升学校的教育教学能力，持续推行素质教育，争取受益学生及受益在职人员满意度达到95%以上。2、保障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E9440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已保障学生数量1891人，其中项目支出442.03万元。通过保障部门正常运转，有效改善学校的教育教学能力，持续推行素质教育</w:t>
            </w:r>
          </w:p>
        </w:tc>
      </w:tr>
      <w:tr w14:paraId="5D7C0A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FBB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475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1A4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FB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BB9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C1BB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281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D74B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E9CF">
            <w:pPr>
              <w:jc w:val="center"/>
            </w:pPr>
            <w:r>
              <w:rPr>
                <w:rFonts w:ascii="宋体" w:hAnsi="宋体" w:eastAsia="宋体"/>
                <w:sz w:val="16"/>
              </w:rPr>
              <w:t>偏差原因分析及改进措施</w:t>
            </w:r>
          </w:p>
        </w:tc>
      </w:tr>
      <w:tr w14:paraId="413BF9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A7C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EAF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A13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0FDDA">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D7A1">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77E8">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A4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92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2EA7">
            <w:pPr>
              <w:jc w:val="center"/>
            </w:pPr>
          </w:p>
        </w:tc>
      </w:tr>
      <w:tr w14:paraId="4FC6C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680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9DF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184C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A3F6">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9B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E8F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E9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B25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0204">
            <w:pPr>
              <w:jc w:val="center"/>
            </w:pPr>
          </w:p>
        </w:tc>
      </w:tr>
      <w:tr w14:paraId="5FF046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D89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C360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AD74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BA3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618C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4A39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B0E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44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8EAD3">
            <w:pPr>
              <w:jc w:val="center"/>
            </w:pPr>
          </w:p>
        </w:tc>
      </w:tr>
      <w:tr w14:paraId="68503A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0C0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396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2E8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66D1">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7D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1CA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B4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EF5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9CA2">
            <w:pPr>
              <w:jc w:val="center"/>
            </w:pPr>
          </w:p>
        </w:tc>
      </w:tr>
      <w:tr w14:paraId="3EE3C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3E1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6386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CEF2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46EF">
            <w:pPr>
              <w:jc w:val="center"/>
            </w:pPr>
            <w:r>
              <w:rPr>
                <w:rFonts w:ascii="宋体" w:hAnsi="宋体" w:eastAsia="宋体"/>
                <w:sz w:val="16"/>
              </w:rPr>
              <w:t>营养改善费用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DD02B">
            <w:pPr>
              <w:jc w:val="center"/>
            </w:pPr>
            <w:r>
              <w:rPr>
                <w:rFonts w:ascii="宋体" w:hAnsi="宋体" w:eastAsia="宋体"/>
                <w:sz w:val="16"/>
              </w:rPr>
              <w:t>&lt;=173.97万元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B5E71">
            <w:pPr>
              <w:jc w:val="center"/>
            </w:pPr>
            <w:r>
              <w:rPr>
                <w:rFonts w:ascii="宋体" w:hAnsi="宋体" w:eastAsia="宋体"/>
                <w:sz w:val="16"/>
              </w:rPr>
              <w:t>=173.97万元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383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1F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34CEC">
            <w:pPr>
              <w:jc w:val="center"/>
            </w:pPr>
          </w:p>
        </w:tc>
      </w:tr>
      <w:tr w14:paraId="5FEADF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651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4F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4BE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9A36C">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91A7">
            <w:pPr>
              <w:jc w:val="center"/>
            </w:pPr>
            <w:r>
              <w:rPr>
                <w:rFonts w:ascii="宋体" w:hAnsi="宋体" w:eastAsia="宋体"/>
                <w:sz w:val="16"/>
              </w:rPr>
              <w:t>&lt;=161.74万元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9A28E">
            <w:pPr>
              <w:jc w:val="center"/>
            </w:pPr>
            <w:r>
              <w:rPr>
                <w:rFonts w:ascii="宋体" w:hAnsi="宋体" w:eastAsia="宋体"/>
                <w:sz w:val="16"/>
              </w:rPr>
              <w:t>=161.74万元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23E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4D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A9069">
            <w:pPr>
              <w:jc w:val="center"/>
            </w:pPr>
          </w:p>
        </w:tc>
      </w:tr>
      <w:tr w14:paraId="3D008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6E0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74F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4CE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AF62A">
            <w:pPr>
              <w:jc w:val="center"/>
            </w:pPr>
            <w:r>
              <w:rPr>
                <w:rFonts w:ascii="宋体" w:hAnsi="宋体" w:eastAsia="宋体"/>
                <w:sz w:val="16"/>
              </w:rPr>
              <w:t>寄宿生生活补助费用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8280">
            <w:pPr>
              <w:jc w:val="center"/>
            </w:pPr>
            <w:r>
              <w:rPr>
                <w:rFonts w:ascii="宋体" w:hAnsi="宋体" w:eastAsia="宋体"/>
                <w:sz w:val="16"/>
              </w:rPr>
              <w:t>&lt;=102.42万元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569C">
            <w:pPr>
              <w:jc w:val="center"/>
            </w:pPr>
            <w:r>
              <w:rPr>
                <w:rFonts w:ascii="宋体" w:hAnsi="宋体" w:eastAsia="宋体"/>
                <w:sz w:val="16"/>
              </w:rPr>
              <w:t>=102.42万元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251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AA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6D419">
            <w:pPr>
              <w:jc w:val="center"/>
            </w:pPr>
          </w:p>
        </w:tc>
      </w:tr>
      <w:tr w14:paraId="5F083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1DB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2F1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B4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CE03">
            <w:pPr>
              <w:jc w:val="center"/>
            </w:pPr>
            <w:r>
              <w:rPr>
                <w:rFonts w:ascii="宋体" w:hAnsi="宋体" w:eastAsia="宋体"/>
                <w:sz w:val="16"/>
              </w:rPr>
              <w:t>特教公用经费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4AC5">
            <w:pPr>
              <w:jc w:val="center"/>
            </w:pPr>
            <w:r>
              <w:rPr>
                <w:rFonts w:ascii="宋体" w:hAnsi="宋体" w:eastAsia="宋体"/>
                <w:sz w:val="16"/>
              </w:rPr>
              <w:t>&lt;=3.89万元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FD4D0">
            <w:pPr>
              <w:jc w:val="center"/>
            </w:pPr>
            <w:r>
              <w:rPr>
                <w:rFonts w:ascii="宋体" w:hAnsi="宋体" w:eastAsia="宋体"/>
                <w:sz w:val="16"/>
              </w:rPr>
              <w:t>=3.89万元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CD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09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15697">
            <w:pPr>
              <w:jc w:val="center"/>
            </w:pPr>
          </w:p>
        </w:tc>
      </w:tr>
      <w:tr w14:paraId="0C529D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1B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266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E60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F2D1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A54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AF7D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3EE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3E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9D1C">
            <w:pPr>
              <w:jc w:val="center"/>
            </w:pPr>
          </w:p>
        </w:tc>
      </w:tr>
      <w:tr w14:paraId="4D1BAB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67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671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A8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2107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57A4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206A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83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E85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0D5AB">
            <w:pPr>
              <w:jc w:val="center"/>
            </w:pPr>
          </w:p>
        </w:tc>
      </w:tr>
      <w:tr w14:paraId="236F8C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F2E7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9DA7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AC2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7850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FF4713"/>
        </w:tc>
      </w:tr>
    </w:tbl>
    <w:p w14:paraId="31A386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34B47B">
        <w:tblPrEx>
          <w:tblCellMar>
            <w:top w:w="0" w:type="dxa"/>
            <w:left w:w="108" w:type="dxa"/>
            <w:bottom w:w="0" w:type="dxa"/>
            <w:right w:w="108" w:type="dxa"/>
          </w:tblCellMar>
        </w:tblPrEx>
        <w:tc>
          <w:tcPr>
            <w:tcW w:w="8847" w:type="dxa"/>
            <w:gridSpan w:val="9"/>
            <w:vAlign w:val="center"/>
          </w:tcPr>
          <w:p w14:paraId="5FE50C1E">
            <w:pPr>
              <w:jc w:val="center"/>
            </w:pPr>
            <w:r>
              <w:rPr>
                <w:rFonts w:ascii="宋体" w:hAnsi="宋体" w:eastAsia="宋体"/>
                <w:sz w:val="24"/>
              </w:rPr>
              <w:t>项目支出绩效自评表</w:t>
            </w:r>
          </w:p>
        </w:tc>
      </w:tr>
      <w:tr w14:paraId="53A88E94">
        <w:tblPrEx>
          <w:tblCellMar>
            <w:top w:w="0" w:type="dxa"/>
            <w:left w:w="108" w:type="dxa"/>
            <w:bottom w:w="0" w:type="dxa"/>
            <w:right w:w="108" w:type="dxa"/>
          </w:tblCellMar>
        </w:tblPrEx>
        <w:tc>
          <w:tcPr>
            <w:tcW w:w="8847" w:type="dxa"/>
            <w:gridSpan w:val="9"/>
            <w:vAlign w:val="center"/>
          </w:tcPr>
          <w:p w14:paraId="5FCD8638">
            <w:pPr>
              <w:jc w:val="center"/>
            </w:pPr>
            <w:r>
              <w:rPr>
                <w:rFonts w:ascii="宋体" w:hAnsi="宋体" w:eastAsia="宋体"/>
                <w:sz w:val="24"/>
              </w:rPr>
              <w:t>(2024年度)</w:t>
            </w:r>
          </w:p>
        </w:tc>
      </w:tr>
      <w:tr w14:paraId="20B610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49F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E56EC5D">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610CB1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8A3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1C111">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4B8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DADE5">
            <w:pPr>
              <w:jc w:val="center"/>
            </w:pPr>
            <w:r>
              <w:rPr>
                <w:rFonts w:ascii="宋体" w:hAnsi="宋体" w:eastAsia="宋体"/>
                <w:sz w:val="16"/>
              </w:rPr>
              <w:t>洛浦县恰尔巴格镇中学</w:t>
            </w:r>
          </w:p>
        </w:tc>
      </w:tr>
      <w:tr w14:paraId="4F1DEE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9D7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66C1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91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C0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AE8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FDF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6B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F605">
            <w:pPr>
              <w:jc w:val="center"/>
            </w:pPr>
            <w:r>
              <w:rPr>
                <w:rFonts w:ascii="宋体" w:hAnsi="宋体" w:eastAsia="宋体"/>
                <w:sz w:val="16"/>
              </w:rPr>
              <w:t>得分</w:t>
            </w:r>
          </w:p>
        </w:tc>
      </w:tr>
      <w:tr w14:paraId="63B40F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510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024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B8A6B">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1E37E">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7B15">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67D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5E04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E011C">
            <w:pPr>
              <w:jc w:val="center"/>
            </w:pPr>
            <w:r>
              <w:rPr>
                <w:rFonts w:ascii="宋体" w:hAnsi="宋体" w:eastAsia="宋体"/>
                <w:sz w:val="16"/>
              </w:rPr>
              <w:t>10.00分</w:t>
            </w:r>
          </w:p>
        </w:tc>
      </w:tr>
      <w:tr w14:paraId="791EB1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8E0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2A2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6726">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D801">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EC48A">
            <w:pPr>
              <w:jc w:val="center"/>
            </w:pPr>
            <w:r>
              <w:rPr>
                <w:rFonts w:ascii="宋体" w:hAnsi="宋体" w:eastAsia="宋体"/>
                <w:sz w:val="16"/>
              </w:rPr>
              <w:t>78.61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A4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0D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8719">
            <w:pPr>
              <w:jc w:val="center"/>
            </w:pPr>
            <w:r>
              <w:rPr>
                <w:rFonts w:ascii="宋体" w:hAnsi="宋体" w:eastAsia="宋体"/>
                <w:sz w:val="16"/>
              </w:rPr>
              <w:t>—</w:t>
            </w:r>
          </w:p>
        </w:tc>
      </w:tr>
      <w:tr w14:paraId="1D7BF7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F3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4272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38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F6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6D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2F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1C1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F605D">
            <w:pPr>
              <w:jc w:val="center"/>
            </w:pPr>
            <w:r>
              <w:rPr>
                <w:rFonts w:ascii="宋体" w:hAnsi="宋体" w:eastAsia="宋体"/>
                <w:sz w:val="16"/>
              </w:rPr>
              <w:t>—</w:t>
            </w:r>
          </w:p>
        </w:tc>
      </w:tr>
      <w:tr w14:paraId="6737B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30B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600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05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5F0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89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2B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51A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6B64">
            <w:pPr>
              <w:jc w:val="center"/>
            </w:pPr>
            <w:r>
              <w:rPr>
                <w:rFonts w:ascii="宋体" w:hAnsi="宋体" w:eastAsia="宋体"/>
                <w:sz w:val="16"/>
              </w:rPr>
              <w:t>—</w:t>
            </w:r>
          </w:p>
        </w:tc>
      </w:tr>
      <w:tr w14:paraId="6528BB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F8EF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68D48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7EFE07">
            <w:pPr>
              <w:jc w:val="center"/>
            </w:pPr>
            <w:r>
              <w:rPr>
                <w:rFonts w:ascii="宋体" w:hAnsi="宋体" w:eastAsia="宋体"/>
                <w:sz w:val="16"/>
              </w:rPr>
              <w:t>实际完成情况</w:t>
            </w:r>
          </w:p>
        </w:tc>
      </w:tr>
      <w:tr w14:paraId="366E7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55C9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55B498">
            <w:pPr>
              <w:jc w:val="both"/>
            </w:pPr>
            <w:r>
              <w:rPr>
                <w:rFonts w:ascii="宋体" w:hAnsi="宋体" w:eastAsia="宋体"/>
                <w:sz w:val="16"/>
              </w:rPr>
              <w:t>计划保障学生数量1891人，保障在职人员数量168人，其中项目支出78.61万元。通过保障部门正常运转，及改善学生营养伙食，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2DA8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已保障学生数量1891人，其中项目实际支出78.61万元。通过保障部门正常运转，及改善学生营养伙食，有效提升学校的教育教学能力，持续推行素质教育</w:t>
            </w:r>
          </w:p>
        </w:tc>
      </w:tr>
      <w:tr w14:paraId="33BD71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ACF8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A337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027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30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5ADF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535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43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C959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3B2BE">
            <w:pPr>
              <w:jc w:val="center"/>
            </w:pPr>
            <w:r>
              <w:rPr>
                <w:rFonts w:ascii="宋体" w:hAnsi="宋体" w:eastAsia="宋体"/>
                <w:sz w:val="16"/>
              </w:rPr>
              <w:t>偏差原因分析及改进措施</w:t>
            </w:r>
          </w:p>
        </w:tc>
      </w:tr>
      <w:tr w14:paraId="383BA1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924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1708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AAA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11B96">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CCA60">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2D35">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F3D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93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0449">
            <w:pPr>
              <w:jc w:val="center"/>
            </w:pPr>
          </w:p>
        </w:tc>
      </w:tr>
      <w:tr w14:paraId="2D688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C5A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903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30FF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40D1">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3CA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44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FBC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FC6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3199">
            <w:pPr>
              <w:jc w:val="center"/>
            </w:pPr>
          </w:p>
        </w:tc>
      </w:tr>
      <w:tr w14:paraId="6C967F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D9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D40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C1F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F24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20E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7636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0EC3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FB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F9923">
            <w:pPr>
              <w:jc w:val="center"/>
            </w:pPr>
          </w:p>
        </w:tc>
      </w:tr>
      <w:tr w14:paraId="5A360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A13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D90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803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3A611">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3C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C08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376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41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AE4BE">
            <w:pPr>
              <w:jc w:val="center"/>
            </w:pPr>
          </w:p>
        </w:tc>
      </w:tr>
      <w:tr w14:paraId="25DEF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1A3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D600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8FF3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00F14">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9249">
            <w:pPr>
              <w:jc w:val="center"/>
            </w:pPr>
            <w:r>
              <w:rPr>
                <w:rFonts w:ascii="宋体" w:hAnsi="宋体" w:eastAsia="宋体"/>
                <w:sz w:val="16"/>
              </w:rPr>
              <w:t>&lt;=14.2万元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9ECAA">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DF0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73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8CE9E">
            <w:pPr>
              <w:jc w:val="center"/>
            </w:pPr>
          </w:p>
        </w:tc>
      </w:tr>
      <w:tr w14:paraId="7725CA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C01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D3E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6C9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EEA5">
            <w:pPr>
              <w:jc w:val="center"/>
            </w:pPr>
            <w:r>
              <w:rPr>
                <w:rFonts w:ascii="宋体" w:hAnsi="宋体" w:eastAsia="宋体"/>
                <w:sz w:val="16"/>
              </w:rPr>
              <w:t>营养改善计划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67889">
            <w:pPr>
              <w:jc w:val="center"/>
            </w:pPr>
            <w:r>
              <w:rPr>
                <w:rFonts w:ascii="宋体" w:hAnsi="宋体" w:eastAsia="宋体"/>
                <w:sz w:val="16"/>
              </w:rPr>
              <w:t>&lt;=14.56万元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9F94">
            <w:pPr>
              <w:jc w:val="center"/>
            </w:pPr>
            <w:r>
              <w:rPr>
                <w:rFonts w:ascii="宋体" w:hAnsi="宋体" w:eastAsia="宋体"/>
                <w:sz w:val="16"/>
              </w:rPr>
              <w:t>=14.56万元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DB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3B7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8CEF5">
            <w:pPr>
              <w:jc w:val="center"/>
            </w:pPr>
          </w:p>
        </w:tc>
      </w:tr>
      <w:tr w14:paraId="3B9C17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788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D33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F57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4F2C">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47C2">
            <w:pPr>
              <w:jc w:val="center"/>
            </w:pPr>
            <w:r>
              <w:rPr>
                <w:rFonts w:ascii="宋体" w:hAnsi="宋体" w:eastAsia="宋体"/>
                <w:sz w:val="16"/>
              </w:rPr>
              <w:t>&lt;=49.84万元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7FB7C">
            <w:pPr>
              <w:jc w:val="center"/>
            </w:pPr>
            <w:r>
              <w:rPr>
                <w:rFonts w:ascii="宋体" w:hAnsi="宋体" w:eastAsia="宋体"/>
                <w:sz w:val="16"/>
              </w:rPr>
              <w:t>=49.84万元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82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164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B6F25">
            <w:pPr>
              <w:jc w:val="center"/>
            </w:pPr>
          </w:p>
        </w:tc>
      </w:tr>
      <w:tr w14:paraId="3AE08A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5E6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A101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E92D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9DAD">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4EA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A05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BC0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86A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361E6">
            <w:pPr>
              <w:jc w:val="center"/>
            </w:pPr>
          </w:p>
        </w:tc>
      </w:tr>
      <w:tr w14:paraId="734B8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3AC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72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A1B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F7680">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0A4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748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F5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5EC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84DD7">
            <w:pPr>
              <w:jc w:val="center"/>
            </w:pPr>
          </w:p>
        </w:tc>
      </w:tr>
      <w:tr w14:paraId="708207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63C0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875E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140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DB2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6FE6AA"/>
        </w:tc>
      </w:tr>
    </w:tbl>
    <w:p w14:paraId="280263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8EE4BC">
        <w:tblPrEx>
          <w:tblCellMar>
            <w:top w:w="0" w:type="dxa"/>
            <w:left w:w="108" w:type="dxa"/>
            <w:bottom w:w="0" w:type="dxa"/>
            <w:right w:w="108" w:type="dxa"/>
          </w:tblCellMar>
        </w:tblPrEx>
        <w:tc>
          <w:tcPr>
            <w:tcW w:w="8847" w:type="dxa"/>
            <w:gridSpan w:val="9"/>
            <w:vAlign w:val="center"/>
          </w:tcPr>
          <w:p w14:paraId="7B7A0388">
            <w:pPr>
              <w:jc w:val="center"/>
            </w:pPr>
            <w:r>
              <w:rPr>
                <w:rFonts w:ascii="宋体" w:hAnsi="宋体" w:eastAsia="宋体"/>
                <w:sz w:val="24"/>
              </w:rPr>
              <w:t>项目支出绩效自评表</w:t>
            </w:r>
          </w:p>
        </w:tc>
      </w:tr>
      <w:tr w14:paraId="419DE877">
        <w:tblPrEx>
          <w:tblCellMar>
            <w:top w:w="0" w:type="dxa"/>
            <w:left w:w="108" w:type="dxa"/>
            <w:bottom w:w="0" w:type="dxa"/>
            <w:right w:w="108" w:type="dxa"/>
          </w:tblCellMar>
        </w:tblPrEx>
        <w:tc>
          <w:tcPr>
            <w:tcW w:w="8847" w:type="dxa"/>
            <w:gridSpan w:val="9"/>
            <w:vAlign w:val="center"/>
          </w:tcPr>
          <w:p w14:paraId="3BF26A79">
            <w:pPr>
              <w:jc w:val="center"/>
            </w:pPr>
            <w:r>
              <w:rPr>
                <w:rFonts w:ascii="宋体" w:hAnsi="宋体" w:eastAsia="宋体"/>
                <w:sz w:val="24"/>
              </w:rPr>
              <w:t>(2024年度)</w:t>
            </w:r>
          </w:p>
        </w:tc>
      </w:tr>
      <w:tr w14:paraId="3989BB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CED7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E4FAAA">
            <w:pPr>
              <w:jc w:val="center"/>
            </w:pPr>
            <w:r>
              <w:rPr>
                <w:rFonts w:ascii="宋体" w:hAnsi="宋体" w:eastAsia="宋体"/>
                <w:sz w:val="16"/>
              </w:rPr>
              <w:t>和地财教</w:t>
            </w:r>
            <w:r>
              <w:rPr>
                <w:rFonts w:hint="eastAsia" w:ascii="宋体" w:hAnsi="宋体"/>
                <w:sz w:val="16"/>
                <w:lang w:eastAsia="zh-CN"/>
              </w:rPr>
              <w:t>〔2022〕42号－</w:t>
            </w:r>
            <w:r>
              <w:rPr>
                <w:rFonts w:ascii="宋体" w:hAnsi="宋体" w:eastAsia="宋体"/>
                <w:sz w:val="16"/>
              </w:rPr>
              <w:t>营养改善补助资金</w:t>
            </w:r>
          </w:p>
        </w:tc>
      </w:tr>
      <w:tr w14:paraId="395BE6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859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00549D">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1F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D444BC">
            <w:pPr>
              <w:jc w:val="center"/>
            </w:pPr>
            <w:r>
              <w:rPr>
                <w:rFonts w:ascii="宋体" w:hAnsi="宋体" w:eastAsia="宋体"/>
                <w:sz w:val="16"/>
              </w:rPr>
              <w:t>洛浦县恰尔巴格镇中学</w:t>
            </w:r>
          </w:p>
        </w:tc>
      </w:tr>
      <w:tr w14:paraId="24DF98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F742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A65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CD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5DE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F7F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61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F80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03EC">
            <w:pPr>
              <w:jc w:val="center"/>
            </w:pPr>
            <w:r>
              <w:rPr>
                <w:rFonts w:ascii="宋体" w:hAnsi="宋体" w:eastAsia="宋体"/>
                <w:sz w:val="16"/>
              </w:rPr>
              <w:t>得分</w:t>
            </w:r>
          </w:p>
        </w:tc>
      </w:tr>
      <w:tr w14:paraId="4D782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307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DC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7D6B6">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72C3F">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F8ED">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A96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B6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0451A">
            <w:pPr>
              <w:jc w:val="center"/>
            </w:pPr>
            <w:r>
              <w:rPr>
                <w:rFonts w:ascii="宋体" w:hAnsi="宋体" w:eastAsia="宋体"/>
                <w:sz w:val="16"/>
              </w:rPr>
              <w:t>10.00分</w:t>
            </w:r>
          </w:p>
        </w:tc>
      </w:tr>
      <w:tr w14:paraId="35DD30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D67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6B77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B9EF5">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5843">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3A99">
            <w:pPr>
              <w:jc w:val="center"/>
            </w:pPr>
            <w:r>
              <w:rPr>
                <w:rFonts w:ascii="宋体" w:hAnsi="宋体" w:eastAsia="宋体"/>
                <w:sz w:val="16"/>
              </w:rPr>
              <w:t>29.46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6F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209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5E75">
            <w:pPr>
              <w:jc w:val="center"/>
            </w:pPr>
            <w:r>
              <w:rPr>
                <w:rFonts w:ascii="宋体" w:hAnsi="宋体" w:eastAsia="宋体"/>
                <w:sz w:val="16"/>
              </w:rPr>
              <w:t>—</w:t>
            </w:r>
          </w:p>
        </w:tc>
      </w:tr>
      <w:tr w14:paraId="3E933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1DF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A289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CDB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E0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D88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D9C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24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C181A">
            <w:pPr>
              <w:jc w:val="center"/>
            </w:pPr>
            <w:r>
              <w:rPr>
                <w:rFonts w:ascii="宋体" w:hAnsi="宋体" w:eastAsia="宋体"/>
                <w:sz w:val="16"/>
              </w:rPr>
              <w:t>—</w:t>
            </w:r>
          </w:p>
        </w:tc>
      </w:tr>
      <w:tr w14:paraId="026C9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30B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FED7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07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F6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B2F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9C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68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15632">
            <w:pPr>
              <w:jc w:val="center"/>
            </w:pPr>
            <w:r>
              <w:rPr>
                <w:rFonts w:ascii="宋体" w:hAnsi="宋体" w:eastAsia="宋体"/>
                <w:sz w:val="16"/>
              </w:rPr>
              <w:t>—</w:t>
            </w:r>
          </w:p>
        </w:tc>
      </w:tr>
      <w:tr w14:paraId="459BB479">
        <w:tblPrEx>
          <w:tblCellMar>
            <w:top w:w="0" w:type="dxa"/>
            <w:left w:w="108" w:type="dxa"/>
            <w:bottom w:w="0" w:type="dxa"/>
            <w:right w:w="108" w:type="dxa"/>
          </w:tblCellMar>
        </w:tblPrEx>
        <w:trPr>
          <w:trHeight w:val="29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F158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D2A95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594415">
            <w:pPr>
              <w:jc w:val="center"/>
            </w:pPr>
            <w:r>
              <w:rPr>
                <w:rFonts w:ascii="宋体" w:hAnsi="宋体" w:eastAsia="宋体"/>
                <w:sz w:val="16"/>
              </w:rPr>
              <w:t>实际完成情况</w:t>
            </w:r>
          </w:p>
        </w:tc>
      </w:tr>
      <w:tr w14:paraId="1C07FB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BAE7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D57548">
            <w:pPr>
              <w:jc w:val="both"/>
            </w:pPr>
            <w:r>
              <w:rPr>
                <w:rFonts w:ascii="宋体" w:hAnsi="宋体" w:eastAsia="宋体"/>
                <w:sz w:val="16"/>
              </w:rPr>
              <w:t>计划保障学生数量1891人，保障在职人员数量168人，其中项目支出29.46万元。通过保障部门正常运转，有效提升学校的教育教学能力，持续推行素质教育，争取受益学生及受益在职人员满意度达到95%以上。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10FA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已保障学生数量1891人，项目支出29.46万元。通过保障部门正常运转，有效提升学校的教育教学能力，持续推行素质教育</w:t>
            </w:r>
          </w:p>
        </w:tc>
      </w:tr>
      <w:tr w14:paraId="57F9AE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8C2E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8BE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9F5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A68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0FAD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18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30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CE4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E085">
            <w:pPr>
              <w:jc w:val="center"/>
            </w:pPr>
            <w:r>
              <w:rPr>
                <w:rFonts w:ascii="宋体" w:hAnsi="宋体" w:eastAsia="宋体"/>
                <w:sz w:val="16"/>
              </w:rPr>
              <w:t>偏差原因分析及改进措施</w:t>
            </w:r>
          </w:p>
        </w:tc>
      </w:tr>
      <w:tr w14:paraId="667C36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F9B4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D8CFF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23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FDEE1">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87381">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4CC2">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DE9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33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4E69">
            <w:pPr>
              <w:jc w:val="center"/>
            </w:pPr>
          </w:p>
        </w:tc>
      </w:tr>
      <w:tr w14:paraId="2AF65A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90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E34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70B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6232">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627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6C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2CB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C93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A23B8">
            <w:pPr>
              <w:jc w:val="center"/>
            </w:pPr>
          </w:p>
        </w:tc>
      </w:tr>
      <w:tr w14:paraId="785EB1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733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8B5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0369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B4AD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E79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A55F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A95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14A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F0E8">
            <w:pPr>
              <w:jc w:val="center"/>
            </w:pPr>
          </w:p>
        </w:tc>
      </w:tr>
      <w:tr w14:paraId="0F286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33E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28A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663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BD4E7">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BB71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0FC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9CA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2C5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E06B2">
            <w:pPr>
              <w:jc w:val="center"/>
            </w:pPr>
          </w:p>
        </w:tc>
      </w:tr>
      <w:tr w14:paraId="6040E3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01D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80E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3A9F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2DBC5">
            <w:pPr>
              <w:jc w:val="center"/>
            </w:pPr>
            <w:r>
              <w:rPr>
                <w:rFonts w:ascii="宋体" w:hAnsi="宋体" w:eastAsia="宋体"/>
                <w:sz w:val="16"/>
              </w:rPr>
              <w:t>营养改善费用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2516">
            <w:pPr>
              <w:jc w:val="center"/>
            </w:pPr>
            <w:r>
              <w:rPr>
                <w:rFonts w:ascii="宋体" w:hAnsi="宋体" w:eastAsia="宋体"/>
                <w:sz w:val="16"/>
              </w:rPr>
              <w:t>&lt;=29.46万元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80BDF">
            <w:pPr>
              <w:jc w:val="center"/>
            </w:pPr>
            <w:r>
              <w:rPr>
                <w:rFonts w:ascii="宋体" w:hAnsi="宋体" w:eastAsia="宋体"/>
                <w:sz w:val="16"/>
              </w:rPr>
              <w:t>=29.46万元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77B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3F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E678">
            <w:pPr>
              <w:jc w:val="center"/>
            </w:pPr>
          </w:p>
        </w:tc>
      </w:tr>
      <w:tr w14:paraId="1606D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D6B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4855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36D4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EB6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B0B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A426">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9E3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499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C081">
            <w:pPr>
              <w:jc w:val="center"/>
            </w:pPr>
          </w:p>
        </w:tc>
      </w:tr>
      <w:tr w14:paraId="3D9E2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0E0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E1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191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352AF">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F75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1D2A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2F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EA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1103A">
            <w:pPr>
              <w:jc w:val="center"/>
            </w:pPr>
          </w:p>
        </w:tc>
      </w:tr>
      <w:tr w14:paraId="3F66E9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FE8C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BB2C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857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C5B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06591A"/>
        </w:tc>
      </w:tr>
    </w:tbl>
    <w:p w14:paraId="47C9A6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CE9B61">
        <w:tblPrEx>
          <w:tblCellMar>
            <w:top w:w="0" w:type="dxa"/>
            <w:left w:w="108" w:type="dxa"/>
            <w:bottom w:w="0" w:type="dxa"/>
            <w:right w:w="108" w:type="dxa"/>
          </w:tblCellMar>
        </w:tblPrEx>
        <w:tc>
          <w:tcPr>
            <w:tcW w:w="8847" w:type="dxa"/>
            <w:gridSpan w:val="9"/>
            <w:vAlign w:val="center"/>
          </w:tcPr>
          <w:p w14:paraId="3886B4BB">
            <w:pPr>
              <w:jc w:val="center"/>
            </w:pPr>
            <w:r>
              <w:rPr>
                <w:rFonts w:ascii="宋体" w:hAnsi="宋体" w:eastAsia="宋体"/>
                <w:sz w:val="24"/>
              </w:rPr>
              <w:t>项目支出绩效自评表</w:t>
            </w:r>
          </w:p>
        </w:tc>
      </w:tr>
      <w:tr w14:paraId="1399FB5B">
        <w:tblPrEx>
          <w:tblCellMar>
            <w:top w:w="0" w:type="dxa"/>
            <w:left w:w="108" w:type="dxa"/>
            <w:bottom w:w="0" w:type="dxa"/>
            <w:right w:w="108" w:type="dxa"/>
          </w:tblCellMar>
        </w:tblPrEx>
        <w:tc>
          <w:tcPr>
            <w:tcW w:w="8847" w:type="dxa"/>
            <w:gridSpan w:val="9"/>
            <w:vAlign w:val="center"/>
          </w:tcPr>
          <w:p w14:paraId="1044B782">
            <w:pPr>
              <w:jc w:val="center"/>
            </w:pPr>
            <w:r>
              <w:rPr>
                <w:rFonts w:ascii="宋体" w:hAnsi="宋体" w:eastAsia="宋体"/>
                <w:sz w:val="24"/>
              </w:rPr>
              <w:t>(2024年度)</w:t>
            </w:r>
          </w:p>
        </w:tc>
      </w:tr>
      <w:tr w14:paraId="23F437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1D48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E4DC3E">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66EBFE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3F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123B2D">
            <w:pPr>
              <w:jc w:val="center"/>
            </w:pPr>
            <w:r>
              <w:rPr>
                <w:rFonts w:ascii="宋体" w:hAnsi="宋体" w:eastAsia="宋体"/>
                <w:sz w:val="16"/>
              </w:rPr>
              <w:t>洛浦县恰尔巴格镇中学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DF1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29759">
            <w:pPr>
              <w:jc w:val="center"/>
            </w:pPr>
            <w:r>
              <w:rPr>
                <w:rFonts w:ascii="宋体" w:hAnsi="宋体" w:eastAsia="宋体"/>
                <w:sz w:val="16"/>
              </w:rPr>
              <w:t>洛浦县恰尔巴格镇中学</w:t>
            </w:r>
          </w:p>
        </w:tc>
      </w:tr>
      <w:tr w14:paraId="7BEDF6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E81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EB1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F1F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C6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FE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E3B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251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78E7">
            <w:pPr>
              <w:jc w:val="center"/>
            </w:pPr>
            <w:r>
              <w:rPr>
                <w:rFonts w:ascii="宋体" w:hAnsi="宋体" w:eastAsia="宋体"/>
                <w:sz w:val="16"/>
              </w:rPr>
              <w:t>得分</w:t>
            </w:r>
          </w:p>
        </w:tc>
      </w:tr>
      <w:tr w14:paraId="14DA0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870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ADDA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2DA39">
            <w:pPr>
              <w:jc w:val="center"/>
            </w:pPr>
            <w:r>
              <w:rPr>
                <w:rFonts w:ascii="宋体" w:hAnsi="宋体" w:eastAsia="宋体"/>
                <w:sz w:val="16"/>
              </w:rPr>
              <w:t>123.41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DCDD">
            <w:pPr>
              <w:jc w:val="center"/>
            </w:pPr>
            <w:r>
              <w:rPr>
                <w:rFonts w:ascii="宋体" w:hAnsi="宋体" w:eastAsia="宋体"/>
                <w:sz w:val="16"/>
              </w:rPr>
              <w:t>117.19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844F2">
            <w:pPr>
              <w:jc w:val="center"/>
            </w:pPr>
            <w:r>
              <w:rPr>
                <w:rFonts w:ascii="宋体" w:hAnsi="宋体" w:eastAsia="宋体"/>
                <w:sz w:val="16"/>
              </w:rPr>
              <w:t>117.19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9E9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833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6884C">
            <w:pPr>
              <w:jc w:val="center"/>
            </w:pPr>
            <w:r>
              <w:rPr>
                <w:rFonts w:ascii="宋体" w:hAnsi="宋体" w:eastAsia="宋体"/>
                <w:sz w:val="16"/>
              </w:rPr>
              <w:t>10.00分</w:t>
            </w:r>
          </w:p>
        </w:tc>
      </w:tr>
      <w:tr w14:paraId="78378F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16D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7E7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D635B">
            <w:pPr>
              <w:jc w:val="center"/>
            </w:pPr>
            <w:r>
              <w:rPr>
                <w:rFonts w:ascii="宋体" w:hAnsi="宋体" w:eastAsia="宋体"/>
                <w:sz w:val="16"/>
              </w:rPr>
              <w:t>123.41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14737">
            <w:pPr>
              <w:jc w:val="center"/>
            </w:pPr>
            <w:r>
              <w:rPr>
                <w:rFonts w:ascii="宋体" w:hAnsi="宋体" w:eastAsia="宋体"/>
                <w:sz w:val="16"/>
              </w:rPr>
              <w:t>117.19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371E">
            <w:pPr>
              <w:jc w:val="center"/>
            </w:pPr>
            <w:r>
              <w:rPr>
                <w:rFonts w:ascii="宋体" w:hAnsi="宋体" w:eastAsia="宋体"/>
                <w:sz w:val="16"/>
              </w:rPr>
              <w:t>117.19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20C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9F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2E7E">
            <w:pPr>
              <w:jc w:val="center"/>
            </w:pPr>
            <w:r>
              <w:rPr>
                <w:rFonts w:ascii="宋体" w:hAnsi="宋体" w:eastAsia="宋体"/>
                <w:sz w:val="16"/>
              </w:rPr>
              <w:t>—</w:t>
            </w:r>
          </w:p>
        </w:tc>
      </w:tr>
      <w:tr w14:paraId="6D9E4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C28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153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A6F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97B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68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3D4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36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121CC">
            <w:pPr>
              <w:jc w:val="center"/>
            </w:pPr>
            <w:r>
              <w:rPr>
                <w:rFonts w:ascii="宋体" w:hAnsi="宋体" w:eastAsia="宋体"/>
                <w:sz w:val="16"/>
              </w:rPr>
              <w:t>—</w:t>
            </w:r>
          </w:p>
        </w:tc>
      </w:tr>
      <w:tr w14:paraId="393BA8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738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339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148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92C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38B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FF6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F8F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D394">
            <w:pPr>
              <w:jc w:val="center"/>
            </w:pPr>
            <w:r>
              <w:rPr>
                <w:rFonts w:ascii="宋体" w:hAnsi="宋体" w:eastAsia="宋体"/>
                <w:sz w:val="16"/>
              </w:rPr>
              <w:t>—</w:t>
            </w:r>
          </w:p>
        </w:tc>
      </w:tr>
      <w:tr w14:paraId="2BAA26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A06D0">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C623F">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820984">
            <w:pPr>
              <w:jc w:val="center"/>
            </w:pPr>
            <w:r>
              <w:rPr>
                <w:rFonts w:ascii="宋体" w:hAnsi="宋体" w:eastAsia="宋体"/>
                <w:sz w:val="16"/>
              </w:rPr>
              <w:t>实际完成情况</w:t>
            </w:r>
          </w:p>
        </w:tc>
      </w:tr>
      <w:tr w14:paraId="3FC8D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14400"/>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76457">
            <w:pPr>
              <w:jc w:val="both"/>
            </w:pPr>
            <w:r>
              <w:rPr>
                <w:rFonts w:ascii="宋体" w:hAnsi="宋体" w:eastAsia="宋体"/>
                <w:sz w:val="16"/>
              </w:rPr>
              <w:t>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F4CDC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已完成受益学生数1891人，资金已使用117.19万元。通过项目的实施，有效改善教育教学质量。</w:t>
            </w:r>
          </w:p>
        </w:tc>
      </w:tr>
      <w:tr w14:paraId="29A8C0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F2F0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E5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9551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E8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34D6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AD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616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36E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A48E">
            <w:pPr>
              <w:jc w:val="center"/>
            </w:pPr>
            <w:r>
              <w:rPr>
                <w:rFonts w:ascii="宋体" w:hAnsi="宋体" w:eastAsia="宋体"/>
                <w:sz w:val="16"/>
              </w:rPr>
              <w:t>偏差原因分析及改进措施</w:t>
            </w:r>
          </w:p>
        </w:tc>
      </w:tr>
      <w:tr w14:paraId="3224EA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E71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29BF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D50E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9C777">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C41A">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D2A4">
            <w:pPr>
              <w:jc w:val="center"/>
            </w:pPr>
            <w:r>
              <w:rPr>
                <w:rFonts w:ascii="宋体" w:hAnsi="宋体" w:eastAsia="宋体"/>
                <w:sz w:val="16"/>
              </w:rPr>
              <w:t>=1891人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957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5E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1985F">
            <w:pPr>
              <w:jc w:val="center"/>
            </w:pPr>
          </w:p>
        </w:tc>
      </w:tr>
      <w:tr w14:paraId="3644F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109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3AA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694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1B59">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AB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4D5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A58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F0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6EF7">
            <w:pPr>
              <w:jc w:val="center"/>
            </w:pPr>
          </w:p>
        </w:tc>
      </w:tr>
      <w:tr w14:paraId="5DAD5C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C5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749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473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78874">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63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AF2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D7A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548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79B6A">
            <w:pPr>
              <w:jc w:val="center"/>
            </w:pPr>
          </w:p>
        </w:tc>
      </w:tr>
      <w:tr w14:paraId="3A98EA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79D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765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0E35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43AB">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E9B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C6FF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541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860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8663">
            <w:pPr>
              <w:jc w:val="center"/>
            </w:pPr>
          </w:p>
        </w:tc>
      </w:tr>
      <w:tr w14:paraId="49531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522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8B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750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0C9EF">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589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48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13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008C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9BEF">
            <w:pPr>
              <w:jc w:val="center"/>
            </w:pPr>
          </w:p>
        </w:tc>
      </w:tr>
      <w:tr w14:paraId="34D22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190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6887E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E15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14745">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885AF">
            <w:pPr>
              <w:jc w:val="center"/>
            </w:pPr>
            <w:r>
              <w:rPr>
                <w:rFonts w:ascii="宋体" w:hAnsi="宋体" w:eastAsia="宋体"/>
                <w:sz w:val="16"/>
              </w:rPr>
              <w:t>&lt;=36.9万元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3B23">
            <w:pPr>
              <w:jc w:val="center"/>
            </w:pPr>
            <w:r>
              <w:rPr>
                <w:rFonts w:ascii="宋体" w:hAnsi="宋体" w:eastAsia="宋体"/>
                <w:sz w:val="16"/>
              </w:rPr>
              <w:t>=36.9万元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32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9E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E71E">
            <w:pPr>
              <w:jc w:val="center"/>
            </w:pPr>
          </w:p>
        </w:tc>
      </w:tr>
      <w:tr w14:paraId="18987E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87B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B57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465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46A80">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3EE4">
            <w:pPr>
              <w:jc w:val="center"/>
            </w:pPr>
            <w:r>
              <w:rPr>
                <w:rFonts w:ascii="宋体" w:hAnsi="宋体" w:eastAsia="宋体"/>
                <w:sz w:val="16"/>
              </w:rPr>
              <w:t>&gt;=80.30万元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EECFC">
            <w:pPr>
              <w:jc w:val="center"/>
            </w:pPr>
            <w:r>
              <w:rPr>
                <w:rFonts w:ascii="宋体" w:hAnsi="宋体" w:eastAsia="宋体"/>
                <w:sz w:val="16"/>
              </w:rPr>
              <w:t>=80.3万元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96D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648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E72D5">
            <w:pPr>
              <w:jc w:val="center"/>
            </w:pPr>
          </w:p>
        </w:tc>
      </w:tr>
      <w:tr w14:paraId="3CA32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057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6C7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8D3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6BA8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656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E9C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959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637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F938">
            <w:pPr>
              <w:jc w:val="center"/>
            </w:pPr>
          </w:p>
        </w:tc>
      </w:tr>
      <w:tr w14:paraId="0F87F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2D0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C1D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778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7E46E">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92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0CC4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1C8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B78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E093">
            <w:pPr>
              <w:jc w:val="center"/>
            </w:pPr>
          </w:p>
        </w:tc>
      </w:tr>
      <w:tr w14:paraId="38201757">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17C7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FB8B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03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33C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7AE55C"/>
        </w:tc>
      </w:tr>
    </w:tbl>
    <w:p w14:paraId="77D06C15">
      <w:r>
        <w:br w:type="page"/>
      </w:r>
    </w:p>
    <w:p w14:paraId="7EFFDFA7">
      <w:pPr>
        <w:spacing w:line="640" w:lineRule="exact"/>
        <w:ind w:firstLine="640"/>
        <w:jc w:val="both"/>
        <w:outlineLvl w:val="2"/>
      </w:pPr>
      <w:r>
        <w:rPr>
          <w:rFonts w:ascii="黑体" w:hAnsi="黑体" w:eastAsia="黑体"/>
          <w:sz w:val="32"/>
        </w:rPr>
        <w:t>十二、其他需说明的事项</w:t>
      </w:r>
    </w:p>
    <w:p w14:paraId="7FDCC5C1">
      <w:pPr>
        <w:spacing w:line="580" w:lineRule="exact"/>
        <w:ind w:firstLine="640"/>
        <w:jc w:val="both"/>
      </w:pPr>
      <w:r>
        <w:rPr>
          <w:rFonts w:ascii="仿宋_GB2312" w:hAnsi="仿宋_GB2312" w:eastAsia="仿宋_GB2312"/>
          <w:b w:val="0"/>
          <w:sz w:val="32"/>
        </w:rPr>
        <w:t>本单位无其他需说明的事项。</w:t>
      </w:r>
    </w:p>
    <w:p w14:paraId="6341A2F0">
      <w:r>
        <w:br w:type="page"/>
      </w:r>
    </w:p>
    <w:p w14:paraId="6E3FFAD4">
      <w:pPr>
        <w:spacing w:line="240" w:lineRule="auto"/>
        <w:jc w:val="center"/>
        <w:outlineLvl w:val="1"/>
      </w:pPr>
      <w:r>
        <w:rPr>
          <w:rFonts w:ascii="黑体" w:hAnsi="黑体" w:eastAsia="黑体"/>
          <w:sz w:val="32"/>
        </w:rPr>
        <w:t>第三部分 专业名词解释</w:t>
      </w:r>
    </w:p>
    <w:p w14:paraId="006CF8D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7BC07D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8389C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2F282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6C7E38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34B4C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EEA11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9754C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1215E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1F3BE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6034A2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D59BEF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751E1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0F0AD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77B86EA">
      <w:r>
        <w:br w:type="page"/>
      </w:r>
    </w:p>
    <w:p w14:paraId="198655B9">
      <w:pPr>
        <w:spacing w:line="240" w:lineRule="auto"/>
        <w:jc w:val="center"/>
        <w:outlineLvl w:val="1"/>
      </w:pPr>
      <w:r>
        <w:rPr>
          <w:rFonts w:ascii="黑体" w:hAnsi="黑体" w:eastAsia="黑体"/>
          <w:sz w:val="32"/>
        </w:rPr>
        <w:t>第四部分 部门决算报表（见附表）</w:t>
      </w:r>
    </w:p>
    <w:p w14:paraId="0A051245">
      <w:pPr>
        <w:spacing w:line="240" w:lineRule="auto"/>
        <w:ind w:firstLine="640"/>
        <w:jc w:val="both"/>
      </w:pPr>
      <w:r>
        <w:rPr>
          <w:rFonts w:ascii="仿宋_GB2312" w:hAnsi="仿宋_GB2312" w:eastAsia="仿宋_GB2312"/>
          <w:b w:val="0"/>
          <w:sz w:val="32"/>
        </w:rPr>
        <w:t>一、《收入支出决算总表》</w:t>
      </w:r>
    </w:p>
    <w:p w14:paraId="3D6DA595">
      <w:pPr>
        <w:spacing w:line="240" w:lineRule="auto"/>
        <w:ind w:firstLine="640"/>
        <w:jc w:val="both"/>
      </w:pPr>
      <w:r>
        <w:rPr>
          <w:rFonts w:ascii="仿宋_GB2312" w:hAnsi="仿宋_GB2312" w:eastAsia="仿宋_GB2312"/>
          <w:b w:val="0"/>
          <w:sz w:val="32"/>
        </w:rPr>
        <w:t>二、《收入决算表》</w:t>
      </w:r>
    </w:p>
    <w:p w14:paraId="26E93FC7">
      <w:pPr>
        <w:spacing w:line="240" w:lineRule="auto"/>
        <w:ind w:firstLine="640"/>
        <w:jc w:val="both"/>
      </w:pPr>
      <w:r>
        <w:rPr>
          <w:rFonts w:ascii="仿宋_GB2312" w:hAnsi="仿宋_GB2312" w:eastAsia="仿宋_GB2312"/>
          <w:b w:val="0"/>
          <w:sz w:val="32"/>
        </w:rPr>
        <w:t>三、《支出决算表》</w:t>
      </w:r>
    </w:p>
    <w:p w14:paraId="6F4EEF4B">
      <w:pPr>
        <w:spacing w:line="240" w:lineRule="auto"/>
        <w:ind w:firstLine="640"/>
        <w:jc w:val="both"/>
      </w:pPr>
      <w:r>
        <w:rPr>
          <w:rFonts w:ascii="仿宋_GB2312" w:hAnsi="仿宋_GB2312" w:eastAsia="仿宋_GB2312"/>
          <w:b w:val="0"/>
          <w:sz w:val="32"/>
        </w:rPr>
        <w:t>四、《财政拨款收入支出决算总表》</w:t>
      </w:r>
    </w:p>
    <w:p w14:paraId="741C7AF5">
      <w:pPr>
        <w:spacing w:line="240" w:lineRule="auto"/>
        <w:ind w:firstLine="640"/>
        <w:jc w:val="both"/>
      </w:pPr>
      <w:r>
        <w:rPr>
          <w:rFonts w:ascii="仿宋_GB2312" w:hAnsi="仿宋_GB2312" w:eastAsia="仿宋_GB2312"/>
          <w:b w:val="0"/>
          <w:sz w:val="32"/>
        </w:rPr>
        <w:t>五、《一般公共预算财政拨款支出决算表》</w:t>
      </w:r>
    </w:p>
    <w:p w14:paraId="0C87171B">
      <w:pPr>
        <w:spacing w:line="240" w:lineRule="auto"/>
        <w:ind w:firstLine="640"/>
        <w:jc w:val="both"/>
      </w:pPr>
      <w:r>
        <w:rPr>
          <w:rFonts w:ascii="仿宋_GB2312" w:hAnsi="仿宋_GB2312" w:eastAsia="仿宋_GB2312"/>
          <w:b w:val="0"/>
          <w:sz w:val="32"/>
        </w:rPr>
        <w:t>六、《一般公共预算财政拨款基本支出决算表》</w:t>
      </w:r>
    </w:p>
    <w:p w14:paraId="1D862AA0">
      <w:pPr>
        <w:spacing w:line="240" w:lineRule="auto"/>
        <w:ind w:firstLine="640"/>
        <w:jc w:val="both"/>
      </w:pPr>
      <w:r>
        <w:rPr>
          <w:rFonts w:ascii="仿宋_GB2312" w:hAnsi="仿宋_GB2312" w:eastAsia="仿宋_GB2312"/>
          <w:b w:val="0"/>
          <w:sz w:val="32"/>
        </w:rPr>
        <w:t>七、《政府性基金预算财政拨款收入支出决算表》</w:t>
      </w:r>
    </w:p>
    <w:p w14:paraId="077428D6">
      <w:pPr>
        <w:spacing w:line="240" w:lineRule="auto"/>
        <w:ind w:firstLine="640"/>
        <w:jc w:val="both"/>
      </w:pPr>
      <w:r>
        <w:rPr>
          <w:rFonts w:ascii="仿宋_GB2312" w:hAnsi="仿宋_GB2312" w:eastAsia="仿宋_GB2312"/>
          <w:b w:val="0"/>
          <w:sz w:val="32"/>
        </w:rPr>
        <w:t>八、《国有资本经营预算财政拨款收入支出决算表》</w:t>
      </w:r>
    </w:p>
    <w:p w14:paraId="63F61703">
      <w:pPr>
        <w:spacing w:line="240" w:lineRule="auto"/>
        <w:ind w:firstLine="640"/>
        <w:jc w:val="both"/>
      </w:pPr>
      <w:r>
        <w:rPr>
          <w:rFonts w:ascii="仿宋_GB2312" w:hAnsi="仿宋_GB2312" w:eastAsia="仿宋_GB2312"/>
          <w:b w:val="0"/>
          <w:sz w:val="32"/>
        </w:rPr>
        <w:t>九、《财政拨款“三公”经费支出决算表》</w:t>
      </w:r>
    </w:p>
    <w:p w14:paraId="6F2B6EEC">
      <w:pPr>
        <w:spacing w:line="240" w:lineRule="auto"/>
        <w:ind w:firstLine="640"/>
        <w:jc w:val="both"/>
      </w:pPr>
    </w:p>
    <w:p w14:paraId="5DF6AC55">
      <w:pPr>
        <w:spacing w:line="240" w:lineRule="auto"/>
        <w:ind w:firstLine="640"/>
        <w:jc w:val="both"/>
      </w:pPr>
    </w:p>
    <w:p w14:paraId="1C77C4A7">
      <w:pPr>
        <w:spacing w:line="240" w:lineRule="auto"/>
        <w:ind w:firstLine="640"/>
        <w:jc w:val="both"/>
      </w:pPr>
    </w:p>
    <w:p w14:paraId="3F0CB84D">
      <w:pPr>
        <w:spacing w:line="240" w:lineRule="auto"/>
        <w:ind w:firstLine="640"/>
        <w:jc w:val="both"/>
      </w:pPr>
    </w:p>
    <w:p w14:paraId="12DD9CA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D13B59-AC43-4EBF-A24A-CE58DA10A1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0385A61-C64A-4A9D-B184-AB03505543AB}"/>
  </w:font>
  <w:font w:name="仿宋_GB2312">
    <w:panose1 w:val="02010609030101010101"/>
    <w:charset w:val="86"/>
    <w:family w:val="modern"/>
    <w:pitch w:val="default"/>
    <w:sig w:usb0="00000001" w:usb1="080E0000" w:usb2="00000000" w:usb3="00000000" w:csb0="00040000" w:csb1="00000000"/>
    <w:embedRegular r:id="rId3" w:fontKey="{B3AFB90C-F81B-4B0F-9DD7-B6369A61915E}"/>
  </w:font>
  <w:font w:name="楷体_GB2312">
    <w:panose1 w:val="02010609030101010101"/>
    <w:charset w:val="86"/>
    <w:family w:val="auto"/>
    <w:pitch w:val="default"/>
    <w:sig w:usb0="00000001" w:usb1="080E0000" w:usb2="00000000" w:usb3="00000000" w:csb0="00040000" w:csb1="00000000"/>
    <w:embedRegular r:id="rId4" w:fontKey="{15A0864B-F3DC-4761-8616-32AB477BF23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2E1C30"/>
    <w:rsid w:val="1C317E4F"/>
    <w:rsid w:val="1C472464"/>
    <w:rsid w:val="1DAF458D"/>
    <w:rsid w:val="1E086ACE"/>
    <w:rsid w:val="1E4B5CA5"/>
    <w:rsid w:val="1EAA4A5F"/>
    <w:rsid w:val="1F587A0B"/>
    <w:rsid w:val="2064678E"/>
    <w:rsid w:val="20BC0B75"/>
    <w:rsid w:val="20DD6197"/>
    <w:rsid w:val="21F317F2"/>
    <w:rsid w:val="2241392C"/>
    <w:rsid w:val="23BC04D2"/>
    <w:rsid w:val="243E0EB0"/>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1155</Words>
  <Characters>1276</Characters>
  <Lines>0</Lines>
  <Paragraphs>0</Paragraphs>
  <TotalTime>4</TotalTime>
  <ScaleCrop>false</ScaleCrop>
  <LinksUpToDate>false</LinksUpToDate>
  <CharactersWithSpaces>1284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