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洛浦县总工会2024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8F5BC8D">
      <w:r>
        <w:br w:type="page"/>
      </w:r>
    </w:p>
    <w:p w14:paraId="4C80AA2D">
      <w:pPr>
        <w:spacing w:line="640" w:lineRule="exact"/>
        <w:jc w:val="center"/>
        <w:outlineLvl w:val="1"/>
      </w:pPr>
      <w:r>
        <w:rPr>
          <w:rFonts w:ascii="黑体" w:hAnsi="黑体" w:eastAsia="黑体"/>
          <w:sz w:val="32"/>
        </w:rPr>
        <w:t>第一部分 单位概况</w:t>
      </w:r>
    </w:p>
    <w:p w14:paraId="0A759229">
      <w:pPr>
        <w:spacing w:line="640" w:lineRule="exact"/>
        <w:ind w:firstLine="640"/>
        <w:jc w:val="both"/>
        <w:outlineLvl w:val="2"/>
      </w:pPr>
      <w:r>
        <w:rPr>
          <w:rFonts w:ascii="黑体" w:hAnsi="黑体" w:eastAsia="黑体"/>
          <w:sz w:val="32"/>
        </w:rPr>
        <w:t>一、主要职能</w:t>
      </w:r>
    </w:p>
    <w:p w14:paraId="01573109">
      <w:pPr>
        <w:spacing w:line="580" w:lineRule="exact"/>
        <w:ind w:firstLine="640"/>
        <w:jc w:val="both"/>
      </w:pPr>
      <w:r>
        <w:rPr>
          <w:rFonts w:ascii="仿宋_GB2312" w:hAnsi="仿宋_GB2312" w:eastAsia="仿宋_GB2312"/>
          <w:sz w:val="32"/>
        </w:rPr>
        <w:t>（1）贯彻落实党和国家关于工人运动、工会工作的方针政策，组织实施上级工会的工作部署和全县工会代表大会的各项决定。</w:t>
      </w:r>
    </w:p>
    <w:p w14:paraId="28F727D7">
      <w:pPr>
        <w:spacing w:line="580" w:lineRule="exact"/>
        <w:ind w:firstLine="640"/>
        <w:jc w:val="both"/>
      </w:pPr>
      <w:r>
        <w:rPr>
          <w:rFonts w:ascii="仿宋_GB2312" w:hAnsi="仿宋_GB2312" w:eastAsia="仿宋_GB2312"/>
          <w:sz w:val="32"/>
        </w:rPr>
        <w:t>（2）参与涉及职工切身利益的规范性文件的制定，反映职工的愿望和要求，并提出意见和建议，履行工会"组织、建设、教育、维护"四项基本职能。</w:t>
      </w:r>
    </w:p>
    <w:p w14:paraId="1B58EA98">
      <w:pPr>
        <w:spacing w:line="580" w:lineRule="exact"/>
        <w:ind w:firstLine="640"/>
        <w:jc w:val="both"/>
      </w:pPr>
      <w:r>
        <w:rPr>
          <w:rFonts w:ascii="仿宋_GB2312" w:hAnsi="仿宋_GB2312" w:eastAsia="仿宋_GB2312"/>
          <w:sz w:val="32"/>
        </w:rPr>
        <w:t>（3）对有关职工合法权益的重大问题进行调查研究，及时向县委、县政府反馈职工的思想愿望和要求，提出意见和建议。</w:t>
      </w:r>
    </w:p>
    <w:p w14:paraId="14AF3D44">
      <w:pPr>
        <w:spacing w:line="580" w:lineRule="exact"/>
        <w:ind w:firstLine="640"/>
        <w:jc w:val="both"/>
      </w:pPr>
      <w:r>
        <w:rPr>
          <w:rFonts w:ascii="仿宋_GB2312" w:hAnsi="仿宋_GB2312" w:eastAsia="仿宋_GB2312"/>
          <w:sz w:val="32"/>
        </w:rPr>
        <w:t>（4）指导全县工会基层组织建设，开展建设"职工之家"活动。</w:t>
      </w:r>
    </w:p>
    <w:p w14:paraId="3AA6570F">
      <w:pPr>
        <w:spacing w:line="580" w:lineRule="exact"/>
        <w:ind w:firstLine="640"/>
        <w:jc w:val="both"/>
      </w:pPr>
      <w:r>
        <w:rPr>
          <w:rFonts w:ascii="仿宋_GB2312" w:hAnsi="仿宋_GB2312" w:eastAsia="仿宋_GB2312"/>
          <w:sz w:val="32"/>
        </w:rPr>
        <w:t>（5）参与协调企业劳动关系，维护职工合法权益，促进职工队伍稳定。</w:t>
      </w:r>
    </w:p>
    <w:p w14:paraId="21587A6E">
      <w:pPr>
        <w:spacing w:line="580" w:lineRule="exact"/>
        <w:ind w:firstLine="640"/>
        <w:jc w:val="both"/>
      </w:pPr>
      <w:r>
        <w:rPr>
          <w:rFonts w:ascii="仿宋_GB2312" w:hAnsi="仿宋_GB2312" w:eastAsia="仿宋_GB2312"/>
          <w:sz w:val="32"/>
        </w:rPr>
        <w:t>（6）指导企业建立平等协商、签订集体合同工作</w:t>
      </w:r>
      <w:bookmarkStart w:id="0" w:name="_GoBack"/>
      <w:r>
        <w:rPr>
          <w:rFonts w:hint="eastAsia" w:ascii="仿宋_GB2312" w:hAnsi="仿宋_GB2312" w:eastAsia="仿宋_GB2312"/>
          <w:sz w:val="32"/>
          <w:lang w:eastAsia="zh-CN"/>
        </w:rPr>
        <w:t>；</w:t>
      </w:r>
      <w:bookmarkEnd w:id="0"/>
      <w:r>
        <w:rPr>
          <w:rFonts w:ascii="仿宋_GB2312" w:hAnsi="仿宋_GB2312" w:eastAsia="仿宋_GB2312"/>
          <w:sz w:val="32"/>
        </w:rPr>
        <w:t>指导企业做好厂务公开和民主管理等工作。</w:t>
      </w:r>
    </w:p>
    <w:p w14:paraId="226B56EC">
      <w:pPr>
        <w:spacing w:line="580" w:lineRule="exact"/>
        <w:ind w:firstLine="640"/>
        <w:jc w:val="both"/>
      </w:pPr>
      <w:r>
        <w:rPr>
          <w:rFonts w:ascii="仿宋_GB2312" w:hAnsi="仿宋_GB2312" w:eastAsia="仿宋_GB2312"/>
          <w:sz w:val="32"/>
        </w:rPr>
        <w:t>（7）做好工会劳动保护监督检查工作，参与职工伤亡事故和企业劳动争议的调查处理。</w:t>
      </w:r>
    </w:p>
    <w:p w14:paraId="2EF6BB36">
      <w:pPr>
        <w:spacing w:line="580" w:lineRule="exact"/>
        <w:ind w:firstLine="640"/>
        <w:jc w:val="both"/>
      </w:pPr>
      <w:r>
        <w:rPr>
          <w:rFonts w:ascii="仿宋_GB2312" w:hAnsi="仿宋_GB2312" w:eastAsia="仿宋_GB2312"/>
          <w:sz w:val="32"/>
        </w:rPr>
        <w:t>（8）做好工会宣传教育工作</w:t>
      </w:r>
      <w:r>
        <w:rPr>
          <w:rFonts w:hint="eastAsia" w:ascii="仿宋_GB2312" w:hAnsi="仿宋_GB2312" w:eastAsia="仿宋_GB2312"/>
          <w:sz w:val="32"/>
          <w:lang w:eastAsia="zh-CN"/>
        </w:rPr>
        <w:t>；</w:t>
      </w:r>
      <w:r>
        <w:rPr>
          <w:rFonts w:ascii="仿宋_GB2312" w:hAnsi="仿宋_GB2312" w:eastAsia="仿宋_GB2312"/>
          <w:sz w:val="32"/>
        </w:rPr>
        <w:t>开展职工思想道德和科技文化教育，指导各级工会开展群众性文体活动。</w:t>
      </w:r>
    </w:p>
    <w:p w14:paraId="254F7B04">
      <w:pPr>
        <w:spacing w:line="580" w:lineRule="exact"/>
        <w:ind w:firstLine="640"/>
        <w:jc w:val="both"/>
      </w:pPr>
      <w:r>
        <w:rPr>
          <w:rFonts w:ascii="仿宋_GB2312" w:hAnsi="仿宋_GB2312" w:eastAsia="仿宋_GB2312"/>
          <w:sz w:val="32"/>
        </w:rPr>
        <w:t>（9）做好困难职工帮扶工作，深入实施送温暖工程，再就业工程。</w:t>
      </w:r>
    </w:p>
    <w:p w14:paraId="39B017BD">
      <w:pPr>
        <w:spacing w:line="580" w:lineRule="exact"/>
        <w:ind w:firstLine="640"/>
        <w:jc w:val="both"/>
      </w:pPr>
      <w:r>
        <w:rPr>
          <w:rFonts w:ascii="仿宋_GB2312" w:hAnsi="仿宋_GB2312" w:eastAsia="仿宋_GB2312"/>
          <w:sz w:val="32"/>
        </w:rPr>
        <w:t>（10）协助县政府做好劳动模范的推荐、评选和管理服务工作。</w:t>
      </w:r>
    </w:p>
    <w:p w14:paraId="6CC75407">
      <w:pPr>
        <w:spacing w:line="580" w:lineRule="exact"/>
        <w:ind w:firstLine="640"/>
        <w:jc w:val="both"/>
      </w:pPr>
      <w:r>
        <w:rPr>
          <w:rFonts w:ascii="仿宋_GB2312" w:hAnsi="仿宋_GB2312" w:eastAsia="仿宋_GB2312"/>
          <w:sz w:val="32"/>
        </w:rPr>
        <w:t>（11）负责全县工会经费的收、管、用工作。</w:t>
      </w:r>
    </w:p>
    <w:p w14:paraId="6F4B20ED">
      <w:pPr>
        <w:spacing w:line="580" w:lineRule="exact"/>
        <w:ind w:firstLine="640"/>
        <w:jc w:val="both"/>
      </w:pPr>
      <w:r>
        <w:rPr>
          <w:rFonts w:ascii="仿宋_GB2312" w:hAnsi="仿宋_GB2312" w:eastAsia="仿宋_GB2312"/>
          <w:sz w:val="32"/>
        </w:rPr>
        <w:t>（12）承办县委、县政府和上级工会交办的其他工作。</w:t>
      </w:r>
    </w:p>
    <w:p w14:paraId="2EE4EAF1">
      <w:pPr>
        <w:spacing w:line="640" w:lineRule="exact"/>
        <w:ind w:firstLine="640"/>
        <w:jc w:val="both"/>
        <w:outlineLvl w:val="2"/>
      </w:pPr>
      <w:r>
        <w:rPr>
          <w:rFonts w:ascii="黑体" w:hAnsi="黑体" w:eastAsia="黑体"/>
          <w:sz w:val="32"/>
        </w:rPr>
        <w:t>二、机构设置及人员情况</w:t>
      </w:r>
    </w:p>
    <w:p w14:paraId="0870BC46">
      <w:pPr>
        <w:spacing w:line="580" w:lineRule="exact"/>
        <w:ind w:firstLine="640"/>
        <w:jc w:val="both"/>
      </w:pPr>
      <w:r>
        <w:rPr>
          <w:rFonts w:ascii="仿宋_GB2312" w:hAnsi="仿宋_GB2312" w:eastAsia="仿宋_GB2312"/>
          <w:sz w:val="32"/>
        </w:rPr>
        <w:t>洛浦县总工会2024年度，实有人数11人，其中：在职人员8人，增加0人；离休人员0人，增加0人；退休人员3人</w:t>
      </w:r>
      <w:r>
        <w:rPr>
          <w:rFonts w:hint="eastAsia" w:ascii="仿宋_GB2312" w:hAnsi="仿宋_GB2312" w:eastAsia="仿宋_GB2312"/>
          <w:sz w:val="32"/>
          <w:lang w:eastAsia="zh-CN"/>
        </w:rPr>
        <w:t>，</w:t>
      </w:r>
      <w:r>
        <w:rPr>
          <w:rFonts w:ascii="仿宋_GB2312" w:hAnsi="仿宋_GB2312" w:eastAsia="仿宋_GB2312"/>
          <w:sz w:val="32"/>
        </w:rPr>
        <w:t>增加0人。</w:t>
      </w:r>
    </w:p>
    <w:p w14:paraId="3D4E8CED">
      <w:pPr>
        <w:spacing w:line="580" w:lineRule="exact"/>
        <w:ind w:firstLine="640"/>
        <w:jc w:val="both"/>
      </w:pPr>
      <w:r>
        <w:rPr>
          <w:rFonts w:ascii="仿宋_GB2312" w:hAnsi="仿宋_GB2312" w:eastAsia="仿宋_GB2312"/>
          <w:sz w:val="32"/>
        </w:rPr>
        <w:t>洛浦县总工会无下属预算单位，下设2个科室，分别是：办公室、帮扶中心。</w:t>
      </w:r>
    </w:p>
    <w:p w14:paraId="2065A9BD">
      <w:r>
        <w:br w:type="page"/>
      </w:r>
    </w:p>
    <w:p w14:paraId="615934E9">
      <w:pPr>
        <w:spacing w:line="240" w:lineRule="auto"/>
        <w:jc w:val="center"/>
        <w:outlineLvl w:val="1"/>
      </w:pPr>
      <w:r>
        <w:rPr>
          <w:rFonts w:ascii="黑体" w:hAnsi="黑体" w:eastAsia="黑体"/>
          <w:sz w:val="32"/>
        </w:rPr>
        <w:t>第二部分 部门决算情况说明</w:t>
      </w:r>
    </w:p>
    <w:p w14:paraId="3C0B31B4">
      <w:pPr>
        <w:spacing w:line="640" w:lineRule="exact"/>
        <w:ind w:firstLine="640"/>
        <w:jc w:val="both"/>
        <w:outlineLvl w:val="2"/>
      </w:pPr>
      <w:r>
        <w:rPr>
          <w:rFonts w:ascii="黑体" w:hAnsi="黑体" w:eastAsia="黑体"/>
          <w:sz w:val="32"/>
        </w:rPr>
        <w:t>一、收入支出决算总体情况说明</w:t>
      </w:r>
    </w:p>
    <w:p w14:paraId="35E4F477">
      <w:pPr>
        <w:spacing w:line="580" w:lineRule="exact"/>
        <w:ind w:firstLine="640"/>
        <w:jc w:val="both"/>
      </w:pPr>
      <w:r>
        <w:rPr>
          <w:rFonts w:ascii="仿宋_GB2312" w:hAnsi="仿宋_GB2312" w:eastAsia="仿宋_GB2312"/>
          <w:b/>
          <w:sz w:val="32"/>
        </w:rPr>
        <w:t>2024年度收入总计167.85万元，</w:t>
      </w:r>
      <w:r>
        <w:rPr>
          <w:rFonts w:ascii="仿宋_GB2312" w:hAnsi="仿宋_GB2312" w:eastAsia="仿宋_GB2312"/>
          <w:b w:val="0"/>
          <w:sz w:val="32"/>
        </w:rPr>
        <w:t>其中：本年收入合计167.85万元，使用非财政拨款结余（含专用结余）0.00万元，年初结转和结余0.00万元。</w:t>
      </w:r>
    </w:p>
    <w:p w14:paraId="6E96E8CE">
      <w:pPr>
        <w:spacing w:line="580" w:lineRule="exact"/>
        <w:ind w:firstLine="640"/>
        <w:jc w:val="both"/>
      </w:pPr>
      <w:r>
        <w:rPr>
          <w:rFonts w:ascii="仿宋_GB2312" w:hAnsi="仿宋_GB2312" w:eastAsia="仿宋_GB2312"/>
          <w:b/>
          <w:sz w:val="32"/>
        </w:rPr>
        <w:t>2024年度支出总计167.85万元，</w:t>
      </w:r>
      <w:r>
        <w:rPr>
          <w:rFonts w:ascii="仿宋_GB2312" w:hAnsi="仿宋_GB2312" w:eastAsia="仿宋_GB2312"/>
          <w:b w:val="0"/>
          <w:sz w:val="32"/>
        </w:rPr>
        <w:t>其中：本年支出合计167.85万元，结余分配0.00万元，年末结转和结余0.00万元。</w:t>
      </w:r>
    </w:p>
    <w:p w14:paraId="0B8523C3">
      <w:pPr>
        <w:spacing w:line="580" w:lineRule="exact"/>
        <w:ind w:firstLine="640"/>
        <w:jc w:val="both"/>
      </w:pPr>
      <w:r>
        <w:rPr>
          <w:rFonts w:ascii="仿宋_GB2312" w:hAnsi="仿宋_GB2312" w:eastAsia="仿宋_GB2312"/>
          <w:b w:val="0"/>
          <w:sz w:val="32"/>
        </w:rPr>
        <w:t>收入支出总体与上年相比，增加4.58万元，增长2.81%，主要原因是：本年在职人员工资调增，社保、公积金基数调增，人员经费增加。</w:t>
      </w:r>
      <w:r>
        <w:rPr>
          <w:rFonts w:hint="eastAsia" w:ascii="仿宋_GB2312" w:hAnsi="仿宋_GB2312" w:eastAsia="仿宋_GB2312"/>
          <w:b w:val="0"/>
          <w:sz w:val="32"/>
          <w:lang w:val="en-US" w:eastAsia="zh-CN"/>
        </w:rPr>
        <w:t>增加为民办实事经费。</w:t>
      </w:r>
    </w:p>
    <w:p w14:paraId="0C91358B">
      <w:pPr>
        <w:spacing w:line="640" w:lineRule="exact"/>
        <w:ind w:firstLine="640"/>
        <w:jc w:val="both"/>
        <w:outlineLvl w:val="2"/>
      </w:pPr>
      <w:r>
        <w:rPr>
          <w:rFonts w:ascii="黑体" w:hAnsi="黑体" w:eastAsia="黑体"/>
          <w:sz w:val="32"/>
        </w:rPr>
        <w:t>二、收入决算情况说明</w:t>
      </w:r>
    </w:p>
    <w:p w14:paraId="7F2D3497">
      <w:pPr>
        <w:spacing w:line="580" w:lineRule="exact"/>
        <w:ind w:firstLine="640"/>
        <w:jc w:val="both"/>
      </w:pPr>
      <w:r>
        <w:rPr>
          <w:rFonts w:ascii="仿宋_GB2312" w:hAnsi="仿宋_GB2312" w:eastAsia="仿宋_GB2312"/>
          <w:b/>
          <w:sz w:val="32"/>
        </w:rPr>
        <w:t>本年收入167.85万元，</w:t>
      </w:r>
      <w:r>
        <w:rPr>
          <w:rFonts w:ascii="仿宋_GB2312" w:hAnsi="仿宋_GB2312" w:eastAsia="仿宋_GB2312"/>
          <w:b w:val="0"/>
          <w:sz w:val="32"/>
        </w:rPr>
        <w:t>其中：财政拨款收入167.85万元，占100.00%；上级补助收入0.00万元，占0.00%；事业收入0.00万元，占0.00%；经营收入0.00万元，占0.00%；附属单位上缴收入0.00万元，占0.00%；其他收入0.00万元，占0.00%。</w:t>
      </w:r>
    </w:p>
    <w:p w14:paraId="789DF017">
      <w:pPr>
        <w:spacing w:line="640" w:lineRule="exact"/>
        <w:ind w:firstLine="640"/>
        <w:jc w:val="both"/>
        <w:outlineLvl w:val="2"/>
      </w:pPr>
      <w:r>
        <w:rPr>
          <w:rFonts w:ascii="黑体" w:hAnsi="黑体" w:eastAsia="黑体"/>
          <w:sz w:val="32"/>
        </w:rPr>
        <w:t>三、支出决算情况说明</w:t>
      </w:r>
    </w:p>
    <w:p w14:paraId="273BCD1D">
      <w:pPr>
        <w:spacing w:line="580" w:lineRule="exact"/>
        <w:ind w:firstLine="640"/>
        <w:jc w:val="both"/>
      </w:pPr>
      <w:r>
        <w:rPr>
          <w:rFonts w:ascii="仿宋_GB2312" w:hAnsi="仿宋_GB2312" w:eastAsia="仿宋_GB2312"/>
          <w:b/>
          <w:sz w:val="32"/>
        </w:rPr>
        <w:t>本年支出167.85万元，</w:t>
      </w:r>
      <w:r>
        <w:rPr>
          <w:rFonts w:ascii="仿宋_GB2312" w:hAnsi="仿宋_GB2312" w:eastAsia="仿宋_GB2312"/>
          <w:b w:val="0"/>
          <w:sz w:val="32"/>
        </w:rPr>
        <w:t>其中：基本支出162.45万元，占96.78%；项目支出5.40万元，占3.22%；上缴上级支出0.00万元，占0.00%；经营支出0.00万元，占0.00%；对附属单位补助支出0.00万元，占0.00%。</w:t>
      </w:r>
    </w:p>
    <w:p w14:paraId="2E7809DB">
      <w:pPr>
        <w:spacing w:line="640" w:lineRule="exact"/>
        <w:ind w:firstLine="640"/>
        <w:jc w:val="both"/>
        <w:outlineLvl w:val="2"/>
      </w:pPr>
      <w:r>
        <w:rPr>
          <w:rFonts w:ascii="黑体" w:hAnsi="黑体" w:eastAsia="黑体"/>
          <w:sz w:val="32"/>
        </w:rPr>
        <w:t>四、财政拨款收入支出决算总体情况说明</w:t>
      </w:r>
    </w:p>
    <w:p w14:paraId="24696DD1">
      <w:pPr>
        <w:spacing w:line="580" w:lineRule="exact"/>
        <w:ind w:firstLine="640"/>
        <w:jc w:val="both"/>
      </w:pPr>
      <w:r>
        <w:rPr>
          <w:rFonts w:ascii="仿宋_GB2312" w:hAnsi="仿宋_GB2312" w:eastAsia="仿宋_GB2312"/>
          <w:b/>
          <w:sz w:val="32"/>
        </w:rPr>
        <w:t>2024年度财政拨款收入总计167.85万元，</w:t>
      </w:r>
      <w:r>
        <w:rPr>
          <w:rFonts w:ascii="仿宋_GB2312" w:hAnsi="仿宋_GB2312" w:eastAsia="仿宋_GB2312"/>
          <w:b w:val="0"/>
          <w:sz w:val="32"/>
        </w:rPr>
        <w:t>其中：年初财政拨款结转和结余0.00万元，本年财政拨款收入167.85万元。</w:t>
      </w:r>
      <w:r>
        <w:rPr>
          <w:rFonts w:ascii="仿宋_GB2312" w:hAnsi="仿宋_GB2312" w:eastAsia="仿宋_GB2312"/>
          <w:b/>
          <w:sz w:val="32"/>
        </w:rPr>
        <w:t>财政拨款支出总计167.85万元，</w:t>
      </w:r>
      <w:r>
        <w:rPr>
          <w:rFonts w:ascii="仿宋_GB2312" w:hAnsi="仿宋_GB2312" w:eastAsia="仿宋_GB2312"/>
          <w:b w:val="0"/>
          <w:sz w:val="32"/>
        </w:rPr>
        <w:t>其中：年末财政拨款结转和结余0.00万元，本年财政拨款支出167.85万元。</w:t>
      </w:r>
    </w:p>
    <w:p w14:paraId="0EE82F1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增加8.19万元，增长5.13%，主要原因是：本年在职人员工资调增，社保、公积金基数调增，人员经费增加。</w:t>
      </w:r>
      <w:r>
        <w:rPr>
          <w:rFonts w:hint="eastAsia" w:ascii="仿宋_GB2312" w:hAnsi="仿宋_GB2312" w:eastAsia="仿宋_GB2312"/>
          <w:b w:val="0"/>
          <w:sz w:val="32"/>
          <w:lang w:val="en-US" w:eastAsia="zh-CN"/>
        </w:rPr>
        <w:t>增加为民办实事经费。</w:t>
      </w:r>
      <w:r>
        <w:rPr>
          <w:rFonts w:ascii="仿宋_GB2312" w:hAnsi="仿宋_GB2312" w:eastAsia="仿宋_GB2312"/>
          <w:b/>
          <w:sz w:val="32"/>
        </w:rPr>
        <w:t>与年初预算相比，</w:t>
      </w:r>
      <w:r>
        <w:rPr>
          <w:rFonts w:ascii="仿宋_GB2312" w:hAnsi="仿宋_GB2312" w:eastAsia="仿宋_GB2312"/>
          <w:b w:val="0"/>
          <w:sz w:val="32"/>
        </w:rPr>
        <w:t>年初预算数173.99万元，决算数167.85万元，预决算差异率-3.53%，主要原因是：本年在职人员调入调出，人员职级不同，缴费基数不同，年中调减人员经费，导致预决算差异。</w:t>
      </w:r>
    </w:p>
    <w:p w14:paraId="0610315C">
      <w:pPr>
        <w:spacing w:line="640" w:lineRule="exact"/>
        <w:ind w:firstLine="640"/>
        <w:jc w:val="both"/>
        <w:outlineLvl w:val="2"/>
      </w:pPr>
      <w:r>
        <w:rPr>
          <w:rFonts w:ascii="黑体" w:hAnsi="黑体" w:eastAsia="黑体"/>
          <w:sz w:val="32"/>
        </w:rPr>
        <w:t>五、一般公共预算财政拨款支出决算情况说明</w:t>
      </w:r>
    </w:p>
    <w:p w14:paraId="17C214C2">
      <w:pPr>
        <w:spacing w:line="640" w:lineRule="exact"/>
        <w:ind w:firstLine="640"/>
        <w:jc w:val="both"/>
        <w:outlineLvl w:val="3"/>
      </w:pPr>
      <w:r>
        <w:rPr>
          <w:rFonts w:ascii="楷体_GB2312" w:hAnsi="楷体_GB2312" w:eastAsia="楷体_GB2312"/>
          <w:b/>
          <w:sz w:val="32"/>
        </w:rPr>
        <w:t>（一）一般公共预算财政拨款支出决算总体情况</w:t>
      </w:r>
    </w:p>
    <w:p w14:paraId="3220BA9D">
      <w:pPr>
        <w:spacing w:line="580" w:lineRule="exact"/>
        <w:ind w:firstLine="640"/>
        <w:jc w:val="both"/>
      </w:pPr>
      <w:r>
        <w:rPr>
          <w:rFonts w:ascii="仿宋_GB2312" w:hAnsi="仿宋_GB2312" w:eastAsia="仿宋_GB2312"/>
          <w:b/>
          <w:sz w:val="32"/>
        </w:rPr>
        <w:t>2024年度一般公共预算财政拨款支出167.85万元，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增加8.19万元，增长5.13%，主要原因是：本年在职人员工资调增，社保、公积金基数调增，人员经费增加。</w:t>
      </w:r>
      <w:r>
        <w:rPr>
          <w:rFonts w:hint="eastAsia" w:ascii="仿宋_GB2312" w:hAnsi="仿宋_GB2312" w:eastAsia="仿宋_GB2312"/>
          <w:b w:val="0"/>
          <w:sz w:val="32"/>
          <w:lang w:val="en-US" w:eastAsia="zh-CN"/>
        </w:rPr>
        <w:t>增加为民办实事经费。</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年初预算数173.99万元，决算数167.85万元，预决算差异率-3.53%，主要原因是：本年在职人员调入调出，人员职级不同，缴费基数不同，年中调减人员经费，导致预决算差异。</w:t>
      </w:r>
    </w:p>
    <w:p w14:paraId="2E43A93E">
      <w:pPr>
        <w:spacing w:line="640" w:lineRule="exact"/>
        <w:ind w:firstLine="640"/>
        <w:jc w:val="both"/>
        <w:outlineLvl w:val="3"/>
      </w:pPr>
      <w:r>
        <w:rPr>
          <w:rFonts w:ascii="楷体_GB2312" w:hAnsi="楷体_GB2312" w:eastAsia="楷体_GB2312"/>
          <w:b/>
          <w:sz w:val="32"/>
        </w:rPr>
        <w:t>（二）一般公共预算财政拨款支出决算结构情况</w:t>
      </w:r>
    </w:p>
    <w:p w14:paraId="0688BF6A">
      <w:pPr>
        <w:spacing w:line="580" w:lineRule="exact"/>
        <w:ind w:firstLine="640"/>
        <w:jc w:val="both"/>
      </w:pPr>
      <w:r>
        <w:rPr>
          <w:rFonts w:ascii="仿宋_GB2312" w:hAnsi="仿宋_GB2312" w:eastAsia="仿宋_GB2312"/>
          <w:b w:val="0"/>
          <w:sz w:val="32"/>
        </w:rPr>
        <w:t>1.一般公共服务支出(类)121.47万元</w:t>
      </w:r>
      <w:r>
        <w:rPr>
          <w:rFonts w:hint="eastAsia" w:ascii="仿宋_GB2312" w:hAnsi="仿宋_GB2312" w:eastAsia="仿宋_GB2312"/>
          <w:b w:val="0"/>
          <w:sz w:val="32"/>
          <w:lang w:eastAsia="zh-CN"/>
        </w:rPr>
        <w:t>，</w:t>
      </w:r>
      <w:r>
        <w:rPr>
          <w:rFonts w:ascii="仿宋_GB2312" w:hAnsi="仿宋_GB2312" w:eastAsia="仿宋_GB2312"/>
          <w:b w:val="0"/>
          <w:sz w:val="32"/>
        </w:rPr>
        <w:t>占72.37%。</w:t>
      </w:r>
    </w:p>
    <w:p w14:paraId="0EAE46EE">
      <w:pPr>
        <w:spacing w:line="580" w:lineRule="exact"/>
        <w:ind w:firstLine="640"/>
        <w:jc w:val="both"/>
      </w:pPr>
      <w:r>
        <w:rPr>
          <w:rFonts w:ascii="仿宋_GB2312" w:hAnsi="仿宋_GB2312" w:eastAsia="仿宋_GB2312"/>
          <w:b w:val="0"/>
          <w:sz w:val="32"/>
        </w:rPr>
        <w:t>2.社会保障和就业支出(类)19.99万元</w:t>
      </w:r>
      <w:r>
        <w:rPr>
          <w:rFonts w:hint="eastAsia" w:ascii="仿宋_GB2312" w:hAnsi="仿宋_GB2312" w:eastAsia="仿宋_GB2312"/>
          <w:b w:val="0"/>
          <w:sz w:val="32"/>
          <w:lang w:eastAsia="zh-CN"/>
        </w:rPr>
        <w:t>，</w:t>
      </w:r>
      <w:r>
        <w:rPr>
          <w:rFonts w:ascii="仿宋_GB2312" w:hAnsi="仿宋_GB2312" w:eastAsia="仿宋_GB2312"/>
          <w:b w:val="0"/>
          <w:sz w:val="32"/>
        </w:rPr>
        <w:t>占11.91%。</w:t>
      </w:r>
    </w:p>
    <w:p w14:paraId="1209ABCC">
      <w:pPr>
        <w:spacing w:line="580" w:lineRule="exact"/>
        <w:ind w:firstLine="640"/>
        <w:jc w:val="both"/>
      </w:pPr>
      <w:r>
        <w:rPr>
          <w:rFonts w:ascii="仿宋_GB2312" w:hAnsi="仿宋_GB2312" w:eastAsia="仿宋_GB2312"/>
          <w:b w:val="0"/>
          <w:sz w:val="32"/>
        </w:rPr>
        <w:t>3.卫生健康支出(类)9.05万元</w:t>
      </w:r>
      <w:r>
        <w:rPr>
          <w:rFonts w:hint="eastAsia" w:ascii="仿宋_GB2312" w:hAnsi="仿宋_GB2312" w:eastAsia="仿宋_GB2312"/>
          <w:b w:val="0"/>
          <w:sz w:val="32"/>
          <w:lang w:eastAsia="zh-CN"/>
        </w:rPr>
        <w:t>，</w:t>
      </w:r>
      <w:r>
        <w:rPr>
          <w:rFonts w:ascii="仿宋_GB2312" w:hAnsi="仿宋_GB2312" w:eastAsia="仿宋_GB2312"/>
          <w:b w:val="0"/>
          <w:sz w:val="32"/>
        </w:rPr>
        <w:t>占5.39%。</w:t>
      </w:r>
    </w:p>
    <w:p w14:paraId="4AD735B0">
      <w:pPr>
        <w:spacing w:line="580" w:lineRule="exact"/>
        <w:ind w:firstLine="640"/>
        <w:jc w:val="both"/>
      </w:pPr>
      <w:r>
        <w:rPr>
          <w:rFonts w:ascii="仿宋_GB2312" w:hAnsi="仿宋_GB2312" w:eastAsia="仿宋_GB2312"/>
          <w:b w:val="0"/>
          <w:sz w:val="32"/>
        </w:rPr>
        <w:t>4.住房保障支出(类)11.95万元</w:t>
      </w:r>
      <w:r>
        <w:rPr>
          <w:rFonts w:hint="eastAsia" w:ascii="仿宋_GB2312" w:hAnsi="仿宋_GB2312" w:eastAsia="仿宋_GB2312"/>
          <w:b w:val="0"/>
          <w:sz w:val="32"/>
          <w:lang w:eastAsia="zh-CN"/>
        </w:rPr>
        <w:t>，</w:t>
      </w:r>
      <w:r>
        <w:rPr>
          <w:rFonts w:ascii="仿宋_GB2312" w:hAnsi="仿宋_GB2312" w:eastAsia="仿宋_GB2312"/>
          <w:b w:val="0"/>
          <w:sz w:val="32"/>
        </w:rPr>
        <w:t>占7.12%。</w:t>
      </w:r>
    </w:p>
    <w:p w14:paraId="087CB3BA">
      <w:pPr>
        <w:spacing w:line="580" w:lineRule="exact"/>
        <w:ind w:firstLine="640"/>
        <w:jc w:val="both"/>
      </w:pPr>
      <w:r>
        <w:rPr>
          <w:rFonts w:ascii="仿宋_GB2312" w:hAnsi="仿宋_GB2312" w:eastAsia="仿宋_GB2312"/>
          <w:b w:val="0"/>
          <w:sz w:val="32"/>
        </w:rPr>
        <w:t>5.其他支出(类)5.40万元</w:t>
      </w:r>
      <w:r>
        <w:rPr>
          <w:rFonts w:hint="eastAsia" w:ascii="仿宋_GB2312" w:hAnsi="仿宋_GB2312" w:eastAsia="仿宋_GB2312"/>
          <w:b w:val="0"/>
          <w:sz w:val="32"/>
          <w:lang w:eastAsia="zh-CN"/>
        </w:rPr>
        <w:t>，</w:t>
      </w:r>
      <w:r>
        <w:rPr>
          <w:rFonts w:ascii="仿宋_GB2312" w:hAnsi="仿宋_GB2312" w:eastAsia="仿宋_GB2312"/>
          <w:b w:val="0"/>
          <w:sz w:val="32"/>
        </w:rPr>
        <w:t>占3.22%。</w:t>
      </w:r>
    </w:p>
    <w:p w14:paraId="35AA311F">
      <w:pPr>
        <w:spacing w:line="640" w:lineRule="exact"/>
        <w:ind w:firstLine="640"/>
        <w:jc w:val="both"/>
        <w:outlineLvl w:val="3"/>
      </w:pPr>
      <w:r>
        <w:rPr>
          <w:rFonts w:ascii="楷体_GB2312" w:hAnsi="楷体_GB2312" w:eastAsia="楷体_GB2312"/>
          <w:b/>
          <w:sz w:val="32"/>
        </w:rPr>
        <w:t>（三）一般公共预算财政拨款支出决算具体情况</w:t>
      </w:r>
    </w:p>
    <w:p w14:paraId="61B54E2A">
      <w:pPr>
        <w:spacing w:line="580" w:lineRule="exact"/>
        <w:ind w:firstLine="640"/>
        <w:jc w:val="both"/>
      </w:pPr>
      <w:r>
        <w:rPr>
          <w:rFonts w:ascii="仿宋_GB2312" w:hAnsi="仿宋_GB2312" w:eastAsia="仿宋_GB2312"/>
          <w:b w:val="0"/>
          <w:sz w:val="32"/>
        </w:rPr>
        <w:t>1.一般公共服务支出(类)群众团体事务(款)行政运行(项)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支出决算数为121.47万元，比上年决算减少24.35万元，下降16.70%</w:t>
      </w:r>
      <w:r>
        <w:rPr>
          <w:rFonts w:hint="eastAsia" w:ascii="仿宋_GB2312" w:hAnsi="仿宋_GB2312" w:eastAsia="仿宋_GB2312"/>
          <w:b w:val="0"/>
          <w:sz w:val="32"/>
          <w:lang w:eastAsia="zh-CN"/>
        </w:rPr>
        <w:t>，</w:t>
      </w:r>
      <w:r>
        <w:rPr>
          <w:rFonts w:ascii="仿宋_GB2312" w:hAnsi="仿宋_GB2312" w:eastAsia="仿宋_GB2312"/>
          <w:b w:val="0"/>
          <w:sz w:val="32"/>
        </w:rPr>
        <w:t>主要原因是：上年度退休人员经费，在职人员医疗缴费、公务员医疗补助、住房公积金上年度在主科目列支，本年单独列支，导致本科目减少。</w:t>
      </w:r>
    </w:p>
    <w:p w14:paraId="22FB8AC7">
      <w:pPr>
        <w:spacing w:line="580" w:lineRule="exact"/>
        <w:ind w:firstLine="640"/>
        <w:jc w:val="both"/>
      </w:pPr>
      <w:r>
        <w:rPr>
          <w:rFonts w:ascii="仿宋_GB2312" w:hAnsi="仿宋_GB2312" w:eastAsia="仿宋_GB2312"/>
          <w:b w:val="0"/>
          <w:sz w:val="32"/>
        </w:rPr>
        <w:t>2.社会保障和就业支出(类)行政事业单位养老支出(款)行政单位离退休(项)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支出决算数为4.19万元，比上年决算增加4.19万元，增长100.00%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主要原因是：本年功能科目调整，行政单位离退休上年度在主科目列支，本年单独列支，导致经费较上年增加。</w:t>
      </w:r>
    </w:p>
    <w:p w14:paraId="66F49C6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支出决算数为15.80万元，比上年决算增加1.96万元，增长14.16%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0BA91221">
      <w:pPr>
        <w:spacing w:line="580" w:lineRule="exact"/>
        <w:ind w:firstLine="640"/>
        <w:jc w:val="both"/>
      </w:pPr>
      <w:r>
        <w:rPr>
          <w:rFonts w:ascii="仿宋_GB2312" w:hAnsi="仿宋_GB2312" w:eastAsia="仿宋_GB2312"/>
          <w:b w:val="0"/>
          <w:sz w:val="32"/>
        </w:rPr>
        <w:t>4.卫生健康支出(类)行政事业单位医疗(款)行政单位医疗(项)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支出决算数为6.42万元，比上年决算增加6.42万元，增长100.00%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主要原因是：本年功能科目调整，行政单位医疗支出上年度在主科目列支，本年单独列支，导致经费较上年增加。</w:t>
      </w:r>
    </w:p>
    <w:p w14:paraId="17DDD726">
      <w:pPr>
        <w:spacing w:line="580" w:lineRule="exact"/>
        <w:ind w:firstLine="640"/>
        <w:jc w:val="both"/>
      </w:pPr>
      <w:r>
        <w:rPr>
          <w:rFonts w:ascii="仿宋_GB2312" w:hAnsi="仿宋_GB2312" w:eastAsia="仿宋_GB2312"/>
          <w:b w:val="0"/>
          <w:sz w:val="32"/>
        </w:rPr>
        <w:t>5.卫生健康支出(类)行政事业单位医疗(款)公务员医疗补助(项)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支出决算数为2.63万元，比上年决算增加2.63万元，增长100.00%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主要原因是：本年功能科目调整，公务员医疗补助上年度在主科目列支，本年单独列支，导致经费较上年增加。</w:t>
      </w:r>
    </w:p>
    <w:p w14:paraId="56891A92">
      <w:pPr>
        <w:spacing w:line="580" w:lineRule="exact"/>
        <w:ind w:firstLine="640"/>
        <w:jc w:val="both"/>
      </w:pPr>
      <w:r>
        <w:rPr>
          <w:rFonts w:ascii="仿宋_GB2312" w:hAnsi="仿宋_GB2312" w:eastAsia="仿宋_GB2312"/>
          <w:b w:val="0"/>
          <w:sz w:val="32"/>
        </w:rPr>
        <w:t>6.住房保障支出(类)住房改革支出(款)住房公积金(项)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支出决算数为11.95万元，比上年决算增加11.95万元，增长100.00%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主要原因是：本年功能科目调整，住房公积金上年度在主科目列支，本年单独列支，导致经费较上年增加。</w:t>
      </w:r>
    </w:p>
    <w:p w14:paraId="448B0B00">
      <w:pPr>
        <w:spacing w:line="580" w:lineRule="exact"/>
        <w:ind w:firstLine="640"/>
        <w:jc w:val="both"/>
      </w:pPr>
      <w:r>
        <w:rPr>
          <w:rFonts w:ascii="仿宋_GB2312" w:hAnsi="仿宋_GB2312" w:eastAsia="仿宋_GB2312"/>
          <w:b w:val="0"/>
          <w:sz w:val="32"/>
        </w:rPr>
        <w:t>7.其他支出(类)其他支出(款)其他支出(项)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支出决算数为5.40万元，比上年决算增加5.40万元，增长100.00%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主要原因是：本年增加为民办实事工作经费。</w:t>
      </w:r>
    </w:p>
    <w:p w14:paraId="2383AB80">
      <w:pPr>
        <w:spacing w:line="640" w:lineRule="exact"/>
        <w:ind w:firstLine="640"/>
        <w:jc w:val="both"/>
        <w:outlineLvl w:val="2"/>
      </w:pPr>
      <w:r>
        <w:rPr>
          <w:rFonts w:ascii="黑体" w:hAnsi="黑体" w:eastAsia="黑体"/>
          <w:sz w:val="32"/>
        </w:rPr>
        <w:t>六、一般公共预算财政拨款基本支出决算情况说明</w:t>
      </w:r>
    </w:p>
    <w:p w14:paraId="103879C5">
      <w:pPr>
        <w:spacing w:line="580" w:lineRule="exact"/>
        <w:ind w:firstLine="640"/>
        <w:jc w:val="both"/>
      </w:pPr>
      <w:r>
        <w:rPr>
          <w:rFonts w:ascii="仿宋_GB2312" w:hAnsi="仿宋_GB2312" w:eastAsia="仿宋_GB2312"/>
          <w:b w:val="0"/>
          <w:sz w:val="32"/>
        </w:rPr>
        <w:t>2024年度一般公共预算财政拨款基本支出162.45万元，其中：</w:t>
      </w:r>
      <w:r>
        <w:rPr>
          <w:rFonts w:ascii="仿宋_GB2312" w:hAnsi="仿宋_GB2312" w:eastAsia="仿宋_GB2312"/>
          <w:b/>
          <w:sz w:val="32"/>
        </w:rPr>
        <w:t>人员经费159.32万元，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5F0DE40E">
      <w:pPr>
        <w:spacing w:line="580" w:lineRule="exact"/>
        <w:ind w:firstLine="640"/>
        <w:jc w:val="both"/>
      </w:pPr>
      <w:r>
        <w:rPr>
          <w:rFonts w:ascii="仿宋_GB2312" w:hAnsi="仿宋_GB2312" w:eastAsia="仿宋_GB2312"/>
          <w:b/>
          <w:sz w:val="32"/>
        </w:rPr>
        <w:t>公用经费3.13万元，</w:t>
      </w:r>
      <w:r>
        <w:rPr>
          <w:rFonts w:ascii="仿宋_GB2312" w:hAnsi="仿宋_GB2312" w:eastAsia="仿宋_GB2312"/>
          <w:b w:val="0"/>
          <w:sz w:val="32"/>
        </w:rPr>
        <w:t>包括：办公费、邮电费、工会经费、公务用车运行维护费。</w:t>
      </w:r>
    </w:p>
    <w:p w14:paraId="49966594">
      <w:pPr>
        <w:spacing w:line="640" w:lineRule="exact"/>
        <w:ind w:firstLine="640"/>
        <w:jc w:val="both"/>
        <w:outlineLvl w:val="2"/>
      </w:pPr>
      <w:r>
        <w:rPr>
          <w:rFonts w:ascii="黑体" w:hAnsi="黑体" w:eastAsia="黑体"/>
          <w:sz w:val="32"/>
        </w:rPr>
        <w:t>七、政府性基金预算财政拨款收入支出决算情况说明</w:t>
      </w:r>
    </w:p>
    <w:p w14:paraId="6B7D21D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F0C21E8">
      <w:pPr>
        <w:spacing w:line="640" w:lineRule="exact"/>
        <w:ind w:firstLine="640"/>
        <w:jc w:val="both"/>
        <w:outlineLvl w:val="2"/>
      </w:pPr>
      <w:r>
        <w:rPr>
          <w:rFonts w:ascii="黑体" w:hAnsi="黑体" w:eastAsia="黑体"/>
          <w:sz w:val="32"/>
        </w:rPr>
        <w:t>八、国有资本经营预算财政拨款收入支出决算情况说明</w:t>
      </w:r>
    </w:p>
    <w:p w14:paraId="1986630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0ADA5CA">
      <w:pPr>
        <w:spacing w:line="640" w:lineRule="exact"/>
        <w:ind w:firstLine="640"/>
        <w:jc w:val="both"/>
        <w:outlineLvl w:val="2"/>
      </w:pPr>
      <w:r>
        <w:rPr>
          <w:rFonts w:ascii="黑体" w:hAnsi="黑体" w:eastAsia="黑体"/>
          <w:sz w:val="32"/>
        </w:rPr>
        <w:t>九、财政拨款“三公”经费支出决算情况说明</w:t>
      </w:r>
    </w:p>
    <w:p w14:paraId="6D0E94A9">
      <w:pPr>
        <w:spacing w:line="580" w:lineRule="exact"/>
        <w:ind w:firstLine="640"/>
        <w:jc w:val="both"/>
      </w:pPr>
      <w:r>
        <w:rPr>
          <w:rFonts w:ascii="仿宋_GB2312" w:hAnsi="仿宋_GB2312" w:eastAsia="仿宋_GB2312"/>
          <w:b/>
          <w:sz w:val="32"/>
        </w:rPr>
        <w:t>2024年度财政拨款“三公”经费支出0.91万元，</w:t>
      </w:r>
      <w:r>
        <w:rPr>
          <w:rFonts w:ascii="仿宋_GB2312" w:hAnsi="仿宋_GB2312" w:eastAsia="仿宋_GB2312"/>
          <w:b w:val="0"/>
          <w:sz w:val="32"/>
        </w:rPr>
        <w:t>比上年增加0.09万元，增长10.98%，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0.91万元，占100.00%，比上年增加0.09万元，增长10.98%，主要原因是：本单位公务用车日渐老化，维修维护成本增加，导致公务用车运行维护费较上年增加。公务接待费支出0.00万元，占0.00%，比上年增加0.00万元，增长0.00%，主要原因是：2023年与2024年均未安排公务接待费支出。</w:t>
      </w:r>
    </w:p>
    <w:p w14:paraId="6A34F8EA">
      <w:pPr>
        <w:spacing w:line="580" w:lineRule="exact"/>
        <w:ind w:firstLine="640"/>
        <w:jc w:val="both"/>
      </w:pPr>
      <w:r>
        <w:rPr>
          <w:rFonts w:ascii="仿宋_GB2312" w:hAnsi="仿宋_GB2312" w:eastAsia="仿宋_GB2312"/>
          <w:b/>
          <w:sz w:val="32"/>
        </w:rPr>
        <w:t>具体情况如下：</w:t>
      </w:r>
    </w:p>
    <w:p w14:paraId="240801B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D2A28FF">
      <w:pPr>
        <w:spacing w:line="580" w:lineRule="exact"/>
        <w:ind w:firstLine="640"/>
        <w:jc w:val="both"/>
      </w:pPr>
      <w:r>
        <w:rPr>
          <w:rFonts w:ascii="仿宋_GB2312" w:hAnsi="仿宋_GB2312" w:eastAsia="仿宋_GB2312"/>
          <w:b w:val="0"/>
          <w:sz w:val="32"/>
        </w:rPr>
        <w:t>公务用车购置及运行维护费0.91万元，其中：公务用车购置费0.00万元，公务用车运行维护费0.91万元。公务用车运行维护费开支内容包括车辆加油费、维修费、保险费、审车费。公务用车购置数0辆，公务用车保有量1辆。国有资产占用情况中固定资产车辆1辆，与公务用车保有量差异原因是：本单位固定资产车辆与公务用车保有量一致无差异。</w:t>
      </w:r>
    </w:p>
    <w:p w14:paraId="393A48B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24D88A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0.91万元，决算数0.91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0.91万元，决算数0.91万元，预决算差异率0.00%，主要原因是：严格按照预算执行，预决算无差异。公务接待费全年预算数0.00万元，决算数0.00万元，预决算差异率0.00%，主要原因是：本单位无公务接待费。</w:t>
      </w:r>
    </w:p>
    <w:p w14:paraId="6A3CCEEB">
      <w:pPr>
        <w:spacing w:line="640" w:lineRule="exact"/>
        <w:ind w:firstLine="640"/>
        <w:jc w:val="both"/>
        <w:outlineLvl w:val="2"/>
      </w:pPr>
      <w:r>
        <w:rPr>
          <w:rFonts w:ascii="黑体" w:hAnsi="黑体" w:eastAsia="黑体"/>
          <w:sz w:val="32"/>
        </w:rPr>
        <w:t>十、其他重要事项的情况说明</w:t>
      </w:r>
    </w:p>
    <w:p w14:paraId="517F8964">
      <w:pPr>
        <w:spacing w:line="640" w:lineRule="exact"/>
        <w:ind w:firstLine="640"/>
        <w:jc w:val="both"/>
        <w:outlineLvl w:val="3"/>
      </w:pPr>
      <w:r>
        <w:rPr>
          <w:rFonts w:ascii="楷体_GB2312" w:hAnsi="楷体_GB2312" w:eastAsia="楷体_GB2312"/>
          <w:b/>
          <w:sz w:val="32"/>
        </w:rPr>
        <w:t>（一）机关运行经费及公用经费支出情况</w:t>
      </w:r>
    </w:p>
    <w:p w14:paraId="06E463A9">
      <w:pPr>
        <w:spacing w:line="580" w:lineRule="exact"/>
        <w:ind w:firstLine="640"/>
        <w:jc w:val="both"/>
      </w:pPr>
      <w:r>
        <w:rPr>
          <w:rFonts w:ascii="仿宋_GB2312" w:hAnsi="仿宋_GB2312" w:eastAsia="仿宋_GB2312"/>
          <w:b w:val="0"/>
          <w:sz w:val="32"/>
        </w:rPr>
        <w:t>2024年度洛浦县总工会（行政单位和参照公务员法管理事业单位）机关运行经费支出3.13万元，比上年增加1.52万元，增长94.41%，主要原因是：本年业务量增加，公用经费增加。</w:t>
      </w:r>
    </w:p>
    <w:p w14:paraId="1D89B8E1">
      <w:pPr>
        <w:spacing w:line="640" w:lineRule="exact"/>
        <w:ind w:firstLine="640"/>
        <w:jc w:val="both"/>
        <w:outlineLvl w:val="3"/>
      </w:pPr>
      <w:r>
        <w:rPr>
          <w:rFonts w:ascii="楷体_GB2312" w:hAnsi="楷体_GB2312" w:eastAsia="楷体_GB2312"/>
          <w:b/>
          <w:sz w:val="32"/>
        </w:rPr>
        <w:t>（二）政府采购情况</w:t>
      </w:r>
    </w:p>
    <w:p w14:paraId="78D4E6DD">
      <w:pPr>
        <w:spacing w:line="580" w:lineRule="exact"/>
        <w:ind w:firstLine="640"/>
        <w:jc w:val="both"/>
      </w:pPr>
      <w:r>
        <w:rPr>
          <w:rFonts w:ascii="仿宋_GB2312" w:hAnsi="仿宋_GB2312" w:eastAsia="仿宋_GB2312"/>
          <w:b w:val="0"/>
          <w:sz w:val="32"/>
        </w:rPr>
        <w:t>2024年度政府采购支出总额4.46万元，其中：政府采购货物支出3.80万元、政府采购工程支出0.00万元、政府采购服务支出0.66万元。</w:t>
      </w:r>
    </w:p>
    <w:p w14:paraId="697538C8">
      <w:pPr>
        <w:spacing w:line="580" w:lineRule="exact"/>
        <w:ind w:firstLine="640"/>
        <w:jc w:val="both"/>
      </w:pPr>
      <w:r>
        <w:rPr>
          <w:rFonts w:ascii="仿宋_GB2312" w:hAnsi="仿宋_GB2312" w:eastAsia="仿宋_GB2312"/>
          <w:b w:val="0"/>
          <w:sz w:val="32"/>
        </w:rPr>
        <w:t>授予中小企业合同金额4.46万元，占政府采购支出总额的100.00%，其中：授予小微企业合同金额3.03万元，占政府采购支出总额的67.94%。</w:t>
      </w:r>
    </w:p>
    <w:p w14:paraId="30D273EB">
      <w:pPr>
        <w:spacing w:line="640" w:lineRule="exact"/>
        <w:ind w:firstLine="640"/>
        <w:jc w:val="both"/>
        <w:outlineLvl w:val="3"/>
      </w:pPr>
      <w:r>
        <w:rPr>
          <w:rFonts w:ascii="楷体_GB2312" w:hAnsi="楷体_GB2312" w:eastAsia="楷体_GB2312"/>
          <w:b/>
          <w:sz w:val="32"/>
        </w:rPr>
        <w:t>（三）国有资产占用情况说明</w:t>
      </w:r>
    </w:p>
    <w:p w14:paraId="6C8E298D">
      <w:pPr>
        <w:spacing w:line="580" w:lineRule="exact"/>
        <w:ind w:firstLine="640"/>
        <w:jc w:val="both"/>
      </w:pPr>
      <w:r>
        <w:rPr>
          <w:rFonts w:ascii="仿宋_GB2312" w:hAnsi="仿宋_GB2312" w:eastAsia="仿宋_GB2312"/>
          <w:b w:val="0"/>
          <w:sz w:val="32"/>
        </w:rPr>
        <w:t>截至2024年12月31日，房屋6,899.00平方米，价值666.64万元。车辆1辆，价值17.10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4BDEADB6">
      <w:pPr>
        <w:spacing w:line="640" w:lineRule="exact"/>
        <w:ind w:firstLine="640"/>
        <w:jc w:val="both"/>
        <w:outlineLvl w:val="2"/>
      </w:pPr>
      <w:r>
        <w:rPr>
          <w:rFonts w:ascii="黑体" w:hAnsi="黑体" w:eastAsia="黑体"/>
          <w:sz w:val="32"/>
        </w:rPr>
        <w:t>十一、预算绩效的情况说明</w:t>
      </w:r>
    </w:p>
    <w:p w14:paraId="4E06B9C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根据预算绩效管理要求，本单位2024年度预算绩效管理形成整体支出绩效自评表1个，全年预算总额167.85万元，实际执行总额167.85万元；预算绩效评价项目</w:t>
      </w:r>
      <w:r>
        <w:rPr>
          <w:rFonts w:hint="eastAsia" w:ascii="仿宋_GB2312" w:hAnsi="仿宋_GB2312" w:eastAsia="仿宋_GB2312"/>
          <w:b w:val="0"/>
          <w:sz w:val="32"/>
          <w:lang w:val="en-US" w:eastAsia="zh-CN"/>
        </w:rPr>
        <w:t>1</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5</w:t>
      </w:r>
      <w:r>
        <w:rPr>
          <w:rFonts w:ascii="仿宋_GB2312" w:hAnsi="仿宋_GB2312" w:eastAsia="仿宋_GB2312"/>
          <w:b w:val="0"/>
          <w:sz w:val="32"/>
        </w:rPr>
        <w:t>.</w:t>
      </w:r>
      <w:r>
        <w:rPr>
          <w:rFonts w:hint="eastAsia" w:ascii="仿宋_GB2312" w:hAnsi="仿宋_GB2312" w:eastAsia="仿宋_GB2312"/>
          <w:b w:val="0"/>
          <w:sz w:val="32"/>
          <w:lang w:val="en-US" w:eastAsia="zh-CN"/>
        </w:rPr>
        <w:t>4</w:t>
      </w:r>
      <w:r>
        <w:rPr>
          <w:rFonts w:ascii="仿宋_GB2312" w:hAnsi="仿宋_GB2312" w:eastAsia="仿宋_GB2312"/>
          <w:b w:val="0"/>
          <w:sz w:val="32"/>
        </w:rPr>
        <w:t>0万元，全年执行数</w:t>
      </w:r>
      <w:r>
        <w:rPr>
          <w:rFonts w:hint="eastAsia" w:ascii="仿宋_GB2312" w:hAnsi="仿宋_GB2312" w:eastAsia="仿宋_GB2312"/>
          <w:b w:val="0"/>
          <w:sz w:val="32"/>
          <w:lang w:val="en-US" w:eastAsia="zh-CN"/>
        </w:rPr>
        <w:t>5</w:t>
      </w:r>
      <w:r>
        <w:rPr>
          <w:rFonts w:ascii="仿宋_GB2312" w:hAnsi="仿宋_GB2312" w:eastAsia="仿宋_GB2312"/>
          <w:b w:val="0"/>
          <w:sz w:val="32"/>
        </w:rPr>
        <w:t>.</w:t>
      </w:r>
      <w:r>
        <w:rPr>
          <w:rFonts w:hint="eastAsia" w:ascii="仿宋_GB2312" w:hAnsi="仿宋_GB2312" w:eastAsia="仿宋_GB2312"/>
          <w:b w:val="0"/>
          <w:sz w:val="32"/>
          <w:lang w:val="en-US" w:eastAsia="zh-CN"/>
        </w:rPr>
        <w:t>4</w:t>
      </w:r>
      <w:r>
        <w:rPr>
          <w:rFonts w:ascii="仿宋_GB2312" w:hAnsi="仿宋_GB2312" w:eastAsia="仿宋_GB2312"/>
          <w:b w:val="0"/>
          <w:sz w:val="32"/>
        </w:rPr>
        <w:t>0万元。预算绩效管理取得的成效：一是确保资金的高效使用，切实发挥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发现的问题及原因：目标设定科学性及评价存在难，对于目标设定需要分科室部门分解，汇总后制定整体目标，如何科学整合全单位绩效目标比较困难；目标设定后如何科学设定考核评价标准，特别是对于不能量化的目标如何评价；年初预算与年终决算差额较大。下一步改进措施：一是加强学习，进一步明确如何参照考核体系，科学合理设定绩效目标，充分发挥预算绩效管理工作效用。二是财务上会计核算要更加详细，为本单位各项工作的开展、总结、评估提供有效数据资料支撑</w:t>
      </w:r>
      <w:r>
        <w:rPr>
          <w:rFonts w:hint="eastAsia" w:ascii="仿宋_GB2312" w:hAnsi="仿宋_GB2312" w:eastAsia="仿宋_GB2312"/>
          <w:b w:val="0"/>
          <w:sz w:val="32"/>
          <w:lang w:eastAsia="zh-CN"/>
        </w:rPr>
        <w:t>，</w:t>
      </w:r>
      <w:r>
        <w:rPr>
          <w:rFonts w:ascii="仿宋_GB2312" w:hAnsi="仿宋_GB2312" w:eastAsia="仿宋_GB2312"/>
          <w:b w:val="0"/>
          <w:sz w:val="32"/>
        </w:rPr>
        <w:t>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w:t>
      </w:r>
    </w:p>
    <w:p w14:paraId="432E8E8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E5A59BC">
        <w:tblPrEx>
          <w:tblCellMar>
            <w:top w:w="0" w:type="dxa"/>
            <w:left w:w="108" w:type="dxa"/>
            <w:bottom w:w="0" w:type="dxa"/>
            <w:right w:w="108" w:type="dxa"/>
          </w:tblCellMar>
        </w:tblPrEx>
        <w:tc>
          <w:tcPr>
            <w:tcW w:w="8847" w:type="dxa"/>
            <w:gridSpan w:val="9"/>
            <w:vAlign w:val="center"/>
          </w:tcPr>
          <w:p w14:paraId="540C9F72">
            <w:pPr>
              <w:jc w:val="center"/>
            </w:pPr>
            <w:r>
              <w:rPr>
                <w:rFonts w:ascii="宋体" w:hAnsi="宋体" w:eastAsia="宋体"/>
                <w:sz w:val="24"/>
              </w:rPr>
              <w:t>单位整体支出绩效自评表</w:t>
            </w:r>
          </w:p>
        </w:tc>
      </w:tr>
      <w:tr w14:paraId="648957A9">
        <w:tblPrEx>
          <w:tblCellMar>
            <w:top w:w="0" w:type="dxa"/>
            <w:left w:w="108" w:type="dxa"/>
            <w:bottom w:w="0" w:type="dxa"/>
            <w:right w:w="108" w:type="dxa"/>
          </w:tblCellMar>
        </w:tblPrEx>
        <w:tc>
          <w:tcPr>
            <w:tcW w:w="8847" w:type="dxa"/>
            <w:gridSpan w:val="9"/>
            <w:vAlign w:val="center"/>
          </w:tcPr>
          <w:p w14:paraId="55F85A90">
            <w:pPr>
              <w:jc w:val="center"/>
            </w:pPr>
            <w:r>
              <w:rPr>
                <w:rFonts w:ascii="宋体" w:hAnsi="宋体" w:eastAsia="宋体"/>
                <w:sz w:val="24"/>
              </w:rPr>
              <w:t>（2024年度）</w:t>
            </w:r>
          </w:p>
        </w:tc>
      </w:tr>
      <w:tr w14:paraId="2EA890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AA0D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180A234">
            <w:pPr>
              <w:jc w:val="center"/>
            </w:pPr>
            <w:r>
              <w:rPr>
                <w:rFonts w:ascii="宋体" w:hAnsi="宋体" w:eastAsia="宋体"/>
                <w:sz w:val="16"/>
              </w:rPr>
              <w:t>洛浦县总工会</w:t>
            </w:r>
          </w:p>
        </w:tc>
      </w:tr>
      <w:tr w14:paraId="69D84B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9A0CD">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3436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09CD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71C7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FE40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FB2E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E10A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E534E">
            <w:pPr>
              <w:jc w:val="center"/>
            </w:pPr>
            <w:r>
              <w:rPr>
                <w:rFonts w:ascii="宋体" w:hAnsi="宋体" w:eastAsia="宋体"/>
                <w:sz w:val="16"/>
              </w:rPr>
              <w:t>得分</w:t>
            </w:r>
          </w:p>
        </w:tc>
      </w:tr>
      <w:tr w14:paraId="221E54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9D6C6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77094">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0386F">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A8901">
            <w:pPr>
              <w:jc w:val="center"/>
            </w:pPr>
            <w:r>
              <w:rPr>
                <w:rFonts w:ascii="宋体" w:hAnsi="宋体" w:eastAsia="宋体"/>
                <w:sz w:val="16"/>
              </w:rPr>
              <w:t>4.08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8203B">
            <w:pPr>
              <w:jc w:val="center"/>
            </w:pPr>
            <w:r>
              <w:rPr>
                <w:rFonts w:ascii="宋体" w:hAnsi="宋体" w:eastAsia="宋体"/>
                <w:sz w:val="16"/>
              </w:rPr>
              <w:t>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53524">
            <w:pPr>
              <w:jc w:val="center"/>
            </w:pPr>
            <w:r>
              <w:rPr>
                <w:rFonts w:ascii="宋体" w:hAnsi="宋体" w:eastAsia="宋体"/>
                <w:sz w:val="16"/>
              </w:rPr>
              <w:t>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8F7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B17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F36F2">
            <w:pPr>
              <w:jc w:val="center"/>
            </w:pPr>
            <w:r>
              <w:rPr>
                <w:rFonts w:ascii="宋体" w:hAnsi="宋体" w:eastAsia="宋体"/>
                <w:sz w:val="16"/>
              </w:rPr>
              <w:t>-</w:t>
            </w:r>
          </w:p>
        </w:tc>
      </w:tr>
      <w:tr w14:paraId="03B3AE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D8A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D1E4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0B7F5">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7E290">
            <w:pPr>
              <w:jc w:val="center"/>
            </w:pPr>
            <w:r>
              <w:rPr>
                <w:rFonts w:ascii="宋体" w:hAnsi="宋体" w:eastAsia="宋体"/>
                <w:sz w:val="16"/>
              </w:rPr>
              <w:t>169.91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FAD65">
            <w:pPr>
              <w:jc w:val="center"/>
            </w:pPr>
            <w:r>
              <w:rPr>
                <w:rFonts w:ascii="宋体" w:hAnsi="宋体" w:eastAsia="宋体"/>
                <w:sz w:val="16"/>
              </w:rPr>
              <w:t>162.45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554C4">
            <w:pPr>
              <w:jc w:val="center"/>
            </w:pPr>
            <w:r>
              <w:rPr>
                <w:rFonts w:ascii="宋体" w:hAnsi="宋体" w:eastAsia="宋体"/>
                <w:sz w:val="16"/>
              </w:rPr>
              <w:t>162.45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C0D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2C4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26E35">
            <w:pPr>
              <w:jc w:val="center"/>
            </w:pPr>
            <w:r>
              <w:rPr>
                <w:rFonts w:ascii="宋体" w:hAnsi="宋体" w:eastAsia="宋体"/>
                <w:sz w:val="16"/>
              </w:rPr>
              <w:t>-</w:t>
            </w:r>
          </w:p>
        </w:tc>
      </w:tr>
      <w:tr w14:paraId="42420B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2C3F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36E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E67CA">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E42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34B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461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8F6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412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43BC9">
            <w:pPr>
              <w:jc w:val="center"/>
            </w:pPr>
            <w:r>
              <w:rPr>
                <w:rFonts w:ascii="宋体" w:hAnsi="宋体" w:eastAsia="宋体"/>
                <w:sz w:val="16"/>
              </w:rPr>
              <w:t>-</w:t>
            </w:r>
          </w:p>
        </w:tc>
      </w:tr>
      <w:tr w14:paraId="68EFEB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EA7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84EE4">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A8B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D6F13">
            <w:pPr>
              <w:jc w:val="center"/>
            </w:pPr>
            <w:r>
              <w:rPr>
                <w:rFonts w:ascii="宋体" w:hAnsi="宋体" w:eastAsia="宋体"/>
                <w:sz w:val="16"/>
              </w:rPr>
              <w:t>173.99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AF830">
            <w:pPr>
              <w:jc w:val="center"/>
            </w:pPr>
            <w:r>
              <w:rPr>
                <w:rFonts w:ascii="宋体" w:hAnsi="宋体" w:eastAsia="宋体"/>
                <w:sz w:val="16"/>
              </w:rPr>
              <w:t>167.85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E683E">
            <w:pPr>
              <w:jc w:val="center"/>
            </w:pPr>
            <w:r>
              <w:rPr>
                <w:rFonts w:ascii="宋体" w:hAnsi="宋体" w:eastAsia="宋体"/>
                <w:sz w:val="16"/>
              </w:rPr>
              <w:t>167.85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D54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060D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79431">
            <w:pPr>
              <w:jc w:val="center"/>
            </w:pPr>
            <w:r>
              <w:rPr>
                <w:rFonts w:ascii="宋体" w:hAnsi="宋体" w:eastAsia="宋体"/>
                <w:sz w:val="16"/>
              </w:rPr>
              <w:t>10</w:t>
            </w:r>
          </w:p>
        </w:tc>
      </w:tr>
      <w:tr w14:paraId="47B037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C6C9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9B06B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2EBA98">
            <w:pPr>
              <w:jc w:val="center"/>
            </w:pPr>
            <w:r>
              <w:rPr>
                <w:rFonts w:ascii="宋体" w:hAnsi="宋体" w:eastAsia="宋体"/>
                <w:sz w:val="16"/>
              </w:rPr>
              <w:t>实际完成情况</w:t>
            </w:r>
          </w:p>
        </w:tc>
      </w:tr>
      <w:tr w14:paraId="0EB604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3B26B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3B94FB">
            <w:pPr>
              <w:jc w:val="both"/>
            </w:pPr>
            <w:r>
              <w:rPr>
                <w:rFonts w:ascii="宋体" w:hAnsi="宋体" w:eastAsia="宋体"/>
                <w:sz w:val="16"/>
              </w:rPr>
              <w:t>单位基本职能：以学习宣传贯彻党的二十大为主线，职工思想政治引领取得新进展。围绕发展主题，激发创造活力，团结动员全县各族职工为实现“十四五”目标建功立业。加强组织建设，激发工作活力，为增强党的阶级基础发挥工会的组织作用。坚持以人为本，强化维权机制建设，推动职工在共建的基础上共享经济社会发展成果。创新帮扶形式，加大帮扶力度，为构建和谐洛浦奠定坚实的群众基础。开展创先争优，加强自身建设，提高履职能力。坚持贴近职工推动发展</w:t>
            </w:r>
            <w:r>
              <w:rPr>
                <w:rFonts w:hint="eastAsia" w:ascii="宋体" w:hAnsi="宋体"/>
                <w:sz w:val="16"/>
                <w:lang w:eastAsia="zh-CN"/>
              </w:rPr>
              <w:t>，</w:t>
            </w:r>
            <w:r>
              <w:rPr>
                <w:rFonts w:ascii="宋体" w:hAnsi="宋体" w:eastAsia="宋体"/>
                <w:sz w:val="16"/>
              </w:rPr>
              <w:t>工会各项工作得到新加强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机构设置及人员配置：无下属预算单位，下设4个科室，编制数8，实有人数8人，在职8人，退休3人。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1.建设5个户外劳动者服务站，2.建设5个职工之家，3.组织开展2期基层工会干部培训，4.积极开展职业技能劳动竞赛场次30次，5.开展各类主题宣传教育活动48次。洛浦县总工会工作以习近平新时代中国特色社会主义思想为指导，深入学习贯彻党的二十大精神，继续坚持以人为本，贯彻“组织起来，切实维权”的工作方针，以发展和谐劳动关系、维护职工合法权益为主线，全面实施工会维权工程、素质工程、工会组织凝聚力工程，充分发挥组织、引导、服务、维护作用，团结动员广大职工为实现“十四五”目标，加快洛浦县经济社会</w:t>
            </w:r>
            <w:r>
              <w:rPr>
                <w:rFonts w:hint="eastAsia" w:ascii="宋体" w:hAnsi="宋体"/>
                <w:sz w:val="16"/>
                <w:lang w:eastAsia="zh-CN"/>
              </w:rPr>
              <w:t>跨越</w:t>
            </w:r>
            <w:r>
              <w:rPr>
                <w:rFonts w:ascii="宋体" w:hAnsi="宋体" w:eastAsia="宋体"/>
                <w:sz w:val="16"/>
              </w:rPr>
              <w:t>发展作出新的贡献。</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目标1：保障单位在职8人，退休3人的工资福利及各项补助正常发放及部门正常运转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C8FD4E">
            <w:pPr>
              <w:jc w:val="both"/>
            </w:pPr>
            <w:r>
              <w:rPr>
                <w:rFonts w:hint="eastAsia" w:ascii="宋体" w:hAnsi="宋体"/>
                <w:sz w:val="16"/>
                <w:lang w:eastAsia="zh-CN"/>
              </w:rPr>
              <w:t>截至</w:t>
            </w:r>
            <w:r>
              <w:rPr>
                <w:rFonts w:ascii="宋体" w:hAnsi="宋体" w:eastAsia="宋体"/>
                <w:sz w:val="16"/>
              </w:rPr>
              <w:t>2024年12月，我单位建设5个户外劳动者服务站，建设5个职工之家，组织开展2期基层工会干部培训，积极开展职业技能劳动竞赛场次30次，开展各类主题宣传教育活动48次。洛浦县总工会工作以习近平新时代中国特色社会主义思想为指导，深入学习贯彻党的二十大精神，继续坚持以人为本，贯彻“组织起来，切实维权”的工作方针，以发展和谐劳动关系、维护职工合法权益为主线，全面实施工会维权工程、素质工程、工会组织凝聚力工程，充分发挥组织、引导、服务、维护作用，团结动员广大职工为实现“十四五”目标，加快洛浦县经济社会</w:t>
            </w:r>
            <w:r>
              <w:rPr>
                <w:rFonts w:hint="eastAsia" w:ascii="宋体" w:hAnsi="宋体"/>
                <w:sz w:val="16"/>
                <w:lang w:eastAsia="zh-CN"/>
              </w:rPr>
              <w:t>跨越</w:t>
            </w:r>
            <w:r>
              <w:rPr>
                <w:rFonts w:ascii="宋体" w:hAnsi="宋体" w:eastAsia="宋体"/>
                <w:sz w:val="16"/>
              </w:rPr>
              <w:t>发展作出新的贡献。以学习宣传贯彻党的二十大为主线，职工思想政治引领取得新进展。围绕发展主题，激发创造活力，团结动员全县各族职工为实现“十四五”目标建功立业。加强组织建设，激发工作活力，为增强党的阶级基础发挥工会的组织作用。坚持以人为本，强化维权机制建设，推动职工在共建的基础上共享经济社会发展成果。创新帮扶形式，加大帮扶力度，为构建和谐洛浦奠定坚实的群众基础。开展创先争优，加强自身建设，提高履职能力。坚持贴近职工推动发展</w:t>
            </w:r>
            <w:r>
              <w:rPr>
                <w:rFonts w:hint="eastAsia" w:ascii="宋体" w:hAnsi="宋体"/>
                <w:sz w:val="16"/>
                <w:lang w:eastAsia="zh-CN"/>
              </w:rPr>
              <w:t>，</w:t>
            </w:r>
            <w:r>
              <w:rPr>
                <w:rFonts w:ascii="宋体" w:hAnsi="宋体" w:eastAsia="宋体"/>
                <w:sz w:val="16"/>
              </w:rPr>
              <w:t>工会各项工作得到新加强。</w:t>
            </w:r>
          </w:p>
        </w:tc>
      </w:tr>
      <w:tr w14:paraId="5A0585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FE3F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F2C05">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C34A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3310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5DA1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8699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6EDF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168F1">
            <w:pPr>
              <w:jc w:val="center"/>
            </w:pPr>
            <w:r>
              <w:rPr>
                <w:rFonts w:ascii="宋体" w:hAnsi="宋体" w:eastAsia="宋体"/>
                <w:sz w:val="16"/>
              </w:rPr>
              <w:t>得分</w:t>
            </w:r>
          </w:p>
        </w:tc>
      </w:tr>
      <w:tr w14:paraId="55B5123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8C08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98D5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40C7B">
            <w:pPr>
              <w:jc w:val="center"/>
            </w:pPr>
            <w:r>
              <w:rPr>
                <w:rFonts w:ascii="宋体" w:hAnsi="宋体" w:eastAsia="宋体"/>
                <w:sz w:val="16"/>
              </w:rPr>
              <w:t>建设户外劳动者服务站数量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09D0F">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748FE">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8690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B7617">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2AF8A">
            <w:pPr>
              <w:jc w:val="center"/>
            </w:pPr>
            <w:r>
              <w:rPr>
                <w:rFonts w:ascii="宋体" w:hAnsi="宋体" w:eastAsia="宋体"/>
                <w:sz w:val="16"/>
              </w:rPr>
              <w:t>15</w:t>
            </w:r>
          </w:p>
        </w:tc>
      </w:tr>
      <w:tr w14:paraId="618771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9BD6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0780F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BA796">
            <w:pPr>
              <w:jc w:val="center"/>
            </w:pPr>
            <w:r>
              <w:rPr>
                <w:rFonts w:ascii="宋体" w:hAnsi="宋体" w:eastAsia="宋体"/>
                <w:sz w:val="16"/>
              </w:rPr>
              <w:t>建设职工之家数量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04AB6">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C019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1FE1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DF1D8">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B66E0">
            <w:pPr>
              <w:jc w:val="center"/>
            </w:pPr>
            <w:r>
              <w:rPr>
                <w:rFonts w:ascii="宋体" w:hAnsi="宋体" w:eastAsia="宋体"/>
                <w:sz w:val="16"/>
              </w:rPr>
              <w:t>15</w:t>
            </w:r>
          </w:p>
        </w:tc>
      </w:tr>
      <w:tr w14:paraId="287D01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C99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BB2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6C986">
            <w:pPr>
              <w:jc w:val="center"/>
            </w:pPr>
            <w:r>
              <w:rPr>
                <w:rFonts w:ascii="宋体" w:hAnsi="宋体" w:eastAsia="宋体"/>
                <w:sz w:val="16"/>
              </w:rPr>
              <w:t>组织开展基层工会干部培训次数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4A72D">
            <w:pPr>
              <w:jc w:val="center"/>
            </w:pPr>
            <w:r>
              <w:rPr>
                <w:rFonts w:ascii="宋体" w:hAnsi="宋体" w:eastAsia="宋体"/>
                <w:sz w:val="16"/>
              </w:rPr>
              <w:t>&gt;=2期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D3415">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E279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CB505">
            <w:pPr>
              <w:jc w:val="center"/>
            </w:pPr>
            <w:r>
              <w:rPr>
                <w:rFonts w:ascii="宋体" w:hAnsi="宋体" w:eastAsia="宋体"/>
                <w:sz w:val="16"/>
              </w:rPr>
              <w:t>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7BF00">
            <w:pPr>
              <w:jc w:val="center"/>
            </w:pPr>
            <w:r>
              <w:rPr>
                <w:rFonts w:ascii="宋体" w:hAnsi="宋体" w:eastAsia="宋体"/>
                <w:sz w:val="16"/>
              </w:rPr>
              <w:t>15</w:t>
            </w:r>
          </w:p>
        </w:tc>
      </w:tr>
      <w:tr w14:paraId="2369D7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7027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B1A8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C329D">
            <w:pPr>
              <w:jc w:val="center"/>
            </w:pPr>
            <w:r>
              <w:rPr>
                <w:rFonts w:ascii="宋体" w:hAnsi="宋体" w:eastAsia="宋体"/>
                <w:sz w:val="16"/>
              </w:rPr>
              <w:t>积极开展职业技能劳动竞赛场次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22F20">
            <w:pPr>
              <w:jc w:val="center"/>
            </w:pPr>
            <w:r>
              <w:rPr>
                <w:rFonts w:ascii="宋体" w:hAnsi="宋体" w:eastAsia="宋体"/>
                <w:sz w:val="16"/>
              </w:rPr>
              <w:t>&gt;=30场次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638B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0462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0363C">
            <w:pPr>
              <w:jc w:val="center"/>
            </w:pPr>
            <w:r>
              <w:rPr>
                <w:rFonts w:ascii="宋体" w:hAnsi="宋体" w:eastAsia="宋体"/>
                <w:sz w:val="16"/>
              </w:rPr>
              <w:t>30场次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AF2B0">
            <w:pPr>
              <w:jc w:val="center"/>
            </w:pPr>
            <w:r>
              <w:rPr>
                <w:rFonts w:ascii="宋体" w:hAnsi="宋体" w:eastAsia="宋体"/>
                <w:sz w:val="16"/>
              </w:rPr>
              <w:t>15</w:t>
            </w:r>
          </w:p>
        </w:tc>
      </w:tr>
      <w:tr w14:paraId="0CFCEB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04B0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000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190D8">
            <w:pPr>
              <w:jc w:val="center"/>
            </w:pPr>
            <w:r>
              <w:rPr>
                <w:rFonts w:ascii="宋体" w:hAnsi="宋体" w:eastAsia="宋体"/>
                <w:sz w:val="16"/>
              </w:rPr>
              <w:t>开展各类主题宣传教育活动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4D106">
            <w:pPr>
              <w:jc w:val="center"/>
            </w:pPr>
            <w:r>
              <w:rPr>
                <w:rFonts w:ascii="宋体" w:hAnsi="宋体" w:eastAsia="宋体"/>
                <w:sz w:val="16"/>
              </w:rPr>
              <w:t>&gt;=48次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C713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E94A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A0913">
            <w:pPr>
              <w:jc w:val="center"/>
            </w:pPr>
            <w:r>
              <w:rPr>
                <w:rFonts w:ascii="宋体" w:hAnsi="宋体" w:eastAsia="宋体"/>
                <w:sz w:val="16"/>
              </w:rPr>
              <w: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EB05E">
            <w:pPr>
              <w:jc w:val="center"/>
            </w:pPr>
            <w:r>
              <w:rPr>
                <w:rFonts w:ascii="宋体" w:hAnsi="宋体" w:eastAsia="宋体"/>
                <w:sz w:val="16"/>
              </w:rPr>
              <w:t>15</w:t>
            </w:r>
          </w:p>
        </w:tc>
      </w:tr>
      <w:tr w14:paraId="614857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2796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3C59E">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7E65E">
            <w:pPr>
              <w:jc w:val="center"/>
            </w:pPr>
            <w:r>
              <w:rPr>
                <w:rFonts w:ascii="宋体" w:hAnsi="宋体" w:eastAsia="宋体"/>
                <w:sz w:val="16"/>
              </w:rPr>
              <w:t>职工入会率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D459A">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507A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027C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6B1FE">
            <w:pPr>
              <w:jc w:val="center"/>
            </w:pPr>
            <w:r>
              <w:rPr>
                <w:rFonts w:ascii="宋体" w:hAnsi="宋体" w:eastAsia="宋体"/>
                <w:sz w:val="16"/>
              </w:rPr>
              <w:tab/>
            </w: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FDC5F">
            <w:pPr>
              <w:jc w:val="center"/>
            </w:pPr>
            <w:r>
              <w:rPr>
                <w:rFonts w:ascii="宋体" w:hAnsi="宋体" w:eastAsia="宋体"/>
                <w:sz w:val="16"/>
              </w:rPr>
              <w:t>15</w:t>
            </w:r>
          </w:p>
        </w:tc>
      </w:tr>
    </w:tbl>
    <w:p w14:paraId="3B592BF2">
      <w:r>
        <w:br w:type="page"/>
      </w:r>
    </w:p>
    <w:p w14:paraId="6A6AB034">
      <w:pPr>
        <w:spacing w:line="640" w:lineRule="exact"/>
        <w:ind w:firstLine="640"/>
        <w:jc w:val="both"/>
        <w:outlineLvl w:val="2"/>
      </w:pPr>
      <w:r>
        <w:rPr>
          <w:rFonts w:ascii="黑体" w:hAnsi="黑体" w:eastAsia="黑体"/>
          <w:sz w:val="32"/>
        </w:rPr>
        <w:t>十二、其他需说明的事项</w:t>
      </w:r>
    </w:p>
    <w:p w14:paraId="473CC465">
      <w:pPr>
        <w:spacing w:line="580" w:lineRule="exact"/>
        <w:ind w:firstLine="640"/>
        <w:jc w:val="both"/>
      </w:pPr>
      <w:r>
        <w:rPr>
          <w:rFonts w:ascii="仿宋_GB2312" w:hAnsi="仿宋_GB2312" w:eastAsia="仿宋_GB2312"/>
          <w:b w:val="0"/>
          <w:sz w:val="32"/>
        </w:rPr>
        <w:t>本年本单位SM项目1个，全年预算数5.40万元，全年执行数5.40万元。</w:t>
      </w:r>
    </w:p>
    <w:p w14:paraId="5C3561D6">
      <w:r>
        <w:br w:type="page"/>
      </w:r>
    </w:p>
    <w:p w14:paraId="397AC7A3">
      <w:pPr>
        <w:spacing w:line="240" w:lineRule="auto"/>
        <w:jc w:val="center"/>
        <w:outlineLvl w:val="1"/>
      </w:pPr>
      <w:r>
        <w:rPr>
          <w:rFonts w:ascii="黑体" w:hAnsi="黑体" w:eastAsia="黑体"/>
          <w:sz w:val="32"/>
        </w:rPr>
        <w:t>第三部分 专业名词解释</w:t>
      </w:r>
    </w:p>
    <w:p w14:paraId="1D676C8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85078F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90C302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27347E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9FCBD7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C9C143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B58947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2987F2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605C6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328548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A3DF26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C37BF6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E32A26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7C5CE2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80EBBDB">
      <w:r>
        <w:br w:type="page"/>
      </w:r>
    </w:p>
    <w:p w14:paraId="678EA3B7">
      <w:pPr>
        <w:spacing w:line="240" w:lineRule="auto"/>
        <w:jc w:val="center"/>
        <w:outlineLvl w:val="1"/>
      </w:pPr>
      <w:r>
        <w:rPr>
          <w:rFonts w:ascii="黑体" w:hAnsi="黑体" w:eastAsia="黑体"/>
          <w:sz w:val="32"/>
        </w:rPr>
        <w:t>第四部分 部门决算报表（见附表）</w:t>
      </w:r>
    </w:p>
    <w:p w14:paraId="492F4486">
      <w:pPr>
        <w:spacing w:line="240" w:lineRule="auto"/>
        <w:ind w:firstLine="640"/>
        <w:jc w:val="both"/>
      </w:pPr>
      <w:r>
        <w:rPr>
          <w:rFonts w:ascii="仿宋_GB2312" w:hAnsi="仿宋_GB2312" w:eastAsia="仿宋_GB2312"/>
          <w:b w:val="0"/>
          <w:sz w:val="32"/>
        </w:rPr>
        <w:t>一、《收入支出决算总表》</w:t>
      </w:r>
    </w:p>
    <w:p w14:paraId="737A4599">
      <w:pPr>
        <w:spacing w:line="240" w:lineRule="auto"/>
        <w:ind w:firstLine="640"/>
        <w:jc w:val="both"/>
      </w:pPr>
      <w:r>
        <w:rPr>
          <w:rFonts w:ascii="仿宋_GB2312" w:hAnsi="仿宋_GB2312" w:eastAsia="仿宋_GB2312"/>
          <w:b w:val="0"/>
          <w:sz w:val="32"/>
        </w:rPr>
        <w:t>二、《收入决算表》</w:t>
      </w:r>
    </w:p>
    <w:p w14:paraId="44EAED99">
      <w:pPr>
        <w:spacing w:line="240" w:lineRule="auto"/>
        <w:ind w:firstLine="640"/>
        <w:jc w:val="both"/>
      </w:pPr>
      <w:r>
        <w:rPr>
          <w:rFonts w:ascii="仿宋_GB2312" w:hAnsi="仿宋_GB2312" w:eastAsia="仿宋_GB2312"/>
          <w:b w:val="0"/>
          <w:sz w:val="32"/>
        </w:rPr>
        <w:t>三、《支出决算表》</w:t>
      </w:r>
    </w:p>
    <w:p w14:paraId="6E0A65F2">
      <w:pPr>
        <w:spacing w:line="240" w:lineRule="auto"/>
        <w:ind w:firstLine="640"/>
        <w:jc w:val="both"/>
      </w:pPr>
      <w:r>
        <w:rPr>
          <w:rFonts w:ascii="仿宋_GB2312" w:hAnsi="仿宋_GB2312" w:eastAsia="仿宋_GB2312"/>
          <w:b w:val="0"/>
          <w:sz w:val="32"/>
        </w:rPr>
        <w:t>四、《财政拨款收入支出决算总表》</w:t>
      </w:r>
    </w:p>
    <w:p w14:paraId="48D9634E">
      <w:pPr>
        <w:spacing w:line="240" w:lineRule="auto"/>
        <w:ind w:firstLine="640"/>
        <w:jc w:val="both"/>
      </w:pPr>
      <w:r>
        <w:rPr>
          <w:rFonts w:ascii="仿宋_GB2312" w:hAnsi="仿宋_GB2312" w:eastAsia="仿宋_GB2312"/>
          <w:b w:val="0"/>
          <w:sz w:val="32"/>
        </w:rPr>
        <w:t>五、《一般公共预算财政拨款支出决算表》</w:t>
      </w:r>
    </w:p>
    <w:p w14:paraId="12D60145">
      <w:pPr>
        <w:spacing w:line="240" w:lineRule="auto"/>
        <w:ind w:firstLine="640"/>
        <w:jc w:val="both"/>
      </w:pPr>
      <w:r>
        <w:rPr>
          <w:rFonts w:ascii="仿宋_GB2312" w:hAnsi="仿宋_GB2312" w:eastAsia="仿宋_GB2312"/>
          <w:b w:val="0"/>
          <w:sz w:val="32"/>
        </w:rPr>
        <w:t>六、《一般公共预算财政拨款基本支出决算表》</w:t>
      </w:r>
    </w:p>
    <w:p w14:paraId="6A67C020">
      <w:pPr>
        <w:spacing w:line="240" w:lineRule="auto"/>
        <w:ind w:firstLine="640"/>
        <w:jc w:val="both"/>
      </w:pPr>
      <w:r>
        <w:rPr>
          <w:rFonts w:ascii="仿宋_GB2312" w:hAnsi="仿宋_GB2312" w:eastAsia="仿宋_GB2312"/>
          <w:b w:val="0"/>
          <w:sz w:val="32"/>
        </w:rPr>
        <w:t>七、《政府性基金预算财政拨款收入支出决算表》</w:t>
      </w:r>
    </w:p>
    <w:p w14:paraId="33C5FFCE">
      <w:pPr>
        <w:spacing w:line="240" w:lineRule="auto"/>
        <w:ind w:firstLine="640"/>
        <w:jc w:val="both"/>
      </w:pPr>
      <w:r>
        <w:rPr>
          <w:rFonts w:ascii="仿宋_GB2312" w:hAnsi="仿宋_GB2312" w:eastAsia="仿宋_GB2312"/>
          <w:b w:val="0"/>
          <w:sz w:val="32"/>
        </w:rPr>
        <w:t>八、《国有资本经营预算财政拨款收入支出决算表》</w:t>
      </w:r>
    </w:p>
    <w:p w14:paraId="0E3E5235">
      <w:pPr>
        <w:spacing w:line="240" w:lineRule="auto"/>
        <w:ind w:firstLine="640"/>
        <w:jc w:val="both"/>
      </w:pPr>
      <w:r>
        <w:rPr>
          <w:rFonts w:ascii="仿宋_GB2312" w:hAnsi="仿宋_GB2312" w:eastAsia="仿宋_GB2312"/>
          <w:b w:val="0"/>
          <w:sz w:val="32"/>
        </w:rPr>
        <w:t>九、《财政拨款“三公”经费支出决算表》</w:t>
      </w:r>
    </w:p>
    <w:p w14:paraId="284F8EDC">
      <w:pPr>
        <w:spacing w:line="240" w:lineRule="auto"/>
        <w:ind w:firstLine="640"/>
        <w:jc w:val="both"/>
      </w:pPr>
    </w:p>
    <w:p w14:paraId="5EBE2FC6">
      <w:pPr>
        <w:spacing w:line="240" w:lineRule="auto"/>
        <w:ind w:firstLine="640"/>
        <w:jc w:val="both"/>
      </w:pPr>
    </w:p>
    <w:p w14:paraId="173F4428">
      <w:pPr>
        <w:spacing w:line="240" w:lineRule="auto"/>
        <w:ind w:firstLine="640"/>
        <w:jc w:val="both"/>
      </w:pPr>
    </w:p>
    <w:p w14:paraId="3770CC87">
      <w:pPr>
        <w:spacing w:line="240" w:lineRule="auto"/>
        <w:ind w:firstLine="640"/>
        <w:jc w:val="both"/>
      </w:pPr>
    </w:p>
    <w:p w14:paraId="42DA5A5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3BB41A8-D47C-40B7-9053-748CDC29CEF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EED4A46-023B-40DF-9B23-71DA7A35E736}"/>
  </w:font>
  <w:font w:name="仿宋_GB2312">
    <w:panose1 w:val="02010609030101010101"/>
    <w:charset w:val="86"/>
    <w:family w:val="modern"/>
    <w:pitch w:val="default"/>
    <w:sig w:usb0="00000001" w:usb1="080E0000" w:usb2="00000000" w:usb3="00000000" w:csb0="00040000" w:csb1="00000000"/>
    <w:embedRegular r:id="rId3" w:fontKey="{10D968BF-660B-42E5-86A7-CD9B4AF61C92}"/>
  </w:font>
  <w:font w:name="楷体_GB2312">
    <w:panose1 w:val="02010609030101010101"/>
    <w:charset w:val="86"/>
    <w:family w:val="auto"/>
    <w:pitch w:val="default"/>
    <w:sig w:usb0="00000001" w:usb1="080E0000" w:usb2="00000000" w:usb3="00000000" w:csb0="00040000" w:csb1="00000000"/>
    <w:embedRegular r:id="rId4" w:fontKey="{7F6CC242-1763-47E5-8119-BD65C4B577C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2F9131B"/>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5E613D"/>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4703</Words>
  <Characters>5328</Characters>
  <Lines>0</Lines>
  <Paragraphs>0</Paragraphs>
  <TotalTime>3</TotalTime>
  <ScaleCrop>false</ScaleCrop>
  <LinksUpToDate>false</LinksUpToDate>
  <CharactersWithSpaces>5336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2025-09-18T03:46:32Z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eyJoZGlkIjoiZjI4ZjY1NWRiNTQyNDBlYWU5NDY3ZjVmZWI1YjMzMzIiLCJ1c2VySWQiOiI0MzE2NzY3NzkifQ==</vt:lpwstr>
  </property>
</Properties>
</file>