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8F235A1">
      <w:r>
        <w:br w:type="page"/>
      </w:r>
    </w:p>
    <w:p w14:paraId="1EC9144D">
      <w:pPr>
        <w:spacing w:line="640" w:lineRule="exact"/>
        <w:jc w:val="center"/>
        <w:outlineLvl w:val="1"/>
      </w:pPr>
      <w:r>
        <w:rPr>
          <w:rFonts w:ascii="黑体" w:hAnsi="黑体" w:eastAsia="黑体"/>
          <w:sz w:val="32"/>
        </w:rPr>
        <w:t>第一部分 单位概况</w:t>
      </w:r>
    </w:p>
    <w:p w14:paraId="14B60830">
      <w:pPr>
        <w:spacing w:line="640" w:lineRule="exact"/>
        <w:ind w:firstLine="640"/>
        <w:jc w:val="both"/>
        <w:outlineLvl w:val="2"/>
      </w:pPr>
      <w:r>
        <w:rPr>
          <w:rFonts w:ascii="黑体" w:hAnsi="黑体" w:eastAsia="黑体"/>
          <w:sz w:val="32"/>
        </w:rPr>
        <w:t>一、主要职能</w:t>
      </w:r>
    </w:p>
    <w:p w14:paraId="3BD037EE">
      <w:pPr>
        <w:spacing w:line="580" w:lineRule="exact"/>
        <w:ind w:firstLine="640"/>
        <w:jc w:val="both"/>
      </w:pPr>
      <w:r>
        <w:rPr>
          <w:rFonts w:ascii="仿宋_GB2312" w:hAnsi="仿宋_GB2312" w:eastAsia="仿宋_GB2312"/>
          <w:sz w:val="32"/>
        </w:rPr>
        <w:t>（一）负责市场综合监督管理和知识产权管理。贯彻执行国家市场监督管理和知识产权管理有关法律和规章，组织实施有关规划，规范和维护市场秩序，营造诚实守信、公平竞争的市场环境。</w:t>
      </w:r>
    </w:p>
    <w:p w14:paraId="6E074386">
      <w:pPr>
        <w:spacing w:line="580" w:lineRule="exact"/>
        <w:ind w:firstLine="640"/>
        <w:jc w:val="both"/>
      </w:pPr>
      <w:r>
        <w:rPr>
          <w:rFonts w:ascii="仿宋_GB2312" w:hAnsi="仿宋_GB2312" w:eastAsia="仿宋_GB2312"/>
          <w:sz w:val="32"/>
        </w:rPr>
        <w:t>（二）负责市场主体的统一登记注册。指导各类企业、农民专业合作社和从事经营活动的单位、个体工商户以及外国（地区）企业常驻代表机构等市场主体的登记注册。建立市场主体信息公示和共享机制，依法公示和共享有关信息，加强信用监管，推动市场主体信用体系建设。</w:t>
      </w:r>
    </w:p>
    <w:p w14:paraId="5E10DAD6">
      <w:pPr>
        <w:spacing w:line="580" w:lineRule="exact"/>
        <w:ind w:firstLine="640"/>
        <w:jc w:val="both"/>
      </w:pPr>
      <w:r>
        <w:rPr>
          <w:rFonts w:ascii="仿宋_GB2312" w:hAnsi="仿宋_GB2312" w:eastAsia="仿宋_GB2312"/>
          <w:sz w:val="32"/>
        </w:rPr>
        <w:t>（三）负责组织和指导市场监管和知识产权综合执法工作。指导县市场监管综合执法队伍整合和建设，推动实行统一的市场监管。组织查处重大违法案件。规范市场监管和知识产权行政执法行为。</w:t>
      </w:r>
    </w:p>
    <w:p w14:paraId="2F6C6B6A">
      <w:pPr>
        <w:spacing w:line="580" w:lineRule="exact"/>
        <w:ind w:firstLine="640"/>
        <w:jc w:val="both"/>
      </w:pPr>
      <w:r>
        <w:rPr>
          <w:rFonts w:ascii="仿宋_GB2312" w:hAnsi="仿宋_GB2312" w:eastAsia="仿宋_GB2312"/>
          <w:sz w:val="32"/>
        </w:rPr>
        <w:t>（四）负责反垄断统一执法。统筹推进竞争政策实施，指导实施公平竞争审查制度。依据授权负责垄断协议、滥用市场支配地位和滥用行政权力排除、限制竞争等反垄断执法工作。依法对经营者集中行为进行反垄断审查。</w:t>
      </w:r>
    </w:p>
    <w:p w14:paraId="470EB4FE">
      <w:pPr>
        <w:spacing w:line="580" w:lineRule="exact"/>
        <w:ind w:firstLine="640"/>
        <w:jc w:val="both"/>
      </w:pPr>
      <w:r>
        <w:rPr>
          <w:rFonts w:ascii="仿宋_GB2312" w:hAnsi="仿宋_GB2312" w:eastAsia="仿宋_GB2312"/>
          <w:sz w:val="32"/>
        </w:rPr>
        <w:t>（五）负责监督管理市场秩序。依法监督管理市场交易，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洛浦县消费者协会开展消费维权工作。</w:t>
      </w:r>
    </w:p>
    <w:p w14:paraId="7FB821F3">
      <w:pPr>
        <w:spacing w:line="580" w:lineRule="exact"/>
        <w:ind w:firstLine="640"/>
        <w:jc w:val="both"/>
      </w:pPr>
      <w:r>
        <w:rPr>
          <w:rFonts w:ascii="仿宋_GB2312" w:hAnsi="仿宋_GB2312" w:eastAsia="仿宋_GB2312"/>
          <w:sz w:val="32"/>
        </w:rPr>
        <w:t>（六）负责宏观质量管理。拟订并实施质量发展的制度措施。统筹质量基础设施建设与应用，会同有关部门组织实施重大工程设备质量监理制度，组织重大质量事故调查，组织实施缺陷产品召回制度，监督管理产品防伪工作。</w:t>
      </w:r>
    </w:p>
    <w:p w14:paraId="6DF854BB">
      <w:pPr>
        <w:spacing w:line="580" w:lineRule="exact"/>
        <w:ind w:firstLine="640"/>
        <w:jc w:val="both"/>
      </w:pPr>
      <w:r>
        <w:rPr>
          <w:rFonts w:ascii="仿宋_GB2312" w:hAnsi="仿宋_GB2312" w:eastAsia="仿宋_GB2312"/>
          <w:sz w:val="32"/>
        </w:rPr>
        <w:t>（七）负责产品质量安全监督管理。负责产品质量安全监督管理。管理产品质量监督抽查、风险监控工作。组织实施质量分级制度、质量安全追溯制度。指导工业产品生产许可管理。负责纤维质量监督工作。</w:t>
      </w:r>
    </w:p>
    <w:p w14:paraId="0B6D511F">
      <w:pPr>
        <w:spacing w:line="580" w:lineRule="exact"/>
        <w:ind w:firstLine="640"/>
        <w:jc w:val="both"/>
      </w:pPr>
      <w:r>
        <w:rPr>
          <w:rFonts w:ascii="仿宋_GB2312" w:hAnsi="仿宋_GB2312" w:eastAsia="仿宋_GB2312"/>
          <w:sz w:val="32"/>
        </w:rPr>
        <w:t>（八）负责特种设备安全监督管理。综合管理特种设备安全监察、监督工作，监督检查高耗能特种设备节能标准和锅炉环境保护标准的执行情况。</w:t>
      </w:r>
    </w:p>
    <w:p w14:paraId="2949F9EF">
      <w:pPr>
        <w:spacing w:line="580" w:lineRule="exact"/>
        <w:ind w:firstLine="640"/>
        <w:jc w:val="both"/>
      </w:pPr>
      <w:r>
        <w:rPr>
          <w:rFonts w:ascii="仿宋_GB2312" w:hAnsi="仿宋_GB2312" w:eastAsia="仿宋_GB2312"/>
          <w:sz w:val="32"/>
        </w:rPr>
        <w:t>（九）负责食品安全监督管理综合协调。组织制定食品安全重大政策并组织实施。负责食品安全应急体系建设，组织指导重大食品安全事件应急处置和调查处理工作。建立健全食品安全重要信息直报制度。</w:t>
      </w:r>
    </w:p>
    <w:p w14:paraId="08B902E2">
      <w:pPr>
        <w:spacing w:line="580" w:lineRule="exact"/>
        <w:ind w:firstLine="640"/>
        <w:jc w:val="both"/>
      </w:pPr>
      <w:r>
        <w:rPr>
          <w:rFonts w:ascii="仿宋_GB2312" w:hAnsi="仿宋_GB2312" w:eastAsia="仿宋_GB2312"/>
          <w:sz w:val="32"/>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p>
    <w:p w14:paraId="664EB211">
      <w:pPr>
        <w:spacing w:line="580" w:lineRule="exact"/>
        <w:ind w:firstLine="640"/>
        <w:jc w:val="both"/>
      </w:pPr>
      <w:r>
        <w:rPr>
          <w:rFonts w:ascii="仿宋_GB2312" w:hAnsi="仿宋_GB2312" w:eastAsia="仿宋_GB2312"/>
          <w:sz w:val="32"/>
        </w:rPr>
        <w:t>（十一）负责统一管理计量工作。执行国家计量制度，推行国家法定计量单位，依法管理计量器具及量值传递和比对工作。规范、监督商品量和市场计量行为。</w:t>
      </w:r>
    </w:p>
    <w:p w14:paraId="5B8BFD91">
      <w:pPr>
        <w:spacing w:line="580" w:lineRule="exact"/>
        <w:ind w:firstLine="640"/>
        <w:jc w:val="both"/>
      </w:pPr>
      <w:r>
        <w:rPr>
          <w:rFonts w:ascii="仿宋_GB2312" w:hAnsi="仿宋_GB2312" w:eastAsia="仿宋_GB2312"/>
          <w:sz w:val="32"/>
        </w:rPr>
        <w:t>（十二）负责统一管理标准化工作。依法承担地方标准的立项、编号、制定和发布等工作。依法协调指导和监督团体标准、企业标准制定工作。</w:t>
      </w:r>
    </w:p>
    <w:p w14:paraId="24CD3132">
      <w:pPr>
        <w:spacing w:line="580" w:lineRule="exact"/>
        <w:ind w:firstLine="640"/>
        <w:jc w:val="both"/>
      </w:pPr>
      <w:r>
        <w:rPr>
          <w:rFonts w:ascii="仿宋_GB2312" w:hAnsi="仿宋_GB2312" w:eastAsia="仿宋_GB2312"/>
          <w:sz w:val="32"/>
        </w:rPr>
        <w:t>（十三）负责统一管理检验检测工作。推进检验检测机构改革，规范检验检测市场，完善检验检测体系，指导协调检验检测行业发展。</w:t>
      </w:r>
    </w:p>
    <w:p w14:paraId="3567DA2C">
      <w:pPr>
        <w:spacing w:line="580" w:lineRule="exact"/>
        <w:ind w:firstLine="640"/>
        <w:jc w:val="both"/>
      </w:pPr>
      <w:r>
        <w:rPr>
          <w:rFonts w:ascii="仿宋_GB2312" w:hAnsi="仿宋_GB2312" w:eastAsia="仿宋_GB2312"/>
          <w:sz w:val="32"/>
        </w:rPr>
        <w:t>（十四）负责统一管理、监督和综合协调认证认可工作。建立并组织实施统一的认证认可和合格评定监督管理制度。</w:t>
      </w:r>
    </w:p>
    <w:p w14:paraId="6CBBA7FA">
      <w:pPr>
        <w:spacing w:line="580" w:lineRule="exact"/>
        <w:ind w:firstLine="640"/>
        <w:jc w:val="both"/>
      </w:pPr>
      <w:r>
        <w:rPr>
          <w:rFonts w:ascii="仿宋_GB2312" w:hAnsi="仿宋_GB2312" w:eastAsia="仿宋_GB2312"/>
          <w:sz w:val="32"/>
        </w:rPr>
        <w:t>（十五）负责市场监督管理和知识产权科技与信息化建设、新闻宣传，以及对外交流合作。按规定承担技术性贸易措施有关工作。</w:t>
      </w:r>
    </w:p>
    <w:p w14:paraId="72F5546F">
      <w:pPr>
        <w:spacing w:line="580" w:lineRule="exact"/>
        <w:ind w:firstLine="640"/>
        <w:jc w:val="both"/>
      </w:pPr>
      <w:r>
        <w:rPr>
          <w:rFonts w:ascii="仿宋_GB2312" w:hAnsi="仿宋_GB2312" w:eastAsia="仿宋_GB2312"/>
          <w:sz w:val="32"/>
        </w:rPr>
        <w:t>（十六）负责促进知识产权运用。拟订实施知识产权激励奖励制度、知识产权转化运用和交易运营政策措施。指导落实商标、专利、原产地地理标志申请的审查、确权相关前置服务工作。指导知识产权无形资产评估、审查评议工作。指导和促进知识产权服务业发展。统筹指导知识产权公共服务体系建设，推动知识产权信息传播利用。</w:t>
      </w:r>
    </w:p>
    <w:p w14:paraId="38B064AF">
      <w:pPr>
        <w:spacing w:line="580" w:lineRule="exact"/>
        <w:ind w:firstLine="640"/>
        <w:jc w:val="both"/>
      </w:pPr>
      <w:r>
        <w:rPr>
          <w:rFonts w:ascii="仿宋_GB2312" w:hAnsi="仿宋_GB2312" w:eastAsia="仿宋_GB2312"/>
          <w:sz w:val="32"/>
        </w:rPr>
        <w:t>（十七）负责保护知识产权。负责组织指导商标、专利执法工作，指导知识产权争议处理、维权援助和纠纷调处。组织指导知识产权预警和涉外保护工作。拟订实施鼓励新领域、新业态、新模式创新的知识产权保护、管理和服务政策。</w:t>
      </w:r>
    </w:p>
    <w:p w14:paraId="201CB262">
      <w:pPr>
        <w:spacing w:line="580" w:lineRule="exact"/>
        <w:ind w:firstLine="640"/>
        <w:jc w:val="both"/>
      </w:pPr>
      <w:r>
        <w:rPr>
          <w:rFonts w:ascii="仿宋_GB2312" w:hAnsi="仿宋_GB2312" w:eastAsia="仿宋_GB2312"/>
          <w:sz w:val="32"/>
        </w:rPr>
        <w:t>（十八）承担洛浦县食品安全委员会的具体工作。</w:t>
      </w:r>
    </w:p>
    <w:p w14:paraId="703FCC15">
      <w:pPr>
        <w:spacing w:line="580" w:lineRule="exact"/>
        <w:ind w:firstLine="640"/>
        <w:jc w:val="both"/>
      </w:pPr>
      <w:r>
        <w:rPr>
          <w:rFonts w:ascii="仿宋_GB2312" w:hAnsi="仿宋_GB2312" w:eastAsia="仿宋_GB2312"/>
          <w:sz w:val="32"/>
        </w:rPr>
        <w:t>（十九）完成县委、县人民政府交办的其他任务。</w:t>
      </w:r>
    </w:p>
    <w:p w14:paraId="6F88D164">
      <w:pPr>
        <w:spacing w:line="640" w:lineRule="exact"/>
        <w:ind w:firstLine="640"/>
        <w:jc w:val="both"/>
        <w:outlineLvl w:val="2"/>
      </w:pPr>
      <w:r>
        <w:rPr>
          <w:rFonts w:ascii="黑体" w:hAnsi="黑体" w:eastAsia="黑体"/>
          <w:sz w:val="32"/>
        </w:rPr>
        <w:t>二、机构设置及人员情况</w:t>
      </w:r>
    </w:p>
    <w:p w14:paraId="09099069">
      <w:pPr>
        <w:spacing w:line="580" w:lineRule="exact"/>
        <w:ind w:firstLine="640"/>
        <w:jc w:val="both"/>
      </w:pPr>
      <w:r>
        <w:rPr>
          <w:rFonts w:ascii="仿宋_GB2312" w:hAnsi="仿宋_GB2312" w:eastAsia="仿宋_GB2312"/>
          <w:sz w:val="32"/>
        </w:rPr>
        <w:t>洛浦县市场监督管理局2024年度，实有人数115人，其中：在职人员65人，增加1人；离休人员0人，增加0人；退休人员50人,增加4人。</w:t>
      </w:r>
    </w:p>
    <w:p w14:paraId="70E54801">
      <w:pPr>
        <w:spacing w:line="580" w:lineRule="exact"/>
        <w:ind w:firstLine="640"/>
        <w:jc w:val="both"/>
      </w:pPr>
      <w:r>
        <w:rPr>
          <w:rFonts w:ascii="仿宋_GB2312" w:hAnsi="仿宋_GB2312" w:eastAsia="仿宋_GB2312"/>
          <w:sz w:val="32"/>
        </w:rPr>
        <w:t>洛浦县市场监督管理局无下属预算单位，下设6个科室，分别是：办公室、食品科、药品科、综合业务科、注册科、执法大队。</w:t>
      </w:r>
    </w:p>
    <w:p w14:paraId="3CECF47C">
      <w:r>
        <w:br w:type="page"/>
      </w:r>
    </w:p>
    <w:p w14:paraId="79BDBEC4">
      <w:pPr>
        <w:spacing w:line="240" w:lineRule="auto"/>
        <w:jc w:val="center"/>
        <w:outlineLvl w:val="1"/>
      </w:pPr>
      <w:r>
        <w:rPr>
          <w:rFonts w:ascii="黑体" w:hAnsi="黑体" w:eastAsia="黑体"/>
          <w:sz w:val="32"/>
        </w:rPr>
        <w:t>第二部分 部门决算情况说明</w:t>
      </w:r>
    </w:p>
    <w:p w14:paraId="39C090A7">
      <w:pPr>
        <w:spacing w:line="640" w:lineRule="exact"/>
        <w:ind w:firstLine="640"/>
        <w:jc w:val="both"/>
        <w:outlineLvl w:val="2"/>
      </w:pPr>
      <w:r>
        <w:rPr>
          <w:rFonts w:ascii="黑体" w:hAnsi="黑体" w:eastAsia="黑体"/>
          <w:sz w:val="32"/>
        </w:rPr>
        <w:t>一、收入支出决算总体情况说明</w:t>
      </w:r>
    </w:p>
    <w:p w14:paraId="6A801214">
      <w:pPr>
        <w:spacing w:line="580" w:lineRule="exact"/>
        <w:ind w:firstLine="640"/>
        <w:jc w:val="both"/>
      </w:pPr>
      <w:r>
        <w:rPr>
          <w:rFonts w:ascii="仿宋_GB2312" w:hAnsi="仿宋_GB2312" w:eastAsia="仿宋_GB2312"/>
          <w:b/>
          <w:sz w:val="32"/>
        </w:rPr>
        <w:t>2024年度收入总计1,995.42万元，</w:t>
      </w:r>
      <w:r>
        <w:rPr>
          <w:rFonts w:ascii="仿宋_GB2312" w:hAnsi="仿宋_GB2312" w:eastAsia="仿宋_GB2312"/>
          <w:b w:val="0"/>
          <w:sz w:val="32"/>
        </w:rPr>
        <w:t>其中：本年收入合计1,993.96万元，使用非财政拨款结余（含专用结余）0.00万元，年初结转和结余1.47万元。</w:t>
      </w:r>
    </w:p>
    <w:p w14:paraId="2245749B">
      <w:pPr>
        <w:spacing w:line="580" w:lineRule="exact"/>
        <w:ind w:firstLine="640"/>
        <w:jc w:val="both"/>
      </w:pPr>
      <w:r>
        <w:rPr>
          <w:rFonts w:ascii="仿宋_GB2312" w:hAnsi="仿宋_GB2312" w:eastAsia="仿宋_GB2312"/>
          <w:b/>
          <w:sz w:val="32"/>
        </w:rPr>
        <w:t>2024年度支出总计1,995.42万元，</w:t>
      </w:r>
      <w:r>
        <w:rPr>
          <w:rFonts w:ascii="仿宋_GB2312" w:hAnsi="仿宋_GB2312" w:eastAsia="仿宋_GB2312"/>
          <w:b w:val="0"/>
          <w:sz w:val="32"/>
        </w:rPr>
        <w:t>其中：本年支出合计1,994.66万元，结余分配0.00万元，年末结转和结余0.77万元。</w:t>
      </w:r>
    </w:p>
    <w:p w14:paraId="1815C8CA">
      <w:pPr>
        <w:spacing w:line="580" w:lineRule="exact"/>
        <w:ind w:firstLine="640"/>
        <w:jc w:val="both"/>
      </w:pPr>
      <w:r>
        <w:rPr>
          <w:rFonts w:ascii="仿宋_GB2312" w:hAnsi="仿宋_GB2312" w:eastAsia="仿宋_GB2312"/>
          <w:b w:val="0"/>
          <w:sz w:val="32"/>
        </w:rPr>
        <w:t>收入支出总体与上年相比，增加40.45万元，增长2.07%，主要原因是：本年农贸市场建设项目发展壮大村集体经济资金较上年增加。</w:t>
      </w:r>
    </w:p>
    <w:p w14:paraId="1C9E468D">
      <w:pPr>
        <w:spacing w:line="640" w:lineRule="exact"/>
        <w:ind w:firstLine="640"/>
        <w:jc w:val="both"/>
        <w:outlineLvl w:val="2"/>
      </w:pPr>
      <w:r>
        <w:rPr>
          <w:rFonts w:ascii="黑体" w:hAnsi="黑体" w:eastAsia="黑体"/>
          <w:sz w:val="32"/>
        </w:rPr>
        <w:t>二、收入决算情况说明</w:t>
      </w:r>
    </w:p>
    <w:p w14:paraId="0B5CAA7C">
      <w:pPr>
        <w:spacing w:line="580" w:lineRule="exact"/>
        <w:ind w:firstLine="640"/>
        <w:jc w:val="both"/>
      </w:pPr>
      <w:r>
        <w:rPr>
          <w:rFonts w:ascii="仿宋_GB2312" w:hAnsi="仿宋_GB2312" w:eastAsia="仿宋_GB2312"/>
          <w:b/>
          <w:sz w:val="32"/>
        </w:rPr>
        <w:t>本年收入1,993.96万元，</w:t>
      </w:r>
      <w:r>
        <w:rPr>
          <w:rFonts w:ascii="仿宋_GB2312" w:hAnsi="仿宋_GB2312" w:eastAsia="仿宋_GB2312"/>
          <w:b w:val="0"/>
          <w:sz w:val="32"/>
        </w:rPr>
        <w:t>其中：财政拨款收入1,978.53万元，占99.23%；上级补助收入0.00万元，占0.00%；事业收入0.00万元，占0.00%；经营收入0.00万元，占0.00%；附属单位上缴收入0.00万元，占0.00%；其他收入15.43万元，占0.77%。</w:t>
      </w:r>
    </w:p>
    <w:p w14:paraId="01773370">
      <w:pPr>
        <w:spacing w:line="640" w:lineRule="exact"/>
        <w:ind w:firstLine="640"/>
        <w:jc w:val="both"/>
        <w:outlineLvl w:val="2"/>
      </w:pPr>
      <w:r>
        <w:rPr>
          <w:rFonts w:ascii="黑体" w:hAnsi="黑体" w:eastAsia="黑体"/>
          <w:sz w:val="32"/>
        </w:rPr>
        <w:t>三、支出决算情况说明</w:t>
      </w:r>
    </w:p>
    <w:p w14:paraId="4810045E">
      <w:pPr>
        <w:spacing w:line="580" w:lineRule="exact"/>
        <w:ind w:firstLine="640"/>
        <w:jc w:val="both"/>
      </w:pPr>
      <w:r>
        <w:rPr>
          <w:rFonts w:ascii="仿宋_GB2312" w:hAnsi="仿宋_GB2312" w:eastAsia="仿宋_GB2312"/>
          <w:b/>
          <w:sz w:val="32"/>
        </w:rPr>
        <w:t>本年支出1,994.66万元，</w:t>
      </w:r>
      <w:r>
        <w:rPr>
          <w:rFonts w:ascii="仿宋_GB2312" w:hAnsi="仿宋_GB2312" w:eastAsia="仿宋_GB2312"/>
          <w:b w:val="0"/>
          <w:sz w:val="32"/>
        </w:rPr>
        <w:t>其中：基本支出1,361.51万元，占68.26%；项目支出633.14万元，占31.74%；上缴上级支出0.00万元，占0.00%；经营支出0.00万元，占0.00%；对附属单位补助支出0.00万元，占0.00%。</w:t>
      </w:r>
    </w:p>
    <w:p w14:paraId="505098FB">
      <w:pPr>
        <w:spacing w:line="640" w:lineRule="exact"/>
        <w:ind w:firstLine="640"/>
        <w:jc w:val="both"/>
        <w:outlineLvl w:val="2"/>
      </w:pPr>
      <w:r>
        <w:rPr>
          <w:rFonts w:ascii="黑体" w:hAnsi="黑体" w:eastAsia="黑体"/>
          <w:sz w:val="32"/>
        </w:rPr>
        <w:t>四、财政拨款收入支出决算总体情况说明</w:t>
      </w:r>
    </w:p>
    <w:p w14:paraId="7BBA1D75">
      <w:pPr>
        <w:spacing w:line="580" w:lineRule="exact"/>
        <w:ind w:firstLine="640"/>
        <w:jc w:val="both"/>
      </w:pPr>
      <w:r>
        <w:rPr>
          <w:rFonts w:ascii="仿宋_GB2312" w:hAnsi="仿宋_GB2312" w:eastAsia="仿宋_GB2312"/>
          <w:b/>
          <w:sz w:val="32"/>
        </w:rPr>
        <w:t>2024年度财政拨款收入总计1,978.53万元，</w:t>
      </w:r>
      <w:r>
        <w:rPr>
          <w:rFonts w:ascii="仿宋_GB2312" w:hAnsi="仿宋_GB2312" w:eastAsia="仿宋_GB2312"/>
          <w:b w:val="0"/>
          <w:sz w:val="32"/>
        </w:rPr>
        <w:t>其中：年初财政拨款结转和结余0.00万元，本年财政拨款收入1,978.53万元。</w:t>
      </w:r>
      <w:r>
        <w:rPr>
          <w:rFonts w:ascii="仿宋_GB2312" w:hAnsi="仿宋_GB2312" w:eastAsia="仿宋_GB2312"/>
          <w:b/>
          <w:sz w:val="32"/>
        </w:rPr>
        <w:t>财政拨款支出总计1,978.53万元，</w:t>
      </w:r>
      <w:r>
        <w:rPr>
          <w:rFonts w:ascii="仿宋_GB2312" w:hAnsi="仿宋_GB2312" w:eastAsia="仿宋_GB2312"/>
          <w:b w:val="0"/>
          <w:sz w:val="32"/>
        </w:rPr>
        <w:t>其中：年末财政拨款结转和结余0.00万元，本年财政拨款支出1,978.53万元。</w:t>
      </w:r>
    </w:p>
    <w:p w14:paraId="296E9CE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增加216.83万元，增长12.31%，主要原因是：本年农贸市场建设项目发展壮大村集体经济资金较上年增加。</w:t>
      </w:r>
      <w:r>
        <w:rPr>
          <w:rFonts w:ascii="仿宋_GB2312" w:hAnsi="仿宋_GB2312" w:eastAsia="仿宋_GB2312"/>
          <w:b/>
          <w:sz w:val="32"/>
        </w:rPr>
        <w:t>与年初预算相比，</w:t>
      </w:r>
      <w:r>
        <w:rPr>
          <w:rFonts w:ascii="仿宋_GB2312" w:hAnsi="仿宋_GB2312" w:eastAsia="仿宋_GB2312"/>
          <w:b w:val="0"/>
          <w:sz w:val="32"/>
        </w:rPr>
        <w:t>年初预算数1,685.49万元，决算数1,978.53万元，预决算差异率17.39%，主要原因是：年中追加农贸市场建设项目发展壮大村集体经济资金、食品安全抽检经费、中央食品药品监管经费资金、支持自主创业补助资金，农贸市场建设项目土地征用补偿金项目，导致预决算存在差异。</w:t>
      </w:r>
    </w:p>
    <w:p w14:paraId="056D26AD">
      <w:pPr>
        <w:spacing w:line="640" w:lineRule="exact"/>
        <w:ind w:firstLine="640"/>
        <w:jc w:val="both"/>
        <w:outlineLvl w:val="2"/>
      </w:pPr>
      <w:r>
        <w:rPr>
          <w:rFonts w:ascii="黑体" w:hAnsi="黑体" w:eastAsia="黑体"/>
          <w:sz w:val="32"/>
        </w:rPr>
        <w:t>五、一般公共预算财政拨款支出决算情况说明</w:t>
      </w:r>
    </w:p>
    <w:p w14:paraId="1A54AAEB">
      <w:pPr>
        <w:spacing w:line="640" w:lineRule="exact"/>
        <w:ind w:firstLine="640"/>
        <w:jc w:val="both"/>
        <w:outlineLvl w:val="3"/>
      </w:pPr>
      <w:r>
        <w:rPr>
          <w:rFonts w:ascii="楷体_GB2312" w:hAnsi="楷体_GB2312" w:eastAsia="楷体_GB2312"/>
          <w:b/>
          <w:sz w:val="32"/>
        </w:rPr>
        <w:t>（一）一般公共预算财政拨款支出决算总体情况</w:t>
      </w:r>
    </w:p>
    <w:p w14:paraId="4A6B5FF1">
      <w:pPr>
        <w:spacing w:line="580" w:lineRule="exact"/>
        <w:ind w:firstLine="640"/>
        <w:jc w:val="both"/>
      </w:pPr>
      <w:r>
        <w:rPr>
          <w:rFonts w:ascii="仿宋_GB2312" w:hAnsi="仿宋_GB2312" w:eastAsia="仿宋_GB2312"/>
          <w:b/>
          <w:sz w:val="32"/>
        </w:rPr>
        <w:t>2024年度一般公共预算财政拨款支出1,973.26万元，</w:t>
      </w:r>
      <w:r>
        <w:rPr>
          <w:rFonts w:ascii="仿宋_GB2312" w:hAnsi="仿宋_GB2312" w:eastAsia="仿宋_GB2312"/>
          <w:b w:val="0"/>
          <w:sz w:val="32"/>
        </w:rPr>
        <w:t>占本年支出合计的98.93%。</w:t>
      </w:r>
      <w:r>
        <w:rPr>
          <w:rFonts w:ascii="仿宋_GB2312" w:hAnsi="仿宋_GB2312" w:eastAsia="仿宋_GB2312"/>
          <w:b/>
          <w:sz w:val="32"/>
        </w:rPr>
        <w:t>与上年相比，</w:t>
      </w:r>
      <w:r>
        <w:rPr>
          <w:rFonts w:ascii="仿宋_GB2312" w:hAnsi="仿宋_GB2312" w:eastAsia="仿宋_GB2312"/>
          <w:b w:val="0"/>
          <w:sz w:val="32"/>
        </w:rPr>
        <w:t>增加211.56万元，增长12.01%，主要原因是：本年农贸市场建设项目发展壮大村集体经济资金较上年增加。</w:t>
      </w:r>
      <w:r>
        <w:rPr>
          <w:rFonts w:ascii="仿宋_GB2312" w:hAnsi="仿宋_GB2312" w:eastAsia="仿宋_GB2312"/>
          <w:b/>
          <w:sz w:val="32"/>
        </w:rPr>
        <w:t>与年初预算相比,</w:t>
      </w:r>
      <w:r>
        <w:rPr>
          <w:rFonts w:ascii="仿宋_GB2312" w:hAnsi="仿宋_GB2312" w:eastAsia="仿宋_GB2312"/>
          <w:b w:val="0"/>
          <w:sz w:val="32"/>
        </w:rPr>
        <w:t>年初预算数1,685.49万元，决算数1,973.26万元，预决算差异率17.07%，主要原因是：年中追加农贸市场建设项目发展壮大村集体经济资金、食品安全抽检经费、中央食品药品监管经费资金、支持自主创业补助资金，导致预决算存在差异。</w:t>
      </w:r>
    </w:p>
    <w:p w14:paraId="78561770">
      <w:pPr>
        <w:spacing w:line="640" w:lineRule="exact"/>
        <w:ind w:firstLine="640"/>
        <w:jc w:val="both"/>
        <w:outlineLvl w:val="3"/>
      </w:pPr>
      <w:r>
        <w:rPr>
          <w:rFonts w:ascii="楷体_GB2312" w:hAnsi="楷体_GB2312" w:eastAsia="楷体_GB2312"/>
          <w:b/>
          <w:sz w:val="32"/>
        </w:rPr>
        <w:t>（二）一般公共预算财政拨款支出决算结构情况</w:t>
      </w:r>
    </w:p>
    <w:p w14:paraId="0DE89C54">
      <w:pPr>
        <w:spacing w:line="580" w:lineRule="exact"/>
        <w:ind w:firstLine="640"/>
        <w:jc w:val="both"/>
      </w:pPr>
      <w:r>
        <w:rPr>
          <w:rFonts w:ascii="仿宋_GB2312" w:hAnsi="仿宋_GB2312" w:eastAsia="仿宋_GB2312"/>
          <w:b w:val="0"/>
          <w:sz w:val="32"/>
        </w:rPr>
        <w:t>1.一般公共服务支出(类)1,051.02万元,占53.26%。</w:t>
      </w:r>
    </w:p>
    <w:p w14:paraId="02981CCF">
      <w:pPr>
        <w:spacing w:line="580" w:lineRule="exact"/>
        <w:ind w:firstLine="640"/>
        <w:jc w:val="both"/>
      </w:pPr>
      <w:r>
        <w:rPr>
          <w:rFonts w:ascii="仿宋_GB2312" w:hAnsi="仿宋_GB2312" w:eastAsia="仿宋_GB2312"/>
          <w:b w:val="0"/>
          <w:sz w:val="32"/>
        </w:rPr>
        <w:t>2.社会保障和就业支出(类)213.10万元,占10.80%。</w:t>
      </w:r>
    </w:p>
    <w:p w14:paraId="2F93B16A">
      <w:pPr>
        <w:spacing w:line="580" w:lineRule="exact"/>
        <w:ind w:firstLine="640"/>
        <w:jc w:val="both"/>
      </w:pPr>
      <w:r>
        <w:rPr>
          <w:rFonts w:ascii="仿宋_GB2312" w:hAnsi="仿宋_GB2312" w:eastAsia="仿宋_GB2312"/>
          <w:b w:val="0"/>
          <w:sz w:val="32"/>
        </w:rPr>
        <w:t>3.卫生健康支出(类)75.90万元,占3.85%。</w:t>
      </w:r>
    </w:p>
    <w:p w14:paraId="31E22317">
      <w:pPr>
        <w:spacing w:line="580" w:lineRule="exact"/>
        <w:ind w:firstLine="640"/>
        <w:jc w:val="both"/>
      </w:pPr>
      <w:r>
        <w:rPr>
          <w:rFonts w:ascii="仿宋_GB2312" w:hAnsi="仿宋_GB2312" w:eastAsia="仿宋_GB2312"/>
          <w:b w:val="0"/>
          <w:sz w:val="32"/>
        </w:rPr>
        <w:t>4.农林水支出(类)491.18万元,占24.89%。</w:t>
      </w:r>
    </w:p>
    <w:p w14:paraId="7B36806D">
      <w:pPr>
        <w:spacing w:line="580" w:lineRule="exact"/>
        <w:ind w:firstLine="640"/>
        <w:jc w:val="both"/>
      </w:pPr>
      <w:r>
        <w:rPr>
          <w:rFonts w:ascii="仿宋_GB2312" w:hAnsi="仿宋_GB2312" w:eastAsia="仿宋_GB2312"/>
          <w:b w:val="0"/>
          <w:sz w:val="32"/>
        </w:rPr>
        <w:t>5.住房保障支出(类)95.14万元,占4.82%。</w:t>
      </w:r>
    </w:p>
    <w:p w14:paraId="10BC258F">
      <w:pPr>
        <w:spacing w:line="580" w:lineRule="exact"/>
        <w:ind w:firstLine="640"/>
        <w:jc w:val="both"/>
      </w:pPr>
      <w:r>
        <w:rPr>
          <w:rFonts w:ascii="仿宋_GB2312" w:hAnsi="仿宋_GB2312" w:eastAsia="仿宋_GB2312"/>
          <w:b w:val="0"/>
          <w:sz w:val="32"/>
        </w:rPr>
        <w:t>6.其他支出(类)46.92万元,占2.38%。</w:t>
      </w:r>
    </w:p>
    <w:p w14:paraId="44E73F0E">
      <w:pPr>
        <w:spacing w:line="640" w:lineRule="exact"/>
        <w:ind w:firstLine="640"/>
        <w:jc w:val="both"/>
        <w:outlineLvl w:val="3"/>
      </w:pPr>
      <w:r>
        <w:rPr>
          <w:rFonts w:ascii="楷体_GB2312" w:hAnsi="楷体_GB2312" w:eastAsia="楷体_GB2312"/>
          <w:b/>
          <w:sz w:val="32"/>
        </w:rPr>
        <w:t>（三）一般公共预算财政拨款支出决算具体情况</w:t>
      </w:r>
    </w:p>
    <w:p w14:paraId="19A3A519">
      <w:pPr>
        <w:spacing w:line="580" w:lineRule="exact"/>
        <w:ind w:firstLine="640"/>
        <w:jc w:val="both"/>
      </w:pPr>
      <w:r>
        <w:rPr>
          <w:rFonts w:ascii="仿宋_GB2312" w:hAnsi="仿宋_GB2312" w:eastAsia="仿宋_GB2312"/>
          <w:b w:val="0"/>
          <w:sz w:val="32"/>
        </w:rPr>
        <w:t>1.一般公共服务支出(类)市场监督管理事务(款)行政运行(项):支出决算数为963.92万元，比上年决算减少404.75万元，下降29.57%,主要原因是：上年有退休死亡人员抚恤金，今年没有抚恤金支出，相应人员经费较上年减少。本年功能科目调整，离退休费、医疗保险、公务员医疗补助、住房公积金经费上年度在主科目列支，本年单独列支，导致经费较上年减少。本年在职人员调入调出退休人员，人员职级不同，工资基数不同，导致人员经费较上年减少。</w:t>
      </w:r>
    </w:p>
    <w:p w14:paraId="63390976">
      <w:pPr>
        <w:spacing w:line="580" w:lineRule="exact"/>
        <w:ind w:firstLine="640"/>
        <w:jc w:val="both"/>
      </w:pPr>
      <w:r>
        <w:rPr>
          <w:rFonts w:ascii="仿宋_GB2312" w:hAnsi="仿宋_GB2312" w:eastAsia="仿宋_GB2312"/>
          <w:b w:val="0"/>
          <w:sz w:val="32"/>
        </w:rPr>
        <w:t>2.一般公共服务支出(类)市场监督管理事务(款)药品事务(项):支出决算数为10.70万元，比上年决算增加3.40万元，增长46.58%,主要原因是：本年自治区药品抽检经费较上年增加。</w:t>
      </w:r>
    </w:p>
    <w:p w14:paraId="789C56C8">
      <w:pPr>
        <w:spacing w:line="580" w:lineRule="exact"/>
        <w:ind w:firstLine="640"/>
        <w:jc w:val="both"/>
      </w:pPr>
      <w:r>
        <w:rPr>
          <w:rFonts w:ascii="仿宋_GB2312" w:hAnsi="仿宋_GB2312" w:eastAsia="仿宋_GB2312"/>
          <w:b w:val="0"/>
          <w:sz w:val="32"/>
        </w:rPr>
        <w:t>3.一般公共服务支出(类)市场监督管理事务(款)食品安全监管(项):支出决算数为68.40万元，比上年决算增加27.89万元，增长68.85%,主要原因是：本年食品抽检经费较上年增加。</w:t>
      </w:r>
    </w:p>
    <w:p w14:paraId="275539A7">
      <w:pPr>
        <w:spacing w:line="580" w:lineRule="exact"/>
        <w:ind w:firstLine="640"/>
        <w:jc w:val="both"/>
      </w:pPr>
      <w:r>
        <w:rPr>
          <w:rFonts w:ascii="仿宋_GB2312" w:hAnsi="仿宋_GB2312" w:eastAsia="仿宋_GB2312"/>
          <w:b w:val="0"/>
          <w:sz w:val="32"/>
        </w:rPr>
        <w:t>4.一般公共服务支出(类)市场监督管理事务(款)其他市场监督管理事务(项):支出决算数为8.00万元，比上年决算增加8.00万元，增长100.00%,主要原因是：本年增加中央食品药品监管补助资金项目。</w:t>
      </w:r>
    </w:p>
    <w:p w14:paraId="10A4A5A4">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64.39万元，比上年决算增加64.39万元，增长100.00%,主要原因是：本年功能科目调整，行政单位离退休上年度在主科目列支，本年单独列支，导致经费较上年增加。</w:t>
      </w:r>
    </w:p>
    <w:p w14:paraId="7B077CEB">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124.47万元，比上年决算增加4.89万元，增长4.09%,主要原因是：本年在职人员工资基数调增，养老缴费基数上涨，相应支出增加。</w:t>
      </w:r>
    </w:p>
    <w:p w14:paraId="56555168">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24.24万元，比上年决算减少25.65万元，下降51.41%,主要原因是：本年新增退休人员较上年减少，职业年金缴费较上年减少。</w:t>
      </w:r>
    </w:p>
    <w:p w14:paraId="4533F658">
      <w:pPr>
        <w:spacing w:line="580" w:lineRule="exact"/>
        <w:ind w:firstLine="640"/>
        <w:jc w:val="both"/>
      </w:pPr>
      <w:r>
        <w:rPr>
          <w:rFonts w:ascii="仿宋_GB2312" w:hAnsi="仿宋_GB2312" w:eastAsia="仿宋_GB2312"/>
          <w:b w:val="0"/>
          <w:sz w:val="32"/>
        </w:rPr>
        <w:t>8.卫生健康支出(类)行政事业单位医疗(款)行政单位医疗(项):支出决算数为50.57万元，比上年决算增加50.57万元，增长100.00%,主要原因是：本年功能科目调整，行政单位医疗上年度在主科目列支，本年单独列支，导致经费较上年增加。</w:t>
      </w:r>
    </w:p>
    <w:p w14:paraId="48D4672F">
      <w:pPr>
        <w:spacing w:line="580" w:lineRule="exact"/>
        <w:ind w:firstLine="640"/>
        <w:jc w:val="both"/>
      </w:pPr>
      <w:r>
        <w:rPr>
          <w:rFonts w:ascii="仿宋_GB2312" w:hAnsi="仿宋_GB2312" w:eastAsia="仿宋_GB2312"/>
          <w:b w:val="0"/>
          <w:sz w:val="32"/>
        </w:rPr>
        <w:t>9.卫生健康支出(类)行政事业单位医疗(款)公务员医疗补助(项):支出决算数为25.33万元，比上年决算增加25.33万元，增长100.00%,主要原因是：本年功能科目调整，公务员医疗补助上年度在主科目列支，本年单独列支，导致经费较上年增加。</w:t>
      </w:r>
    </w:p>
    <w:p w14:paraId="4F728E28">
      <w:pPr>
        <w:spacing w:line="580" w:lineRule="exact"/>
        <w:ind w:firstLine="640"/>
        <w:jc w:val="both"/>
      </w:pPr>
      <w:r>
        <w:rPr>
          <w:rFonts w:ascii="仿宋_GB2312" w:hAnsi="仿宋_GB2312" w:eastAsia="仿宋_GB2312"/>
          <w:b w:val="0"/>
          <w:sz w:val="32"/>
        </w:rPr>
        <w:t>10.农林水支出(类)巩固脱贫攻坚成果衔接乡村振兴(款)其他巩固脱贫攻坚成果衔接乡村振兴支出(项):支出决算数为30.00万元，比上年决算增加30.00万元，增长100.00%,主要原因是：本年增加支持自主创业补助资金项目。</w:t>
      </w:r>
    </w:p>
    <w:p w14:paraId="5BFFF325">
      <w:pPr>
        <w:spacing w:line="580" w:lineRule="exact"/>
        <w:ind w:firstLine="640"/>
        <w:jc w:val="both"/>
      </w:pPr>
      <w:r>
        <w:rPr>
          <w:rFonts w:ascii="仿宋_GB2312" w:hAnsi="仿宋_GB2312" w:eastAsia="仿宋_GB2312"/>
          <w:b w:val="0"/>
          <w:sz w:val="32"/>
        </w:rPr>
        <w:t>11.农林水支出(类)农村综合改革(款)对村集体经济组织的补助(项):支出决算数为461.18万元，比上年决算增加291.18万元，增长171.28%,主要原因是：本年农贸市场建设项目发展壮大村集体经济资金较上年增加。</w:t>
      </w:r>
    </w:p>
    <w:p w14:paraId="5E9811BB">
      <w:pPr>
        <w:spacing w:line="580" w:lineRule="exact"/>
        <w:ind w:firstLine="640"/>
        <w:jc w:val="both"/>
      </w:pPr>
      <w:r>
        <w:rPr>
          <w:rFonts w:ascii="仿宋_GB2312" w:hAnsi="仿宋_GB2312" w:eastAsia="仿宋_GB2312"/>
          <w:b w:val="0"/>
          <w:sz w:val="32"/>
        </w:rPr>
        <w:t>12.住房保障支出(类)住房改革支出(款)住房公积金(项):支出决算数为95.14万元，比上年决算增加95.14万元，增长100.00%,主要原因是：本年功能科目调整，住房公积金上年度在主科目列支，本年单独列支，导致经费较上年增加。</w:t>
      </w:r>
    </w:p>
    <w:p w14:paraId="5AF07779">
      <w:pPr>
        <w:spacing w:line="580" w:lineRule="exact"/>
        <w:ind w:firstLine="640"/>
        <w:jc w:val="both"/>
      </w:pPr>
      <w:r>
        <w:rPr>
          <w:rFonts w:ascii="仿宋_GB2312" w:hAnsi="仿宋_GB2312" w:eastAsia="仿宋_GB2312"/>
          <w:b w:val="0"/>
          <w:sz w:val="32"/>
        </w:rPr>
        <w:t>13.其他支出(类)其他支出(款)其他支出(项):支出决算数为46.92万元，比上年决算增加41.18万元，增长717.42%,主要原因是：本年为民办实事工作经费较上年增加。</w:t>
      </w:r>
    </w:p>
    <w:p w14:paraId="1BF29066">
      <w:pPr>
        <w:spacing w:line="640" w:lineRule="exact"/>
        <w:ind w:firstLine="640"/>
        <w:jc w:val="both"/>
        <w:outlineLvl w:val="2"/>
      </w:pPr>
      <w:r>
        <w:rPr>
          <w:rFonts w:ascii="黑体" w:hAnsi="黑体" w:eastAsia="黑体"/>
          <w:sz w:val="32"/>
        </w:rPr>
        <w:t>六、一般公共预算财政拨款基本支出决算情况说明</w:t>
      </w:r>
    </w:p>
    <w:p w14:paraId="04AB8D5B">
      <w:pPr>
        <w:spacing w:line="580" w:lineRule="exact"/>
        <w:ind w:firstLine="640"/>
        <w:jc w:val="both"/>
      </w:pPr>
      <w:r>
        <w:rPr>
          <w:rFonts w:ascii="仿宋_GB2312" w:hAnsi="仿宋_GB2312" w:eastAsia="仿宋_GB2312"/>
          <w:b w:val="0"/>
          <w:sz w:val="32"/>
        </w:rPr>
        <w:t>2024年度一般公共预算财政拨款基本支出1,348.06万元，其中：</w:t>
      </w:r>
      <w:r>
        <w:rPr>
          <w:rFonts w:ascii="仿宋_GB2312" w:hAnsi="仿宋_GB2312" w:eastAsia="仿宋_GB2312"/>
          <w:b/>
          <w:sz w:val="32"/>
        </w:rPr>
        <w:t>人员经费1,312.95万元，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2FA6CBAD">
      <w:pPr>
        <w:spacing w:line="580" w:lineRule="exact"/>
        <w:ind w:firstLine="640"/>
        <w:jc w:val="both"/>
      </w:pPr>
      <w:r>
        <w:rPr>
          <w:rFonts w:ascii="仿宋_GB2312" w:hAnsi="仿宋_GB2312" w:eastAsia="仿宋_GB2312"/>
          <w:b/>
          <w:sz w:val="32"/>
        </w:rPr>
        <w:t>公用经费35.11万元，</w:t>
      </w:r>
      <w:r>
        <w:rPr>
          <w:rFonts w:ascii="仿宋_GB2312" w:hAnsi="仿宋_GB2312" w:eastAsia="仿宋_GB2312"/>
          <w:b w:val="0"/>
          <w:sz w:val="32"/>
        </w:rPr>
        <w:t>包括：办公费、手续费、水费、电费、邮电费、取暖费、差旅费、维修（护）费、培训费、专用材料费、劳务费、公务用车运行维护费、其他交通费用、办公设备购置。</w:t>
      </w:r>
    </w:p>
    <w:p w14:paraId="7EB0277D">
      <w:pPr>
        <w:spacing w:line="640" w:lineRule="exact"/>
        <w:ind w:firstLine="640"/>
        <w:jc w:val="both"/>
        <w:outlineLvl w:val="2"/>
      </w:pPr>
      <w:r>
        <w:rPr>
          <w:rFonts w:ascii="黑体" w:hAnsi="黑体" w:eastAsia="黑体"/>
          <w:sz w:val="32"/>
        </w:rPr>
        <w:t>七、政府性基金预算财政拨款收入支出决算情况说明</w:t>
      </w:r>
    </w:p>
    <w:p w14:paraId="1FE33743">
      <w:pPr>
        <w:spacing w:line="580" w:lineRule="exact"/>
        <w:ind w:firstLine="640"/>
        <w:jc w:val="both"/>
      </w:pPr>
      <w:r>
        <w:rPr>
          <w:rFonts w:ascii="仿宋_GB2312" w:hAnsi="仿宋_GB2312" w:eastAsia="仿宋_GB2312"/>
          <w:b/>
          <w:sz w:val="32"/>
        </w:rPr>
        <w:t>2024年度政府性基金预算财政拨款收入总计5.27万元，</w:t>
      </w:r>
      <w:r>
        <w:rPr>
          <w:rFonts w:ascii="仿宋_GB2312" w:hAnsi="仿宋_GB2312" w:eastAsia="仿宋_GB2312"/>
          <w:b w:val="0"/>
          <w:sz w:val="32"/>
        </w:rPr>
        <w:t>其中：年初结转和结余0.00万元，本年收入5.27万元。</w:t>
      </w:r>
      <w:r>
        <w:rPr>
          <w:rFonts w:ascii="仿宋_GB2312" w:hAnsi="仿宋_GB2312" w:eastAsia="仿宋_GB2312"/>
          <w:b/>
          <w:sz w:val="32"/>
        </w:rPr>
        <w:t>政府性基金预算财政拨款支出总计5.27万元，</w:t>
      </w:r>
      <w:r>
        <w:rPr>
          <w:rFonts w:ascii="仿宋_GB2312" w:hAnsi="仿宋_GB2312" w:eastAsia="仿宋_GB2312"/>
          <w:b w:val="0"/>
          <w:sz w:val="32"/>
        </w:rPr>
        <w:t>其中：年末结转和结余0.00万元，本年支出5.27万元。</w:t>
      </w:r>
    </w:p>
    <w:p w14:paraId="3213CA8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增加5.27万元，增长100.00%，主要原因是：本年增加农贸市场建设项目土地征用补偿金。</w:t>
      </w:r>
      <w:r>
        <w:rPr>
          <w:rFonts w:ascii="仿宋_GB2312" w:hAnsi="仿宋_GB2312" w:eastAsia="仿宋_GB2312"/>
          <w:b/>
          <w:sz w:val="32"/>
        </w:rPr>
        <w:t>与年初预算相比，</w:t>
      </w:r>
      <w:r>
        <w:rPr>
          <w:rFonts w:ascii="仿宋_GB2312" w:hAnsi="仿宋_GB2312" w:eastAsia="仿宋_GB2312"/>
          <w:b w:val="0"/>
          <w:sz w:val="32"/>
        </w:rPr>
        <w:t>年初预算数0.00万元，决算数5.27万元，预决算差异率100.00%，主要原因是：年中追加农贸市场建设项目土地征用补偿金项目，导致预决算存在差异。</w:t>
      </w:r>
    </w:p>
    <w:p w14:paraId="04F66774">
      <w:pPr>
        <w:spacing w:line="580" w:lineRule="exact"/>
        <w:ind w:firstLine="640"/>
        <w:jc w:val="both"/>
      </w:pPr>
      <w:r>
        <w:rPr>
          <w:rFonts w:ascii="仿宋_GB2312" w:hAnsi="仿宋_GB2312" w:eastAsia="仿宋_GB2312"/>
          <w:b w:val="0"/>
          <w:sz w:val="32"/>
        </w:rPr>
        <w:t>政府性基金预算财政拨款支出5.27万元。</w:t>
      </w:r>
    </w:p>
    <w:p w14:paraId="5FB73DEC">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1.城乡社区支出(类)国有土地使用权出让收入安排的支出(款)征地和拆迁补偿支出(项):支出决算数为5.27万元，比上年决算增加5.27万元，增长100.00%,主要原因是：本年增加农贸市场建设项目土地征用补偿金。</w:t>
      </w:r>
    </w:p>
    <w:p w14:paraId="4D9B5D74">
      <w:pPr>
        <w:spacing w:line="640" w:lineRule="exact"/>
        <w:ind w:firstLine="640"/>
        <w:jc w:val="both"/>
        <w:outlineLvl w:val="2"/>
      </w:pPr>
      <w:r>
        <w:rPr>
          <w:rFonts w:ascii="黑体" w:hAnsi="黑体" w:eastAsia="黑体"/>
          <w:sz w:val="32"/>
        </w:rPr>
        <w:t>八、国有资本经营预算财政拨款收入支出决算情况说明</w:t>
      </w:r>
    </w:p>
    <w:p w14:paraId="77D51F7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17CF0CA">
      <w:pPr>
        <w:spacing w:line="640" w:lineRule="exact"/>
        <w:ind w:firstLine="640"/>
        <w:jc w:val="both"/>
        <w:outlineLvl w:val="2"/>
      </w:pPr>
      <w:r>
        <w:rPr>
          <w:rFonts w:ascii="黑体" w:hAnsi="黑体" w:eastAsia="黑体"/>
          <w:sz w:val="32"/>
        </w:rPr>
        <w:t>九、财政拨款“三公”经费支出决算情况说明</w:t>
      </w:r>
    </w:p>
    <w:p w14:paraId="43FD689A">
      <w:pPr>
        <w:spacing w:line="580" w:lineRule="exact"/>
        <w:ind w:firstLine="640"/>
        <w:jc w:val="both"/>
      </w:pPr>
      <w:r>
        <w:rPr>
          <w:rFonts w:ascii="仿宋_GB2312" w:hAnsi="仿宋_GB2312" w:eastAsia="仿宋_GB2312"/>
          <w:b/>
          <w:sz w:val="32"/>
        </w:rPr>
        <w:t>2024年度财政拨款“三公”经费支出7.58万元，</w:t>
      </w:r>
      <w:r>
        <w:rPr>
          <w:rFonts w:ascii="仿宋_GB2312" w:hAnsi="仿宋_GB2312" w:eastAsia="仿宋_GB2312"/>
          <w:b w:val="0"/>
          <w:sz w:val="32"/>
        </w:rPr>
        <w:t>比上年增加1.93万元，增长34.16%，主要原因是：本年因业务需求，用车次数增加，燃油费增加，支付以前年度公务用车维修费，导致公务用车运行维护费较上年增加。其中：因公出国（境）费支出0.00万元，占0.00%，比上年增加0.00万元，增长0.00%，主要原因是：2023年与2024年均未安排因公出国（境）费支出。公务用车购置及运行维护费支出7.58万元，占100.00%，比上年增加1.93万元，增长34.16%，主要原因是：本年因业务需求，用车次数增加，燃油费增加，支付以前年度公务用车维修费，导致公务用车运行维护费较上年增加。公务接待费支出0.00万元，占0.00%，比上年增加0.00万元，增长0.00%，主要原因是：2023年与2024年均未安排公务接待费支出。</w:t>
      </w:r>
    </w:p>
    <w:p w14:paraId="7A43D0B3">
      <w:pPr>
        <w:spacing w:line="580" w:lineRule="exact"/>
        <w:ind w:firstLine="640"/>
        <w:jc w:val="both"/>
      </w:pPr>
      <w:r>
        <w:rPr>
          <w:rFonts w:ascii="仿宋_GB2312" w:hAnsi="仿宋_GB2312" w:eastAsia="仿宋_GB2312"/>
          <w:b/>
          <w:sz w:val="32"/>
        </w:rPr>
        <w:t>具体情况如下：</w:t>
      </w:r>
    </w:p>
    <w:p w14:paraId="27FD0C7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C8B9045">
      <w:pPr>
        <w:spacing w:line="580" w:lineRule="exact"/>
        <w:ind w:firstLine="640"/>
        <w:jc w:val="both"/>
      </w:pPr>
      <w:r>
        <w:rPr>
          <w:rFonts w:ascii="仿宋_GB2312" w:hAnsi="仿宋_GB2312" w:eastAsia="仿宋_GB2312"/>
          <w:b w:val="0"/>
          <w:sz w:val="32"/>
        </w:rPr>
        <w:t>公务用车购置及运行维护费7.58万元，其中：公务用车购置费0.00万元，公务用车运行维护费7.58万元。公务用车运行维护费开支内容包括车辆加油费、维修费、保险费、审车费。公务用车购置数0辆，公务用车保有量13辆。国有资产占用情况中固定资产车辆13辆，与公务用车保有量差异原因是：本单位固定资产车辆与公务用车保有量一致无差异。</w:t>
      </w:r>
    </w:p>
    <w:p w14:paraId="03B912A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46544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17.10万元，决算数7.58万元，预决算差异率-55.67%，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17.10万元，决算数7.58万元，预决算差异率-55.67%，主要原因是：严格落实中央八项规定精神，厉行节约，减少公务用车使用频次，燃油费减少。公务接待费全年预算数0.00万元，决算数0.00万元，预决算差异率0.00%，主要原因是：本单位无公务接待费。</w:t>
      </w:r>
    </w:p>
    <w:p w14:paraId="0CAF3D5F">
      <w:pPr>
        <w:spacing w:line="640" w:lineRule="exact"/>
        <w:ind w:firstLine="640"/>
        <w:jc w:val="both"/>
        <w:outlineLvl w:val="2"/>
      </w:pPr>
      <w:r>
        <w:rPr>
          <w:rFonts w:ascii="黑体" w:hAnsi="黑体" w:eastAsia="黑体"/>
          <w:sz w:val="32"/>
        </w:rPr>
        <w:t>十、其他重要事项的情况说明</w:t>
      </w:r>
    </w:p>
    <w:p w14:paraId="1490BA9B">
      <w:pPr>
        <w:spacing w:line="640" w:lineRule="exact"/>
        <w:ind w:firstLine="640"/>
        <w:jc w:val="both"/>
        <w:outlineLvl w:val="3"/>
      </w:pPr>
      <w:r>
        <w:rPr>
          <w:rFonts w:ascii="楷体_GB2312" w:hAnsi="楷体_GB2312" w:eastAsia="楷体_GB2312"/>
          <w:b/>
          <w:sz w:val="32"/>
        </w:rPr>
        <w:t>（一）机关运行经费及公用经费支出情况</w:t>
      </w:r>
    </w:p>
    <w:p w14:paraId="5C6AA78B">
      <w:pPr>
        <w:spacing w:line="580" w:lineRule="exact"/>
        <w:ind w:firstLine="640"/>
        <w:jc w:val="both"/>
      </w:pPr>
      <w:r>
        <w:rPr>
          <w:rFonts w:ascii="仿宋_GB2312" w:hAnsi="仿宋_GB2312" w:eastAsia="仿宋_GB2312"/>
          <w:b w:val="0"/>
          <w:sz w:val="32"/>
        </w:rPr>
        <w:t>2024年度洛浦县市场监督管理局（行政单位和参照公务员法管理事业单位）机关运行经费支出35.11万元，比上年增加6.85万元，增长24.24%，主要原因是：本年更新、维护补充办公用品，增加水费，导致机关运行经费较上年增加。</w:t>
      </w:r>
    </w:p>
    <w:p w14:paraId="50C277C8">
      <w:pPr>
        <w:spacing w:line="640" w:lineRule="exact"/>
        <w:ind w:firstLine="640"/>
        <w:jc w:val="both"/>
        <w:outlineLvl w:val="3"/>
      </w:pPr>
      <w:r>
        <w:rPr>
          <w:rFonts w:ascii="楷体_GB2312" w:hAnsi="楷体_GB2312" w:eastAsia="楷体_GB2312"/>
          <w:b/>
          <w:sz w:val="32"/>
        </w:rPr>
        <w:t>（二）政府采购情况</w:t>
      </w:r>
    </w:p>
    <w:p w14:paraId="6FB58B9B">
      <w:pPr>
        <w:spacing w:line="580" w:lineRule="exact"/>
        <w:ind w:firstLine="640"/>
        <w:jc w:val="both"/>
      </w:pPr>
      <w:r>
        <w:rPr>
          <w:rFonts w:ascii="仿宋_GB2312" w:hAnsi="仿宋_GB2312" w:eastAsia="仿宋_GB2312"/>
          <w:b w:val="0"/>
          <w:sz w:val="32"/>
        </w:rPr>
        <w:t>2024年度政府采购支出总额6.27万元，其中：政府采购货物支出2.90万元、政府采购工程支出0.00万元、政府采购服务支出3.37万元。</w:t>
      </w:r>
    </w:p>
    <w:p w14:paraId="1334F1B2">
      <w:pPr>
        <w:spacing w:line="580" w:lineRule="exact"/>
        <w:ind w:firstLine="640"/>
        <w:jc w:val="both"/>
      </w:pPr>
      <w:r>
        <w:rPr>
          <w:rFonts w:ascii="仿宋_GB2312" w:hAnsi="仿宋_GB2312" w:eastAsia="仿宋_GB2312"/>
          <w:b w:val="0"/>
          <w:sz w:val="32"/>
        </w:rPr>
        <w:t>授予中小企业合同金额6.10万元，占政府采购支出总额的97.29%，其中：授予小微企业合同金额3.78万元，占政府采购支出总额的60.29%。</w:t>
      </w:r>
    </w:p>
    <w:p w14:paraId="2FE761F4">
      <w:pPr>
        <w:spacing w:line="640" w:lineRule="exact"/>
        <w:ind w:firstLine="640"/>
        <w:jc w:val="both"/>
        <w:outlineLvl w:val="3"/>
      </w:pPr>
      <w:r>
        <w:rPr>
          <w:rFonts w:ascii="楷体_GB2312" w:hAnsi="楷体_GB2312" w:eastAsia="楷体_GB2312"/>
          <w:b/>
          <w:sz w:val="32"/>
        </w:rPr>
        <w:t>（三）国有资产占用情况说明</w:t>
      </w:r>
    </w:p>
    <w:p w14:paraId="450ABBB1">
      <w:pPr>
        <w:spacing w:line="580" w:lineRule="exact"/>
        <w:ind w:firstLine="640"/>
        <w:jc w:val="both"/>
      </w:pPr>
      <w:r>
        <w:rPr>
          <w:rFonts w:ascii="仿宋_GB2312" w:hAnsi="仿宋_GB2312" w:eastAsia="仿宋_GB2312"/>
          <w:b w:val="0"/>
          <w:sz w:val="32"/>
        </w:rPr>
        <w:t>截至2024年12月31日，房屋23,208.52平方米，价值5,996.62万元。车辆13辆，价值238.44万元，其中：副部（省）级及以上领导用车0辆、主要负责人用车1辆、机要通信用车0辆、应急保障用车0辆、执法执勤用车11辆、特种专业技术用车0辆、离退休干部服务用车0辆、其他用车1辆，其他用车主要是：一般公务用车，用于开展食品抽检的公务用车。单价100万元（含）以上设备（不含车辆）0台（套）。</w:t>
      </w:r>
    </w:p>
    <w:p w14:paraId="1A248900">
      <w:pPr>
        <w:spacing w:line="640" w:lineRule="exact"/>
        <w:ind w:firstLine="640"/>
        <w:jc w:val="both"/>
        <w:outlineLvl w:val="2"/>
      </w:pPr>
      <w:r>
        <w:rPr>
          <w:rFonts w:ascii="黑体" w:hAnsi="黑体" w:eastAsia="黑体"/>
          <w:sz w:val="32"/>
        </w:rPr>
        <w:t>十一、预算绩效的情况说明</w:t>
      </w:r>
    </w:p>
    <w:p w14:paraId="09F57B4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根据预算绩效管理要求，本单位2024年度预算绩效管理形成整体支出绩效自评表1个，全年预算总额1,995.42万元，实际执行总额1,994.65万元；预算绩效评价项目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603.16</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603.14</w:t>
      </w:r>
      <w:r>
        <w:rPr>
          <w:rFonts w:ascii="仿宋_GB2312" w:hAnsi="仿宋_GB2312" w:eastAsia="仿宋_GB2312"/>
          <w:b w:val="0"/>
          <w:sz w:val="32"/>
        </w:rPr>
        <w:t>万元。预算绩效管理取得的成效：一是绩效目标管理日益加强，绩效评价范围不断扩大，促进财政资金使用效益的提高；二是预算绩效管理制度逐步建立，组织机构不断健全，增强了预算管理的工作保障。发现的问题及原因：一是预算执行存在偏差，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支出资金时发现实际支出与年初预算数有偏差，未控制好支出费用，年初预算编制不充分、不准确、不合理的现象。下一步改进措施：一是强化支出预算约束，进一步提高年初预算编制的科学性和准确性，完善预算执行动态约束机制，加强财政预算资金管理，统筹协调推进项目执行，提高财政资金效益和效果；二是强化内部控制管理。严格按规定做好绩效目标申报、自评、公开等相关工作，提高财政资金使用绩效；加强实物资产管理，健全资产管理制度，规范资产清查和核算。具体附整体支出绩效自评表，项目支出绩效自评表和评价报告。</w:t>
      </w:r>
    </w:p>
    <w:p w14:paraId="3DF061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BD94AA">
        <w:tblPrEx>
          <w:tblCellMar>
            <w:top w:w="0" w:type="dxa"/>
            <w:left w:w="108" w:type="dxa"/>
            <w:bottom w:w="0" w:type="dxa"/>
            <w:right w:w="108" w:type="dxa"/>
          </w:tblCellMar>
        </w:tblPrEx>
        <w:tc>
          <w:tcPr>
            <w:tcW w:w="8847" w:type="dxa"/>
            <w:gridSpan w:val="9"/>
            <w:vAlign w:val="center"/>
          </w:tcPr>
          <w:p w14:paraId="740D5031">
            <w:pPr>
              <w:jc w:val="center"/>
            </w:pPr>
            <w:r>
              <w:rPr>
                <w:rFonts w:ascii="宋体" w:hAnsi="宋体" w:eastAsia="宋体"/>
                <w:sz w:val="24"/>
              </w:rPr>
              <w:t>单位整体支出绩效自评表</w:t>
            </w:r>
          </w:p>
        </w:tc>
      </w:tr>
      <w:tr w14:paraId="0C00B778">
        <w:tblPrEx>
          <w:tblCellMar>
            <w:top w:w="0" w:type="dxa"/>
            <w:left w:w="108" w:type="dxa"/>
            <w:bottom w:w="0" w:type="dxa"/>
            <w:right w:w="108" w:type="dxa"/>
          </w:tblCellMar>
        </w:tblPrEx>
        <w:tc>
          <w:tcPr>
            <w:tcW w:w="8847" w:type="dxa"/>
            <w:gridSpan w:val="9"/>
            <w:vAlign w:val="center"/>
          </w:tcPr>
          <w:p w14:paraId="352FF43C">
            <w:pPr>
              <w:jc w:val="center"/>
            </w:pPr>
            <w:r>
              <w:rPr>
                <w:rFonts w:ascii="宋体" w:hAnsi="宋体" w:eastAsia="宋体"/>
                <w:sz w:val="24"/>
              </w:rPr>
              <w:t>（2024年度）</w:t>
            </w:r>
          </w:p>
        </w:tc>
      </w:tr>
      <w:tr w14:paraId="57F165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F404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03940A">
            <w:pPr>
              <w:jc w:val="center"/>
            </w:pPr>
            <w:r>
              <w:rPr>
                <w:rFonts w:ascii="宋体" w:hAnsi="宋体" w:eastAsia="宋体"/>
                <w:sz w:val="16"/>
              </w:rPr>
              <w:t>洛浦县市场监督管理局</w:t>
            </w:r>
          </w:p>
        </w:tc>
      </w:tr>
      <w:tr w14:paraId="736583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8983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539C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93F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B81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FFC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A3CF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E25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2093">
            <w:pPr>
              <w:jc w:val="center"/>
            </w:pPr>
            <w:r>
              <w:rPr>
                <w:rFonts w:ascii="宋体" w:hAnsi="宋体" w:eastAsia="宋体"/>
                <w:sz w:val="16"/>
              </w:rPr>
              <w:t>得分</w:t>
            </w:r>
          </w:p>
        </w:tc>
      </w:tr>
      <w:tr w14:paraId="4438C6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6BA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F4877">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63B2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CD428">
            <w:pPr>
              <w:jc w:val="center"/>
            </w:pPr>
            <w:r>
              <w:rPr>
                <w:rFonts w:ascii="宋体" w:hAnsi="宋体" w:eastAsia="宋体"/>
                <w:sz w:val="16"/>
              </w:rPr>
              <w:t>282.90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5E48E">
            <w:pPr>
              <w:jc w:val="center"/>
            </w:pPr>
            <w:r>
              <w:rPr>
                <w:rFonts w:ascii="宋体" w:hAnsi="宋体" w:eastAsia="宋体"/>
                <w:sz w:val="16"/>
              </w:rPr>
              <w:t>556.80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BAB3D">
            <w:pPr>
              <w:jc w:val="center"/>
            </w:pPr>
            <w:r>
              <w:rPr>
                <w:rFonts w:ascii="宋体" w:hAnsi="宋体" w:eastAsia="宋体"/>
                <w:sz w:val="16"/>
              </w:rPr>
              <w:t>556.80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3ED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AD0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E340C">
            <w:pPr>
              <w:jc w:val="center"/>
            </w:pPr>
            <w:r>
              <w:rPr>
                <w:rFonts w:ascii="宋体" w:hAnsi="宋体" w:eastAsia="宋体"/>
                <w:sz w:val="16"/>
              </w:rPr>
              <w:t>-</w:t>
            </w:r>
          </w:p>
        </w:tc>
      </w:tr>
      <w:tr w14:paraId="446FEC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040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1D8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235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971D1">
            <w:pPr>
              <w:jc w:val="center"/>
            </w:pPr>
            <w:r>
              <w:rPr>
                <w:rFonts w:ascii="宋体" w:hAnsi="宋体" w:eastAsia="宋体"/>
                <w:sz w:val="16"/>
              </w:rPr>
              <w:t>1,402.59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B2E8C">
            <w:pPr>
              <w:jc w:val="center"/>
            </w:pPr>
            <w:r>
              <w:rPr>
                <w:rFonts w:ascii="宋体" w:hAnsi="宋体" w:eastAsia="宋体"/>
                <w:sz w:val="16"/>
              </w:rPr>
              <w:t>1,438.62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197CE">
            <w:pPr>
              <w:jc w:val="center"/>
            </w:pPr>
            <w:r>
              <w:rPr>
                <w:rFonts w:ascii="宋体" w:hAnsi="宋体" w:eastAsia="宋体"/>
                <w:sz w:val="16"/>
              </w:rPr>
              <w:t>1,437.85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94A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E49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4E1A4">
            <w:pPr>
              <w:jc w:val="center"/>
            </w:pPr>
            <w:r>
              <w:rPr>
                <w:rFonts w:ascii="宋体" w:hAnsi="宋体" w:eastAsia="宋体"/>
                <w:sz w:val="16"/>
              </w:rPr>
              <w:t>-</w:t>
            </w:r>
          </w:p>
        </w:tc>
      </w:tr>
      <w:tr w14:paraId="5AA753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934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AA1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3AFD1">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507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A93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D35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FBF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A7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29F1D">
            <w:pPr>
              <w:jc w:val="center"/>
            </w:pPr>
            <w:r>
              <w:rPr>
                <w:rFonts w:ascii="宋体" w:hAnsi="宋体" w:eastAsia="宋体"/>
                <w:sz w:val="16"/>
              </w:rPr>
              <w:t>-</w:t>
            </w:r>
          </w:p>
        </w:tc>
      </w:tr>
      <w:tr w14:paraId="52AF0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A94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E27D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355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FB5F">
            <w:pPr>
              <w:jc w:val="center"/>
            </w:pPr>
            <w:r>
              <w:rPr>
                <w:rFonts w:ascii="宋体" w:hAnsi="宋体" w:eastAsia="宋体"/>
                <w:sz w:val="16"/>
              </w:rPr>
              <w:t>1,685.49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6DFF1">
            <w:pPr>
              <w:jc w:val="center"/>
            </w:pPr>
            <w:r>
              <w:rPr>
                <w:rFonts w:ascii="宋体" w:hAnsi="宋体" w:eastAsia="宋体"/>
                <w:sz w:val="16"/>
              </w:rPr>
              <w:t>1,995.42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43FD1">
            <w:pPr>
              <w:jc w:val="center"/>
            </w:pPr>
            <w:r>
              <w:rPr>
                <w:rFonts w:ascii="宋体" w:hAnsi="宋体" w:eastAsia="宋体"/>
                <w:sz w:val="16"/>
              </w:rPr>
              <w:t>1,994.65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C58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D140C">
            <w:pPr>
              <w:jc w:val="center"/>
            </w:pPr>
            <w:r>
              <w:rPr>
                <w:rFonts w:ascii="宋体" w:hAnsi="宋体" w:eastAsia="宋体"/>
                <w:sz w:val="16"/>
              </w:rPr>
              <w:t>99.96%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64570">
            <w:pPr>
              <w:jc w:val="center"/>
            </w:pPr>
            <w:r>
              <w:rPr>
                <w:rFonts w:ascii="宋体" w:hAnsi="宋体" w:eastAsia="宋体"/>
                <w:sz w:val="16"/>
              </w:rPr>
              <w:t>9.99</w:t>
            </w:r>
          </w:p>
        </w:tc>
      </w:tr>
      <w:tr w14:paraId="430CFB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9B1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AC46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816EBB">
            <w:pPr>
              <w:jc w:val="center"/>
            </w:pPr>
            <w:r>
              <w:rPr>
                <w:rFonts w:ascii="宋体" w:hAnsi="宋体" w:eastAsia="宋体"/>
                <w:sz w:val="16"/>
              </w:rPr>
              <w:t>实际完成情况</w:t>
            </w:r>
          </w:p>
        </w:tc>
      </w:tr>
      <w:tr w14:paraId="276707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E2C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35B73C">
            <w:pPr>
              <w:jc w:val="both"/>
            </w:pPr>
            <w:r>
              <w:rPr>
                <w:rFonts w:ascii="宋体" w:hAnsi="宋体" w:eastAsia="宋体"/>
                <w:sz w:val="16"/>
              </w:rPr>
              <w:t>一是提升消费维权成效。加大消费侵权案件查办力度。以现有举报投诉平台为依托，加大线下举报受理及处置力度，在及时率和满意度上寻求突破，高质量做好消费维权保障工作，组织消费维权宣传活动全年不少于5次，更好地维护消费者权益。二是全力确保食品药品安全。加大食品药品安全监管力度，坚决守住不发生重大食品药品安全问题的底线，巩固和发展食品安全稳定向好的势头。推进综合治理，深化食品农产品和食品生产经</w:t>
            </w:r>
            <w:r>
              <w:rPr>
                <w:rFonts w:hint="eastAsia" w:ascii="宋体" w:hAnsi="宋体"/>
                <w:sz w:val="16"/>
                <w:lang w:eastAsia="zh-CN"/>
              </w:rPr>
              <w:t>营各个环节</w:t>
            </w:r>
            <w:r>
              <w:rPr>
                <w:rFonts w:ascii="宋体" w:hAnsi="宋体" w:eastAsia="宋体"/>
                <w:sz w:val="16"/>
              </w:rPr>
              <w:t>的整治，坚决查处食品非法添加等各类违法违规行为。加大对大型超市、集贸市场、</w:t>
            </w:r>
            <w:r>
              <w:rPr>
                <w:rFonts w:hint="eastAsia" w:ascii="宋体" w:hAnsi="宋体"/>
                <w:sz w:val="16"/>
                <w:lang w:eastAsia="zh-CN"/>
              </w:rPr>
              <w:t>城乡接合部</w:t>
            </w:r>
            <w:r>
              <w:rPr>
                <w:rFonts w:ascii="宋体" w:hAnsi="宋体" w:eastAsia="宋体"/>
                <w:sz w:val="16"/>
              </w:rPr>
              <w:t>、学校食堂及校园周边等重点领域的整治力度，切实解决群众关切的突出问题，全面开展监督检查不少于20次，营造安全的饮食和</w:t>
            </w:r>
            <w:r>
              <w:rPr>
                <w:rFonts w:hint="eastAsia" w:ascii="宋体" w:hAnsi="宋体"/>
                <w:sz w:val="16"/>
                <w:lang w:eastAsia="zh-CN"/>
              </w:rPr>
              <w:t>营业</w:t>
            </w:r>
            <w:r>
              <w:rPr>
                <w:rFonts w:ascii="宋体" w:hAnsi="宋体" w:eastAsia="宋体"/>
                <w:sz w:val="16"/>
              </w:rPr>
              <w:t>环境，保证市场监管全覆盖。</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0F9ED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组织消费维权宣传活动5次，开展监督检查20次，市场监管和执法覆盖率达95%。贯彻执行国家、省、市有关工商行政管理、质量技术监督、食品药品监督管理等方面的法律、法规和政策；拟订相关规范性文件和政策、措施并组织实施。拟订并组织实施市场和质量监督管理事业发展规划和技术机构建设规划；组织</w:t>
            </w:r>
            <w:r>
              <w:rPr>
                <w:rFonts w:hint="eastAsia" w:ascii="宋体" w:hAnsi="宋体"/>
                <w:sz w:val="16"/>
                <w:lang w:eastAsia="zh-CN"/>
              </w:rPr>
              <w:t>推进高质量发展</w:t>
            </w:r>
            <w:r>
              <w:rPr>
                <w:rFonts w:ascii="宋体" w:hAnsi="宋体" w:eastAsia="宋体"/>
                <w:sz w:val="16"/>
              </w:rPr>
              <w:t>工作。2.负责涉及工商行政管理、质量技术监督、食品药品监督管理的各类行政审批和行政许可并监督管理。组织查处违反工商行政管理、质量技术监督、食品药品监督管理法律、法规、规章的行为。依法承担对各类市场经营秩序监管责任，组织、指导对市场交易行为和网络商品交易及有关服务行为的监督管理，维护公平竞争的市场经营秩序；组织开展企业信用体系建设和企业信息公示工作，推进政府企业信用、行业信用建设，实施信用分类管理；依法监督管理经纪人、经纪机构及经纪活动。发挥市场监管职能，加强市场监管力度，强化产品质量、食品、药品、医疗器械、特种设备安全监管，建立健全和谐公平公正的市场秩序，打击假冒伪劣产品，规范市场秩序，维护消费者合法权益。保障单位预算项目按计划实施，有利于持续完善安全监管体系，规范市场秩序，维护消费者合法权益。</w:t>
            </w:r>
          </w:p>
        </w:tc>
      </w:tr>
      <w:tr w14:paraId="4E4EB8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4DE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9F9A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F8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7736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7536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7908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9CD9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09429">
            <w:pPr>
              <w:jc w:val="center"/>
            </w:pPr>
            <w:r>
              <w:rPr>
                <w:rFonts w:ascii="宋体" w:hAnsi="宋体" w:eastAsia="宋体"/>
                <w:sz w:val="16"/>
              </w:rPr>
              <w:t>得分</w:t>
            </w:r>
          </w:p>
        </w:tc>
      </w:tr>
      <w:tr w14:paraId="57330C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7E5D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5834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47277">
            <w:pPr>
              <w:jc w:val="center"/>
            </w:pPr>
            <w:r>
              <w:rPr>
                <w:rFonts w:ascii="宋体" w:hAnsi="宋体" w:eastAsia="宋体"/>
                <w:sz w:val="16"/>
              </w:rPr>
              <w:t>组织消费维权宣传活动次数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EB6FB">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37C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4F0D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A8536">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64469">
            <w:pPr>
              <w:jc w:val="center"/>
            </w:pPr>
            <w:r>
              <w:rPr>
                <w:rFonts w:ascii="宋体" w:hAnsi="宋体" w:eastAsia="宋体"/>
                <w:sz w:val="16"/>
              </w:rPr>
              <w:t>30</w:t>
            </w:r>
          </w:p>
        </w:tc>
      </w:tr>
      <w:tr w14:paraId="6F2CF9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665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338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5DE20">
            <w:pPr>
              <w:jc w:val="center"/>
            </w:pPr>
            <w:r>
              <w:rPr>
                <w:rFonts w:ascii="宋体" w:hAnsi="宋体" w:eastAsia="宋体"/>
                <w:sz w:val="16"/>
              </w:rPr>
              <w:t>开展监督检查次数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F0F58">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0B9E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0773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6646F">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7C89">
            <w:pPr>
              <w:jc w:val="center"/>
            </w:pPr>
            <w:r>
              <w:rPr>
                <w:rFonts w:ascii="宋体" w:hAnsi="宋体" w:eastAsia="宋体"/>
                <w:sz w:val="16"/>
              </w:rPr>
              <w:t>30</w:t>
            </w:r>
          </w:p>
        </w:tc>
      </w:tr>
      <w:tr w14:paraId="6AA62B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E80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6798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6D94">
            <w:pPr>
              <w:jc w:val="center"/>
            </w:pPr>
            <w:r>
              <w:rPr>
                <w:rFonts w:ascii="宋体" w:hAnsi="宋体" w:eastAsia="宋体"/>
                <w:sz w:val="16"/>
              </w:rPr>
              <w:t>市场监管和执法覆盖率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FC6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6A39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DB4E9">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BF1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CE40C">
            <w:pPr>
              <w:jc w:val="center"/>
            </w:pPr>
            <w:r>
              <w:rPr>
                <w:rFonts w:ascii="宋体" w:hAnsi="宋体" w:eastAsia="宋体"/>
                <w:sz w:val="16"/>
              </w:rPr>
              <w:t>30</w:t>
            </w:r>
          </w:p>
        </w:tc>
      </w:tr>
    </w:tbl>
    <w:p w14:paraId="21648E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75593F">
        <w:tblPrEx>
          <w:tblCellMar>
            <w:top w:w="0" w:type="dxa"/>
            <w:left w:w="108" w:type="dxa"/>
            <w:bottom w:w="0" w:type="dxa"/>
            <w:right w:w="108" w:type="dxa"/>
          </w:tblCellMar>
        </w:tblPrEx>
        <w:tc>
          <w:tcPr>
            <w:tcW w:w="8847" w:type="dxa"/>
            <w:gridSpan w:val="9"/>
            <w:vAlign w:val="center"/>
          </w:tcPr>
          <w:p w14:paraId="67DB92C8">
            <w:pPr>
              <w:jc w:val="center"/>
            </w:pPr>
            <w:r>
              <w:rPr>
                <w:rFonts w:ascii="宋体" w:hAnsi="宋体" w:eastAsia="宋体"/>
                <w:sz w:val="24"/>
              </w:rPr>
              <w:t>项目支出绩效自评表</w:t>
            </w:r>
          </w:p>
        </w:tc>
      </w:tr>
      <w:tr w14:paraId="5B582B8C">
        <w:tblPrEx>
          <w:tblCellMar>
            <w:top w:w="0" w:type="dxa"/>
            <w:left w:w="108" w:type="dxa"/>
            <w:bottom w:w="0" w:type="dxa"/>
            <w:right w:w="108" w:type="dxa"/>
          </w:tblCellMar>
        </w:tblPrEx>
        <w:tc>
          <w:tcPr>
            <w:tcW w:w="8847" w:type="dxa"/>
            <w:gridSpan w:val="9"/>
            <w:vAlign w:val="center"/>
          </w:tcPr>
          <w:p w14:paraId="7B89672D">
            <w:pPr>
              <w:jc w:val="center"/>
            </w:pPr>
            <w:r>
              <w:rPr>
                <w:rFonts w:ascii="宋体" w:hAnsi="宋体" w:eastAsia="宋体"/>
                <w:sz w:val="24"/>
              </w:rPr>
              <w:t>(2024年度)</w:t>
            </w:r>
          </w:p>
        </w:tc>
      </w:tr>
      <w:tr w14:paraId="3D606E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5FD9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DECB7C">
            <w:pPr>
              <w:jc w:val="center"/>
            </w:pPr>
            <w:r>
              <w:rPr>
                <w:rFonts w:ascii="宋体" w:hAnsi="宋体" w:eastAsia="宋体"/>
                <w:sz w:val="16"/>
              </w:rPr>
              <w:t>2021年中央农村综合改革转移支付资金</w:t>
            </w:r>
          </w:p>
        </w:tc>
      </w:tr>
      <w:tr w14:paraId="4D88A9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2B5A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BB065A">
            <w:pPr>
              <w:jc w:val="center"/>
            </w:pPr>
            <w:r>
              <w:rPr>
                <w:rFonts w:ascii="宋体" w:hAnsi="宋体" w:eastAsia="宋体"/>
                <w:sz w:val="16"/>
              </w:rPr>
              <w:t>洛浦县市场监督管理局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ACD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75A45E">
            <w:pPr>
              <w:jc w:val="center"/>
            </w:pPr>
            <w:r>
              <w:rPr>
                <w:rFonts w:ascii="宋体" w:hAnsi="宋体" w:eastAsia="宋体"/>
                <w:sz w:val="16"/>
              </w:rPr>
              <w:t>洛浦县市场监督管理局</w:t>
            </w:r>
          </w:p>
        </w:tc>
      </w:tr>
      <w:tr w14:paraId="74A1EF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4B72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FD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AD7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868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A4C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7C1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3555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030D6">
            <w:pPr>
              <w:jc w:val="center"/>
            </w:pPr>
            <w:r>
              <w:rPr>
                <w:rFonts w:ascii="宋体" w:hAnsi="宋体" w:eastAsia="宋体"/>
                <w:sz w:val="16"/>
              </w:rPr>
              <w:t>得分</w:t>
            </w:r>
          </w:p>
        </w:tc>
      </w:tr>
      <w:tr w14:paraId="3B80A0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B6F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169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538F5">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F5E90">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FDC80">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A97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D4CD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D7456">
            <w:pPr>
              <w:jc w:val="center"/>
            </w:pPr>
            <w:r>
              <w:rPr>
                <w:rFonts w:ascii="宋体" w:hAnsi="宋体" w:eastAsia="宋体"/>
                <w:sz w:val="16"/>
              </w:rPr>
              <w:t>10.00分</w:t>
            </w:r>
          </w:p>
        </w:tc>
      </w:tr>
      <w:tr w14:paraId="10167C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881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9C2F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ADE47">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81E0C">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ECF1">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DBE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CC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49F4">
            <w:pPr>
              <w:jc w:val="center"/>
            </w:pPr>
            <w:r>
              <w:rPr>
                <w:rFonts w:ascii="宋体" w:hAnsi="宋体" w:eastAsia="宋体"/>
                <w:sz w:val="16"/>
              </w:rPr>
              <w:t>—</w:t>
            </w:r>
          </w:p>
        </w:tc>
      </w:tr>
      <w:tr w14:paraId="2ED2EC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8ED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DD9E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9FD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157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02A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0C4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AF9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BB72">
            <w:pPr>
              <w:jc w:val="center"/>
            </w:pPr>
            <w:r>
              <w:rPr>
                <w:rFonts w:ascii="宋体" w:hAnsi="宋体" w:eastAsia="宋体"/>
                <w:sz w:val="16"/>
              </w:rPr>
              <w:t>—</w:t>
            </w:r>
          </w:p>
        </w:tc>
      </w:tr>
      <w:tr w14:paraId="62E832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1F6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FCD1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45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5A6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0F7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392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6A5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E8FE7">
            <w:pPr>
              <w:jc w:val="center"/>
            </w:pPr>
            <w:r>
              <w:rPr>
                <w:rFonts w:ascii="宋体" w:hAnsi="宋体" w:eastAsia="宋体"/>
                <w:sz w:val="16"/>
              </w:rPr>
              <w:t>—</w:t>
            </w:r>
          </w:p>
        </w:tc>
      </w:tr>
      <w:tr w14:paraId="39B15E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A9490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4B3EB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D81994">
            <w:pPr>
              <w:jc w:val="center"/>
            </w:pPr>
            <w:r>
              <w:rPr>
                <w:rFonts w:ascii="宋体" w:hAnsi="宋体" w:eastAsia="宋体"/>
                <w:sz w:val="16"/>
              </w:rPr>
              <w:t>实际完成情况</w:t>
            </w:r>
          </w:p>
        </w:tc>
      </w:tr>
      <w:tr w14:paraId="574755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2FA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B0DCD8">
            <w:pPr>
              <w:jc w:val="both"/>
            </w:pPr>
            <w:r>
              <w:rPr>
                <w:rFonts w:ascii="宋体" w:hAnsi="宋体" w:eastAsia="宋体"/>
                <w:sz w:val="16"/>
              </w:rPr>
              <w:t>根据《关于提前下达2021年中央农村综合改革转移支付预算（项目部分)的通知》（和地财农</w:t>
            </w:r>
            <w:r>
              <w:rPr>
                <w:rFonts w:hint="eastAsia" w:ascii="宋体" w:hAnsi="宋体"/>
                <w:sz w:val="16"/>
                <w:lang w:eastAsia="zh-CN"/>
              </w:rPr>
              <w:t>〔2020〕69号</w:t>
            </w:r>
            <w:r>
              <w:rPr>
                <w:rFonts w:ascii="宋体" w:hAnsi="宋体" w:eastAsia="宋体"/>
                <w:sz w:val="16"/>
              </w:rPr>
              <w:t>）实施此项目，项目主要内容为：保障农贸市场建设项目工程款，通过项目实施，有利于加快农产品流通，促进农村经济发展，完善农贸市场服务，保障政府公信力。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53E9F4">
            <w:pPr>
              <w:jc w:val="both"/>
            </w:pPr>
            <w:r>
              <w:rPr>
                <w:rFonts w:hint="eastAsia" w:ascii="宋体" w:hAnsi="宋体"/>
                <w:sz w:val="16"/>
                <w:lang w:eastAsia="zh-CN"/>
              </w:rPr>
              <w:t>截至</w:t>
            </w:r>
            <w:r>
              <w:rPr>
                <w:rFonts w:ascii="宋体" w:hAnsi="宋体" w:eastAsia="宋体"/>
                <w:sz w:val="16"/>
              </w:rPr>
              <w:t>2024年12月31日，该项目已实施完毕，已支付资金400万元。项目已完成的主要内容是保障了农贸市场建设项目工程款；通过项目实施，加快了农产品流通，促进了农村经济发展，完善了农贸市场服务，保障了政府公信力。项目受益群众满意度达到了95%以上。</w:t>
            </w:r>
          </w:p>
        </w:tc>
      </w:tr>
      <w:tr w14:paraId="48F386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78369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9634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FA3A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092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63C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C46E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B3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0714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E07BB">
            <w:pPr>
              <w:jc w:val="center"/>
            </w:pPr>
            <w:r>
              <w:rPr>
                <w:rFonts w:ascii="宋体" w:hAnsi="宋体" w:eastAsia="宋体"/>
                <w:sz w:val="16"/>
              </w:rPr>
              <w:t>偏差原因分析及改进措施</w:t>
            </w:r>
          </w:p>
        </w:tc>
      </w:tr>
      <w:tr w14:paraId="6734FF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4E2A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E35E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B1A4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CBDA2">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0596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676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B2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615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4FF1">
            <w:pPr>
              <w:jc w:val="center"/>
            </w:pPr>
          </w:p>
        </w:tc>
      </w:tr>
      <w:tr w14:paraId="4ACA55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247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ED8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8697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4C85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81F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B58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B62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C5E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C64CB">
            <w:pPr>
              <w:jc w:val="center"/>
            </w:pPr>
          </w:p>
        </w:tc>
      </w:tr>
      <w:tr w14:paraId="1841EA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B26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134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188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5868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D7446">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A0582">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EE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E54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1745B">
            <w:pPr>
              <w:jc w:val="center"/>
            </w:pPr>
          </w:p>
        </w:tc>
      </w:tr>
      <w:tr w14:paraId="50529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92E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75E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26A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DF2D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624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3F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37E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E7F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9EBF7">
            <w:pPr>
              <w:jc w:val="center"/>
            </w:pPr>
          </w:p>
        </w:tc>
      </w:tr>
      <w:tr w14:paraId="5F2073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B5E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3292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1CD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8A13">
            <w:pPr>
              <w:jc w:val="center"/>
            </w:pPr>
            <w:r>
              <w:rPr>
                <w:rFonts w:ascii="宋体" w:hAnsi="宋体" w:eastAsia="宋体"/>
                <w:sz w:val="16"/>
              </w:rPr>
              <w:t>工程款标准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02858">
            <w:pPr>
              <w:jc w:val="center"/>
            </w:pPr>
            <w:r>
              <w:rPr>
                <w:rFonts w:ascii="宋体" w:hAnsi="宋体" w:eastAsia="宋体"/>
                <w:sz w:val="16"/>
              </w:rPr>
              <w:t>&lt;=400万元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1B74C">
            <w:pPr>
              <w:jc w:val="center"/>
            </w:pPr>
            <w:r>
              <w:rPr>
                <w:rFonts w:ascii="宋体" w:hAnsi="宋体" w:eastAsia="宋体"/>
                <w:sz w:val="16"/>
              </w:rPr>
              <w:t>=400万元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FA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5FA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116A3">
            <w:pPr>
              <w:jc w:val="center"/>
            </w:pPr>
          </w:p>
        </w:tc>
      </w:tr>
      <w:tr w14:paraId="46280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36F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CC4E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287C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2EF4">
            <w:pPr>
              <w:jc w:val="center"/>
            </w:pPr>
            <w:r>
              <w:rPr>
                <w:rFonts w:ascii="宋体" w:hAnsi="宋体" w:eastAsia="宋体"/>
                <w:sz w:val="16"/>
              </w:rPr>
              <w:t>完善农贸市场服务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2FA7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5E4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EF7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87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7D4D">
            <w:pPr>
              <w:jc w:val="center"/>
            </w:pPr>
          </w:p>
        </w:tc>
      </w:tr>
      <w:tr w14:paraId="2AA37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31B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D15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5E4B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3562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ACB2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0C94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9A0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7F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2EAED">
            <w:pPr>
              <w:jc w:val="center"/>
            </w:pPr>
          </w:p>
        </w:tc>
      </w:tr>
      <w:tr w14:paraId="133B10C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71C13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3A7F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2CA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F5AA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642189"/>
        </w:tc>
      </w:tr>
    </w:tbl>
    <w:p w14:paraId="1D180CD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0B6804">
        <w:tblPrEx>
          <w:tblCellMar>
            <w:top w:w="0" w:type="dxa"/>
            <w:left w:w="108" w:type="dxa"/>
            <w:bottom w:w="0" w:type="dxa"/>
            <w:right w:w="108" w:type="dxa"/>
          </w:tblCellMar>
        </w:tblPrEx>
        <w:tc>
          <w:tcPr>
            <w:tcW w:w="8847" w:type="dxa"/>
            <w:gridSpan w:val="9"/>
            <w:vAlign w:val="center"/>
          </w:tcPr>
          <w:p w14:paraId="65A13007">
            <w:pPr>
              <w:jc w:val="center"/>
            </w:pPr>
            <w:r>
              <w:rPr>
                <w:rFonts w:ascii="宋体" w:hAnsi="宋体" w:eastAsia="宋体"/>
                <w:sz w:val="24"/>
              </w:rPr>
              <w:t>项目支出绩效自评表</w:t>
            </w:r>
          </w:p>
        </w:tc>
      </w:tr>
      <w:tr w14:paraId="1F20E34B">
        <w:tblPrEx>
          <w:tblCellMar>
            <w:top w:w="0" w:type="dxa"/>
            <w:left w:w="108" w:type="dxa"/>
            <w:bottom w:w="0" w:type="dxa"/>
            <w:right w:w="108" w:type="dxa"/>
          </w:tblCellMar>
        </w:tblPrEx>
        <w:tc>
          <w:tcPr>
            <w:tcW w:w="8847" w:type="dxa"/>
            <w:gridSpan w:val="9"/>
            <w:vAlign w:val="center"/>
          </w:tcPr>
          <w:p w14:paraId="089E0039">
            <w:pPr>
              <w:jc w:val="center"/>
            </w:pPr>
            <w:r>
              <w:rPr>
                <w:rFonts w:ascii="宋体" w:hAnsi="宋体" w:eastAsia="宋体"/>
                <w:sz w:val="24"/>
              </w:rPr>
              <w:t>(2024年度)</w:t>
            </w:r>
          </w:p>
        </w:tc>
      </w:tr>
      <w:tr w14:paraId="5AC6F5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A8B9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C1EDBA">
            <w:pPr>
              <w:jc w:val="center"/>
            </w:pPr>
            <w:r>
              <w:rPr>
                <w:rFonts w:ascii="宋体" w:hAnsi="宋体" w:eastAsia="宋体"/>
                <w:sz w:val="16"/>
              </w:rPr>
              <w:t>2022年自治区农村综合改革转移支付资金</w:t>
            </w:r>
          </w:p>
        </w:tc>
      </w:tr>
      <w:tr w14:paraId="7A2FB2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915C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D50487">
            <w:pPr>
              <w:jc w:val="center"/>
            </w:pPr>
            <w:r>
              <w:rPr>
                <w:rFonts w:ascii="宋体" w:hAnsi="宋体" w:eastAsia="宋体"/>
                <w:sz w:val="16"/>
              </w:rPr>
              <w:t>洛浦县市场监督管理局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F53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B8AEEF">
            <w:pPr>
              <w:jc w:val="center"/>
            </w:pPr>
            <w:r>
              <w:rPr>
                <w:rFonts w:ascii="宋体" w:hAnsi="宋体" w:eastAsia="宋体"/>
                <w:sz w:val="16"/>
              </w:rPr>
              <w:t>洛浦县市场监督管理局</w:t>
            </w:r>
          </w:p>
        </w:tc>
      </w:tr>
      <w:tr w14:paraId="23027D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4263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43D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774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25C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4F0D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32F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7BC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482BA">
            <w:pPr>
              <w:jc w:val="center"/>
            </w:pPr>
            <w:r>
              <w:rPr>
                <w:rFonts w:ascii="宋体" w:hAnsi="宋体" w:eastAsia="宋体"/>
                <w:sz w:val="16"/>
              </w:rPr>
              <w:t>得分</w:t>
            </w:r>
          </w:p>
        </w:tc>
      </w:tr>
      <w:tr w14:paraId="6DEA7C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18D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ECBB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DF54">
            <w:pPr>
              <w:jc w:val="center"/>
            </w:pPr>
            <w:r>
              <w:rPr>
                <w:rFonts w:ascii="宋体" w:hAnsi="宋体" w:eastAsia="宋体"/>
                <w:sz w:val="16"/>
              </w:rPr>
              <w:t>61.18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A40B1">
            <w:pPr>
              <w:jc w:val="center"/>
            </w:pPr>
            <w:r>
              <w:rPr>
                <w:rFonts w:ascii="宋体" w:hAnsi="宋体" w:eastAsia="宋体"/>
                <w:sz w:val="16"/>
              </w:rPr>
              <w:t>61.18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A018C">
            <w:pPr>
              <w:jc w:val="center"/>
            </w:pPr>
            <w:r>
              <w:rPr>
                <w:rFonts w:ascii="宋体" w:hAnsi="宋体" w:eastAsia="宋体"/>
                <w:sz w:val="16"/>
              </w:rPr>
              <w:t>61.18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744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AD0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69EA1">
            <w:pPr>
              <w:jc w:val="center"/>
            </w:pPr>
            <w:r>
              <w:rPr>
                <w:rFonts w:ascii="宋体" w:hAnsi="宋体" w:eastAsia="宋体"/>
                <w:sz w:val="16"/>
              </w:rPr>
              <w:t>10.00分</w:t>
            </w:r>
          </w:p>
        </w:tc>
      </w:tr>
      <w:tr w14:paraId="57D84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A6B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8429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784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B19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CF8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A4E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36A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FE76B">
            <w:pPr>
              <w:jc w:val="center"/>
            </w:pPr>
            <w:r>
              <w:rPr>
                <w:rFonts w:ascii="宋体" w:hAnsi="宋体" w:eastAsia="宋体"/>
                <w:sz w:val="16"/>
              </w:rPr>
              <w:t>—</w:t>
            </w:r>
          </w:p>
        </w:tc>
      </w:tr>
      <w:tr w14:paraId="28C7C6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7A8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593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5DBAC">
            <w:pPr>
              <w:jc w:val="center"/>
            </w:pPr>
            <w:r>
              <w:rPr>
                <w:rFonts w:ascii="宋体" w:hAnsi="宋体" w:eastAsia="宋体"/>
                <w:sz w:val="16"/>
              </w:rPr>
              <w:t>61.18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D764">
            <w:pPr>
              <w:jc w:val="center"/>
            </w:pPr>
            <w:r>
              <w:rPr>
                <w:rFonts w:ascii="宋体" w:hAnsi="宋体" w:eastAsia="宋体"/>
                <w:sz w:val="16"/>
              </w:rPr>
              <w:t>61.18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87416">
            <w:pPr>
              <w:jc w:val="center"/>
            </w:pPr>
            <w:r>
              <w:rPr>
                <w:rFonts w:ascii="宋体" w:hAnsi="宋体" w:eastAsia="宋体"/>
                <w:sz w:val="16"/>
              </w:rPr>
              <w:t>61.18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AE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8CD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521BE">
            <w:pPr>
              <w:jc w:val="center"/>
            </w:pPr>
            <w:r>
              <w:rPr>
                <w:rFonts w:ascii="宋体" w:hAnsi="宋体" w:eastAsia="宋体"/>
                <w:sz w:val="16"/>
              </w:rPr>
              <w:t>—</w:t>
            </w:r>
          </w:p>
        </w:tc>
      </w:tr>
      <w:tr w14:paraId="342A1D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CDB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C67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046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F1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33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54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311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4951">
            <w:pPr>
              <w:jc w:val="center"/>
            </w:pPr>
            <w:r>
              <w:rPr>
                <w:rFonts w:ascii="宋体" w:hAnsi="宋体" w:eastAsia="宋体"/>
                <w:sz w:val="16"/>
              </w:rPr>
              <w:t>—</w:t>
            </w:r>
          </w:p>
        </w:tc>
      </w:tr>
      <w:tr w14:paraId="0C9CF7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4D60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932DF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4E7E6">
            <w:pPr>
              <w:jc w:val="center"/>
            </w:pPr>
            <w:r>
              <w:rPr>
                <w:rFonts w:ascii="宋体" w:hAnsi="宋体" w:eastAsia="宋体"/>
                <w:sz w:val="16"/>
              </w:rPr>
              <w:t>实际完成情况</w:t>
            </w:r>
          </w:p>
        </w:tc>
      </w:tr>
      <w:tr w14:paraId="0D93F2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BC0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A6B239">
            <w:pPr>
              <w:jc w:val="both"/>
            </w:pPr>
            <w:r>
              <w:rPr>
                <w:rFonts w:ascii="宋体" w:hAnsi="宋体" w:eastAsia="宋体"/>
                <w:sz w:val="16"/>
              </w:rPr>
              <w:t>根据《关于提前下达2022年自治区农村综合改革转移支付资金（项目）的通知》（和地财农</w:t>
            </w:r>
            <w:r>
              <w:rPr>
                <w:rFonts w:hint="eastAsia" w:ascii="宋体" w:hAnsi="宋体"/>
                <w:sz w:val="16"/>
                <w:lang w:eastAsia="zh-CN"/>
              </w:rPr>
              <w:t>〔2021〕71号</w:t>
            </w:r>
            <w:r>
              <w:rPr>
                <w:rFonts w:ascii="宋体" w:hAnsi="宋体" w:eastAsia="宋体"/>
                <w:sz w:val="16"/>
              </w:rPr>
              <w:t>）实施此项目，项目主要内容为：保障农贸市场建设项目工程款，2024年计划投资61.18万元。通过项目实施，有利于加快农产品流通，促进农村经济发展，完善农贸市场服务，保障政府公信力。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9BC98B">
            <w:pPr>
              <w:jc w:val="both"/>
            </w:pPr>
            <w:r>
              <w:rPr>
                <w:rFonts w:hint="eastAsia" w:ascii="宋体" w:hAnsi="宋体"/>
                <w:sz w:val="16"/>
                <w:lang w:eastAsia="zh-CN"/>
              </w:rPr>
              <w:t>截至</w:t>
            </w:r>
            <w:r>
              <w:rPr>
                <w:rFonts w:ascii="宋体" w:hAnsi="宋体" w:eastAsia="宋体"/>
                <w:sz w:val="16"/>
              </w:rPr>
              <w:t>2024年12月31日，该项目已实施完毕，已支付资金61.18万元。项目已完成的主要内容是保障了农贸市场建设项目工程款；通过项目实施，加快了农产品流通，促进了农村经济发展，完善了农贸市场服务，保障了政府公信力。项目受益群众满意度达到了100%</w:t>
            </w:r>
          </w:p>
        </w:tc>
      </w:tr>
      <w:tr w14:paraId="03D423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3ED6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480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F1A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BF60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ED6F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504F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CC3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D308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31D44">
            <w:pPr>
              <w:jc w:val="center"/>
            </w:pPr>
            <w:r>
              <w:rPr>
                <w:rFonts w:ascii="宋体" w:hAnsi="宋体" w:eastAsia="宋体"/>
                <w:sz w:val="16"/>
              </w:rPr>
              <w:t>偏差原因分析及改进措施</w:t>
            </w:r>
          </w:p>
        </w:tc>
      </w:tr>
      <w:tr w14:paraId="7BE6A8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34EE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0B38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EE2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5F9F">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398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0877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836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6D4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7CCE1">
            <w:pPr>
              <w:jc w:val="center"/>
            </w:pPr>
          </w:p>
        </w:tc>
      </w:tr>
      <w:tr w14:paraId="11212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BD6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151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28F8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CD32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6B5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343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1CB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109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14F8">
            <w:pPr>
              <w:jc w:val="center"/>
            </w:pPr>
          </w:p>
        </w:tc>
      </w:tr>
      <w:tr w14:paraId="7E4356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06F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327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2F0A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332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27C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B306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66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CF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F8D0">
            <w:pPr>
              <w:jc w:val="center"/>
            </w:pPr>
          </w:p>
        </w:tc>
      </w:tr>
      <w:tr w14:paraId="411849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7E3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9EE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96E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6CF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FD1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060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EC9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F6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616F">
            <w:pPr>
              <w:jc w:val="center"/>
            </w:pPr>
          </w:p>
        </w:tc>
      </w:tr>
      <w:tr w14:paraId="7E654E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5F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7EF7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EA3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67B2C">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1E8A">
            <w:pPr>
              <w:jc w:val="center"/>
            </w:pPr>
            <w:r>
              <w:rPr>
                <w:rFonts w:ascii="宋体" w:hAnsi="宋体" w:eastAsia="宋体"/>
                <w:sz w:val="16"/>
              </w:rPr>
              <w:t>&lt;=61.18万元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1EC22">
            <w:pPr>
              <w:jc w:val="center"/>
            </w:pPr>
            <w:r>
              <w:rPr>
                <w:rFonts w:ascii="宋体" w:hAnsi="宋体" w:eastAsia="宋体"/>
                <w:sz w:val="16"/>
              </w:rPr>
              <w:t>=61.18万元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36A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1E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54782">
            <w:pPr>
              <w:jc w:val="center"/>
            </w:pPr>
          </w:p>
        </w:tc>
      </w:tr>
      <w:tr w14:paraId="7C313F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DA8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64CA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EE4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2D310">
            <w:pPr>
              <w:jc w:val="center"/>
            </w:pPr>
            <w:r>
              <w:rPr>
                <w:rFonts w:ascii="宋体" w:hAnsi="宋体" w:eastAsia="宋体"/>
                <w:sz w:val="16"/>
              </w:rPr>
              <w:t>完善农贸市场服务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6AC1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35C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A53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771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43CB1">
            <w:pPr>
              <w:jc w:val="center"/>
            </w:pPr>
          </w:p>
        </w:tc>
      </w:tr>
      <w:tr w14:paraId="32A7B8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79F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73C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3823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BB21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0D2D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693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065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1C2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EFE58">
            <w:pPr>
              <w:jc w:val="center"/>
            </w:pPr>
          </w:p>
        </w:tc>
      </w:tr>
      <w:tr w14:paraId="6C6FBC8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8EEC8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560D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C1F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B926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DC1039"/>
        </w:tc>
      </w:tr>
    </w:tbl>
    <w:p w14:paraId="6B666E6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3E498B">
        <w:tblPrEx>
          <w:tblCellMar>
            <w:top w:w="0" w:type="dxa"/>
            <w:left w:w="108" w:type="dxa"/>
            <w:bottom w:w="0" w:type="dxa"/>
            <w:right w:w="108" w:type="dxa"/>
          </w:tblCellMar>
        </w:tblPrEx>
        <w:tc>
          <w:tcPr>
            <w:tcW w:w="8847" w:type="dxa"/>
            <w:gridSpan w:val="9"/>
            <w:vAlign w:val="center"/>
          </w:tcPr>
          <w:p w14:paraId="7DA04B8A">
            <w:pPr>
              <w:jc w:val="center"/>
            </w:pPr>
            <w:r>
              <w:rPr>
                <w:rFonts w:ascii="宋体" w:hAnsi="宋体" w:eastAsia="宋体"/>
                <w:sz w:val="24"/>
              </w:rPr>
              <w:t>项目支出绩效自评表</w:t>
            </w:r>
          </w:p>
        </w:tc>
      </w:tr>
      <w:tr w14:paraId="71DB2E74">
        <w:tblPrEx>
          <w:tblCellMar>
            <w:top w:w="0" w:type="dxa"/>
            <w:left w:w="108" w:type="dxa"/>
            <w:bottom w:w="0" w:type="dxa"/>
            <w:right w:w="108" w:type="dxa"/>
          </w:tblCellMar>
        </w:tblPrEx>
        <w:tc>
          <w:tcPr>
            <w:tcW w:w="8847" w:type="dxa"/>
            <w:gridSpan w:val="9"/>
            <w:vAlign w:val="center"/>
          </w:tcPr>
          <w:p w14:paraId="5811C83E">
            <w:pPr>
              <w:jc w:val="center"/>
            </w:pPr>
            <w:r>
              <w:rPr>
                <w:rFonts w:ascii="宋体" w:hAnsi="宋体" w:eastAsia="宋体"/>
                <w:sz w:val="24"/>
              </w:rPr>
              <w:t>(2024年度)</w:t>
            </w:r>
          </w:p>
        </w:tc>
      </w:tr>
      <w:tr w14:paraId="062A29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A1E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E3883C">
            <w:pPr>
              <w:jc w:val="center"/>
            </w:pPr>
            <w:r>
              <w:rPr>
                <w:rFonts w:ascii="宋体" w:hAnsi="宋体" w:eastAsia="宋体"/>
                <w:sz w:val="16"/>
              </w:rPr>
              <w:t>2023年度自治区药品抽检经费</w:t>
            </w:r>
          </w:p>
        </w:tc>
      </w:tr>
      <w:tr w14:paraId="550D2D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BBC5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B96222">
            <w:pPr>
              <w:jc w:val="center"/>
            </w:pPr>
            <w:r>
              <w:rPr>
                <w:rFonts w:ascii="宋体" w:hAnsi="宋体" w:eastAsia="宋体"/>
                <w:sz w:val="16"/>
              </w:rPr>
              <w:t>洛浦县市场监督管理局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72B4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485EB2">
            <w:pPr>
              <w:jc w:val="center"/>
            </w:pPr>
            <w:r>
              <w:rPr>
                <w:rFonts w:ascii="宋体" w:hAnsi="宋体" w:eastAsia="宋体"/>
                <w:sz w:val="16"/>
              </w:rPr>
              <w:t>洛浦县市场监督管理局</w:t>
            </w:r>
          </w:p>
        </w:tc>
      </w:tr>
      <w:tr w14:paraId="70F9DD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AD6D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C32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485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3A5F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9BEB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9D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4F64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AC29E">
            <w:pPr>
              <w:jc w:val="center"/>
            </w:pPr>
            <w:r>
              <w:rPr>
                <w:rFonts w:ascii="宋体" w:hAnsi="宋体" w:eastAsia="宋体"/>
                <w:sz w:val="16"/>
              </w:rPr>
              <w:t>得分</w:t>
            </w:r>
          </w:p>
        </w:tc>
      </w:tr>
      <w:tr w14:paraId="531719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EF1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87D8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96378">
            <w:pPr>
              <w:jc w:val="center"/>
            </w:pPr>
            <w:r>
              <w:rPr>
                <w:rFonts w:ascii="宋体" w:hAnsi="宋体" w:eastAsia="宋体"/>
                <w:sz w:val="16"/>
              </w:rPr>
              <w:t>10.70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0890A">
            <w:pPr>
              <w:jc w:val="center"/>
            </w:pPr>
            <w:r>
              <w:rPr>
                <w:rFonts w:ascii="宋体" w:hAnsi="宋体" w:eastAsia="宋体"/>
                <w:sz w:val="16"/>
              </w:rPr>
              <w:t>10.70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87A14">
            <w:pPr>
              <w:jc w:val="center"/>
            </w:pPr>
            <w:r>
              <w:rPr>
                <w:rFonts w:ascii="宋体" w:hAnsi="宋体" w:eastAsia="宋体"/>
                <w:sz w:val="16"/>
              </w:rPr>
              <w:t>10.70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E8B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2057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1B4AD">
            <w:pPr>
              <w:jc w:val="center"/>
            </w:pPr>
            <w:r>
              <w:rPr>
                <w:rFonts w:ascii="宋体" w:hAnsi="宋体" w:eastAsia="宋体"/>
                <w:sz w:val="16"/>
              </w:rPr>
              <w:t>10.00分</w:t>
            </w:r>
          </w:p>
        </w:tc>
      </w:tr>
      <w:tr w14:paraId="43CFC9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9DA7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170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49366">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3C701">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414D0">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CC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AC0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4CF24">
            <w:pPr>
              <w:jc w:val="center"/>
            </w:pPr>
            <w:r>
              <w:rPr>
                <w:rFonts w:ascii="宋体" w:hAnsi="宋体" w:eastAsia="宋体"/>
                <w:sz w:val="16"/>
              </w:rPr>
              <w:t>—</w:t>
            </w:r>
          </w:p>
        </w:tc>
      </w:tr>
      <w:tr w14:paraId="0C611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E76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AC16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AF043">
            <w:pPr>
              <w:jc w:val="center"/>
            </w:pPr>
            <w:r>
              <w:rPr>
                <w:rFonts w:ascii="宋体" w:hAnsi="宋体" w:eastAsia="宋体"/>
                <w:sz w:val="16"/>
              </w:rPr>
              <w:t>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D5B4B">
            <w:pPr>
              <w:jc w:val="center"/>
            </w:pPr>
            <w:r>
              <w:rPr>
                <w:rFonts w:ascii="宋体" w:hAnsi="宋体" w:eastAsia="宋体"/>
                <w:sz w:val="16"/>
              </w:rPr>
              <w:t>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F738">
            <w:pPr>
              <w:jc w:val="center"/>
            </w:pPr>
            <w:r>
              <w:rPr>
                <w:rFonts w:ascii="宋体" w:hAnsi="宋体" w:eastAsia="宋体"/>
                <w:sz w:val="16"/>
              </w:rPr>
              <w:t>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0F3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A22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1BEA">
            <w:pPr>
              <w:jc w:val="center"/>
            </w:pPr>
            <w:r>
              <w:rPr>
                <w:rFonts w:ascii="宋体" w:hAnsi="宋体" w:eastAsia="宋体"/>
                <w:sz w:val="16"/>
              </w:rPr>
              <w:t>—</w:t>
            </w:r>
          </w:p>
        </w:tc>
      </w:tr>
      <w:tr w14:paraId="3EEB79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DBB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53A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7E2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B21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6B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53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F35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1C312">
            <w:pPr>
              <w:jc w:val="center"/>
            </w:pPr>
            <w:r>
              <w:rPr>
                <w:rFonts w:ascii="宋体" w:hAnsi="宋体" w:eastAsia="宋体"/>
                <w:sz w:val="16"/>
              </w:rPr>
              <w:t>—</w:t>
            </w:r>
          </w:p>
        </w:tc>
      </w:tr>
      <w:tr w14:paraId="5F9F39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4ECE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E8A3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287D54">
            <w:pPr>
              <w:jc w:val="center"/>
            </w:pPr>
            <w:r>
              <w:rPr>
                <w:rFonts w:ascii="宋体" w:hAnsi="宋体" w:eastAsia="宋体"/>
                <w:sz w:val="16"/>
              </w:rPr>
              <w:t>实际完成情况</w:t>
            </w:r>
          </w:p>
        </w:tc>
      </w:tr>
      <w:tr w14:paraId="72B79E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0F78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6CD376">
            <w:pPr>
              <w:jc w:val="both"/>
            </w:pPr>
            <w:r>
              <w:rPr>
                <w:rFonts w:ascii="宋体" w:hAnsi="宋体" w:eastAsia="宋体"/>
                <w:sz w:val="16"/>
              </w:rPr>
              <w:t>根据文件实施此项目，项目主要内容为：完成2023年药品抽检经费，其中：药品（含中药饮片、医院制剂）生产流通环节抽检24批次，医疗器械监督抽样2批次，化妆品监督抽样2批次，开展药品评价性抽样6批次。完成2024年药品抽检经费，其中：完成药品生产流通环节抽检11批次，医疗器械监督抽样1批次，开展药品评价性抽样2批次。使“两品一械”抽检覆盖率达到90%以上，项目费用共计10.7万元。项目计划于2024年1月开始，12月结束，项目实施后争取使公众对药品安全的满意度达到90%以上。通过实施本项目可有效发挥抽检工作的风险防控和技术支撑作用，努力提高监管能力和监管水平，以“四个最严”的要求保障药品安全，坚决守住全县不发生重大药品安全事故底线。</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65712E">
            <w:pPr>
              <w:jc w:val="both"/>
            </w:pPr>
            <w:r>
              <w:rPr>
                <w:rFonts w:hint="eastAsia" w:ascii="宋体" w:hAnsi="宋体"/>
                <w:sz w:val="16"/>
                <w:lang w:eastAsia="zh-CN"/>
              </w:rPr>
              <w:t>截至</w:t>
            </w:r>
            <w:r>
              <w:rPr>
                <w:rFonts w:ascii="宋体" w:hAnsi="宋体" w:eastAsia="宋体"/>
                <w:sz w:val="16"/>
              </w:rPr>
              <w:t>2024年12月31日，该项目已实施完毕，已支付资金10.70万元。项目已完成的主要内容是完成2023年药品抽检经费，其中生产流通环节抽检24批次，医疗器械监督抽样2批次，化妆品监督抽样2批次，开展药品评价性抽样6批次。完成2024年药品抽检经费，其中：完成药品生产流通环节抽检17批次，医疗器械监督抽样1批次，开展药品评价性抽样2批次。“两品一械”抽检覆盖率达到90%以上；通过项目实施，有效提升了“两品一械”监管服务水平，有效减少了假冒伪劣</w:t>
            </w:r>
            <w:r>
              <w:rPr>
                <w:rFonts w:hint="eastAsia" w:ascii="宋体" w:hAnsi="宋体"/>
                <w:sz w:val="16"/>
                <w:lang w:eastAsia="zh-CN"/>
              </w:rPr>
              <w:t>“</w:t>
            </w:r>
            <w:r>
              <w:rPr>
                <w:rFonts w:ascii="宋体" w:hAnsi="宋体" w:eastAsia="宋体"/>
                <w:sz w:val="16"/>
              </w:rPr>
              <w:t>两品一械</w:t>
            </w:r>
            <w:r>
              <w:rPr>
                <w:rFonts w:hint="eastAsia" w:ascii="宋体" w:hAnsi="宋体"/>
                <w:sz w:val="16"/>
                <w:lang w:eastAsia="zh-CN"/>
              </w:rPr>
              <w:t>”</w:t>
            </w:r>
            <w:r>
              <w:rPr>
                <w:rFonts w:ascii="宋体" w:hAnsi="宋体" w:eastAsia="宋体"/>
                <w:sz w:val="16"/>
              </w:rPr>
              <w:t>制售行为。项目受益群众满意度达到了100%。</w:t>
            </w:r>
          </w:p>
        </w:tc>
      </w:tr>
      <w:tr w14:paraId="4F4DFD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CBB0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DF00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3FAA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6DE1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6DFF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F3A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863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3FA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A3C1D">
            <w:pPr>
              <w:jc w:val="center"/>
            </w:pPr>
            <w:r>
              <w:rPr>
                <w:rFonts w:ascii="宋体" w:hAnsi="宋体" w:eastAsia="宋体"/>
                <w:sz w:val="16"/>
              </w:rPr>
              <w:t>偏差原因分析及改进措施</w:t>
            </w:r>
          </w:p>
        </w:tc>
      </w:tr>
      <w:tr w14:paraId="73052C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8C07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DBB1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8B6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3D3BA">
            <w:pPr>
              <w:jc w:val="center"/>
            </w:pPr>
            <w:r>
              <w:rPr>
                <w:rFonts w:ascii="宋体" w:hAnsi="宋体" w:eastAsia="宋体"/>
                <w:sz w:val="16"/>
              </w:rPr>
              <w:t>2023年药品生产流通环节抽检批次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4EE9">
            <w:pPr>
              <w:jc w:val="center"/>
            </w:pPr>
            <w:r>
              <w:rPr>
                <w:rFonts w:ascii="宋体" w:hAnsi="宋体" w:eastAsia="宋体"/>
                <w:sz w:val="16"/>
              </w:rPr>
              <w:t>&gt;=24批次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56AC0">
            <w:pPr>
              <w:jc w:val="center"/>
            </w:pPr>
            <w:r>
              <w:rPr>
                <w:rFonts w:ascii="宋体" w:hAnsi="宋体" w:eastAsia="宋体"/>
                <w:sz w:val="16"/>
              </w:rPr>
              <w:t>=24批次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3352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589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54D21">
            <w:pPr>
              <w:jc w:val="center"/>
            </w:pPr>
          </w:p>
        </w:tc>
      </w:tr>
      <w:tr w14:paraId="7E3F3D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EF0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C0A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EE2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E0096">
            <w:pPr>
              <w:jc w:val="center"/>
            </w:pPr>
            <w:r>
              <w:rPr>
                <w:rFonts w:ascii="宋体" w:hAnsi="宋体" w:eastAsia="宋体"/>
                <w:sz w:val="16"/>
              </w:rPr>
              <w:t>2023年医疗器械监督抽样任务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4916">
            <w:pPr>
              <w:jc w:val="center"/>
            </w:pPr>
            <w:r>
              <w:rPr>
                <w:rFonts w:ascii="宋体" w:hAnsi="宋体" w:eastAsia="宋体"/>
                <w:sz w:val="16"/>
              </w:rPr>
              <w:t>&gt;=2批次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F4077">
            <w:pPr>
              <w:jc w:val="center"/>
            </w:pPr>
            <w:r>
              <w:rPr>
                <w:rFonts w:ascii="宋体" w:hAnsi="宋体" w:eastAsia="宋体"/>
                <w:sz w:val="16"/>
              </w:rPr>
              <w: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EFDB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2566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8CCF">
            <w:pPr>
              <w:jc w:val="center"/>
            </w:pPr>
          </w:p>
        </w:tc>
      </w:tr>
      <w:tr w14:paraId="38CF43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7D6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CC2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E88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16CB0">
            <w:pPr>
              <w:jc w:val="center"/>
            </w:pPr>
            <w:r>
              <w:rPr>
                <w:rFonts w:ascii="宋体" w:hAnsi="宋体" w:eastAsia="宋体"/>
                <w:sz w:val="16"/>
              </w:rPr>
              <w:t>2023年化妆品监督抽样任务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E91AC">
            <w:pPr>
              <w:jc w:val="center"/>
            </w:pPr>
            <w:r>
              <w:rPr>
                <w:rFonts w:ascii="宋体" w:hAnsi="宋体" w:eastAsia="宋体"/>
                <w:sz w:val="16"/>
              </w:rPr>
              <w:t>&gt;=2批次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C813">
            <w:pPr>
              <w:jc w:val="center"/>
            </w:pPr>
            <w:r>
              <w:rPr>
                <w:rFonts w:ascii="宋体" w:hAnsi="宋体" w:eastAsia="宋体"/>
                <w:sz w:val="16"/>
              </w:rPr>
              <w: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B9DE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1D53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CDFC">
            <w:pPr>
              <w:jc w:val="center"/>
            </w:pPr>
          </w:p>
        </w:tc>
      </w:tr>
      <w:tr w14:paraId="411393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A12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CED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A2E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A60F">
            <w:pPr>
              <w:jc w:val="center"/>
            </w:pPr>
            <w:r>
              <w:rPr>
                <w:rFonts w:ascii="宋体" w:hAnsi="宋体" w:eastAsia="宋体"/>
                <w:sz w:val="16"/>
              </w:rPr>
              <w:t>2023年药品评价性抽样批次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45067">
            <w:pPr>
              <w:jc w:val="center"/>
            </w:pPr>
            <w:r>
              <w:rPr>
                <w:rFonts w:ascii="宋体" w:hAnsi="宋体" w:eastAsia="宋体"/>
                <w:sz w:val="16"/>
              </w:rPr>
              <w:t>&gt;=6批次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D48D4">
            <w:pPr>
              <w:jc w:val="center"/>
            </w:pPr>
            <w:r>
              <w:rPr>
                <w:rFonts w:ascii="宋体" w:hAnsi="宋体" w:eastAsia="宋体"/>
                <w:sz w:val="16"/>
              </w:rPr>
              <w:t>=6批次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65EA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B6C5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112FC">
            <w:pPr>
              <w:jc w:val="center"/>
            </w:pPr>
          </w:p>
        </w:tc>
      </w:tr>
      <w:tr w14:paraId="7AE655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E74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F59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6AC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0418">
            <w:pPr>
              <w:jc w:val="center"/>
            </w:pPr>
            <w:r>
              <w:rPr>
                <w:rFonts w:ascii="宋体" w:hAnsi="宋体" w:eastAsia="宋体"/>
                <w:sz w:val="16"/>
              </w:rPr>
              <w:t>2024年药品生产流通环节抽检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66DAA">
            <w:pPr>
              <w:jc w:val="center"/>
            </w:pPr>
            <w:r>
              <w:rPr>
                <w:rFonts w:ascii="宋体" w:hAnsi="宋体" w:eastAsia="宋体"/>
                <w:sz w:val="16"/>
              </w:rPr>
              <w:t>=11批次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61F5A">
            <w:pPr>
              <w:jc w:val="center"/>
            </w:pPr>
            <w:r>
              <w:rPr>
                <w:rFonts w:ascii="宋体" w:hAnsi="宋体" w:eastAsia="宋体"/>
                <w:sz w:val="16"/>
              </w:rPr>
              <w:t>=17批次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7258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B1ED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40E95">
            <w:pPr>
              <w:jc w:val="center"/>
            </w:pPr>
          </w:p>
        </w:tc>
      </w:tr>
      <w:tr w14:paraId="733A1B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610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F61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6A4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12B0A">
            <w:pPr>
              <w:jc w:val="center"/>
            </w:pPr>
            <w:r>
              <w:rPr>
                <w:rFonts w:ascii="宋体" w:hAnsi="宋体" w:eastAsia="宋体"/>
                <w:sz w:val="16"/>
              </w:rPr>
              <w:t>2024年医疗器械监督抽样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31C9C">
            <w:pPr>
              <w:jc w:val="center"/>
            </w:pPr>
            <w:r>
              <w:rPr>
                <w:rFonts w:ascii="宋体" w:hAnsi="宋体" w:eastAsia="宋体"/>
                <w:sz w:val="16"/>
              </w:rPr>
              <w:t>&gt;=1批次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FBD7F">
            <w:pPr>
              <w:jc w:val="center"/>
            </w:pPr>
            <w:r>
              <w:rPr>
                <w:rFonts w:ascii="宋体" w:hAnsi="宋体" w:eastAsia="宋体"/>
                <w:sz w:val="16"/>
              </w:rPr>
              <w: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A9CC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8B40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980C2">
            <w:pPr>
              <w:jc w:val="center"/>
            </w:pPr>
          </w:p>
        </w:tc>
      </w:tr>
      <w:tr w14:paraId="3509E2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C8C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783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1D0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7078C">
            <w:pPr>
              <w:jc w:val="center"/>
            </w:pPr>
            <w:r>
              <w:rPr>
                <w:rFonts w:ascii="宋体" w:hAnsi="宋体" w:eastAsia="宋体"/>
                <w:sz w:val="16"/>
              </w:rPr>
              <w:t>2024年开展药品评价性抽样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BE980">
            <w:pPr>
              <w:jc w:val="center"/>
            </w:pPr>
            <w:r>
              <w:rPr>
                <w:rFonts w:ascii="宋体" w:hAnsi="宋体" w:eastAsia="宋体"/>
                <w:sz w:val="16"/>
              </w:rPr>
              <w:t>&gt;=2批次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3C54A">
            <w:pPr>
              <w:jc w:val="center"/>
            </w:pPr>
            <w:r>
              <w:rPr>
                <w:rFonts w:ascii="宋体" w:hAnsi="宋体" w:eastAsia="宋体"/>
                <w:sz w:val="16"/>
              </w:rPr>
              <w:t>=2批次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F69A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7F68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021D">
            <w:pPr>
              <w:jc w:val="center"/>
            </w:pPr>
          </w:p>
        </w:tc>
      </w:tr>
      <w:tr w14:paraId="460C57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514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95CD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DFD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05AA5">
            <w:pPr>
              <w:jc w:val="center"/>
            </w:pPr>
            <w:r>
              <w:rPr>
                <w:rFonts w:ascii="宋体" w:hAnsi="宋体" w:eastAsia="宋体"/>
                <w:sz w:val="16"/>
              </w:rPr>
              <w:t>“两品一械”抽检覆盖率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30949">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8C58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9F7E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8E75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F7A4">
            <w:pPr>
              <w:jc w:val="center"/>
            </w:pPr>
          </w:p>
        </w:tc>
      </w:tr>
      <w:tr w14:paraId="7D83AA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459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30E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95E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235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862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73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922A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6E9C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DB695">
            <w:pPr>
              <w:jc w:val="center"/>
            </w:pPr>
          </w:p>
        </w:tc>
      </w:tr>
      <w:tr w14:paraId="187F8DF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E8A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A41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259B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83FC3">
            <w:pPr>
              <w:jc w:val="center"/>
            </w:pPr>
            <w:r>
              <w:rPr>
                <w:rFonts w:ascii="宋体" w:hAnsi="宋体" w:eastAsia="宋体"/>
                <w:sz w:val="16"/>
              </w:rPr>
              <w:t>抽样检验任务按期完成率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96C4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4F7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8280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EF2F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F7136">
            <w:pPr>
              <w:jc w:val="center"/>
            </w:pPr>
          </w:p>
        </w:tc>
      </w:tr>
      <w:tr w14:paraId="68E050F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BB5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AF6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89F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8240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C6E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6A4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396C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B287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4B6A5">
            <w:pPr>
              <w:jc w:val="center"/>
            </w:pPr>
          </w:p>
        </w:tc>
      </w:tr>
      <w:tr w14:paraId="4B289E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86C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477C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917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72591">
            <w:pPr>
              <w:jc w:val="center"/>
            </w:pPr>
            <w:r>
              <w:rPr>
                <w:rFonts w:ascii="宋体" w:hAnsi="宋体" w:eastAsia="宋体"/>
                <w:sz w:val="16"/>
              </w:rPr>
              <w:t>2023年药品抽样检验经费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2890A">
            <w:pPr>
              <w:jc w:val="center"/>
            </w:pPr>
            <w:r>
              <w:rPr>
                <w:rFonts w:ascii="宋体" w:hAnsi="宋体" w:eastAsia="宋体"/>
                <w:sz w:val="16"/>
              </w:rPr>
              <w:t>&lt;=8.70万元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901D">
            <w:pPr>
              <w:jc w:val="center"/>
            </w:pPr>
            <w:r>
              <w:rPr>
                <w:rFonts w:ascii="宋体" w:hAnsi="宋体" w:eastAsia="宋体"/>
                <w:sz w:val="16"/>
              </w:rPr>
              <w:t>=8.7万元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4A2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377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4EEDA">
            <w:pPr>
              <w:jc w:val="center"/>
            </w:pPr>
          </w:p>
        </w:tc>
      </w:tr>
      <w:tr w14:paraId="020A3D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C15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F4A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5CE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2CC25">
            <w:pPr>
              <w:jc w:val="center"/>
            </w:pPr>
            <w:r>
              <w:rPr>
                <w:rFonts w:ascii="宋体" w:hAnsi="宋体" w:eastAsia="宋体"/>
                <w:sz w:val="16"/>
              </w:rPr>
              <w:t>2024年药品抽检费用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328F5">
            <w:pPr>
              <w:jc w:val="center"/>
            </w:pPr>
            <w:r>
              <w:rPr>
                <w:rFonts w:ascii="宋体" w:hAnsi="宋体" w:eastAsia="宋体"/>
                <w:sz w:val="16"/>
              </w:rPr>
              <w:t>&lt;=2万元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A27E7">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9D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CD9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48A9B">
            <w:pPr>
              <w:jc w:val="center"/>
            </w:pPr>
          </w:p>
        </w:tc>
      </w:tr>
      <w:tr w14:paraId="46DDE09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995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AA6D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EA0F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94F36">
            <w:pPr>
              <w:jc w:val="center"/>
            </w:pPr>
            <w:r>
              <w:rPr>
                <w:rFonts w:ascii="宋体" w:hAnsi="宋体" w:eastAsia="宋体"/>
                <w:sz w:val="16"/>
              </w:rPr>
              <w:t>提升“两品一械”监管服务水平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B1C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4CE6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ECA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E50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1CC82">
            <w:pPr>
              <w:jc w:val="center"/>
            </w:pPr>
          </w:p>
        </w:tc>
      </w:tr>
      <w:tr w14:paraId="071302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155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F4C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DB6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EF171">
            <w:pPr>
              <w:jc w:val="center"/>
            </w:pPr>
            <w:r>
              <w:rPr>
                <w:rFonts w:ascii="宋体" w:hAnsi="宋体" w:eastAsia="宋体"/>
                <w:sz w:val="16"/>
              </w:rPr>
              <w:t>减少假冒伪劣</w:t>
            </w:r>
            <w:r>
              <w:rPr>
                <w:rFonts w:hint="eastAsia" w:ascii="宋体" w:hAnsi="宋体"/>
                <w:sz w:val="16"/>
                <w:lang w:eastAsia="zh-CN"/>
              </w:rPr>
              <w:t>“</w:t>
            </w:r>
            <w:r>
              <w:rPr>
                <w:rFonts w:ascii="宋体" w:hAnsi="宋体" w:eastAsia="宋体"/>
                <w:sz w:val="16"/>
              </w:rPr>
              <w:t>两品一械</w:t>
            </w:r>
            <w:r>
              <w:rPr>
                <w:rFonts w:hint="eastAsia" w:ascii="宋体" w:hAnsi="宋体"/>
                <w:sz w:val="16"/>
                <w:lang w:eastAsia="zh-CN"/>
              </w:rPr>
              <w:t>”</w:t>
            </w:r>
            <w:r>
              <w:rPr>
                <w:rFonts w:ascii="宋体" w:hAnsi="宋体" w:eastAsia="宋体"/>
                <w:sz w:val="16"/>
              </w:rPr>
              <w:t>制售行为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A4975">
            <w:pPr>
              <w:jc w:val="center"/>
            </w:pPr>
            <w:r>
              <w:rPr>
                <w:rFonts w:ascii="宋体" w:hAnsi="宋体" w:eastAsia="宋体"/>
                <w:sz w:val="16"/>
              </w:rPr>
              <w:t>有效减少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40DFF">
            <w:pPr>
              <w:jc w:val="center"/>
            </w:pPr>
            <w:r>
              <w:rPr>
                <w:rFonts w:ascii="宋体" w:hAnsi="宋体" w:eastAsia="宋体"/>
                <w:sz w:val="16"/>
              </w:rPr>
              <w:t>有效减少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ACF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E0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C9BEA">
            <w:pPr>
              <w:jc w:val="center"/>
            </w:pPr>
          </w:p>
        </w:tc>
      </w:tr>
      <w:tr w14:paraId="3C866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7F0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D1D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A3A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6F454">
            <w:pPr>
              <w:jc w:val="center"/>
            </w:pPr>
            <w:r>
              <w:rPr>
                <w:rFonts w:ascii="宋体" w:hAnsi="宋体" w:eastAsia="宋体"/>
                <w:sz w:val="16"/>
              </w:rPr>
              <w:t>公众对药品安全的满意度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4C78">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904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31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AD3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78F3B">
            <w:pPr>
              <w:jc w:val="center"/>
            </w:pPr>
          </w:p>
        </w:tc>
      </w:tr>
      <w:tr w14:paraId="74B6C96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69013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4DB4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C13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8747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CAD34E"/>
        </w:tc>
      </w:tr>
    </w:tbl>
    <w:p w14:paraId="455012D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377A5E">
        <w:tblPrEx>
          <w:tblCellMar>
            <w:top w:w="0" w:type="dxa"/>
            <w:left w:w="108" w:type="dxa"/>
            <w:bottom w:w="0" w:type="dxa"/>
            <w:right w:w="108" w:type="dxa"/>
          </w:tblCellMar>
        </w:tblPrEx>
        <w:tc>
          <w:tcPr>
            <w:tcW w:w="8847" w:type="dxa"/>
            <w:gridSpan w:val="9"/>
            <w:vAlign w:val="center"/>
          </w:tcPr>
          <w:p w14:paraId="64BFF052">
            <w:pPr>
              <w:jc w:val="center"/>
            </w:pPr>
            <w:r>
              <w:rPr>
                <w:rFonts w:ascii="宋体" w:hAnsi="宋体" w:eastAsia="宋体"/>
                <w:sz w:val="24"/>
              </w:rPr>
              <w:t>项目支出绩效自评表</w:t>
            </w:r>
          </w:p>
        </w:tc>
      </w:tr>
      <w:tr w14:paraId="6F96DDCD">
        <w:tblPrEx>
          <w:tblCellMar>
            <w:top w:w="0" w:type="dxa"/>
            <w:left w:w="108" w:type="dxa"/>
            <w:bottom w:w="0" w:type="dxa"/>
            <w:right w:w="108" w:type="dxa"/>
          </w:tblCellMar>
        </w:tblPrEx>
        <w:tc>
          <w:tcPr>
            <w:tcW w:w="8847" w:type="dxa"/>
            <w:gridSpan w:val="9"/>
            <w:vAlign w:val="center"/>
          </w:tcPr>
          <w:p w14:paraId="4FFB76C6">
            <w:pPr>
              <w:jc w:val="center"/>
            </w:pPr>
            <w:r>
              <w:rPr>
                <w:rFonts w:ascii="宋体" w:hAnsi="宋体" w:eastAsia="宋体"/>
                <w:sz w:val="24"/>
              </w:rPr>
              <w:t>(2024年度)</w:t>
            </w:r>
          </w:p>
        </w:tc>
      </w:tr>
      <w:tr w14:paraId="62932C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D71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FC16D0">
            <w:pPr>
              <w:jc w:val="center"/>
            </w:pPr>
            <w:r>
              <w:rPr>
                <w:rFonts w:ascii="宋体" w:hAnsi="宋体" w:eastAsia="宋体"/>
                <w:sz w:val="16"/>
              </w:rPr>
              <w:t>2024年中央食品药品监管补助资金</w:t>
            </w:r>
          </w:p>
        </w:tc>
      </w:tr>
      <w:tr w14:paraId="0E51AD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D174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E02B46">
            <w:pPr>
              <w:jc w:val="center"/>
            </w:pPr>
            <w:r>
              <w:rPr>
                <w:rFonts w:ascii="宋体" w:hAnsi="宋体" w:eastAsia="宋体"/>
                <w:sz w:val="16"/>
              </w:rPr>
              <w:t>洛浦县市场监督管理局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0AEF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B1ECCC">
            <w:pPr>
              <w:jc w:val="center"/>
            </w:pPr>
            <w:r>
              <w:rPr>
                <w:rFonts w:ascii="宋体" w:hAnsi="宋体" w:eastAsia="宋体"/>
                <w:sz w:val="16"/>
              </w:rPr>
              <w:t>洛浦县市场监督管理局</w:t>
            </w:r>
          </w:p>
        </w:tc>
      </w:tr>
      <w:tr w14:paraId="7A1A65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7FB3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76B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4AC9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C4F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10AB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B75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321A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B324B">
            <w:pPr>
              <w:jc w:val="center"/>
            </w:pPr>
            <w:r>
              <w:rPr>
                <w:rFonts w:ascii="宋体" w:hAnsi="宋体" w:eastAsia="宋体"/>
                <w:sz w:val="16"/>
              </w:rPr>
              <w:t>得分</w:t>
            </w:r>
          </w:p>
        </w:tc>
      </w:tr>
      <w:tr w14:paraId="32942C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C32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733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3DE2A">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A53D4">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99F11">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EA8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6654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79D21">
            <w:pPr>
              <w:jc w:val="center"/>
            </w:pPr>
            <w:r>
              <w:rPr>
                <w:rFonts w:ascii="宋体" w:hAnsi="宋体" w:eastAsia="宋体"/>
                <w:sz w:val="16"/>
              </w:rPr>
              <w:t>10.00分</w:t>
            </w:r>
          </w:p>
        </w:tc>
      </w:tr>
      <w:tr w14:paraId="095D5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9DF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9A5B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A8F28">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05E98">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323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DE9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8A6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ABBCD">
            <w:pPr>
              <w:jc w:val="center"/>
            </w:pPr>
            <w:r>
              <w:rPr>
                <w:rFonts w:ascii="宋体" w:hAnsi="宋体" w:eastAsia="宋体"/>
                <w:sz w:val="16"/>
              </w:rPr>
              <w:t>—</w:t>
            </w:r>
          </w:p>
        </w:tc>
      </w:tr>
      <w:tr w14:paraId="045C94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86C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042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B60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AD4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10F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33A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18F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A23D4">
            <w:pPr>
              <w:jc w:val="center"/>
            </w:pPr>
            <w:r>
              <w:rPr>
                <w:rFonts w:ascii="宋体" w:hAnsi="宋体" w:eastAsia="宋体"/>
                <w:sz w:val="16"/>
              </w:rPr>
              <w:t>—</w:t>
            </w:r>
          </w:p>
        </w:tc>
      </w:tr>
      <w:tr w14:paraId="230EA5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871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4D23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558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F0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E1F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4C0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EB0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F2951">
            <w:pPr>
              <w:jc w:val="center"/>
            </w:pPr>
            <w:r>
              <w:rPr>
                <w:rFonts w:ascii="宋体" w:hAnsi="宋体" w:eastAsia="宋体"/>
                <w:sz w:val="16"/>
              </w:rPr>
              <w:t>—</w:t>
            </w:r>
          </w:p>
        </w:tc>
      </w:tr>
      <w:tr w14:paraId="257883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1775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B0E72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96AA5">
            <w:pPr>
              <w:jc w:val="center"/>
            </w:pPr>
            <w:r>
              <w:rPr>
                <w:rFonts w:ascii="宋体" w:hAnsi="宋体" w:eastAsia="宋体"/>
                <w:sz w:val="16"/>
              </w:rPr>
              <w:t>实际完成情况</w:t>
            </w:r>
          </w:p>
        </w:tc>
      </w:tr>
      <w:tr w14:paraId="01E434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8988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E3665B">
            <w:pPr>
              <w:jc w:val="both"/>
            </w:pPr>
            <w:r>
              <w:rPr>
                <w:rFonts w:ascii="宋体" w:hAnsi="宋体" w:eastAsia="宋体"/>
                <w:sz w:val="16"/>
              </w:rPr>
              <w:t>本项目依据《关于下达拨付2024年中央食品药品药监补助资金预算的通知》（和地财行</w:t>
            </w:r>
            <w:r>
              <w:rPr>
                <w:rFonts w:hint="eastAsia" w:ascii="宋体" w:hAnsi="宋体"/>
                <w:sz w:val="16"/>
                <w:lang w:eastAsia="zh-CN"/>
              </w:rPr>
              <w:t>〔2024〕29号</w:t>
            </w:r>
            <w:r>
              <w:rPr>
                <w:rFonts w:ascii="宋体" w:hAnsi="宋体" w:eastAsia="宋体"/>
                <w:sz w:val="16"/>
              </w:rPr>
              <w:t>）文件立项。项目主要内容：完成食品安全监管任务，食品安全监督抽检任务，食品安全监督抽检信息公示；完成食品安全监督抽检不合格食品的核查处置；加强食品安全能力提升；加强食品安全监管水平和业务能力，加强食品监管工作人员专业培训和能力提升，提高监管人员专业水平和综合素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CCA32">
            <w:pPr>
              <w:jc w:val="both"/>
            </w:pPr>
            <w:r>
              <w:rPr>
                <w:rFonts w:hint="eastAsia" w:ascii="宋体" w:hAnsi="宋体"/>
                <w:sz w:val="16"/>
                <w:lang w:eastAsia="zh-CN"/>
              </w:rPr>
              <w:t>截至</w:t>
            </w:r>
            <w:r>
              <w:rPr>
                <w:rFonts w:ascii="宋体" w:hAnsi="宋体" w:eastAsia="宋体"/>
                <w:sz w:val="16"/>
              </w:rPr>
              <w:t>2024年12月31日，该项目已实施完毕，已支付资金8.00万元。项目已完成的主要内容是完成食品验证快检35批次，开展食品生产经营主体专项检查4批次，开展辖区食品安全监管类业务培训4批次，培训开展成功率达到100%；通过项目实施，加强食品安全能力提升，提高监管人员专业水平和综合素质。项目受益群众满意度达到了95%以上。</w:t>
            </w:r>
          </w:p>
        </w:tc>
      </w:tr>
      <w:tr w14:paraId="5B65CE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AF6DC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24B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09A8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97B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A290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5BAC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1671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D56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F1E7">
            <w:pPr>
              <w:jc w:val="center"/>
            </w:pPr>
            <w:r>
              <w:rPr>
                <w:rFonts w:ascii="宋体" w:hAnsi="宋体" w:eastAsia="宋体"/>
                <w:sz w:val="16"/>
              </w:rPr>
              <w:t>偏差原因分析及改进措施</w:t>
            </w:r>
          </w:p>
        </w:tc>
      </w:tr>
      <w:tr w14:paraId="27F7A9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232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FA32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3A5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632AA">
            <w:pPr>
              <w:jc w:val="center"/>
            </w:pPr>
            <w:r>
              <w:rPr>
                <w:rFonts w:ascii="宋体" w:hAnsi="宋体" w:eastAsia="宋体"/>
                <w:sz w:val="16"/>
              </w:rPr>
              <w:t>食品验证快检结果数量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7E653">
            <w:pPr>
              <w:jc w:val="center"/>
            </w:pPr>
            <w:r>
              <w:rPr>
                <w:rFonts w:ascii="宋体" w:hAnsi="宋体" w:eastAsia="宋体"/>
                <w:sz w:val="16"/>
              </w:rPr>
              <w:t>&gt;=30批次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9429A">
            <w:pPr>
              <w:jc w:val="center"/>
            </w:pPr>
            <w:r>
              <w:rPr>
                <w:rFonts w:ascii="宋体" w:hAnsi="宋体" w:eastAsia="宋体"/>
                <w:sz w:val="16"/>
              </w:rPr>
              <w:t>=35批次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4417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F787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001FC">
            <w:pPr>
              <w:jc w:val="center"/>
            </w:pPr>
          </w:p>
        </w:tc>
      </w:tr>
      <w:tr w14:paraId="0A0A62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188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DAB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680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48C2">
            <w:pPr>
              <w:jc w:val="center"/>
            </w:pPr>
            <w:r>
              <w:rPr>
                <w:rFonts w:ascii="宋体" w:hAnsi="宋体" w:eastAsia="宋体"/>
                <w:sz w:val="16"/>
              </w:rPr>
              <w:t>食品生产经营主体专项检查次数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65631">
            <w:pPr>
              <w:jc w:val="center"/>
            </w:pPr>
            <w:r>
              <w:rPr>
                <w:rFonts w:ascii="宋体" w:hAnsi="宋体" w:eastAsia="宋体"/>
                <w:sz w:val="16"/>
              </w:rPr>
              <w:t>&gt;=4批次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56704">
            <w:pPr>
              <w:jc w:val="center"/>
            </w:pPr>
            <w:r>
              <w:rPr>
                <w:rFonts w:ascii="宋体" w:hAnsi="宋体" w:eastAsia="宋体"/>
                <w:sz w:val="16"/>
              </w:rPr>
              <w:t>=4批次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612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6942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D6759">
            <w:pPr>
              <w:jc w:val="center"/>
            </w:pPr>
          </w:p>
        </w:tc>
      </w:tr>
      <w:tr w14:paraId="3B75C8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DEF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01C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62C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1350D">
            <w:pPr>
              <w:jc w:val="center"/>
            </w:pPr>
            <w:r>
              <w:rPr>
                <w:rFonts w:ascii="宋体" w:hAnsi="宋体" w:eastAsia="宋体"/>
                <w:sz w:val="16"/>
              </w:rPr>
              <w:t>辖区食品安全监管类业务培训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1BEB">
            <w:pPr>
              <w:jc w:val="center"/>
            </w:pPr>
            <w:r>
              <w:rPr>
                <w:rFonts w:ascii="宋体" w:hAnsi="宋体" w:eastAsia="宋体"/>
                <w:sz w:val="16"/>
              </w:rPr>
              <w:t>&gt;=3批次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354A">
            <w:pPr>
              <w:jc w:val="center"/>
            </w:pPr>
            <w:r>
              <w:rPr>
                <w:rFonts w:ascii="宋体" w:hAnsi="宋体" w:eastAsia="宋体"/>
                <w:sz w:val="16"/>
              </w:rPr>
              <w:t>=4批次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51AB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5802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1B51">
            <w:pPr>
              <w:jc w:val="center"/>
            </w:pPr>
          </w:p>
        </w:tc>
      </w:tr>
      <w:tr w14:paraId="4160FA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DAE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B4CD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2A96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B20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6D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6BD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4762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36E6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AFDC2">
            <w:pPr>
              <w:jc w:val="center"/>
            </w:pPr>
          </w:p>
        </w:tc>
      </w:tr>
      <w:tr w14:paraId="0B2939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D8E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383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362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8A71">
            <w:pPr>
              <w:jc w:val="center"/>
            </w:pPr>
            <w:r>
              <w:rPr>
                <w:rFonts w:ascii="宋体" w:hAnsi="宋体" w:eastAsia="宋体"/>
                <w:sz w:val="16"/>
              </w:rPr>
              <w:t>培训开展成功率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D0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B4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89F5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6D31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91BD">
            <w:pPr>
              <w:jc w:val="center"/>
            </w:pPr>
          </w:p>
        </w:tc>
      </w:tr>
      <w:tr w14:paraId="1DD975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2B4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C81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63F6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0D6D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FF2A">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179A7">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032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9B0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45198">
            <w:pPr>
              <w:jc w:val="center"/>
            </w:pPr>
          </w:p>
        </w:tc>
      </w:tr>
      <w:tr w14:paraId="7B23C1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C9A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E10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D44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99EE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FF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15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FD1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FA4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EEFF2">
            <w:pPr>
              <w:jc w:val="center"/>
            </w:pPr>
          </w:p>
        </w:tc>
      </w:tr>
      <w:tr w14:paraId="72794A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D51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1F52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A419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4F254">
            <w:pPr>
              <w:jc w:val="center"/>
            </w:pPr>
            <w:r>
              <w:rPr>
                <w:rFonts w:ascii="宋体" w:hAnsi="宋体" w:eastAsia="宋体"/>
                <w:sz w:val="16"/>
              </w:rPr>
              <w:t>食品监管补助经费成本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56B6F">
            <w:pPr>
              <w:jc w:val="center"/>
            </w:pPr>
            <w:r>
              <w:rPr>
                <w:rFonts w:ascii="宋体" w:hAnsi="宋体" w:eastAsia="宋体"/>
                <w:sz w:val="16"/>
              </w:rPr>
              <w:t>&lt;=8.00万元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7DE34">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C9D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0F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B4950">
            <w:pPr>
              <w:jc w:val="center"/>
            </w:pPr>
          </w:p>
        </w:tc>
      </w:tr>
      <w:tr w14:paraId="1A6F5D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B9B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A11E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8A9F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3141">
            <w:pPr>
              <w:jc w:val="center"/>
            </w:pPr>
            <w:r>
              <w:rPr>
                <w:rFonts w:ascii="宋体" w:hAnsi="宋体" w:eastAsia="宋体"/>
                <w:sz w:val="16"/>
              </w:rPr>
              <w:t>加强食品安全能力提升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33016">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76C6B">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FD1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4FF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8C11">
            <w:pPr>
              <w:jc w:val="center"/>
            </w:pPr>
          </w:p>
        </w:tc>
      </w:tr>
      <w:tr w14:paraId="70534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A56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D6E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439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645F8">
            <w:pPr>
              <w:jc w:val="center"/>
            </w:pPr>
            <w:r>
              <w:rPr>
                <w:rFonts w:ascii="宋体" w:hAnsi="宋体" w:eastAsia="宋体"/>
                <w:sz w:val="16"/>
              </w:rPr>
              <w:t>提高监管人员专业水平和综合素质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E528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2973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46B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B1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85DF9">
            <w:pPr>
              <w:jc w:val="center"/>
            </w:pPr>
          </w:p>
        </w:tc>
      </w:tr>
      <w:tr w14:paraId="540A36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59A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1C2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EA68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392B7">
            <w:pPr>
              <w:jc w:val="center"/>
            </w:pPr>
            <w:r>
              <w:rPr>
                <w:rFonts w:ascii="宋体" w:hAnsi="宋体" w:eastAsia="宋体"/>
                <w:sz w:val="16"/>
              </w:rPr>
              <w:t>公众对食品安全的满意度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FB5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C49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0E9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AE2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AA683">
            <w:pPr>
              <w:jc w:val="center"/>
            </w:pPr>
          </w:p>
        </w:tc>
      </w:tr>
      <w:tr w14:paraId="066768F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945EB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362C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A67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0F41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8ADC90"/>
        </w:tc>
      </w:tr>
    </w:tbl>
    <w:p w14:paraId="1ACE1CC8">
      <w:r>
        <w:br w:type="page"/>
      </w:r>
    </w:p>
    <w:tbl>
      <w:tblPr>
        <w:tblStyle w:val="9"/>
        <w:tblW w:w="0" w:type="auto"/>
        <w:tblInd w:w="0" w:type="dxa"/>
        <w:tblLayout w:type="autofit"/>
        <w:tblCellMar>
          <w:top w:w="0" w:type="dxa"/>
          <w:left w:w="108" w:type="dxa"/>
          <w:bottom w:w="0" w:type="dxa"/>
          <w:right w:w="108" w:type="dxa"/>
        </w:tblCellMar>
      </w:tblPr>
      <w:tblGrid>
        <w:gridCol w:w="986"/>
        <w:gridCol w:w="986"/>
        <w:gridCol w:w="987"/>
        <w:gridCol w:w="987"/>
        <w:gridCol w:w="986"/>
        <w:gridCol w:w="986"/>
        <w:gridCol w:w="986"/>
        <w:gridCol w:w="986"/>
        <w:gridCol w:w="990"/>
      </w:tblGrid>
      <w:tr w14:paraId="7D95E53A">
        <w:tblPrEx>
          <w:tblCellMar>
            <w:top w:w="0" w:type="dxa"/>
            <w:left w:w="108" w:type="dxa"/>
            <w:bottom w:w="0" w:type="dxa"/>
            <w:right w:w="108" w:type="dxa"/>
          </w:tblCellMar>
        </w:tblPrEx>
        <w:trPr>
          <w:trHeight w:val="371" w:hRule="atLeast"/>
        </w:trPr>
        <w:tc>
          <w:tcPr>
            <w:tcW w:w="8880" w:type="dxa"/>
            <w:gridSpan w:val="9"/>
            <w:vAlign w:val="center"/>
          </w:tcPr>
          <w:p w14:paraId="0CA4BED4">
            <w:pPr>
              <w:jc w:val="center"/>
            </w:pPr>
            <w:r>
              <w:rPr>
                <w:rFonts w:ascii="宋体" w:hAnsi="宋体" w:eastAsia="宋体"/>
                <w:sz w:val="24"/>
              </w:rPr>
              <w:t>项目支出绩效自评表</w:t>
            </w:r>
          </w:p>
        </w:tc>
      </w:tr>
      <w:tr w14:paraId="2A582A77">
        <w:tblPrEx>
          <w:tblCellMar>
            <w:top w:w="0" w:type="dxa"/>
            <w:left w:w="108" w:type="dxa"/>
            <w:bottom w:w="0" w:type="dxa"/>
            <w:right w:w="108" w:type="dxa"/>
          </w:tblCellMar>
        </w:tblPrEx>
        <w:trPr>
          <w:trHeight w:val="371" w:hRule="atLeast"/>
        </w:trPr>
        <w:tc>
          <w:tcPr>
            <w:tcW w:w="8880" w:type="dxa"/>
            <w:gridSpan w:val="9"/>
            <w:vAlign w:val="center"/>
          </w:tcPr>
          <w:p w14:paraId="623A48CB">
            <w:pPr>
              <w:jc w:val="center"/>
            </w:pPr>
            <w:r>
              <w:rPr>
                <w:rFonts w:ascii="宋体" w:hAnsi="宋体" w:eastAsia="宋体"/>
                <w:sz w:val="24"/>
              </w:rPr>
              <w:t>(2024年度)</w:t>
            </w:r>
          </w:p>
        </w:tc>
      </w:tr>
      <w:tr w14:paraId="1BDD6F6B">
        <w:tblPrEx>
          <w:tblCellMar>
            <w:top w:w="0" w:type="dxa"/>
            <w:left w:w="108" w:type="dxa"/>
            <w:bottom w:w="0" w:type="dxa"/>
            <w:right w:w="108" w:type="dxa"/>
          </w:tblCellMar>
        </w:tblPrEx>
        <w:trPr>
          <w:trHeight w:val="401"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0D308E4">
            <w:pPr>
              <w:jc w:val="center"/>
            </w:pPr>
            <w:r>
              <w:rPr>
                <w:rFonts w:ascii="宋体" w:hAnsi="宋体" w:eastAsia="宋体"/>
                <w:sz w:val="16"/>
              </w:rPr>
              <w:t>项目名称</w:t>
            </w:r>
          </w:p>
        </w:tc>
        <w:tc>
          <w:tcPr>
            <w:tcW w:w="789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DD6F5C">
            <w:pPr>
              <w:jc w:val="center"/>
            </w:pPr>
            <w:r>
              <w:rPr>
                <w:rFonts w:ascii="宋体" w:hAnsi="宋体" w:eastAsia="宋体"/>
                <w:sz w:val="16"/>
              </w:rPr>
              <w:t>农贸市场建设项目土地征用补偿金</w:t>
            </w:r>
          </w:p>
        </w:tc>
      </w:tr>
      <w:tr w14:paraId="6C667AA9">
        <w:tblPrEx>
          <w:tblCellMar>
            <w:top w:w="0" w:type="dxa"/>
            <w:left w:w="108" w:type="dxa"/>
            <w:bottom w:w="0" w:type="dxa"/>
            <w:right w:w="108" w:type="dxa"/>
          </w:tblCellMar>
        </w:tblPrEx>
        <w:trPr>
          <w:trHeight w:val="401"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481F5D9">
            <w:pPr>
              <w:jc w:val="center"/>
            </w:pPr>
            <w:r>
              <w:rPr>
                <w:rFonts w:ascii="宋体" w:hAnsi="宋体" w:eastAsia="宋体"/>
                <w:sz w:val="16"/>
              </w:rPr>
              <w:t>主管部门</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01CA9B">
            <w:pPr>
              <w:jc w:val="center"/>
            </w:pPr>
            <w:r>
              <w:rPr>
                <w:rFonts w:ascii="宋体" w:hAnsi="宋体" w:eastAsia="宋体"/>
                <w:sz w:val="16"/>
              </w:rPr>
              <w:t>洛浦县市场监督管理局</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29E027C">
            <w:pPr>
              <w:jc w:val="center"/>
            </w:pPr>
            <w:r>
              <w:rPr>
                <w:rFonts w:ascii="宋体" w:hAnsi="宋体" w:eastAsia="宋体"/>
                <w:sz w:val="16"/>
              </w:rPr>
              <w:t>实施单位</w:t>
            </w:r>
          </w:p>
        </w:tc>
        <w:tc>
          <w:tcPr>
            <w:tcW w:w="394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271A29">
            <w:pPr>
              <w:jc w:val="center"/>
            </w:pPr>
            <w:r>
              <w:rPr>
                <w:rFonts w:ascii="宋体" w:hAnsi="宋体" w:eastAsia="宋体"/>
                <w:sz w:val="16"/>
              </w:rPr>
              <w:t>洛浦县市场监督管理局</w:t>
            </w:r>
          </w:p>
        </w:tc>
      </w:tr>
      <w:tr w14:paraId="3F130EC7">
        <w:tblPrEx>
          <w:tblCellMar>
            <w:top w:w="0" w:type="dxa"/>
            <w:left w:w="108" w:type="dxa"/>
            <w:bottom w:w="0" w:type="dxa"/>
            <w:right w:w="108" w:type="dxa"/>
          </w:tblCellMar>
        </w:tblPrEx>
        <w:trPr>
          <w:trHeight w:val="772"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748F1">
            <w:pPr>
              <w:jc w:val="center"/>
            </w:pPr>
            <w:r>
              <w:rPr>
                <w:rFonts w:ascii="宋体" w:hAnsi="宋体" w:eastAsia="宋体"/>
                <w:sz w:val="16"/>
              </w:rPr>
              <w:t>项目资金 （万元）</w:t>
            </w:r>
          </w:p>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71E1">
            <w:pPr>
              <w:jc w:val="center"/>
            </w:pP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95DAFE6">
            <w:pPr>
              <w:jc w:val="center"/>
            </w:pPr>
            <w:r>
              <w:rPr>
                <w:rFonts w:ascii="宋体" w:hAnsi="宋体" w:eastAsia="宋体"/>
                <w:sz w:val="16"/>
              </w:rPr>
              <w:t>年初预算数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FB8E151">
            <w:pPr>
              <w:jc w:val="center"/>
            </w:pPr>
            <w:r>
              <w:rPr>
                <w:rFonts w:ascii="宋体" w:hAnsi="宋体" w:eastAsia="宋体"/>
                <w:sz w:val="16"/>
              </w:rPr>
              <w:t>全年预算数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0A978E3">
            <w:pPr>
              <w:jc w:val="center"/>
            </w:pPr>
            <w:r>
              <w:rPr>
                <w:rFonts w:ascii="宋体" w:hAnsi="宋体" w:eastAsia="宋体"/>
                <w:sz w:val="16"/>
              </w:rPr>
              <w:t>全年执行数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3510499">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7F65ED4">
            <w:pPr>
              <w:jc w:val="center"/>
            </w:pPr>
            <w:r>
              <w:rPr>
                <w:rFonts w:ascii="宋体" w:hAnsi="宋体" w:eastAsia="宋体"/>
                <w:sz w:val="16"/>
              </w:rPr>
              <w:t>执行率</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C366DCC">
            <w:pPr>
              <w:jc w:val="center"/>
            </w:pPr>
            <w:r>
              <w:rPr>
                <w:rFonts w:ascii="宋体" w:hAnsi="宋体" w:eastAsia="宋体"/>
                <w:sz w:val="16"/>
              </w:rPr>
              <w:t>得分</w:t>
            </w:r>
          </w:p>
        </w:tc>
      </w:tr>
      <w:tr w14:paraId="2C8CA2D7">
        <w:tblPrEx>
          <w:tblCellMar>
            <w:top w:w="0" w:type="dxa"/>
            <w:left w:w="108" w:type="dxa"/>
            <w:bottom w:w="0" w:type="dxa"/>
            <w:right w:w="108" w:type="dxa"/>
          </w:tblCellMar>
        </w:tblPrEx>
        <w:trPr>
          <w:trHeight w:val="401"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BEC5D47"/>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64B4E">
            <w:pPr>
              <w:jc w:val="center"/>
            </w:pPr>
            <w:r>
              <w:rPr>
                <w:rFonts w:ascii="宋体" w:hAnsi="宋体" w:eastAsia="宋体"/>
                <w:sz w:val="16"/>
              </w:rPr>
              <w:t>年度资金总额</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D91B6F4">
            <w:pPr>
              <w:jc w:val="center"/>
            </w:pPr>
            <w:r>
              <w:rPr>
                <w:rFonts w:ascii="宋体" w:hAnsi="宋体" w:eastAsia="宋体"/>
                <w:sz w:val="16"/>
              </w:rPr>
              <w:t>5.29</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BE6C757">
            <w:pPr>
              <w:jc w:val="center"/>
            </w:pPr>
            <w:r>
              <w:rPr>
                <w:rFonts w:ascii="宋体" w:hAnsi="宋体" w:eastAsia="宋体"/>
                <w:sz w:val="16"/>
              </w:rPr>
              <w:t>5.29</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211413B">
            <w:pPr>
              <w:jc w:val="center"/>
            </w:pPr>
            <w:r>
              <w:rPr>
                <w:rFonts w:ascii="宋体" w:hAnsi="宋体" w:eastAsia="宋体"/>
                <w:sz w:val="16"/>
              </w:rPr>
              <w:t>5.27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365B36B">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7A86BC0">
            <w:pPr>
              <w:jc w:val="center"/>
            </w:pPr>
            <w:r>
              <w:rPr>
                <w:rFonts w:ascii="宋体" w:hAnsi="宋体" w:eastAsia="宋体"/>
                <w:sz w:val="16"/>
              </w:rPr>
              <w:t xml:space="preserve">99.62% </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027C9BAC">
            <w:pPr>
              <w:jc w:val="center"/>
            </w:pPr>
            <w:r>
              <w:rPr>
                <w:rFonts w:ascii="宋体" w:hAnsi="宋体" w:eastAsia="宋体"/>
                <w:sz w:val="16"/>
              </w:rPr>
              <w:t>9.91分</w:t>
            </w:r>
          </w:p>
        </w:tc>
      </w:tr>
      <w:tr w14:paraId="0FF84990">
        <w:tblPrEx>
          <w:tblCellMar>
            <w:top w:w="0" w:type="dxa"/>
            <w:left w:w="108" w:type="dxa"/>
            <w:bottom w:w="0" w:type="dxa"/>
            <w:right w:w="108" w:type="dxa"/>
          </w:tblCellMar>
        </w:tblPrEx>
        <w:trPr>
          <w:trHeight w:val="401"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B5C1E59"/>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3558C">
            <w:pPr>
              <w:jc w:val="center"/>
            </w:pPr>
            <w:r>
              <w:rPr>
                <w:rFonts w:ascii="宋体" w:hAnsi="宋体" w:eastAsia="宋体"/>
                <w:sz w:val="16"/>
              </w:rPr>
              <w:t>其中：当年财政拨款</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C7F3136">
            <w:pPr>
              <w:jc w:val="center"/>
            </w:pPr>
            <w:r>
              <w:rPr>
                <w:rFonts w:ascii="宋体" w:hAnsi="宋体" w:eastAsia="宋体"/>
                <w:sz w:val="16"/>
              </w:rPr>
              <w:t>5.29</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E44C412">
            <w:pPr>
              <w:jc w:val="center"/>
            </w:pPr>
            <w:r>
              <w:rPr>
                <w:rFonts w:ascii="宋体" w:hAnsi="宋体" w:eastAsia="宋体"/>
                <w:sz w:val="16"/>
              </w:rPr>
              <w:t>5.29</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4BC399D">
            <w:pPr>
              <w:jc w:val="center"/>
            </w:pPr>
            <w:r>
              <w:rPr>
                <w:rFonts w:ascii="宋体" w:hAnsi="宋体" w:eastAsia="宋体"/>
                <w:sz w:val="16"/>
              </w:rPr>
              <w:t>5.27</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CC99712">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295B28F">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2F172E6">
            <w:pPr>
              <w:jc w:val="center"/>
            </w:pPr>
            <w:r>
              <w:rPr>
                <w:rFonts w:ascii="宋体" w:hAnsi="宋体" w:eastAsia="宋体"/>
                <w:sz w:val="16"/>
              </w:rPr>
              <w:t>—</w:t>
            </w:r>
          </w:p>
        </w:tc>
      </w:tr>
      <w:tr w14:paraId="4380E75F">
        <w:tblPrEx>
          <w:tblCellMar>
            <w:top w:w="0" w:type="dxa"/>
            <w:left w:w="108" w:type="dxa"/>
            <w:bottom w:w="0" w:type="dxa"/>
            <w:right w:w="108" w:type="dxa"/>
          </w:tblCellMar>
        </w:tblPrEx>
        <w:trPr>
          <w:trHeight w:val="401"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933BF44"/>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95F30">
            <w:pPr>
              <w:jc w:val="center"/>
            </w:pPr>
            <w:r>
              <w:rPr>
                <w:rFonts w:ascii="宋体" w:hAnsi="宋体" w:eastAsia="宋体"/>
                <w:sz w:val="16"/>
              </w:rPr>
              <w:t xml:space="preserve">      上年结转资金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1924800">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0AF0F70">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D92C099">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8C9C026">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623789F">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854F2DD">
            <w:pPr>
              <w:jc w:val="center"/>
            </w:pPr>
            <w:r>
              <w:rPr>
                <w:rFonts w:ascii="宋体" w:hAnsi="宋体" w:eastAsia="宋体"/>
                <w:sz w:val="16"/>
              </w:rPr>
              <w:t>—</w:t>
            </w:r>
          </w:p>
        </w:tc>
      </w:tr>
      <w:tr w14:paraId="4191A905">
        <w:tblPrEx>
          <w:tblCellMar>
            <w:top w:w="0" w:type="dxa"/>
            <w:left w:w="108" w:type="dxa"/>
            <w:bottom w:w="0" w:type="dxa"/>
            <w:right w:w="108" w:type="dxa"/>
          </w:tblCellMar>
        </w:tblPrEx>
        <w:trPr>
          <w:trHeight w:val="401"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F9D62FC"/>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5FBA9">
            <w:pPr>
              <w:jc w:val="center"/>
            </w:pPr>
            <w:r>
              <w:rPr>
                <w:rFonts w:ascii="宋体" w:hAnsi="宋体" w:eastAsia="宋体"/>
                <w:sz w:val="16"/>
              </w:rPr>
              <w:t xml:space="preserve">  其他资金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9565F2B">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87842F8">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483E2BD">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14F956C">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723E55C">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08F48193">
            <w:pPr>
              <w:jc w:val="center"/>
            </w:pPr>
            <w:r>
              <w:rPr>
                <w:rFonts w:ascii="宋体" w:hAnsi="宋体" w:eastAsia="宋体"/>
                <w:sz w:val="16"/>
              </w:rPr>
              <w:t>—</w:t>
            </w:r>
          </w:p>
        </w:tc>
      </w:tr>
      <w:tr w14:paraId="138A90F2">
        <w:tblPrEx>
          <w:tblCellMar>
            <w:top w:w="0" w:type="dxa"/>
            <w:left w:w="108" w:type="dxa"/>
            <w:bottom w:w="0" w:type="dxa"/>
            <w:right w:w="108" w:type="dxa"/>
          </w:tblCellMar>
        </w:tblPrEx>
        <w:trPr>
          <w:trHeight w:val="401"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7CAD7">
            <w:pPr>
              <w:jc w:val="center"/>
            </w:pPr>
            <w:r>
              <w:rPr>
                <w:rFonts w:ascii="宋体" w:hAnsi="宋体" w:eastAsia="宋体"/>
                <w:sz w:val="16"/>
              </w:rPr>
              <w:t>年度总体目标</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569610">
            <w:pPr>
              <w:jc w:val="center"/>
            </w:pPr>
            <w:r>
              <w:rPr>
                <w:rFonts w:ascii="宋体" w:hAnsi="宋体" w:eastAsia="宋体"/>
                <w:sz w:val="16"/>
              </w:rPr>
              <w:t>预期目标</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91379B">
            <w:pPr>
              <w:jc w:val="center"/>
            </w:pPr>
            <w:r>
              <w:rPr>
                <w:rFonts w:ascii="宋体" w:hAnsi="宋体" w:eastAsia="宋体"/>
                <w:sz w:val="16"/>
              </w:rPr>
              <w:t>实际完成情况</w:t>
            </w:r>
          </w:p>
        </w:tc>
      </w:tr>
      <w:tr w14:paraId="206EB0CE">
        <w:tblPrEx>
          <w:tblCellMar>
            <w:top w:w="0" w:type="dxa"/>
            <w:left w:w="108" w:type="dxa"/>
            <w:bottom w:w="0" w:type="dxa"/>
            <w:right w:w="108" w:type="dxa"/>
          </w:tblCellMar>
        </w:tblPrEx>
        <w:trPr>
          <w:trHeight w:val="2628"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9F6ECF2"/>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30E8A9">
            <w:pPr>
              <w:jc w:val="both"/>
            </w:pPr>
            <w:r>
              <w:rPr>
                <w:rFonts w:ascii="宋体" w:hAnsi="宋体" w:eastAsia="宋体"/>
                <w:sz w:val="16"/>
              </w:rPr>
              <w:t>根据《洛浦县财经委员会会议纪要》（洛财纪字</w:t>
            </w:r>
            <w:r>
              <w:rPr>
                <w:rFonts w:hint="eastAsia" w:ascii="宋体" w:hAnsi="宋体"/>
                <w:sz w:val="16"/>
                <w:lang w:eastAsia="zh-CN"/>
              </w:rPr>
              <w:t>〔2024〕3号</w:t>
            </w:r>
            <w:r>
              <w:rPr>
                <w:rFonts w:ascii="宋体" w:hAnsi="宋体" w:eastAsia="宋体"/>
                <w:sz w:val="16"/>
              </w:rPr>
              <w:t>）文件实施此项目，项目主要内容为：保障1名被征地农民农贸市场建设项目土地补偿金，通过项目实施，保障被征地农民的生活水平，维护被征地农民的合法权益，促进农贸市场建设项目顺利实施。</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D1D07">
            <w:pPr>
              <w:jc w:val="both"/>
            </w:pPr>
            <w:r>
              <w:rPr>
                <w:rFonts w:hint="eastAsia" w:ascii="宋体" w:hAnsi="宋体"/>
                <w:sz w:val="16"/>
                <w:lang w:eastAsia="zh-CN"/>
              </w:rPr>
              <w:t>截至</w:t>
            </w:r>
            <w:r>
              <w:rPr>
                <w:rFonts w:ascii="宋体" w:hAnsi="宋体" w:eastAsia="宋体"/>
                <w:sz w:val="16"/>
              </w:rPr>
              <w:t>2024年12月31日，该项目已实施完毕，已支付资金5.27万元。项目已完成的主要内容是保障1名被征地农民农贸市场建设项目土地补偿金；通过项目实施，保障了被征地农民的生活水平，维护了被征地农民的合法权益，促进了农贸市场建设项目顺利实施。项目受益群众满意度达到了95%。</w:t>
            </w:r>
          </w:p>
        </w:tc>
      </w:tr>
      <w:tr w14:paraId="7FE43FDC">
        <w:tblPrEx>
          <w:tblCellMar>
            <w:top w:w="0" w:type="dxa"/>
            <w:left w:w="108" w:type="dxa"/>
            <w:bottom w:w="0" w:type="dxa"/>
            <w:right w:w="108" w:type="dxa"/>
          </w:tblCellMar>
        </w:tblPrEx>
        <w:trPr>
          <w:trHeight w:val="1143" w:hRule="atLeast"/>
        </w:trPr>
        <w:tc>
          <w:tcPr>
            <w:tcW w:w="986" w:type="dxa"/>
            <w:tcBorders>
              <w:top w:val="single" w:color="auto" w:sz="10" w:space="0"/>
              <w:left w:val="single" w:color="auto" w:sz="10" w:space="0"/>
              <w:bottom w:val="single" w:color="auto" w:sz="10" w:space="0"/>
              <w:right w:val="single" w:color="auto" w:sz="10" w:space="0"/>
              <w:insideV w:val="single" w:sz="10" w:space="0"/>
            </w:tcBorders>
          </w:tcPr>
          <w:p w14:paraId="142131A5"/>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AD7A216">
            <w:pPr>
              <w:jc w:val="center"/>
            </w:pPr>
            <w:r>
              <w:rPr>
                <w:rFonts w:ascii="宋体" w:hAnsi="宋体" w:eastAsia="宋体"/>
                <w:sz w:val="16"/>
              </w:rPr>
              <w:t>一级指标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100C2F9">
            <w:pPr>
              <w:jc w:val="center"/>
            </w:pPr>
            <w:r>
              <w:rPr>
                <w:rFonts w:ascii="宋体" w:hAnsi="宋体" w:eastAsia="宋体"/>
                <w:sz w:val="16"/>
              </w:rPr>
              <w:t>二级指标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04D2B74">
            <w:pPr>
              <w:jc w:val="center"/>
            </w:pPr>
            <w:r>
              <w:rPr>
                <w:rFonts w:ascii="宋体" w:hAnsi="宋体" w:eastAsia="宋体"/>
                <w:sz w:val="16"/>
              </w:rPr>
              <w:t>三级指标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FB5F9C9">
            <w:pPr>
              <w:jc w:val="center"/>
            </w:pPr>
            <w:r>
              <w:rPr>
                <w:rFonts w:ascii="宋体" w:hAnsi="宋体" w:eastAsia="宋体"/>
                <w:sz w:val="16"/>
              </w:rPr>
              <w:t>年度指标值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2E14AFD">
            <w:pPr>
              <w:jc w:val="center"/>
            </w:pPr>
            <w:r>
              <w:rPr>
                <w:rFonts w:ascii="宋体" w:hAnsi="宋体" w:eastAsia="宋体"/>
                <w:sz w:val="16"/>
              </w:rPr>
              <w:t>实际完成值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D5F028A">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887DD3C">
            <w:pPr>
              <w:jc w:val="center"/>
            </w:pPr>
            <w:r>
              <w:rPr>
                <w:rFonts w:ascii="宋体" w:hAnsi="宋体" w:eastAsia="宋体"/>
                <w:sz w:val="16"/>
              </w:rPr>
              <w:t>得分</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1371E9B4">
            <w:pPr>
              <w:jc w:val="center"/>
            </w:pPr>
            <w:r>
              <w:rPr>
                <w:rFonts w:ascii="宋体" w:hAnsi="宋体" w:eastAsia="宋体"/>
                <w:sz w:val="16"/>
              </w:rPr>
              <w:t>偏差原因分析及改进措施</w:t>
            </w:r>
          </w:p>
        </w:tc>
      </w:tr>
      <w:tr w14:paraId="76F6ECA9">
        <w:tblPrEx>
          <w:tblCellMar>
            <w:top w:w="0" w:type="dxa"/>
            <w:left w:w="108" w:type="dxa"/>
            <w:bottom w:w="0" w:type="dxa"/>
            <w:right w:w="108" w:type="dxa"/>
          </w:tblCellMar>
        </w:tblPrEx>
        <w:trPr>
          <w:trHeight w:val="772"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06FCD">
            <w:pPr>
              <w:jc w:val="center"/>
            </w:pPr>
            <w:r>
              <w:rPr>
                <w:rFonts w:ascii="宋体" w:hAnsi="宋体" w:eastAsia="宋体"/>
                <w:sz w:val="16"/>
              </w:rPr>
              <w:t>年度绩效指标完成情况</w:t>
            </w:r>
          </w:p>
        </w:tc>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C03D5">
            <w:pPr>
              <w:jc w:val="center"/>
            </w:pPr>
            <w:r>
              <w:rPr>
                <w:rFonts w:ascii="宋体" w:hAnsi="宋体" w:eastAsia="宋体"/>
                <w:sz w:val="16"/>
              </w:rPr>
              <w:t>产出指标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A640485">
            <w:pPr>
              <w:jc w:val="center"/>
            </w:pPr>
            <w:r>
              <w:rPr>
                <w:rFonts w:ascii="宋体" w:hAnsi="宋体" w:eastAsia="宋体"/>
                <w:sz w:val="16"/>
              </w:rPr>
              <w:t>数量指标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059F7D5">
            <w:pPr>
              <w:jc w:val="center"/>
            </w:pPr>
            <w:r>
              <w:rPr>
                <w:rFonts w:ascii="宋体" w:hAnsi="宋体" w:eastAsia="宋体"/>
                <w:sz w:val="16"/>
              </w:rPr>
              <w:t>保障补偿人数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D1947E2">
            <w:pPr>
              <w:jc w:val="center"/>
            </w:pPr>
            <w:r>
              <w:rPr>
                <w:rFonts w:ascii="宋体" w:hAnsi="宋体" w:eastAsia="宋体"/>
                <w:sz w:val="16"/>
              </w:rPr>
              <w:t>=1人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4EB3398">
            <w:pPr>
              <w:jc w:val="center"/>
            </w:pPr>
            <w:r>
              <w:rPr>
                <w:rFonts w:ascii="宋体" w:hAnsi="宋体" w:eastAsia="宋体"/>
                <w:sz w:val="16"/>
              </w:rPr>
              <w:t>=1人</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6F5C69F">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37DEAF4">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F4212E7">
            <w:pPr>
              <w:jc w:val="center"/>
            </w:pPr>
          </w:p>
        </w:tc>
      </w:tr>
      <w:tr w14:paraId="00233FAA">
        <w:tblPrEx>
          <w:tblCellMar>
            <w:top w:w="0" w:type="dxa"/>
            <w:left w:w="108" w:type="dxa"/>
            <w:bottom w:w="0" w:type="dxa"/>
            <w:right w:w="108" w:type="dxa"/>
          </w:tblCellMar>
        </w:tblPrEx>
        <w:trPr>
          <w:trHeight w:val="77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23DBDB11"/>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7BB1776"/>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FFF1971">
            <w:pPr>
              <w:jc w:val="center"/>
            </w:pPr>
            <w:r>
              <w:rPr>
                <w:rFonts w:ascii="宋体" w:hAnsi="宋体" w:eastAsia="宋体"/>
                <w:sz w:val="16"/>
              </w:rPr>
              <w:t>质量指标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DAB36DC">
            <w:pPr>
              <w:jc w:val="center"/>
            </w:pPr>
            <w:r>
              <w:rPr>
                <w:rFonts w:ascii="宋体" w:hAnsi="宋体" w:eastAsia="宋体"/>
                <w:sz w:val="16"/>
              </w:rPr>
              <w:t>资金发放合规率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99BC414">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791FC57">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D6569AD">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0238997">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D065DF1">
            <w:pPr>
              <w:jc w:val="center"/>
            </w:pPr>
          </w:p>
        </w:tc>
      </w:tr>
      <w:tr w14:paraId="77FCE11D">
        <w:tblPrEx>
          <w:tblCellMar>
            <w:top w:w="0" w:type="dxa"/>
            <w:left w:w="108" w:type="dxa"/>
            <w:bottom w:w="0" w:type="dxa"/>
            <w:right w:w="108" w:type="dxa"/>
          </w:tblCellMar>
        </w:tblPrEx>
        <w:trPr>
          <w:trHeight w:val="77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B088998"/>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5447BCAD"/>
        </w:tc>
        <w:tc>
          <w:tcPr>
            <w:tcW w:w="9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295F4">
            <w:pPr>
              <w:jc w:val="center"/>
            </w:pPr>
            <w:r>
              <w:rPr>
                <w:rFonts w:ascii="宋体" w:hAnsi="宋体" w:eastAsia="宋体"/>
                <w:sz w:val="16"/>
              </w:rPr>
              <w:t>时效指标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A9E5020">
            <w:pPr>
              <w:jc w:val="center"/>
            </w:pPr>
            <w:r>
              <w:rPr>
                <w:rFonts w:ascii="宋体" w:hAnsi="宋体" w:eastAsia="宋体"/>
                <w:sz w:val="16"/>
              </w:rPr>
              <w:t>项目完成时间</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9C3DE87">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4138F8F">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D9F83DC">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AB5E10B">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6C840D20">
            <w:pPr>
              <w:jc w:val="center"/>
            </w:pPr>
          </w:p>
        </w:tc>
      </w:tr>
      <w:tr w14:paraId="3ED306C9">
        <w:tblPrEx>
          <w:tblCellMar>
            <w:top w:w="0" w:type="dxa"/>
            <w:left w:w="108" w:type="dxa"/>
            <w:bottom w:w="0" w:type="dxa"/>
            <w:right w:w="108" w:type="dxa"/>
          </w:tblCellMar>
        </w:tblPrEx>
        <w:trPr>
          <w:trHeight w:val="77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0E96248"/>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EA9FA2D"/>
        </w:tc>
        <w:tc>
          <w:tcPr>
            <w:tcW w:w="987" w:type="dxa"/>
            <w:vMerge w:val="continue"/>
            <w:tcBorders>
              <w:top w:val="single" w:color="auto" w:sz="10" w:space="0"/>
              <w:left w:val="single" w:color="auto" w:sz="10" w:space="0"/>
              <w:bottom w:val="single" w:color="auto" w:sz="10" w:space="0"/>
              <w:right w:val="single" w:color="auto" w:sz="10" w:space="0"/>
              <w:insideV w:val="single" w:sz="10" w:space="0"/>
            </w:tcBorders>
          </w:tcPr>
          <w:p w14:paraId="282438F5"/>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24AE440">
            <w:pPr>
              <w:jc w:val="center"/>
            </w:pPr>
            <w:r>
              <w:rPr>
                <w:rFonts w:ascii="宋体" w:hAnsi="宋体" w:eastAsia="宋体"/>
                <w:sz w:val="16"/>
              </w:rPr>
              <w:t>资金支付及时率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649AADA">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F99FC79">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5B717F4">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D43183A">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F2FCDCB">
            <w:pPr>
              <w:jc w:val="center"/>
            </w:pPr>
          </w:p>
        </w:tc>
      </w:tr>
      <w:tr w14:paraId="414E2694">
        <w:tblPrEx>
          <w:tblCellMar>
            <w:top w:w="0" w:type="dxa"/>
            <w:left w:w="108" w:type="dxa"/>
            <w:bottom w:w="0" w:type="dxa"/>
            <w:right w:w="108" w:type="dxa"/>
          </w:tblCellMar>
        </w:tblPrEx>
        <w:trPr>
          <w:trHeight w:val="2257"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55CD1B6B"/>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7E3CC4A">
            <w:pPr>
              <w:jc w:val="center"/>
            </w:pPr>
            <w:r>
              <w:rPr>
                <w:rFonts w:ascii="宋体" w:hAnsi="宋体" w:eastAsia="宋体"/>
                <w:sz w:val="16"/>
              </w:rPr>
              <w:t>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BB03BA9">
            <w:pPr>
              <w:jc w:val="center"/>
            </w:pPr>
            <w:r>
              <w:rPr>
                <w:rFonts w:ascii="宋体" w:hAnsi="宋体" w:eastAsia="宋体"/>
                <w:sz w:val="16"/>
              </w:rPr>
              <w:t>经济成本指标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595DE35">
            <w:pPr>
              <w:jc w:val="center"/>
            </w:pPr>
            <w:r>
              <w:rPr>
                <w:rFonts w:ascii="宋体" w:hAnsi="宋体" w:eastAsia="宋体"/>
                <w:sz w:val="16"/>
              </w:rPr>
              <w:t>土地征用补偿金</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4176CA9">
            <w:pPr>
              <w:jc w:val="center"/>
            </w:pPr>
            <w:r>
              <w:rPr>
                <w:rFonts w:ascii="宋体" w:hAnsi="宋体" w:eastAsia="宋体"/>
                <w:sz w:val="16"/>
              </w:rPr>
              <w:t>&lt;=5.29万元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42966AE">
            <w:pPr>
              <w:jc w:val="center"/>
            </w:pPr>
            <w:r>
              <w:rPr>
                <w:rFonts w:ascii="宋体" w:hAnsi="宋体" w:eastAsia="宋体"/>
                <w:sz w:val="16"/>
              </w:rPr>
              <w:t>=5.27万元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921E83B">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082C520">
            <w:pPr>
              <w:jc w:val="center"/>
            </w:pPr>
            <w:r>
              <w:rPr>
                <w:rFonts w:ascii="宋体" w:hAnsi="宋体" w:eastAsia="宋体"/>
                <w:sz w:val="16"/>
              </w:rPr>
              <w:t>19.8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FF6D259">
            <w:pPr>
              <w:jc w:val="center"/>
            </w:pPr>
            <w:r>
              <w:rPr>
                <w:rFonts w:ascii="宋体" w:hAnsi="宋体" w:eastAsia="宋体"/>
                <w:sz w:val="16"/>
              </w:rPr>
              <w:t>因工作人员疏忽，项目金额申请错误，多申请0.02万元</w:t>
            </w:r>
          </w:p>
        </w:tc>
      </w:tr>
      <w:tr w14:paraId="41162A5F">
        <w:tblPrEx>
          <w:tblCellMar>
            <w:top w:w="0" w:type="dxa"/>
            <w:left w:w="108" w:type="dxa"/>
            <w:bottom w:w="0" w:type="dxa"/>
            <w:right w:w="108" w:type="dxa"/>
          </w:tblCellMar>
        </w:tblPrEx>
        <w:trPr>
          <w:trHeight w:val="77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F9922C1"/>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76432F0">
            <w:pPr>
              <w:jc w:val="center"/>
            </w:pPr>
            <w:r>
              <w:rPr>
                <w:rFonts w:ascii="宋体" w:hAnsi="宋体" w:eastAsia="宋体"/>
                <w:sz w:val="16"/>
              </w:rPr>
              <w:t>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0C5A301">
            <w:pPr>
              <w:jc w:val="center"/>
            </w:pPr>
            <w:r>
              <w:rPr>
                <w:rFonts w:ascii="宋体" w:hAnsi="宋体" w:eastAsia="宋体"/>
                <w:sz w:val="16"/>
              </w:rPr>
              <w:t>社会效益指标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3C64495">
            <w:pPr>
              <w:jc w:val="center"/>
            </w:pPr>
            <w:r>
              <w:rPr>
                <w:rFonts w:ascii="宋体" w:hAnsi="宋体" w:eastAsia="宋体"/>
                <w:sz w:val="16"/>
              </w:rPr>
              <w:t>保障农民生活水平</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4F4E854">
            <w:pPr>
              <w:jc w:val="center"/>
            </w:pPr>
            <w:r>
              <w:rPr>
                <w:rFonts w:ascii="宋体" w:hAnsi="宋体" w:eastAsia="宋体"/>
                <w:sz w:val="16"/>
              </w:rPr>
              <w:t>有效保障</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F0D153F">
            <w:pPr>
              <w:jc w:val="center"/>
            </w:pPr>
            <w:r>
              <w:rPr>
                <w:rFonts w:ascii="宋体" w:hAnsi="宋体" w:eastAsia="宋体"/>
                <w:sz w:val="16"/>
              </w:rPr>
              <w:t>有效保障</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DB70919">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21A3FFE">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557EE75E">
            <w:pPr>
              <w:jc w:val="center"/>
            </w:pPr>
          </w:p>
        </w:tc>
      </w:tr>
      <w:tr w14:paraId="3CF406F0">
        <w:tblPrEx>
          <w:tblCellMar>
            <w:top w:w="0" w:type="dxa"/>
            <w:left w:w="108" w:type="dxa"/>
            <w:bottom w:w="0" w:type="dxa"/>
            <w:right w:w="108" w:type="dxa"/>
          </w:tblCellMar>
        </w:tblPrEx>
        <w:trPr>
          <w:trHeight w:val="772"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4872DDF"/>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17D85C4">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D10D492">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1091D9D">
            <w:pPr>
              <w:jc w:val="center"/>
            </w:pPr>
            <w:r>
              <w:rPr>
                <w:rFonts w:ascii="宋体" w:hAnsi="宋体" w:eastAsia="宋体"/>
                <w:sz w:val="16"/>
              </w:rPr>
              <w:t>被征地农民满意度</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FD09EA3">
            <w:pPr>
              <w:jc w:val="center"/>
            </w:pPr>
            <w:r>
              <w:rPr>
                <w:rFonts w:ascii="宋体" w:hAnsi="宋体" w:eastAsia="宋体"/>
                <w:sz w:val="16"/>
              </w:rPr>
              <w:t>&gt;=95%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734DC16">
            <w:pPr>
              <w:jc w:val="center"/>
            </w:pPr>
            <w:r>
              <w:rPr>
                <w:rFonts w:ascii="宋体" w:hAnsi="宋体" w:eastAsia="宋体"/>
                <w:sz w:val="16"/>
              </w:rPr>
              <w:t>=95%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1D51211">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3BE9C48">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10D5DFE">
            <w:pPr>
              <w:jc w:val="center"/>
            </w:pPr>
          </w:p>
        </w:tc>
      </w:tr>
      <w:tr w14:paraId="1B220462">
        <w:tblPrEx>
          <w:tblCellMar>
            <w:top w:w="0" w:type="dxa"/>
            <w:left w:w="108" w:type="dxa"/>
            <w:bottom w:w="0" w:type="dxa"/>
            <w:right w:w="108" w:type="dxa"/>
          </w:tblCellMar>
        </w:tblPrEx>
        <w:trPr>
          <w:trHeight w:val="802" w:hRule="atLeast"/>
        </w:trPr>
        <w:tc>
          <w:tcPr>
            <w:tcW w:w="49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00E4E">
            <w:pPr>
              <w:jc w:val="center"/>
            </w:pPr>
            <w:r>
              <w:rPr>
                <w:rFonts w:ascii="宋体" w:hAnsi="宋体" w:eastAsia="宋体"/>
                <w:sz w:val="16"/>
              </w:rPr>
              <w:t>总分</w:t>
            </w:r>
          </w:p>
        </w:tc>
        <w:tc>
          <w:tcPr>
            <w:tcW w:w="986" w:type="dxa"/>
            <w:tcBorders>
              <w:top w:val="single" w:color="auto" w:sz="10" w:space="0"/>
              <w:left w:val="single" w:color="auto" w:sz="10" w:space="0"/>
              <w:bottom w:val="single" w:color="auto" w:sz="10" w:space="0"/>
              <w:right w:val="single" w:color="auto" w:sz="10" w:space="0"/>
              <w:insideV w:val="single" w:sz="10" w:space="0"/>
            </w:tcBorders>
          </w:tcPr>
          <w:p w14:paraId="550F4264"/>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11198FA">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A95ABFC">
            <w:pPr>
              <w:jc w:val="center"/>
            </w:pPr>
            <w:r>
              <w:rPr>
                <w:rFonts w:ascii="宋体" w:hAnsi="宋体" w:eastAsia="宋体"/>
                <w:sz w:val="16"/>
              </w:rPr>
              <w:t>99.71分</w:t>
            </w:r>
          </w:p>
        </w:tc>
        <w:tc>
          <w:tcPr>
            <w:tcW w:w="990" w:type="dxa"/>
            <w:tcBorders>
              <w:top w:val="single" w:color="auto" w:sz="10" w:space="0"/>
              <w:left w:val="single" w:color="auto" w:sz="10" w:space="0"/>
              <w:bottom w:val="single" w:color="auto" w:sz="10" w:space="0"/>
              <w:right w:val="single" w:color="auto" w:sz="10" w:space="0"/>
              <w:insideV w:val="single" w:sz="10" w:space="0"/>
            </w:tcBorders>
          </w:tcPr>
          <w:p w14:paraId="5ED8A5FC"/>
        </w:tc>
      </w:tr>
    </w:tbl>
    <w:p w14:paraId="1F4C872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806748">
        <w:tblPrEx>
          <w:tblCellMar>
            <w:top w:w="0" w:type="dxa"/>
            <w:left w:w="108" w:type="dxa"/>
            <w:bottom w:w="0" w:type="dxa"/>
            <w:right w:w="108" w:type="dxa"/>
          </w:tblCellMar>
        </w:tblPrEx>
        <w:tc>
          <w:tcPr>
            <w:tcW w:w="8847" w:type="dxa"/>
            <w:gridSpan w:val="9"/>
            <w:vAlign w:val="center"/>
          </w:tcPr>
          <w:p w14:paraId="067B9A37">
            <w:pPr>
              <w:jc w:val="center"/>
            </w:pPr>
            <w:r>
              <w:rPr>
                <w:rFonts w:ascii="宋体" w:hAnsi="宋体" w:eastAsia="宋体"/>
                <w:sz w:val="24"/>
              </w:rPr>
              <w:t>项目支出绩效自评表</w:t>
            </w:r>
          </w:p>
        </w:tc>
      </w:tr>
      <w:tr w14:paraId="6DB12BE1">
        <w:tblPrEx>
          <w:tblCellMar>
            <w:top w:w="0" w:type="dxa"/>
            <w:left w:w="108" w:type="dxa"/>
            <w:bottom w:w="0" w:type="dxa"/>
            <w:right w:w="108" w:type="dxa"/>
          </w:tblCellMar>
        </w:tblPrEx>
        <w:tc>
          <w:tcPr>
            <w:tcW w:w="8847" w:type="dxa"/>
            <w:gridSpan w:val="9"/>
            <w:vAlign w:val="center"/>
          </w:tcPr>
          <w:p w14:paraId="1DCB7471">
            <w:pPr>
              <w:jc w:val="center"/>
            </w:pPr>
            <w:r>
              <w:rPr>
                <w:rFonts w:ascii="宋体" w:hAnsi="宋体" w:eastAsia="宋体"/>
                <w:sz w:val="24"/>
              </w:rPr>
              <w:t>(2024年度)</w:t>
            </w:r>
          </w:p>
        </w:tc>
      </w:tr>
      <w:tr w14:paraId="7FC201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5A5D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A8823A">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-沙依甫加马力·库尔班尼牙孜房改房退款</w:t>
            </w:r>
          </w:p>
        </w:tc>
      </w:tr>
      <w:tr w14:paraId="3535F6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F07E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1490C8">
            <w:pPr>
              <w:jc w:val="center"/>
            </w:pPr>
            <w:r>
              <w:rPr>
                <w:rFonts w:ascii="宋体" w:hAnsi="宋体" w:eastAsia="宋体"/>
                <w:sz w:val="16"/>
              </w:rPr>
              <w:t>洛浦县市场监督管理局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087F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F009F1">
            <w:pPr>
              <w:jc w:val="center"/>
            </w:pPr>
            <w:r>
              <w:rPr>
                <w:rFonts w:ascii="宋体" w:hAnsi="宋体" w:eastAsia="宋体"/>
                <w:sz w:val="16"/>
              </w:rPr>
              <w:t>洛浦县市场监督管理局</w:t>
            </w:r>
          </w:p>
        </w:tc>
      </w:tr>
      <w:tr w14:paraId="604C13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5D8A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C540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ED62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C920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8E9F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3335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498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1C2BF">
            <w:pPr>
              <w:jc w:val="center"/>
            </w:pPr>
            <w:r>
              <w:rPr>
                <w:rFonts w:ascii="宋体" w:hAnsi="宋体" w:eastAsia="宋体"/>
                <w:sz w:val="16"/>
              </w:rPr>
              <w:t>得分</w:t>
            </w:r>
          </w:p>
        </w:tc>
      </w:tr>
      <w:tr w14:paraId="03D58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091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6ECD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69558">
            <w:pPr>
              <w:jc w:val="center"/>
            </w:pPr>
            <w:r>
              <w:rPr>
                <w:rFonts w:ascii="宋体" w:hAnsi="宋体" w:eastAsia="宋体"/>
                <w:sz w:val="16"/>
              </w:rPr>
              <w:t>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11008">
            <w:pPr>
              <w:jc w:val="center"/>
            </w:pPr>
            <w:r>
              <w:rPr>
                <w:rFonts w:ascii="宋体" w:hAnsi="宋体" w:eastAsia="宋体"/>
                <w:sz w:val="16"/>
              </w:rPr>
              <w:t>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59E48">
            <w:pPr>
              <w:jc w:val="center"/>
            </w:pPr>
            <w:r>
              <w:rPr>
                <w:rFonts w:ascii="宋体" w:hAnsi="宋体" w:eastAsia="宋体"/>
                <w:sz w:val="16"/>
              </w:rPr>
              <w:t>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7EB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67EF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2B09C">
            <w:pPr>
              <w:jc w:val="center"/>
            </w:pPr>
            <w:r>
              <w:rPr>
                <w:rFonts w:ascii="宋体" w:hAnsi="宋体" w:eastAsia="宋体"/>
                <w:sz w:val="16"/>
              </w:rPr>
              <w:t>10.00分</w:t>
            </w:r>
          </w:p>
        </w:tc>
      </w:tr>
      <w:tr w14:paraId="456F58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7B3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5D3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6282A">
            <w:pPr>
              <w:jc w:val="center"/>
            </w:pPr>
            <w:r>
              <w:rPr>
                <w:rFonts w:ascii="宋体" w:hAnsi="宋体" w:eastAsia="宋体"/>
                <w:sz w:val="16"/>
              </w:rPr>
              <w:t>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A03AB">
            <w:pPr>
              <w:jc w:val="center"/>
            </w:pPr>
            <w:r>
              <w:rPr>
                <w:rFonts w:ascii="宋体" w:hAnsi="宋体" w:eastAsia="宋体"/>
                <w:sz w:val="16"/>
              </w:rPr>
              <w:t>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7DC01">
            <w:pPr>
              <w:jc w:val="center"/>
            </w:pPr>
            <w:r>
              <w:rPr>
                <w:rFonts w:ascii="宋体" w:hAnsi="宋体" w:eastAsia="宋体"/>
                <w:sz w:val="16"/>
              </w:rPr>
              <w:t>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5E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77C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B11BF">
            <w:pPr>
              <w:jc w:val="center"/>
            </w:pPr>
            <w:r>
              <w:rPr>
                <w:rFonts w:ascii="宋体" w:hAnsi="宋体" w:eastAsia="宋体"/>
                <w:sz w:val="16"/>
              </w:rPr>
              <w:t>—</w:t>
            </w:r>
          </w:p>
        </w:tc>
      </w:tr>
      <w:tr w14:paraId="53FD5F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325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820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F9F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CFB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77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DD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3C4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219D6">
            <w:pPr>
              <w:jc w:val="center"/>
            </w:pPr>
            <w:r>
              <w:rPr>
                <w:rFonts w:ascii="宋体" w:hAnsi="宋体" w:eastAsia="宋体"/>
                <w:sz w:val="16"/>
              </w:rPr>
              <w:t>—</w:t>
            </w:r>
          </w:p>
        </w:tc>
      </w:tr>
      <w:tr w14:paraId="5BC945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F95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2D11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8C6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FA5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51D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08C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DB5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7945">
            <w:pPr>
              <w:jc w:val="center"/>
            </w:pPr>
            <w:r>
              <w:rPr>
                <w:rFonts w:ascii="宋体" w:hAnsi="宋体" w:eastAsia="宋体"/>
                <w:sz w:val="16"/>
              </w:rPr>
              <w:t>—</w:t>
            </w:r>
          </w:p>
        </w:tc>
      </w:tr>
      <w:tr w14:paraId="58ED5B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F436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D6C5C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7E9D04">
            <w:pPr>
              <w:jc w:val="center"/>
            </w:pPr>
            <w:r>
              <w:rPr>
                <w:rFonts w:ascii="宋体" w:hAnsi="宋体" w:eastAsia="宋体"/>
                <w:sz w:val="16"/>
              </w:rPr>
              <w:t>实际完成情况</w:t>
            </w:r>
          </w:p>
        </w:tc>
      </w:tr>
      <w:tr w14:paraId="117802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6701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98C286">
            <w:pPr>
              <w:jc w:val="both"/>
            </w:pPr>
            <w:r>
              <w:rPr>
                <w:rFonts w:ascii="宋体" w:hAnsi="宋体" w:eastAsia="宋体"/>
                <w:sz w:val="16"/>
              </w:rPr>
              <w:t>根据洛财纪字</w:t>
            </w:r>
            <w:r>
              <w:rPr>
                <w:rFonts w:hint="eastAsia" w:ascii="宋体" w:hAnsi="宋体"/>
                <w:sz w:val="16"/>
                <w:lang w:eastAsia="zh-CN"/>
              </w:rPr>
              <w:t>〔2024〕5号</w:t>
            </w:r>
            <w:r>
              <w:rPr>
                <w:rFonts w:ascii="宋体" w:hAnsi="宋体" w:eastAsia="宋体"/>
                <w:sz w:val="16"/>
              </w:rPr>
              <w:t>文件实施该项目，项目主要内容：项目资金主要用于沙依甫加马力·库尔班尼牙孜房改房退款，通过项目的实施，有效保障退休干部的住房。</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C69A39">
            <w:pPr>
              <w:jc w:val="both"/>
            </w:pPr>
            <w:r>
              <w:rPr>
                <w:rFonts w:hint="eastAsia" w:ascii="宋体" w:hAnsi="宋体"/>
                <w:sz w:val="16"/>
                <w:lang w:eastAsia="zh-CN"/>
              </w:rPr>
              <w:t>截至</w:t>
            </w:r>
            <w:r>
              <w:rPr>
                <w:rFonts w:ascii="宋体" w:hAnsi="宋体" w:eastAsia="宋体"/>
                <w:sz w:val="16"/>
              </w:rPr>
              <w:t>2024年12月31日，该项目已实施完毕，已支付资金2.67万元。项目已完成的主要内容是保障1名退休工的房改房退款；通过项目实施，有效保障了退休干部的住房。项目受益退休干部满意度达到了95%。</w:t>
            </w:r>
          </w:p>
        </w:tc>
      </w:tr>
      <w:tr w14:paraId="7EE05D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C9A9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531C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0CB1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90B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586A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E51D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CDE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A31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43C58">
            <w:pPr>
              <w:jc w:val="center"/>
            </w:pPr>
            <w:r>
              <w:rPr>
                <w:rFonts w:ascii="宋体" w:hAnsi="宋体" w:eastAsia="宋体"/>
                <w:sz w:val="16"/>
              </w:rPr>
              <w:t>偏差原因分析及改进措施</w:t>
            </w:r>
          </w:p>
        </w:tc>
      </w:tr>
      <w:tr w14:paraId="173E1A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F251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EB0E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E46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BF9A">
            <w:pPr>
              <w:jc w:val="center"/>
            </w:pPr>
            <w:r>
              <w:rPr>
                <w:rFonts w:ascii="宋体" w:hAnsi="宋体" w:eastAsia="宋体"/>
                <w:sz w:val="16"/>
              </w:rPr>
              <w:t>保障退休干部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12BAB">
            <w:pPr>
              <w:jc w:val="center"/>
            </w:pPr>
            <w:r>
              <w:rPr>
                <w:rFonts w:ascii="宋体" w:hAnsi="宋体" w:eastAsia="宋体"/>
                <w:sz w:val="16"/>
              </w:rPr>
              <w:t>&gt;=1人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42639">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1C2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5A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BBC7D">
            <w:pPr>
              <w:jc w:val="center"/>
            </w:pPr>
          </w:p>
        </w:tc>
      </w:tr>
      <w:tr w14:paraId="6EAB74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4CF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383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FCD0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7C1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C4B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3A4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7D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141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45B69">
            <w:pPr>
              <w:jc w:val="center"/>
            </w:pPr>
          </w:p>
        </w:tc>
      </w:tr>
      <w:tr w14:paraId="7EEAAE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A42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4B2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D53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7BF3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6994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3E42B">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660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AFE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FB8FC">
            <w:pPr>
              <w:jc w:val="center"/>
            </w:pPr>
          </w:p>
        </w:tc>
      </w:tr>
      <w:tr w14:paraId="5EF83B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C45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18D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F72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430CF">
            <w:pPr>
              <w:jc w:val="center"/>
            </w:pPr>
            <w:r>
              <w:rPr>
                <w:rFonts w:ascii="宋体" w:hAnsi="宋体" w:eastAsia="宋体"/>
                <w:sz w:val="16"/>
              </w:rPr>
              <w:t>资金使用及时率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292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833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410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3C8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B8C35">
            <w:pPr>
              <w:jc w:val="center"/>
            </w:pPr>
          </w:p>
        </w:tc>
      </w:tr>
      <w:tr w14:paraId="5A1B8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7BC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EA50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187E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2FB8">
            <w:pPr>
              <w:jc w:val="center"/>
            </w:pPr>
            <w:r>
              <w:rPr>
                <w:rFonts w:ascii="宋体" w:hAnsi="宋体" w:eastAsia="宋体"/>
                <w:sz w:val="16"/>
              </w:rPr>
              <w:t>退款费用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9EE87">
            <w:pPr>
              <w:jc w:val="center"/>
            </w:pPr>
            <w:r>
              <w:rPr>
                <w:rFonts w:ascii="宋体" w:hAnsi="宋体" w:eastAsia="宋体"/>
                <w:sz w:val="16"/>
              </w:rPr>
              <w:t>&lt;=2.67万元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6C1A9">
            <w:pPr>
              <w:jc w:val="center"/>
            </w:pPr>
            <w:r>
              <w:rPr>
                <w:rFonts w:ascii="宋体" w:hAnsi="宋体" w:eastAsia="宋体"/>
                <w:sz w:val="16"/>
              </w:rPr>
              <w:t>=2.67万元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EB8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DF6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85B5C">
            <w:pPr>
              <w:jc w:val="center"/>
            </w:pPr>
          </w:p>
        </w:tc>
      </w:tr>
      <w:tr w14:paraId="056AAED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CBD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E076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713B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B589D">
            <w:pPr>
              <w:jc w:val="center"/>
            </w:pPr>
            <w:r>
              <w:rPr>
                <w:rFonts w:ascii="宋体" w:hAnsi="宋体" w:eastAsia="宋体"/>
                <w:sz w:val="16"/>
              </w:rPr>
              <w:t>保障退休干部的住房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263D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BF5E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A9D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103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6236B">
            <w:pPr>
              <w:jc w:val="center"/>
            </w:pPr>
          </w:p>
        </w:tc>
      </w:tr>
      <w:tr w14:paraId="7DD64B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37F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E0D9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6165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83960">
            <w:pPr>
              <w:jc w:val="center"/>
            </w:pPr>
            <w:r>
              <w:rPr>
                <w:rFonts w:ascii="宋体" w:hAnsi="宋体" w:eastAsia="宋体"/>
                <w:sz w:val="16"/>
              </w:rPr>
              <w:t>退休干部满意度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FED3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D9D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11A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B8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919A">
            <w:pPr>
              <w:jc w:val="center"/>
            </w:pPr>
          </w:p>
        </w:tc>
      </w:tr>
      <w:tr w14:paraId="2ADC924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3CE3A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4829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EBB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7299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3ECF7C"/>
        </w:tc>
      </w:tr>
    </w:tbl>
    <w:p w14:paraId="0F3847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2BCB2B">
        <w:tblPrEx>
          <w:tblCellMar>
            <w:top w:w="0" w:type="dxa"/>
            <w:left w:w="108" w:type="dxa"/>
            <w:bottom w:w="0" w:type="dxa"/>
            <w:right w:w="108" w:type="dxa"/>
          </w:tblCellMar>
        </w:tblPrEx>
        <w:tc>
          <w:tcPr>
            <w:tcW w:w="8847" w:type="dxa"/>
            <w:gridSpan w:val="9"/>
            <w:vAlign w:val="center"/>
          </w:tcPr>
          <w:p w14:paraId="3A681DA8">
            <w:pPr>
              <w:jc w:val="center"/>
            </w:pPr>
            <w:r>
              <w:rPr>
                <w:rFonts w:ascii="宋体" w:hAnsi="宋体" w:eastAsia="宋体"/>
                <w:sz w:val="24"/>
              </w:rPr>
              <w:t>项目支出绩效自评表</w:t>
            </w:r>
          </w:p>
        </w:tc>
      </w:tr>
      <w:tr w14:paraId="708C299D">
        <w:tblPrEx>
          <w:tblCellMar>
            <w:top w:w="0" w:type="dxa"/>
            <w:left w:w="108" w:type="dxa"/>
            <w:bottom w:w="0" w:type="dxa"/>
            <w:right w:w="108" w:type="dxa"/>
          </w:tblCellMar>
        </w:tblPrEx>
        <w:tc>
          <w:tcPr>
            <w:tcW w:w="8847" w:type="dxa"/>
            <w:gridSpan w:val="9"/>
            <w:vAlign w:val="center"/>
          </w:tcPr>
          <w:p w14:paraId="2A5C368F">
            <w:pPr>
              <w:jc w:val="center"/>
            </w:pPr>
            <w:r>
              <w:rPr>
                <w:rFonts w:ascii="宋体" w:hAnsi="宋体" w:eastAsia="宋体"/>
                <w:sz w:val="24"/>
              </w:rPr>
              <w:t>(2024年度)</w:t>
            </w:r>
          </w:p>
        </w:tc>
      </w:tr>
      <w:tr w14:paraId="1B3454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829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EC0CF8">
            <w:pPr>
              <w:jc w:val="center"/>
            </w:pPr>
            <w:r>
              <w:rPr>
                <w:rFonts w:ascii="宋体" w:hAnsi="宋体" w:eastAsia="宋体"/>
                <w:sz w:val="16"/>
              </w:rPr>
              <w:t>食品抽检经费</w:t>
            </w:r>
          </w:p>
        </w:tc>
      </w:tr>
      <w:tr w14:paraId="3C993E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F9F0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B4B25D">
            <w:pPr>
              <w:jc w:val="center"/>
            </w:pPr>
            <w:r>
              <w:rPr>
                <w:rFonts w:ascii="宋体" w:hAnsi="宋体" w:eastAsia="宋体"/>
                <w:sz w:val="16"/>
              </w:rPr>
              <w:t>洛浦县市场监督管理局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E55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79A28A">
            <w:pPr>
              <w:jc w:val="center"/>
            </w:pPr>
            <w:r>
              <w:rPr>
                <w:rFonts w:ascii="宋体" w:hAnsi="宋体" w:eastAsia="宋体"/>
                <w:sz w:val="16"/>
              </w:rPr>
              <w:t>洛浦县市场监督管理局</w:t>
            </w:r>
          </w:p>
        </w:tc>
      </w:tr>
      <w:tr w14:paraId="5539A4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E997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A4DD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F4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3BD5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97CC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136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470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BC07">
            <w:pPr>
              <w:jc w:val="center"/>
            </w:pPr>
            <w:r>
              <w:rPr>
                <w:rFonts w:ascii="宋体" w:hAnsi="宋体" w:eastAsia="宋体"/>
                <w:sz w:val="16"/>
              </w:rPr>
              <w:t>得分</w:t>
            </w:r>
          </w:p>
        </w:tc>
      </w:tr>
      <w:tr w14:paraId="29EC11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83B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311D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5AAC7">
            <w:pPr>
              <w:jc w:val="center"/>
            </w:pPr>
            <w:r>
              <w:rPr>
                <w:rFonts w:ascii="宋体" w:hAnsi="宋体" w:eastAsia="宋体"/>
                <w:sz w:val="16"/>
              </w:rPr>
              <w:t>68.40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9DD9D">
            <w:pPr>
              <w:jc w:val="center"/>
            </w:pPr>
            <w:r>
              <w:rPr>
                <w:rFonts w:ascii="宋体" w:hAnsi="宋体" w:eastAsia="宋体"/>
                <w:sz w:val="16"/>
              </w:rPr>
              <w:t>68.40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2E8B7">
            <w:pPr>
              <w:jc w:val="center"/>
            </w:pPr>
            <w:r>
              <w:rPr>
                <w:rFonts w:ascii="宋体" w:hAnsi="宋体" w:eastAsia="宋体"/>
                <w:sz w:val="16"/>
              </w:rPr>
              <w:t>68.40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10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D2D3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93D4">
            <w:pPr>
              <w:jc w:val="center"/>
            </w:pPr>
            <w:r>
              <w:rPr>
                <w:rFonts w:ascii="宋体" w:hAnsi="宋体" w:eastAsia="宋体"/>
                <w:sz w:val="16"/>
              </w:rPr>
              <w:t>10.00分</w:t>
            </w:r>
          </w:p>
        </w:tc>
      </w:tr>
      <w:tr w14:paraId="1C700B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282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25C4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5C235">
            <w:pPr>
              <w:jc w:val="center"/>
            </w:pPr>
            <w:r>
              <w:rPr>
                <w:rFonts w:ascii="宋体" w:hAnsi="宋体" w:eastAsia="宋体"/>
                <w:sz w:val="16"/>
              </w:rPr>
              <w:t>68.40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E3519">
            <w:pPr>
              <w:jc w:val="center"/>
            </w:pPr>
            <w:r>
              <w:rPr>
                <w:rFonts w:ascii="宋体" w:hAnsi="宋体" w:eastAsia="宋体"/>
                <w:sz w:val="16"/>
              </w:rPr>
              <w:t>68.40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82965">
            <w:pPr>
              <w:jc w:val="center"/>
            </w:pPr>
            <w:r>
              <w:rPr>
                <w:rFonts w:ascii="宋体" w:hAnsi="宋体" w:eastAsia="宋体"/>
                <w:sz w:val="16"/>
              </w:rPr>
              <w:t>68.40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2CD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AA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7B19D">
            <w:pPr>
              <w:jc w:val="center"/>
            </w:pPr>
            <w:r>
              <w:rPr>
                <w:rFonts w:ascii="宋体" w:hAnsi="宋体" w:eastAsia="宋体"/>
                <w:sz w:val="16"/>
              </w:rPr>
              <w:t>—</w:t>
            </w:r>
          </w:p>
        </w:tc>
      </w:tr>
      <w:tr w14:paraId="3BE949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D15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D5B5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7B0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AC0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871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1D8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757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80146">
            <w:pPr>
              <w:jc w:val="center"/>
            </w:pPr>
            <w:r>
              <w:rPr>
                <w:rFonts w:ascii="宋体" w:hAnsi="宋体" w:eastAsia="宋体"/>
                <w:sz w:val="16"/>
              </w:rPr>
              <w:t>—</w:t>
            </w:r>
          </w:p>
        </w:tc>
      </w:tr>
      <w:tr w14:paraId="118175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615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FAD6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EF3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2B2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D9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6C5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8D5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46E7C">
            <w:pPr>
              <w:jc w:val="center"/>
            </w:pPr>
            <w:r>
              <w:rPr>
                <w:rFonts w:ascii="宋体" w:hAnsi="宋体" w:eastAsia="宋体"/>
                <w:sz w:val="16"/>
              </w:rPr>
              <w:t>—</w:t>
            </w:r>
          </w:p>
        </w:tc>
      </w:tr>
      <w:tr w14:paraId="1C7EE9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4714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24B7A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58C703">
            <w:pPr>
              <w:jc w:val="center"/>
            </w:pPr>
            <w:r>
              <w:rPr>
                <w:rFonts w:ascii="宋体" w:hAnsi="宋体" w:eastAsia="宋体"/>
                <w:sz w:val="16"/>
              </w:rPr>
              <w:t>实际完成情况</w:t>
            </w:r>
          </w:p>
        </w:tc>
      </w:tr>
      <w:tr w14:paraId="4570C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A31D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3697E9">
            <w:pPr>
              <w:jc w:val="both"/>
            </w:pPr>
            <w:r>
              <w:rPr>
                <w:rFonts w:ascii="宋体" w:hAnsi="宋体" w:eastAsia="宋体"/>
                <w:sz w:val="16"/>
              </w:rPr>
              <w:t>根据《洛浦县财经委员会会议纪要》（洛财纪字</w:t>
            </w:r>
            <w:r>
              <w:rPr>
                <w:rFonts w:hint="eastAsia" w:ascii="宋体" w:hAnsi="宋体"/>
                <w:sz w:val="16"/>
                <w:lang w:eastAsia="zh-CN"/>
              </w:rPr>
              <w:t>〔2024〕10号</w:t>
            </w:r>
            <w:r>
              <w:rPr>
                <w:rFonts w:ascii="宋体" w:hAnsi="宋体" w:eastAsia="宋体"/>
                <w:sz w:val="16"/>
              </w:rPr>
              <w:t>）文件实施此项目，项目主要内容为：保障2个第三方服务机构2022年食品安全抽检经费及2023年食品安全抽检经费。通过项目实施，健全完善食品安全责任体系，全面提升食品安全保障水平。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445F1B">
            <w:pPr>
              <w:jc w:val="both"/>
            </w:pPr>
            <w:r>
              <w:rPr>
                <w:rFonts w:hint="eastAsia" w:ascii="宋体" w:hAnsi="宋体"/>
                <w:sz w:val="16"/>
                <w:lang w:eastAsia="zh-CN"/>
              </w:rPr>
              <w:t>截至</w:t>
            </w:r>
            <w:r>
              <w:rPr>
                <w:rFonts w:ascii="宋体" w:hAnsi="宋体" w:eastAsia="宋体"/>
                <w:sz w:val="16"/>
              </w:rPr>
              <w:t>2024年12月31日，该项目已实施完毕，已支付资金68.40万元。项目已完成的主要内容是保障2个第三方服务机构2022年食品安全抽检经费及2023年食品安全抽检经费；通过项目实施，健全了完善食品安全责任体系，全面提升了食品安全保障水平。项目受益群众满意度达到了90%。</w:t>
            </w:r>
          </w:p>
        </w:tc>
      </w:tr>
      <w:tr w14:paraId="24CB48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87C3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43B3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D6E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56E4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CE9C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A79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AF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8B46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5D225">
            <w:pPr>
              <w:jc w:val="center"/>
            </w:pPr>
            <w:r>
              <w:rPr>
                <w:rFonts w:ascii="宋体" w:hAnsi="宋体" w:eastAsia="宋体"/>
                <w:sz w:val="16"/>
              </w:rPr>
              <w:t>偏差原因分析及改进措施</w:t>
            </w:r>
          </w:p>
        </w:tc>
      </w:tr>
      <w:tr w14:paraId="1FFA62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4FA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828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A421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8565">
            <w:pPr>
              <w:jc w:val="center"/>
            </w:pPr>
            <w:r>
              <w:rPr>
                <w:rFonts w:ascii="宋体" w:hAnsi="宋体" w:eastAsia="宋体"/>
                <w:sz w:val="16"/>
              </w:rPr>
              <w:t>聘请第三方服务机构数量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682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6D862">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2EE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97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F03E8">
            <w:pPr>
              <w:jc w:val="center"/>
            </w:pPr>
          </w:p>
        </w:tc>
      </w:tr>
      <w:tr w14:paraId="5ABE3E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A22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BF0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81D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F7EC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937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75C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0C7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7CB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AF92B">
            <w:pPr>
              <w:jc w:val="center"/>
            </w:pPr>
          </w:p>
        </w:tc>
      </w:tr>
      <w:tr w14:paraId="37A2D9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BA4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30A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8D52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A635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F945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758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1D4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C0F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B3E44">
            <w:pPr>
              <w:jc w:val="center"/>
            </w:pPr>
          </w:p>
        </w:tc>
      </w:tr>
      <w:tr w14:paraId="4E9BF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833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97E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BBD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26F4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B4D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ECF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E2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325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3C54F">
            <w:pPr>
              <w:jc w:val="center"/>
            </w:pPr>
          </w:p>
        </w:tc>
      </w:tr>
      <w:tr w14:paraId="538A56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8A3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FCCA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844A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4B237">
            <w:pPr>
              <w:jc w:val="center"/>
            </w:pPr>
            <w:r>
              <w:rPr>
                <w:rFonts w:ascii="宋体" w:hAnsi="宋体" w:eastAsia="宋体"/>
                <w:sz w:val="16"/>
              </w:rPr>
              <w:t>2022年食品安全抽检经费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0EDA3">
            <w:pPr>
              <w:jc w:val="center"/>
            </w:pPr>
            <w:r>
              <w:rPr>
                <w:rFonts w:ascii="宋体" w:hAnsi="宋体" w:eastAsia="宋体"/>
                <w:sz w:val="16"/>
              </w:rPr>
              <w:t>&lt;=43.51万元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8C9DF">
            <w:pPr>
              <w:jc w:val="center"/>
            </w:pPr>
            <w:r>
              <w:rPr>
                <w:rFonts w:ascii="宋体" w:hAnsi="宋体" w:eastAsia="宋体"/>
                <w:sz w:val="16"/>
              </w:rPr>
              <w:t>=43.51万元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679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4C3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D34C6">
            <w:pPr>
              <w:jc w:val="center"/>
            </w:pPr>
          </w:p>
        </w:tc>
      </w:tr>
      <w:tr w14:paraId="394BD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4D7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F87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F29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EB1E5">
            <w:pPr>
              <w:jc w:val="center"/>
            </w:pPr>
            <w:r>
              <w:rPr>
                <w:rFonts w:ascii="宋体" w:hAnsi="宋体" w:eastAsia="宋体"/>
                <w:sz w:val="16"/>
              </w:rPr>
              <w:t>2023年食品安全抽检经费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2EB6">
            <w:pPr>
              <w:jc w:val="center"/>
            </w:pPr>
            <w:r>
              <w:rPr>
                <w:rFonts w:ascii="宋体" w:hAnsi="宋体" w:eastAsia="宋体"/>
                <w:sz w:val="16"/>
              </w:rPr>
              <w:t>&lt;=24.89万元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0F8E9">
            <w:pPr>
              <w:jc w:val="center"/>
            </w:pPr>
            <w:r>
              <w:rPr>
                <w:rFonts w:ascii="宋体" w:hAnsi="宋体" w:eastAsia="宋体"/>
                <w:sz w:val="16"/>
              </w:rPr>
              <w:t>=24.89万元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108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0AB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CDEE">
            <w:pPr>
              <w:jc w:val="center"/>
            </w:pPr>
          </w:p>
        </w:tc>
      </w:tr>
      <w:tr w14:paraId="26A6EC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6C8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3CB5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8F6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10D83">
            <w:pPr>
              <w:jc w:val="center"/>
            </w:pPr>
            <w:r>
              <w:rPr>
                <w:rFonts w:ascii="宋体" w:hAnsi="宋体" w:eastAsia="宋体"/>
                <w:sz w:val="16"/>
              </w:rPr>
              <w:t>提升食品安全保障水平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DD36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A8CC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76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E44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4C027">
            <w:pPr>
              <w:jc w:val="center"/>
            </w:pPr>
          </w:p>
        </w:tc>
      </w:tr>
      <w:tr w14:paraId="747EFC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3E5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E5D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CAE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9F948">
            <w:pPr>
              <w:jc w:val="center"/>
            </w:pPr>
            <w:r>
              <w:rPr>
                <w:rFonts w:ascii="宋体" w:hAnsi="宋体" w:eastAsia="宋体"/>
                <w:sz w:val="16"/>
              </w:rPr>
              <w:t>群众对食品抽检工作的满意度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8321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87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487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774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13000">
            <w:pPr>
              <w:jc w:val="center"/>
            </w:pPr>
          </w:p>
        </w:tc>
      </w:tr>
      <w:tr w14:paraId="3BF7830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3E1B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C2C9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B28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D9FA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56203C"/>
        </w:tc>
      </w:tr>
    </w:tbl>
    <w:p w14:paraId="01AC8324">
      <w:r>
        <w:br w:type="page"/>
      </w:r>
    </w:p>
    <w:p w14:paraId="672C9189">
      <w:pPr>
        <w:spacing w:line="640" w:lineRule="exact"/>
        <w:ind w:firstLine="640"/>
        <w:jc w:val="both"/>
        <w:outlineLvl w:val="2"/>
      </w:pPr>
      <w:r>
        <w:rPr>
          <w:rFonts w:ascii="黑体" w:hAnsi="黑体" w:eastAsia="黑体"/>
          <w:sz w:val="32"/>
        </w:rPr>
        <w:t>十二、其他需说明的事项</w:t>
      </w:r>
    </w:p>
    <w:p w14:paraId="7669EFC0">
      <w:pPr>
        <w:spacing w:line="580" w:lineRule="exact"/>
        <w:ind w:firstLine="640"/>
        <w:jc w:val="both"/>
      </w:pPr>
      <w:r>
        <w:rPr>
          <w:rFonts w:ascii="仿宋_GB2312" w:hAnsi="仿宋_GB2312" w:eastAsia="仿宋_GB2312"/>
          <w:b w:val="0"/>
          <w:sz w:val="32"/>
        </w:rPr>
        <w:t>本年本单位SM项目1个，全年预算数46.92万元，全年执行数46.92万元。</w:t>
      </w:r>
    </w:p>
    <w:p w14:paraId="3E8623EF">
      <w:r>
        <w:br w:type="page"/>
      </w:r>
    </w:p>
    <w:p w14:paraId="004B8B07">
      <w:pPr>
        <w:spacing w:line="240" w:lineRule="auto"/>
        <w:jc w:val="center"/>
        <w:outlineLvl w:val="1"/>
      </w:pPr>
      <w:r>
        <w:rPr>
          <w:rFonts w:ascii="黑体" w:hAnsi="黑体" w:eastAsia="黑体"/>
          <w:sz w:val="32"/>
        </w:rPr>
        <w:t>第三部分 专业名词解释</w:t>
      </w:r>
    </w:p>
    <w:p w14:paraId="7472CFF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449EC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8AB93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19D0C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E6DFC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AFA62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128D78">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A5410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E4008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FE153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7D417B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D99B9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B4012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3C1DE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D88608">
      <w:r>
        <w:br w:type="page"/>
      </w:r>
    </w:p>
    <w:p w14:paraId="5F2F9DAB">
      <w:pPr>
        <w:spacing w:line="240" w:lineRule="auto"/>
        <w:jc w:val="center"/>
        <w:outlineLvl w:val="1"/>
      </w:pPr>
      <w:r>
        <w:rPr>
          <w:rFonts w:ascii="黑体" w:hAnsi="黑体" w:eastAsia="黑体"/>
          <w:sz w:val="32"/>
        </w:rPr>
        <w:t>第四部分 部门决算报表（见附表）</w:t>
      </w:r>
    </w:p>
    <w:p w14:paraId="5696199A">
      <w:pPr>
        <w:spacing w:line="240" w:lineRule="auto"/>
        <w:ind w:firstLine="640"/>
        <w:jc w:val="both"/>
      </w:pPr>
      <w:r>
        <w:rPr>
          <w:rFonts w:ascii="仿宋_GB2312" w:hAnsi="仿宋_GB2312" w:eastAsia="仿宋_GB2312"/>
          <w:b w:val="0"/>
          <w:sz w:val="32"/>
        </w:rPr>
        <w:t>一、《收入支出决算总表》</w:t>
      </w:r>
    </w:p>
    <w:p w14:paraId="355536A4">
      <w:pPr>
        <w:spacing w:line="240" w:lineRule="auto"/>
        <w:ind w:firstLine="640"/>
        <w:jc w:val="both"/>
      </w:pPr>
      <w:r>
        <w:rPr>
          <w:rFonts w:ascii="仿宋_GB2312" w:hAnsi="仿宋_GB2312" w:eastAsia="仿宋_GB2312"/>
          <w:b w:val="0"/>
          <w:sz w:val="32"/>
        </w:rPr>
        <w:t>二、《收入决算表》</w:t>
      </w:r>
    </w:p>
    <w:p w14:paraId="66950C21">
      <w:pPr>
        <w:spacing w:line="240" w:lineRule="auto"/>
        <w:ind w:firstLine="640"/>
        <w:jc w:val="both"/>
      </w:pPr>
      <w:r>
        <w:rPr>
          <w:rFonts w:ascii="仿宋_GB2312" w:hAnsi="仿宋_GB2312" w:eastAsia="仿宋_GB2312"/>
          <w:b w:val="0"/>
          <w:sz w:val="32"/>
        </w:rPr>
        <w:t>三、《支出决算表》</w:t>
      </w:r>
    </w:p>
    <w:p w14:paraId="60FE1CAD">
      <w:pPr>
        <w:spacing w:line="240" w:lineRule="auto"/>
        <w:ind w:firstLine="640"/>
        <w:jc w:val="both"/>
      </w:pPr>
      <w:r>
        <w:rPr>
          <w:rFonts w:ascii="仿宋_GB2312" w:hAnsi="仿宋_GB2312" w:eastAsia="仿宋_GB2312"/>
          <w:b w:val="0"/>
          <w:sz w:val="32"/>
        </w:rPr>
        <w:t>四、《财政拨款收入支出决算总表》</w:t>
      </w:r>
    </w:p>
    <w:p w14:paraId="60B10D36">
      <w:pPr>
        <w:spacing w:line="240" w:lineRule="auto"/>
        <w:ind w:firstLine="640"/>
        <w:jc w:val="both"/>
      </w:pPr>
      <w:r>
        <w:rPr>
          <w:rFonts w:ascii="仿宋_GB2312" w:hAnsi="仿宋_GB2312" w:eastAsia="仿宋_GB2312"/>
          <w:b w:val="0"/>
          <w:sz w:val="32"/>
        </w:rPr>
        <w:t>五、《一般公共预算财政拨款支出决算表》</w:t>
      </w:r>
    </w:p>
    <w:p w14:paraId="53E58BBC">
      <w:pPr>
        <w:spacing w:line="240" w:lineRule="auto"/>
        <w:ind w:firstLine="640"/>
        <w:jc w:val="both"/>
      </w:pPr>
      <w:r>
        <w:rPr>
          <w:rFonts w:ascii="仿宋_GB2312" w:hAnsi="仿宋_GB2312" w:eastAsia="仿宋_GB2312"/>
          <w:b w:val="0"/>
          <w:sz w:val="32"/>
        </w:rPr>
        <w:t>六、《一般公共预算财政拨款基本支出决算表》</w:t>
      </w:r>
    </w:p>
    <w:p w14:paraId="00E4FFA1">
      <w:pPr>
        <w:spacing w:line="240" w:lineRule="auto"/>
        <w:ind w:firstLine="640"/>
        <w:jc w:val="both"/>
      </w:pPr>
      <w:r>
        <w:rPr>
          <w:rFonts w:ascii="仿宋_GB2312" w:hAnsi="仿宋_GB2312" w:eastAsia="仿宋_GB2312"/>
          <w:b w:val="0"/>
          <w:sz w:val="32"/>
        </w:rPr>
        <w:t>七、《政府性基金预算财政拨款收入支出决算表》</w:t>
      </w:r>
    </w:p>
    <w:p w14:paraId="761B47A4">
      <w:pPr>
        <w:spacing w:line="240" w:lineRule="auto"/>
        <w:ind w:firstLine="640"/>
        <w:jc w:val="both"/>
      </w:pPr>
      <w:r>
        <w:rPr>
          <w:rFonts w:ascii="仿宋_GB2312" w:hAnsi="仿宋_GB2312" w:eastAsia="仿宋_GB2312"/>
          <w:b w:val="0"/>
          <w:sz w:val="32"/>
        </w:rPr>
        <w:t>八、《国有资本经营预算财政拨款收入支出决算表》</w:t>
      </w:r>
    </w:p>
    <w:p w14:paraId="7F7CE1A0">
      <w:pPr>
        <w:spacing w:line="240" w:lineRule="auto"/>
        <w:ind w:firstLine="640"/>
        <w:jc w:val="both"/>
      </w:pPr>
      <w:r>
        <w:rPr>
          <w:rFonts w:ascii="仿宋_GB2312" w:hAnsi="仿宋_GB2312" w:eastAsia="仿宋_GB2312"/>
          <w:b w:val="0"/>
          <w:sz w:val="32"/>
        </w:rPr>
        <w:t>九、《财政拨款“三公”经费支出决算表》</w:t>
      </w:r>
    </w:p>
    <w:p w14:paraId="70B77955">
      <w:pPr>
        <w:spacing w:line="240" w:lineRule="auto"/>
        <w:ind w:firstLine="640"/>
        <w:jc w:val="both"/>
      </w:pPr>
    </w:p>
    <w:p w14:paraId="50A3478F">
      <w:pPr>
        <w:spacing w:line="240" w:lineRule="auto"/>
        <w:ind w:firstLine="640"/>
        <w:jc w:val="both"/>
      </w:pPr>
    </w:p>
    <w:p w14:paraId="65EEF74D">
      <w:pPr>
        <w:spacing w:line="240" w:lineRule="auto"/>
        <w:ind w:firstLine="640"/>
        <w:jc w:val="both"/>
      </w:pPr>
    </w:p>
    <w:p w14:paraId="55622D8D">
      <w:pPr>
        <w:spacing w:line="240" w:lineRule="auto"/>
        <w:ind w:firstLine="640"/>
        <w:jc w:val="both"/>
      </w:pPr>
    </w:p>
    <w:p w14:paraId="36A52B6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355B95"/>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76E0ABB"/>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535</Words>
  <Characters>538</Characters>
  <Lines>0</Lines>
  <Paragraphs>0</Paragraphs>
  <TotalTime>5</TotalTime>
  <ScaleCrop>false</ScaleCrop>
  <LinksUpToDate>false</LinksUpToDate>
  <CharactersWithSpaces>544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2025-09-17T11:18:05Z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