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102388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洛浦县市场开发建设管理中心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ABDEB0">
      <w:r>
        <w:br w:type="page"/>
      </w:r>
    </w:p>
    <w:p w14:paraId="7A2590D2">
      <w:pPr>
        <w:spacing w:line="640" w:lineRule="exact"/>
        <w:jc w:val="center"/>
        <w:outlineLvl w:val="1"/>
      </w:pPr>
      <w:r>
        <w:rPr>
          <w:rFonts w:ascii="黑体" w:hAnsi="黑体" w:eastAsia="黑体"/>
          <w:sz w:val="32"/>
        </w:rPr>
        <w:t>第一部分 单位概况</w:t>
      </w:r>
    </w:p>
    <w:p w14:paraId="6A96C270">
      <w:pPr>
        <w:spacing w:line="640" w:lineRule="exact"/>
        <w:ind w:firstLine="640"/>
        <w:jc w:val="both"/>
        <w:outlineLvl w:val="2"/>
      </w:pPr>
      <w:r>
        <w:rPr>
          <w:rFonts w:ascii="黑体" w:hAnsi="黑体" w:eastAsia="黑体"/>
          <w:sz w:val="32"/>
        </w:rPr>
        <w:t>一、主要职能</w:t>
      </w:r>
    </w:p>
    <w:p w14:paraId="60DE026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负责全县农贸市场的开发、建设和管理。</w:t>
      </w:r>
    </w:p>
    <w:p w14:paraId="1E109B8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维护在农贸市场交易双方的合法权益。</w:t>
      </w:r>
    </w:p>
    <w:p w14:paraId="0C77F38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负责检查确认入场经营者主体资格，并依法对其进行监督管理。</w:t>
      </w:r>
    </w:p>
    <w:p w14:paraId="614398BD">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维护农贸市场秩序，安排经营者的摊位。</w:t>
      </w:r>
    </w:p>
    <w:p w14:paraId="0E7DA9E8">
      <w:pPr>
        <w:spacing w:line="580" w:lineRule="exact"/>
        <w:ind w:firstLine="640"/>
        <w:jc w:val="both"/>
      </w:pPr>
      <w:r>
        <w:rPr>
          <w:rFonts w:hint="eastAsia" w:ascii="仿宋_GB2312" w:hAnsi="仿宋_GB2312" w:eastAsia="仿宋_GB2312"/>
          <w:sz w:val="32"/>
          <w:lang w:eastAsia="zh-CN"/>
        </w:rPr>
        <w:t>（</w:t>
      </w:r>
      <w:r>
        <w:rPr>
          <w:rFonts w:ascii="仿宋_GB2312" w:hAnsi="仿宋_GB2312" w:eastAsia="仿宋_GB2312"/>
          <w:sz w:val="32"/>
        </w:rPr>
        <w:t>5）依照法律、法规和国家有关规定收取市场摊位费。</w:t>
      </w:r>
    </w:p>
    <w:p w14:paraId="46441DF8">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负责全县各乡镇农贸市场的卫生、管理和其他有关工作。</w:t>
      </w:r>
    </w:p>
    <w:p w14:paraId="21F1FB97">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法律、法规规定的其他管理职责。</w:t>
      </w:r>
    </w:p>
    <w:p w14:paraId="5C76A5DB">
      <w:pPr>
        <w:spacing w:line="640" w:lineRule="exact"/>
        <w:ind w:firstLine="640"/>
        <w:jc w:val="both"/>
        <w:outlineLvl w:val="2"/>
      </w:pPr>
      <w:r>
        <w:rPr>
          <w:rFonts w:ascii="黑体" w:hAnsi="黑体" w:eastAsia="黑体"/>
          <w:sz w:val="32"/>
        </w:rPr>
        <w:t>二、机构设置及人员情况</w:t>
      </w:r>
    </w:p>
    <w:p w14:paraId="032C8236">
      <w:pPr>
        <w:spacing w:line="580" w:lineRule="exact"/>
        <w:ind w:firstLine="640"/>
        <w:jc w:val="both"/>
      </w:pPr>
      <w:r>
        <w:rPr>
          <w:rFonts w:ascii="仿宋_GB2312" w:hAnsi="仿宋_GB2312" w:eastAsia="仿宋_GB2312"/>
          <w:sz w:val="32"/>
        </w:rPr>
        <w:t>洛浦县市场开发建设管理中心2024年度，实有人数26人，其中：在职人员21人，减少1人；离休人员0人，增加0人；退休人员5人,增加1人。</w:t>
      </w:r>
    </w:p>
    <w:p w14:paraId="128CE223">
      <w:pPr>
        <w:spacing w:line="580" w:lineRule="exact"/>
        <w:ind w:firstLine="640"/>
        <w:jc w:val="both"/>
      </w:pPr>
      <w:r>
        <w:rPr>
          <w:rFonts w:ascii="仿宋_GB2312" w:hAnsi="仿宋_GB2312" w:eastAsia="仿宋_GB2312"/>
          <w:sz w:val="32"/>
        </w:rPr>
        <w:t>洛浦县市场开发建设管理中心无下属预算单位，下设1个科室，分别是：财务室。</w:t>
      </w:r>
    </w:p>
    <w:p w14:paraId="103287F6">
      <w:r>
        <w:br w:type="page"/>
      </w:r>
    </w:p>
    <w:p w14:paraId="57B59A99">
      <w:pPr>
        <w:spacing w:line="240" w:lineRule="auto"/>
        <w:jc w:val="center"/>
        <w:outlineLvl w:val="1"/>
      </w:pPr>
      <w:r>
        <w:rPr>
          <w:rFonts w:ascii="黑体" w:hAnsi="黑体" w:eastAsia="黑体"/>
          <w:sz w:val="32"/>
        </w:rPr>
        <w:t>第二部分 部门决算情况说明</w:t>
      </w:r>
    </w:p>
    <w:p w14:paraId="61BA4E67">
      <w:pPr>
        <w:spacing w:line="640" w:lineRule="exact"/>
        <w:ind w:firstLine="640"/>
        <w:jc w:val="both"/>
        <w:outlineLvl w:val="2"/>
      </w:pPr>
      <w:r>
        <w:rPr>
          <w:rFonts w:ascii="黑体" w:hAnsi="黑体" w:eastAsia="黑体"/>
          <w:sz w:val="32"/>
        </w:rPr>
        <w:t>一、收入支出决算总体情况说明</w:t>
      </w:r>
    </w:p>
    <w:p w14:paraId="2AB76832">
      <w:pPr>
        <w:spacing w:line="580" w:lineRule="exact"/>
        <w:ind w:firstLine="640"/>
        <w:jc w:val="both"/>
      </w:pPr>
      <w:r>
        <w:rPr>
          <w:rFonts w:ascii="仿宋_GB2312" w:hAnsi="仿宋_GB2312" w:eastAsia="仿宋_GB2312"/>
          <w:b/>
          <w:sz w:val="32"/>
        </w:rPr>
        <w:t>2024年度收入总计435.32万元，</w:t>
      </w:r>
      <w:r>
        <w:rPr>
          <w:rFonts w:ascii="仿宋_GB2312" w:hAnsi="仿宋_GB2312" w:eastAsia="仿宋_GB2312"/>
          <w:b w:val="0"/>
          <w:sz w:val="32"/>
        </w:rPr>
        <w:t>其中：本年收入合计435.32万元，使用非财政拨款结余（含专用结余）0.00万元，年初结转和结余0.00万元。</w:t>
      </w:r>
    </w:p>
    <w:p w14:paraId="37847B9E">
      <w:pPr>
        <w:spacing w:line="580" w:lineRule="exact"/>
        <w:ind w:firstLine="640"/>
        <w:jc w:val="both"/>
      </w:pPr>
      <w:r>
        <w:rPr>
          <w:rFonts w:ascii="仿宋_GB2312" w:hAnsi="仿宋_GB2312" w:eastAsia="仿宋_GB2312"/>
          <w:b/>
          <w:sz w:val="32"/>
        </w:rPr>
        <w:t>2024年度支出总计435.32万元，</w:t>
      </w:r>
      <w:r>
        <w:rPr>
          <w:rFonts w:ascii="仿宋_GB2312" w:hAnsi="仿宋_GB2312" w:eastAsia="仿宋_GB2312"/>
          <w:b w:val="0"/>
          <w:sz w:val="32"/>
        </w:rPr>
        <w:t>其中：本年支出合计435.32万元，结余分配0.00万元，年末结转和结余0.00万元。</w:t>
      </w:r>
    </w:p>
    <w:p w14:paraId="5FD7D98E">
      <w:pPr>
        <w:spacing w:line="580" w:lineRule="exact"/>
        <w:ind w:firstLine="640"/>
        <w:jc w:val="both"/>
      </w:pPr>
      <w:r>
        <w:rPr>
          <w:rFonts w:ascii="仿宋_GB2312" w:hAnsi="仿宋_GB2312" w:eastAsia="仿宋_GB2312"/>
          <w:b w:val="0"/>
          <w:sz w:val="32"/>
        </w:rPr>
        <w:t>收入支出总体与上年相比，增加6.92万元，增长1.62%，主要原因是：本年在职人员工资调增，社保、公积金基数调增，人员经费增加。</w:t>
      </w:r>
    </w:p>
    <w:p w14:paraId="455A438C">
      <w:pPr>
        <w:spacing w:line="640" w:lineRule="exact"/>
        <w:ind w:firstLine="640"/>
        <w:jc w:val="both"/>
        <w:outlineLvl w:val="2"/>
      </w:pPr>
      <w:r>
        <w:rPr>
          <w:rFonts w:ascii="黑体" w:hAnsi="黑体" w:eastAsia="黑体"/>
          <w:sz w:val="32"/>
        </w:rPr>
        <w:t>二、收入决算情况说明</w:t>
      </w:r>
    </w:p>
    <w:p w14:paraId="651BB4F3">
      <w:pPr>
        <w:spacing w:line="580" w:lineRule="exact"/>
        <w:ind w:firstLine="640"/>
        <w:jc w:val="both"/>
      </w:pPr>
      <w:r>
        <w:rPr>
          <w:rFonts w:ascii="仿宋_GB2312" w:hAnsi="仿宋_GB2312" w:eastAsia="仿宋_GB2312"/>
          <w:b/>
          <w:sz w:val="32"/>
        </w:rPr>
        <w:t>本年收入435.32万元，</w:t>
      </w:r>
      <w:r>
        <w:rPr>
          <w:rFonts w:ascii="仿宋_GB2312" w:hAnsi="仿宋_GB2312" w:eastAsia="仿宋_GB2312"/>
          <w:b w:val="0"/>
          <w:sz w:val="32"/>
        </w:rPr>
        <w:t>其中：财政拨款收入435.32万元，占100.00%；上级补助收入0.00万元，占0.00%；事业收入0.00万元，占0.00%；经营收入0.00万元，占0.00%；附属单位上缴收入0.00万元，占0.00%；其他收入0.00万元，占0.00%。</w:t>
      </w:r>
    </w:p>
    <w:p w14:paraId="4B76ED71">
      <w:pPr>
        <w:spacing w:line="640" w:lineRule="exact"/>
        <w:ind w:firstLine="640"/>
        <w:jc w:val="both"/>
        <w:outlineLvl w:val="2"/>
      </w:pPr>
      <w:r>
        <w:rPr>
          <w:rFonts w:ascii="黑体" w:hAnsi="黑体" w:eastAsia="黑体"/>
          <w:sz w:val="32"/>
        </w:rPr>
        <w:t>三、支出决算情况说明</w:t>
      </w:r>
    </w:p>
    <w:p w14:paraId="7D28E09D">
      <w:pPr>
        <w:spacing w:line="580" w:lineRule="exact"/>
        <w:ind w:firstLine="640"/>
        <w:jc w:val="both"/>
      </w:pPr>
      <w:r>
        <w:rPr>
          <w:rFonts w:ascii="仿宋_GB2312" w:hAnsi="仿宋_GB2312" w:eastAsia="仿宋_GB2312"/>
          <w:b/>
          <w:sz w:val="32"/>
        </w:rPr>
        <w:t>本年支出435.32万元，</w:t>
      </w:r>
      <w:r>
        <w:rPr>
          <w:rFonts w:ascii="仿宋_GB2312" w:hAnsi="仿宋_GB2312" w:eastAsia="仿宋_GB2312"/>
          <w:b w:val="0"/>
          <w:sz w:val="32"/>
        </w:rPr>
        <w:t>其中：基本支出428.00万元，占98.32%；项目支出7.32万元，占1.68%；上缴上级支出0.00万元，占0.00%；经营支出0.00万元，占0.00%；对附属单位补助支出0.00万元，占0.00%。</w:t>
      </w:r>
    </w:p>
    <w:p w14:paraId="24CA4467">
      <w:pPr>
        <w:spacing w:line="640" w:lineRule="exact"/>
        <w:ind w:firstLine="640"/>
        <w:jc w:val="both"/>
        <w:outlineLvl w:val="2"/>
      </w:pPr>
      <w:r>
        <w:rPr>
          <w:rFonts w:ascii="黑体" w:hAnsi="黑体" w:eastAsia="黑体"/>
          <w:sz w:val="32"/>
        </w:rPr>
        <w:t>四、财政拨款收入支出决算总体情况说明</w:t>
      </w:r>
    </w:p>
    <w:p w14:paraId="547CCC7A">
      <w:pPr>
        <w:spacing w:line="580" w:lineRule="exact"/>
        <w:ind w:firstLine="640"/>
        <w:jc w:val="both"/>
      </w:pPr>
      <w:r>
        <w:rPr>
          <w:rFonts w:ascii="仿宋_GB2312" w:hAnsi="仿宋_GB2312" w:eastAsia="仿宋_GB2312"/>
          <w:b/>
          <w:sz w:val="32"/>
        </w:rPr>
        <w:t>2024年度财政拨款收入总计435.32万元，</w:t>
      </w:r>
      <w:r>
        <w:rPr>
          <w:rFonts w:ascii="仿宋_GB2312" w:hAnsi="仿宋_GB2312" w:eastAsia="仿宋_GB2312"/>
          <w:b w:val="0"/>
          <w:sz w:val="32"/>
        </w:rPr>
        <w:t>其中：年初财政拨款结转和结余0.00万元，本年财政拨款收入435.32万元。</w:t>
      </w:r>
      <w:r>
        <w:rPr>
          <w:rFonts w:ascii="仿宋_GB2312" w:hAnsi="仿宋_GB2312" w:eastAsia="仿宋_GB2312"/>
          <w:b/>
          <w:sz w:val="32"/>
        </w:rPr>
        <w:t>财政拨款支出总计435.32万元，</w:t>
      </w:r>
      <w:r>
        <w:rPr>
          <w:rFonts w:ascii="仿宋_GB2312" w:hAnsi="仿宋_GB2312" w:eastAsia="仿宋_GB2312"/>
          <w:b w:val="0"/>
          <w:sz w:val="32"/>
        </w:rPr>
        <w:t>其中：年末财政拨款结转和结余0.00万元，本年财政拨款支出435.32万元。</w:t>
      </w:r>
    </w:p>
    <w:p w14:paraId="4ADD34C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增加6.92万元，增长1.62%，主要原因是：本年在职人员工资调增，社保、公积金基数调增，人员经费增加。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年初预算数439.87万元，决算数435.32万元，预决算差异率-1.03%，主要原因是：严格落实中央八项规定精神，厉行节约，减少不必要的开支。</w:t>
      </w:r>
    </w:p>
    <w:p w14:paraId="75A8607B">
      <w:pPr>
        <w:spacing w:line="640" w:lineRule="exact"/>
        <w:ind w:firstLine="640"/>
        <w:jc w:val="both"/>
        <w:outlineLvl w:val="2"/>
      </w:pPr>
      <w:r>
        <w:rPr>
          <w:rFonts w:ascii="黑体" w:hAnsi="黑体" w:eastAsia="黑体"/>
          <w:sz w:val="32"/>
        </w:rPr>
        <w:t>五、一般公共预算财政拨款支出决算情况说明</w:t>
      </w:r>
    </w:p>
    <w:p w14:paraId="3BF1301A">
      <w:pPr>
        <w:spacing w:line="640" w:lineRule="exact"/>
        <w:ind w:firstLine="640"/>
        <w:jc w:val="both"/>
        <w:outlineLvl w:val="3"/>
      </w:pPr>
      <w:r>
        <w:rPr>
          <w:rFonts w:ascii="楷体_GB2312" w:hAnsi="楷体_GB2312" w:eastAsia="楷体_GB2312"/>
          <w:b/>
          <w:sz w:val="32"/>
        </w:rPr>
        <w:t>（一）一般公共预算财政拨款支出决算总体情况</w:t>
      </w:r>
    </w:p>
    <w:p w14:paraId="3546A33C">
      <w:pPr>
        <w:spacing w:line="580" w:lineRule="exact"/>
        <w:ind w:firstLine="640"/>
        <w:jc w:val="both"/>
      </w:pPr>
      <w:r>
        <w:rPr>
          <w:rFonts w:ascii="仿宋_GB2312" w:hAnsi="仿宋_GB2312" w:eastAsia="仿宋_GB2312"/>
          <w:b/>
          <w:sz w:val="32"/>
        </w:rPr>
        <w:t>2024年度一般公共预算财政拨款支出433.63万元，</w:t>
      </w:r>
      <w:r>
        <w:rPr>
          <w:rFonts w:ascii="仿宋_GB2312" w:hAnsi="仿宋_GB2312" w:eastAsia="仿宋_GB2312"/>
          <w:b w:val="0"/>
          <w:sz w:val="32"/>
        </w:rPr>
        <w:t>占本年支出合计的99.61%。</w:t>
      </w:r>
      <w:r>
        <w:rPr>
          <w:rFonts w:ascii="仿宋_GB2312" w:hAnsi="仿宋_GB2312" w:eastAsia="仿宋_GB2312"/>
          <w:b/>
          <w:sz w:val="32"/>
        </w:rPr>
        <w:t>与上年相比，</w:t>
      </w:r>
      <w:r>
        <w:rPr>
          <w:rFonts w:ascii="仿宋_GB2312" w:hAnsi="仿宋_GB2312" w:eastAsia="仿宋_GB2312"/>
          <w:b w:val="0"/>
          <w:sz w:val="32"/>
        </w:rPr>
        <w:t>增加5.23万元，增长1.22%，主要原因是：本年在职人员工资调增，社保、公积金基数调增，人员经费增加。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年初预算数439.87万元，决算数433.63万元，预决算差异率-1.42%，主要原因是：严格落实中央八项规定精神，厉行节约，减少不必要的开支。</w:t>
      </w:r>
    </w:p>
    <w:p w14:paraId="21DF6455">
      <w:pPr>
        <w:spacing w:line="640" w:lineRule="exact"/>
        <w:ind w:firstLine="640"/>
        <w:jc w:val="both"/>
        <w:outlineLvl w:val="3"/>
      </w:pPr>
      <w:r>
        <w:rPr>
          <w:rFonts w:ascii="楷体_GB2312" w:hAnsi="楷体_GB2312" w:eastAsia="楷体_GB2312"/>
          <w:b/>
          <w:sz w:val="32"/>
        </w:rPr>
        <w:t>（二）一般公共预算财政拨款支出决算结构情况</w:t>
      </w:r>
    </w:p>
    <w:p w14:paraId="445251F9">
      <w:pPr>
        <w:spacing w:line="580" w:lineRule="exact"/>
        <w:ind w:firstLine="640"/>
        <w:jc w:val="both"/>
      </w:pPr>
      <w:r>
        <w:rPr>
          <w:rFonts w:ascii="仿宋_GB2312" w:hAnsi="仿宋_GB2312" w:eastAsia="仿宋_GB2312"/>
          <w:b w:val="0"/>
          <w:sz w:val="32"/>
        </w:rPr>
        <w:t>1.一般公共服务支出(类)328.79万元,占75.82%。</w:t>
      </w:r>
    </w:p>
    <w:p w14:paraId="45046277">
      <w:pPr>
        <w:spacing w:line="580" w:lineRule="exact"/>
        <w:ind w:firstLine="640"/>
        <w:jc w:val="both"/>
      </w:pPr>
      <w:r>
        <w:rPr>
          <w:rFonts w:ascii="仿宋_GB2312" w:hAnsi="仿宋_GB2312" w:eastAsia="仿宋_GB2312"/>
          <w:b w:val="0"/>
          <w:sz w:val="32"/>
        </w:rPr>
        <w:t>2.社会保障和就业支出(类)52.68万元,占12.15%。</w:t>
      </w:r>
    </w:p>
    <w:p w14:paraId="3E5E50A7">
      <w:pPr>
        <w:spacing w:line="580" w:lineRule="exact"/>
        <w:ind w:firstLine="640"/>
        <w:jc w:val="both"/>
      </w:pPr>
      <w:r>
        <w:rPr>
          <w:rFonts w:ascii="仿宋_GB2312" w:hAnsi="仿宋_GB2312" w:eastAsia="仿宋_GB2312"/>
          <w:b w:val="0"/>
          <w:sz w:val="32"/>
        </w:rPr>
        <w:t>3.卫生健康支出(类)16.41万元,占3.78%。</w:t>
      </w:r>
    </w:p>
    <w:p w14:paraId="73D89361">
      <w:pPr>
        <w:spacing w:line="580" w:lineRule="exact"/>
        <w:ind w:firstLine="640"/>
        <w:jc w:val="both"/>
      </w:pPr>
      <w:r>
        <w:rPr>
          <w:rFonts w:ascii="仿宋_GB2312" w:hAnsi="仿宋_GB2312" w:eastAsia="仿宋_GB2312"/>
          <w:b w:val="0"/>
          <w:sz w:val="32"/>
        </w:rPr>
        <w:t>4.住房保障支出(类)30.12万元,占6.95%。</w:t>
      </w:r>
    </w:p>
    <w:p w14:paraId="6277D512">
      <w:pPr>
        <w:spacing w:line="580" w:lineRule="exact"/>
        <w:ind w:firstLine="640"/>
        <w:jc w:val="both"/>
      </w:pPr>
      <w:r>
        <w:rPr>
          <w:rFonts w:ascii="仿宋_GB2312" w:hAnsi="仿宋_GB2312" w:eastAsia="仿宋_GB2312"/>
          <w:b w:val="0"/>
          <w:sz w:val="32"/>
        </w:rPr>
        <w:t>5.其他支出(类)5.63万元,占1.30%。</w:t>
      </w:r>
    </w:p>
    <w:p w14:paraId="356465E1">
      <w:pPr>
        <w:spacing w:line="640" w:lineRule="exact"/>
        <w:ind w:firstLine="640"/>
        <w:jc w:val="both"/>
        <w:outlineLvl w:val="3"/>
      </w:pPr>
      <w:r>
        <w:rPr>
          <w:rFonts w:ascii="楷体_GB2312" w:hAnsi="楷体_GB2312" w:eastAsia="楷体_GB2312"/>
          <w:b/>
          <w:sz w:val="32"/>
        </w:rPr>
        <w:t>（三）一般公共预算财政拨款支出决算具体情况</w:t>
      </w:r>
    </w:p>
    <w:p w14:paraId="1966471D">
      <w:pPr>
        <w:spacing w:line="580" w:lineRule="exact"/>
        <w:ind w:firstLine="640"/>
        <w:jc w:val="both"/>
      </w:pPr>
      <w:r>
        <w:rPr>
          <w:rFonts w:ascii="仿宋_GB2312" w:hAnsi="仿宋_GB2312" w:eastAsia="仿宋_GB2312"/>
          <w:b w:val="0"/>
          <w:sz w:val="32"/>
        </w:rPr>
        <w:t>1.一般公共服务支出(类)商贸事务(款)事业运行(项):支出决算数为328.79万元，比上年决算减少63.12万元，下降16.11%,主要原因是：本年功能科目调整，事业单位离退休、住房公积金、职工基本医疗保险上年度在主科目列支，本年单独列支，导致经费较上年减少。</w:t>
      </w:r>
    </w:p>
    <w:p w14:paraId="41B35BEB">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5.56万元，比上年决算增加5.56万元，增长100.00%,主要原因是：本年功能科目调整，事业单位离退休上年度在主科目列支，本年单独列支，导致经费较上年增加。</w:t>
      </w:r>
    </w:p>
    <w:p w14:paraId="6C6F8B7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40.40万元，比上年决算增加5.25万元，增长14.94%,主要原因是：本年在职人员工资基数调增，养老缴费基数上涨，相应支出增加。</w:t>
      </w:r>
    </w:p>
    <w:p w14:paraId="37CD1F1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4.社会保障和就业支出(类)行政事业单位养老支出(款)机关事业单位职业年金缴费支出(项):支出决算数为6.72万元，比上年决算增加6.72万元，增长100.00%,主要原因是：本年新增退休人员，职业年金缴费支出增加。</w:t>
      </w:r>
    </w:p>
    <w:p w14:paraId="22AE3837">
      <w:pPr>
        <w:spacing w:line="580" w:lineRule="exact"/>
        <w:ind w:firstLine="640"/>
        <w:jc w:val="both"/>
      </w:pPr>
      <w:r>
        <w:rPr>
          <w:rFonts w:ascii="仿宋_GB2312" w:hAnsi="仿宋_GB2312" w:eastAsia="仿宋_GB2312"/>
          <w:b w:val="0"/>
          <w:sz w:val="32"/>
        </w:rPr>
        <w:t>5.卫生健康支出(类)行政事业单位医疗(款)事业单位医疗(项):支出决算数为16.41万元，比上年决算增加16.41万元，增长100.00%,主要原因是：本年功能科目调整，事业单位医疗上年度在主科目列支，本年单独列支，导致经费较上年增加。</w:t>
      </w:r>
    </w:p>
    <w:p w14:paraId="5AD9B639">
      <w:pPr>
        <w:spacing w:line="580" w:lineRule="exact"/>
        <w:ind w:firstLine="640"/>
        <w:jc w:val="both"/>
      </w:pPr>
      <w:r>
        <w:rPr>
          <w:rFonts w:ascii="仿宋_GB2312" w:hAnsi="仿宋_GB2312" w:eastAsia="仿宋_GB2312"/>
          <w:b w:val="0"/>
          <w:sz w:val="32"/>
        </w:rPr>
        <w:t>6.住房保障支出(类)住房改革支出(款)住房公积金(项):支出决算数为30.12万元，比上年决算增加30.12万元，增长100.00%,主要原因是：本年功能科目调整，住房公积金上年度在主科目列支，本年单独列支，导致经费较上年增加。</w:t>
      </w:r>
    </w:p>
    <w:p w14:paraId="1B409557">
      <w:pPr>
        <w:spacing w:line="580" w:lineRule="exact"/>
        <w:ind w:firstLine="640"/>
        <w:jc w:val="both"/>
      </w:pPr>
      <w:r>
        <w:rPr>
          <w:rFonts w:ascii="仿宋_GB2312" w:hAnsi="仿宋_GB2312" w:eastAsia="仿宋_GB2312"/>
          <w:b w:val="0"/>
          <w:sz w:val="32"/>
        </w:rPr>
        <w:t>7.其他支出(类)其他支出(款)其他支出(项):支出决算数为5.63万元，比上年决算增加4.29万元，增长320.15%,主要原因是：本年支付以前年度未支付的为民办实事经费支出，导致相关经费增加。</w:t>
      </w:r>
    </w:p>
    <w:p w14:paraId="7AC6EC02">
      <w:pPr>
        <w:spacing w:line="640" w:lineRule="exact"/>
        <w:ind w:firstLine="640"/>
        <w:jc w:val="both"/>
        <w:outlineLvl w:val="2"/>
      </w:pPr>
      <w:r>
        <w:rPr>
          <w:rFonts w:ascii="黑体" w:hAnsi="黑体" w:eastAsia="黑体"/>
          <w:sz w:val="32"/>
        </w:rPr>
        <w:t>六、一般公共预算财政拨款基本支出决算情况说明</w:t>
      </w:r>
    </w:p>
    <w:p w14:paraId="14717BE2">
      <w:pPr>
        <w:spacing w:line="580" w:lineRule="exact"/>
        <w:ind w:firstLine="640"/>
        <w:jc w:val="both"/>
      </w:pPr>
      <w:r>
        <w:rPr>
          <w:rFonts w:ascii="仿宋_GB2312" w:hAnsi="仿宋_GB2312" w:eastAsia="仿宋_GB2312"/>
          <w:b w:val="0"/>
          <w:sz w:val="32"/>
        </w:rPr>
        <w:t>2024年度一般公共预算财政拨款基本支出428.00万元，其中：</w:t>
      </w:r>
      <w:r>
        <w:rPr>
          <w:rFonts w:ascii="仿宋_GB2312" w:hAnsi="仿宋_GB2312" w:eastAsia="仿宋_GB2312"/>
          <w:b/>
          <w:sz w:val="32"/>
        </w:rPr>
        <w:t>人员经费400.22万元，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w:t>
      </w:r>
    </w:p>
    <w:p w14:paraId="3FC78F7C">
      <w:pPr>
        <w:spacing w:line="580" w:lineRule="exact"/>
        <w:ind w:firstLine="640"/>
        <w:jc w:val="both"/>
      </w:pPr>
      <w:r>
        <w:rPr>
          <w:rFonts w:ascii="仿宋_GB2312" w:hAnsi="仿宋_GB2312" w:eastAsia="仿宋_GB2312"/>
          <w:b/>
          <w:sz w:val="32"/>
        </w:rPr>
        <w:t>公用经费27.78万元，</w:t>
      </w:r>
      <w:r>
        <w:rPr>
          <w:rFonts w:ascii="仿宋_GB2312" w:hAnsi="仿宋_GB2312" w:eastAsia="仿宋_GB2312"/>
          <w:b w:val="0"/>
          <w:sz w:val="32"/>
        </w:rPr>
        <w:t>包括：办公费、水费、电费、邮电费、取暖费、公务用车运行维护费。</w:t>
      </w:r>
    </w:p>
    <w:p w14:paraId="0DA095BE">
      <w:pPr>
        <w:spacing w:line="640" w:lineRule="exact"/>
        <w:ind w:firstLine="640"/>
        <w:jc w:val="both"/>
        <w:outlineLvl w:val="2"/>
      </w:pPr>
      <w:r>
        <w:rPr>
          <w:rFonts w:ascii="黑体" w:hAnsi="黑体" w:eastAsia="黑体"/>
          <w:sz w:val="32"/>
        </w:rPr>
        <w:t>七、政府性基金预算财政拨款收入支出决算情况说明</w:t>
      </w:r>
    </w:p>
    <w:p w14:paraId="2FD8B58D">
      <w:pPr>
        <w:spacing w:line="580" w:lineRule="exact"/>
        <w:ind w:firstLine="640"/>
        <w:jc w:val="both"/>
      </w:pPr>
      <w:r>
        <w:rPr>
          <w:rFonts w:ascii="仿宋_GB2312" w:hAnsi="仿宋_GB2312" w:eastAsia="仿宋_GB2312"/>
          <w:b/>
          <w:sz w:val="32"/>
        </w:rPr>
        <w:t>2024年度政府性基金预算财政拨款收入总计1.70万元，</w:t>
      </w:r>
      <w:r>
        <w:rPr>
          <w:rFonts w:ascii="仿宋_GB2312" w:hAnsi="仿宋_GB2312" w:eastAsia="仿宋_GB2312"/>
          <w:b w:val="0"/>
          <w:sz w:val="32"/>
        </w:rPr>
        <w:t>其中：年初结转和结余0.00万元，本年收入1.70万元。</w:t>
      </w:r>
      <w:r>
        <w:rPr>
          <w:rFonts w:ascii="仿宋_GB2312" w:hAnsi="仿宋_GB2312" w:eastAsia="仿宋_GB2312"/>
          <w:b/>
          <w:sz w:val="32"/>
        </w:rPr>
        <w:t>政府性基金预算财政拨款支出总计1.70万元，</w:t>
      </w:r>
      <w:r>
        <w:rPr>
          <w:rFonts w:ascii="仿宋_GB2312" w:hAnsi="仿宋_GB2312" w:eastAsia="仿宋_GB2312"/>
          <w:b w:val="0"/>
          <w:sz w:val="32"/>
        </w:rPr>
        <w:t>其中：年末结转和结余0.00万元，本年支出1.70万元。</w:t>
      </w:r>
    </w:p>
    <w:p w14:paraId="7631551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增加1.70万元，增长100.00%，主要原因是：本年增加聘用人员工资项目经费，导致相关经费增加。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年初预算数0.00万元，决算数1.70万元，预决算差异率100.00%，主要原因是：年中追加聘用人员工资项目经费，导致预决算存在差异。</w:t>
      </w:r>
    </w:p>
    <w:p w14:paraId="3F07F9D5">
      <w:pPr>
        <w:spacing w:line="580" w:lineRule="exact"/>
        <w:ind w:firstLine="640"/>
        <w:jc w:val="both"/>
      </w:pPr>
      <w:r>
        <w:rPr>
          <w:rFonts w:ascii="仿宋_GB2312" w:hAnsi="仿宋_GB2312" w:eastAsia="仿宋_GB2312"/>
          <w:b w:val="0"/>
          <w:sz w:val="32"/>
        </w:rPr>
        <w:t>政府性基金预算财政拨款支出1.70万元。</w:t>
      </w:r>
    </w:p>
    <w:p w14:paraId="642E7982">
      <w:pPr>
        <w:spacing w:line="580" w:lineRule="exact"/>
        <w:ind w:firstLine="640"/>
        <w:jc w:val="both"/>
      </w:pPr>
      <w:r>
        <w:rPr>
          <w:rFonts w:ascii="仿宋_GB2312" w:hAnsi="仿宋_GB2312" w:eastAsia="仿宋_GB2312"/>
          <w:b w:val="0"/>
          <w:sz w:val="32"/>
        </w:rPr>
        <w:t>1.城乡社区支出(类)城市基础设施配套费安排的支出(款)城市环境卫生(项):支出决算数为1.70万元，比上年决算增加1.70万元，增长100.00%,主要原因是：本年增加聘用人员工资项目经费，导致相关经费增加。</w:t>
      </w:r>
    </w:p>
    <w:p w14:paraId="1A881F26">
      <w:pPr>
        <w:spacing w:line="640" w:lineRule="exact"/>
        <w:ind w:firstLine="640"/>
        <w:jc w:val="both"/>
        <w:outlineLvl w:val="2"/>
      </w:pPr>
      <w:r>
        <w:rPr>
          <w:rFonts w:ascii="黑体" w:hAnsi="黑体" w:eastAsia="黑体"/>
          <w:sz w:val="32"/>
        </w:rPr>
        <w:t>八、国有资本经营预算财政拨款收入支出决算情况说明</w:t>
      </w:r>
    </w:p>
    <w:p w14:paraId="762E83F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2A6A7D5">
      <w:pPr>
        <w:spacing w:line="640" w:lineRule="exact"/>
        <w:ind w:firstLine="640"/>
        <w:jc w:val="both"/>
        <w:outlineLvl w:val="2"/>
      </w:pPr>
      <w:r>
        <w:rPr>
          <w:rFonts w:ascii="黑体" w:hAnsi="黑体" w:eastAsia="黑体"/>
          <w:sz w:val="32"/>
        </w:rPr>
        <w:t>九、财政拨款“三公”经费支出决算情况说明</w:t>
      </w:r>
    </w:p>
    <w:p w14:paraId="34736004">
      <w:pPr>
        <w:spacing w:line="580" w:lineRule="exact"/>
        <w:ind w:firstLine="640"/>
        <w:jc w:val="both"/>
      </w:pPr>
      <w:r>
        <w:rPr>
          <w:rFonts w:ascii="仿宋_GB2312" w:hAnsi="仿宋_GB2312" w:eastAsia="仿宋_GB2312"/>
          <w:b/>
          <w:sz w:val="32"/>
        </w:rPr>
        <w:t>2024年度财政拨款“三公”经费支出0.46万元，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0.46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67FA5E75">
      <w:pPr>
        <w:spacing w:line="580" w:lineRule="exact"/>
        <w:ind w:firstLine="640"/>
        <w:jc w:val="both"/>
      </w:pPr>
      <w:r>
        <w:rPr>
          <w:rFonts w:ascii="仿宋_GB2312" w:hAnsi="仿宋_GB2312" w:eastAsia="仿宋_GB2312"/>
          <w:b/>
          <w:sz w:val="32"/>
        </w:rPr>
        <w:t>具体情况如下：</w:t>
      </w:r>
    </w:p>
    <w:p w14:paraId="1709C01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3E9913">
      <w:pPr>
        <w:spacing w:line="580" w:lineRule="exact"/>
        <w:ind w:firstLine="640"/>
        <w:jc w:val="both"/>
      </w:pPr>
      <w:r>
        <w:rPr>
          <w:rFonts w:ascii="仿宋_GB2312" w:hAnsi="仿宋_GB2312" w:eastAsia="仿宋_GB2312"/>
          <w:b w:val="0"/>
          <w:sz w:val="32"/>
        </w:rPr>
        <w:t>公务用车购置及运行维护费0.46万元，其中：公务用车购置费0.00万元，公务用车运行维护费0.46万元。公务用车运行维护费开支内容包括车辆保险费。公务用车购置数0辆，公务用车保有量1辆。国有资产占用情况中固定资产车辆1辆，与公务用车保有量差异原因是：本单位固定资产车辆与公务用车保有量一致无差异。</w:t>
      </w:r>
    </w:p>
    <w:p w14:paraId="26B6EE1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74DC9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1.90万元，决算数0.46万元，预决算差异率-75.79%，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1.90万元，决算数0.46万元，预决算差异率-75.79%，主要原因是：严格落实中央八项规定精神，厉行节约，减少经费支出。公务接待费全年预算数0.00万元，决算数0.00万元，预决算差异率0.00%，主要原因是：本单位无公务接待费。</w:t>
      </w:r>
    </w:p>
    <w:p w14:paraId="617395B6">
      <w:pPr>
        <w:spacing w:line="640" w:lineRule="exact"/>
        <w:ind w:firstLine="640"/>
        <w:jc w:val="both"/>
        <w:outlineLvl w:val="2"/>
      </w:pPr>
      <w:r>
        <w:rPr>
          <w:rFonts w:ascii="黑体" w:hAnsi="黑体" w:eastAsia="黑体"/>
          <w:sz w:val="32"/>
        </w:rPr>
        <w:t>十、其他重要事项的情况说明</w:t>
      </w:r>
    </w:p>
    <w:p w14:paraId="07300D32">
      <w:pPr>
        <w:spacing w:line="640" w:lineRule="exact"/>
        <w:ind w:firstLine="640"/>
        <w:jc w:val="both"/>
        <w:outlineLvl w:val="3"/>
      </w:pPr>
      <w:r>
        <w:rPr>
          <w:rFonts w:ascii="楷体_GB2312" w:hAnsi="楷体_GB2312" w:eastAsia="楷体_GB2312"/>
          <w:b/>
          <w:sz w:val="32"/>
        </w:rPr>
        <w:t>（一）机关运行经费及公用经费支出情况</w:t>
      </w:r>
    </w:p>
    <w:p w14:paraId="2FCDF9C1">
      <w:pPr>
        <w:spacing w:line="580" w:lineRule="exact"/>
        <w:ind w:firstLine="640"/>
        <w:jc w:val="both"/>
      </w:pPr>
      <w:r>
        <w:rPr>
          <w:rFonts w:ascii="仿宋_GB2312" w:hAnsi="仿宋_GB2312" w:eastAsia="仿宋_GB2312"/>
          <w:b w:val="0"/>
          <w:sz w:val="32"/>
        </w:rPr>
        <w:t>2024年度洛浦县市场开发建设管理中心（事业单位）公用经费支出27.78万元，比上年增加15.96万元，增长135.03%，主要原因是：2024年支付以前年度未支付的公用经费支出。</w:t>
      </w:r>
    </w:p>
    <w:p w14:paraId="7F40940B">
      <w:pPr>
        <w:spacing w:line="640" w:lineRule="exact"/>
        <w:ind w:firstLine="640"/>
        <w:jc w:val="both"/>
        <w:outlineLvl w:val="3"/>
      </w:pPr>
      <w:r>
        <w:rPr>
          <w:rFonts w:ascii="楷体_GB2312" w:hAnsi="楷体_GB2312" w:eastAsia="楷体_GB2312"/>
          <w:b/>
          <w:sz w:val="32"/>
        </w:rPr>
        <w:t>（二）政府采购情况</w:t>
      </w:r>
    </w:p>
    <w:p w14:paraId="25C59003">
      <w:pPr>
        <w:spacing w:line="580" w:lineRule="exact"/>
        <w:ind w:firstLine="640"/>
        <w:jc w:val="both"/>
      </w:pPr>
      <w:r>
        <w:rPr>
          <w:rFonts w:ascii="仿宋_GB2312" w:hAnsi="仿宋_GB2312" w:eastAsia="仿宋_GB2312"/>
          <w:b w:val="0"/>
          <w:sz w:val="32"/>
        </w:rPr>
        <w:t>2024年度政府采购支出总额0.46万元，其中：政府采购货物支出0.00万元、政府采购工程支出0.00万元、政府采购服务支出0.46万元。</w:t>
      </w:r>
    </w:p>
    <w:p w14:paraId="5C177AAE">
      <w:pPr>
        <w:spacing w:line="580" w:lineRule="exact"/>
        <w:ind w:firstLine="640"/>
        <w:jc w:val="both"/>
      </w:pPr>
      <w:r>
        <w:rPr>
          <w:rFonts w:ascii="仿宋_GB2312" w:hAnsi="仿宋_GB2312" w:eastAsia="仿宋_GB2312"/>
          <w:b w:val="0"/>
          <w:sz w:val="32"/>
        </w:rPr>
        <w:t>授予中小企业合同金额0.46万元，占政府采购支出总额的100.00%，其中：授予小微企业合同金额0.00万元，占政府采购支出总额的0.00%。</w:t>
      </w:r>
    </w:p>
    <w:p w14:paraId="19371B05">
      <w:pPr>
        <w:spacing w:line="640" w:lineRule="exact"/>
        <w:ind w:firstLine="640"/>
        <w:jc w:val="both"/>
        <w:outlineLvl w:val="3"/>
      </w:pPr>
      <w:r>
        <w:rPr>
          <w:rFonts w:ascii="楷体_GB2312" w:hAnsi="楷体_GB2312" w:eastAsia="楷体_GB2312"/>
          <w:b/>
          <w:sz w:val="32"/>
        </w:rPr>
        <w:t>（三）国有资产占用情况说明</w:t>
      </w:r>
    </w:p>
    <w:p w14:paraId="33393D01">
      <w:pPr>
        <w:spacing w:line="580" w:lineRule="exact"/>
        <w:ind w:firstLine="640"/>
        <w:jc w:val="both"/>
      </w:pPr>
      <w:r>
        <w:rPr>
          <w:rFonts w:ascii="仿宋_GB2312" w:hAnsi="仿宋_GB2312" w:eastAsia="仿宋_GB2312"/>
          <w:b w:val="0"/>
          <w:sz w:val="32"/>
        </w:rPr>
        <w:t>截至2024年12月31日，房屋6,919.75平方米，价值3,924.29万元。车辆1辆，价值5.49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67CF4D2D">
      <w:pPr>
        <w:spacing w:line="640" w:lineRule="exact"/>
        <w:ind w:firstLine="640"/>
        <w:jc w:val="both"/>
        <w:outlineLvl w:val="2"/>
      </w:pPr>
      <w:r>
        <w:rPr>
          <w:rFonts w:ascii="黑体" w:hAnsi="黑体" w:eastAsia="黑体"/>
          <w:sz w:val="32"/>
        </w:rPr>
        <w:t>十一、预算绩效的情况说明</w:t>
      </w:r>
    </w:p>
    <w:p w14:paraId="537DEC6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根据预算绩效管理要求，本单位2024年度预算绩效管理形成整体支出绩效自评表1个，全年预算总额435.32万元，实际执行总额435.32万元；预算绩效评价项目</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18.69</w:t>
      </w:r>
      <w:r>
        <w:rPr>
          <w:rFonts w:ascii="仿宋_GB2312" w:hAnsi="仿宋_GB2312" w:eastAsia="仿宋_GB2312"/>
          <w:b w:val="0"/>
          <w:sz w:val="32"/>
        </w:rPr>
        <w:t>万元，全年执行数</w:t>
      </w:r>
      <w:r>
        <w:rPr>
          <w:rFonts w:hint="eastAsia" w:ascii="仿宋_GB2312" w:hAnsi="仿宋_GB2312" w:eastAsia="仿宋_GB2312"/>
          <w:b w:val="0"/>
          <w:sz w:val="32"/>
        </w:rPr>
        <w:t>18.69</w:t>
      </w:r>
      <w:r>
        <w:rPr>
          <w:rFonts w:ascii="仿宋_GB2312" w:hAnsi="仿宋_GB2312" w:eastAsia="仿宋_GB2312"/>
          <w:b w:val="0"/>
          <w:sz w:val="32"/>
        </w:rPr>
        <w:t>万元。预算绩效管理取得的成效：一是严格按照相关的专项资金管理办法，实行多重审批控制专项经费的支出；二是项目根据实际情况做出合理预算，支出严格控制在预算范围内，本着节约成本，防止资源浪费的原则将项目成效最大化。发现的问题及原因：一是部分业务人员绩效管理意识有待增强，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落实中央统一领导、分级负责的领导体制，坚持主体责任；二是完善工作方案，依法依规依纪开展工作，根据目标偏离情况，及时调整工作计划；三是建立完善落实工作制度和财务管理制度，规范开展工作，按要求及时上报支付申请，加快资金审批和拨付进度；四是建立全过程预算绩效管理链条，有效贯彻落实全面实施绩效管理的精神。具体附整体支出绩效自评表，项目支出绩效自评表和评价报告。</w:t>
      </w:r>
    </w:p>
    <w:p w14:paraId="0A7CD41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16D416">
        <w:tblPrEx>
          <w:tblCellMar>
            <w:top w:w="0" w:type="dxa"/>
            <w:left w:w="108" w:type="dxa"/>
            <w:bottom w:w="0" w:type="dxa"/>
            <w:right w:w="108" w:type="dxa"/>
          </w:tblCellMar>
        </w:tblPrEx>
        <w:tc>
          <w:tcPr>
            <w:tcW w:w="8847" w:type="dxa"/>
            <w:gridSpan w:val="9"/>
            <w:vAlign w:val="center"/>
          </w:tcPr>
          <w:p w14:paraId="2DA7118D">
            <w:pPr>
              <w:jc w:val="center"/>
            </w:pPr>
            <w:r>
              <w:rPr>
                <w:rFonts w:ascii="宋体" w:hAnsi="宋体" w:eastAsia="宋体"/>
                <w:sz w:val="24"/>
              </w:rPr>
              <w:t>单位整体支出绩效自评表</w:t>
            </w:r>
          </w:p>
        </w:tc>
      </w:tr>
      <w:tr w14:paraId="3A83B49C">
        <w:tblPrEx>
          <w:tblCellMar>
            <w:top w:w="0" w:type="dxa"/>
            <w:left w:w="108" w:type="dxa"/>
            <w:bottom w:w="0" w:type="dxa"/>
            <w:right w:w="108" w:type="dxa"/>
          </w:tblCellMar>
        </w:tblPrEx>
        <w:tc>
          <w:tcPr>
            <w:tcW w:w="8847" w:type="dxa"/>
            <w:gridSpan w:val="9"/>
            <w:vAlign w:val="center"/>
          </w:tcPr>
          <w:p w14:paraId="7BBA6B11">
            <w:pPr>
              <w:jc w:val="center"/>
            </w:pPr>
            <w:r>
              <w:rPr>
                <w:rFonts w:ascii="宋体" w:hAnsi="宋体" w:eastAsia="宋体"/>
                <w:sz w:val="24"/>
              </w:rPr>
              <w:t>（2024年度）</w:t>
            </w:r>
          </w:p>
        </w:tc>
      </w:tr>
      <w:tr w14:paraId="751BAA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95FD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CE6DB0">
            <w:pPr>
              <w:jc w:val="center"/>
            </w:pPr>
            <w:r>
              <w:rPr>
                <w:rFonts w:ascii="宋体" w:hAnsi="宋体" w:eastAsia="宋体"/>
                <w:sz w:val="16"/>
              </w:rPr>
              <w:t>洛浦县市场开发建设管理中心</w:t>
            </w:r>
          </w:p>
        </w:tc>
      </w:tr>
      <w:tr w14:paraId="769DC2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A58C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3408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C401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8792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5ECF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9CD3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EC7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045A4">
            <w:pPr>
              <w:jc w:val="center"/>
            </w:pPr>
            <w:r>
              <w:rPr>
                <w:rFonts w:ascii="宋体" w:hAnsi="宋体" w:eastAsia="宋体"/>
                <w:sz w:val="16"/>
              </w:rPr>
              <w:t>得分</w:t>
            </w:r>
          </w:p>
        </w:tc>
      </w:tr>
      <w:tr w14:paraId="6686C0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F334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7B43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A155D">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F3B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9C7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B92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4B1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8C1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7C25">
            <w:pPr>
              <w:jc w:val="center"/>
            </w:pPr>
            <w:r>
              <w:rPr>
                <w:rFonts w:ascii="宋体" w:hAnsi="宋体" w:eastAsia="宋体"/>
                <w:sz w:val="16"/>
              </w:rPr>
              <w:t>-</w:t>
            </w:r>
          </w:p>
        </w:tc>
      </w:tr>
      <w:tr w14:paraId="4F04D6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B4A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71D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0EBBA">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3DAE0">
            <w:pPr>
              <w:jc w:val="center"/>
            </w:pPr>
            <w:r>
              <w:rPr>
                <w:rFonts w:ascii="宋体" w:hAnsi="宋体" w:eastAsia="宋体"/>
                <w:sz w:val="16"/>
              </w:rPr>
              <w:t>439.87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07653">
            <w:pPr>
              <w:jc w:val="center"/>
            </w:pPr>
            <w:r>
              <w:rPr>
                <w:rFonts w:ascii="宋体" w:hAnsi="宋体" w:eastAsia="宋体"/>
                <w:sz w:val="16"/>
              </w:rPr>
              <w:t>435.32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F88A7">
            <w:pPr>
              <w:jc w:val="center"/>
            </w:pPr>
            <w:r>
              <w:rPr>
                <w:rFonts w:ascii="宋体" w:hAnsi="宋体" w:eastAsia="宋体"/>
                <w:sz w:val="16"/>
              </w:rPr>
              <w:t>435.32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A3E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FF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13D66">
            <w:pPr>
              <w:jc w:val="center"/>
            </w:pPr>
            <w:r>
              <w:rPr>
                <w:rFonts w:ascii="宋体" w:hAnsi="宋体" w:eastAsia="宋体"/>
                <w:sz w:val="16"/>
              </w:rPr>
              <w:t>-</w:t>
            </w:r>
          </w:p>
        </w:tc>
      </w:tr>
      <w:tr w14:paraId="38F5D6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EEE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5DD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8510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70F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1F3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E77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2F9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344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D0100">
            <w:pPr>
              <w:jc w:val="center"/>
            </w:pPr>
            <w:r>
              <w:rPr>
                <w:rFonts w:ascii="宋体" w:hAnsi="宋体" w:eastAsia="宋体"/>
                <w:sz w:val="16"/>
              </w:rPr>
              <w:t>-</w:t>
            </w:r>
          </w:p>
        </w:tc>
      </w:tr>
      <w:tr w14:paraId="3B5933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E38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CAAA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91B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9354B">
            <w:pPr>
              <w:jc w:val="center"/>
            </w:pPr>
            <w:r>
              <w:rPr>
                <w:rFonts w:ascii="宋体" w:hAnsi="宋体" w:eastAsia="宋体"/>
                <w:sz w:val="16"/>
              </w:rPr>
              <w:t>439.87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4E1FA">
            <w:pPr>
              <w:jc w:val="center"/>
            </w:pPr>
            <w:r>
              <w:rPr>
                <w:rFonts w:ascii="宋体" w:hAnsi="宋体" w:eastAsia="宋体"/>
                <w:sz w:val="16"/>
              </w:rPr>
              <w:t>435.32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2EC4E">
            <w:pPr>
              <w:jc w:val="center"/>
            </w:pPr>
            <w:r>
              <w:rPr>
                <w:rFonts w:ascii="宋体" w:hAnsi="宋体" w:eastAsia="宋体"/>
                <w:sz w:val="16"/>
              </w:rPr>
              <w:t>435.32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484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89EB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84961">
            <w:pPr>
              <w:jc w:val="center"/>
            </w:pPr>
            <w:r>
              <w:rPr>
                <w:rFonts w:ascii="宋体" w:hAnsi="宋体" w:eastAsia="宋体"/>
                <w:sz w:val="16"/>
              </w:rPr>
              <w:t>10</w:t>
            </w:r>
          </w:p>
        </w:tc>
      </w:tr>
      <w:tr w14:paraId="74290E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283A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630A5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DF3296">
            <w:pPr>
              <w:jc w:val="center"/>
            </w:pPr>
            <w:r>
              <w:rPr>
                <w:rFonts w:ascii="宋体" w:hAnsi="宋体" w:eastAsia="宋体"/>
                <w:sz w:val="16"/>
              </w:rPr>
              <w:t>实际完成情况</w:t>
            </w:r>
          </w:p>
        </w:tc>
      </w:tr>
      <w:tr w14:paraId="32A451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A6C8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FDE181">
            <w:pPr>
              <w:jc w:val="both"/>
            </w:pPr>
            <w:r>
              <w:rPr>
                <w:rFonts w:ascii="宋体" w:hAnsi="宋体" w:eastAsia="宋体"/>
                <w:sz w:val="16"/>
              </w:rPr>
              <w:t>基本职能：1、负责全县农贸市场的开发、建设和管理。2、维护在农贸市场交易双方的合法权益。3、负责检查确认入场经营者主体资格，并依法对其进 行监督管理。4、维护农贸市场秩序，安排经营者的摊位。5、依照法律、法规和国家有关规定收取市场摊位费。6、负责全县各乡镇农贸市场的卫生、管理和其他有关工作。7、法律、法规规定的其他管理职责。</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机构设置及人员配置：无下属预算单位，下设3个科室，编制数22，实有人数30人，在职22人，退休4人，聘用安保4人。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全力保障昆冈夜市稳定、健康运行，加强社会面稳定工作，及时对洛浦县昆冈夜市进行排查。做好安全生产工作，始终坚持“安全第一、预防为主、综合治理”的方针，以开展隐患排查治理行动为抓手，以全面落实安全生产年度责任为目标，强化组织领导，狠抓工作落实，全面完成安全生产专项目标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绩效目标1：保障单位在职22人，退休4人，聘用4人的工资福利及各项补助正常发放及部门正常运转。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9D3D1">
            <w:pPr>
              <w:jc w:val="both"/>
            </w:pPr>
            <w:r>
              <w:rPr>
                <w:rFonts w:ascii="宋体" w:hAnsi="宋体" w:eastAsia="宋体"/>
                <w:sz w:val="16"/>
              </w:rPr>
              <w:t>已完成出租门面房28间，保障单位在职22人，退休4人，聘用4人的工资福利及各项补助正常发放及部门正常运转。</w:t>
            </w:r>
          </w:p>
        </w:tc>
      </w:tr>
      <w:tr w14:paraId="73AEB3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4F91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F121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AAC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A5D7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223A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AF5C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9EBD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28B4F">
            <w:pPr>
              <w:jc w:val="center"/>
            </w:pPr>
            <w:r>
              <w:rPr>
                <w:rFonts w:ascii="宋体" w:hAnsi="宋体" w:eastAsia="宋体"/>
                <w:sz w:val="16"/>
              </w:rPr>
              <w:t>得分</w:t>
            </w:r>
          </w:p>
        </w:tc>
      </w:tr>
      <w:tr w14:paraId="15F227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0104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C8C3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16625">
            <w:pPr>
              <w:jc w:val="center"/>
            </w:pPr>
            <w:r>
              <w:rPr>
                <w:rFonts w:ascii="宋体" w:hAnsi="宋体" w:eastAsia="宋体"/>
                <w:sz w:val="16"/>
              </w:rPr>
              <w:t>出租门面房数量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BD1A6">
            <w:pPr>
              <w:jc w:val="center"/>
            </w:pPr>
            <w:r>
              <w:rPr>
                <w:rFonts w:ascii="宋体" w:hAnsi="宋体" w:eastAsia="宋体"/>
                <w:sz w:val="16"/>
              </w:rPr>
              <w:t>&gt;=49间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8A94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7ABC9">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95524">
            <w:pPr>
              <w:jc w:val="center"/>
            </w:pPr>
            <w:r>
              <w:rPr>
                <w:rFonts w:ascii="宋体" w:hAnsi="宋体" w:eastAsia="宋体"/>
                <w:sz w:val="16"/>
              </w:rPr>
              <w:t>28间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D609B">
            <w:pPr>
              <w:jc w:val="center"/>
            </w:pPr>
            <w:r>
              <w:rPr>
                <w:rFonts w:ascii="宋体" w:hAnsi="宋体" w:eastAsia="宋体"/>
                <w:sz w:val="16"/>
              </w:rPr>
              <w:t>28.57</w:t>
            </w:r>
          </w:p>
        </w:tc>
      </w:tr>
      <w:tr w14:paraId="534D9D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5EA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B67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2C269">
            <w:pPr>
              <w:jc w:val="center"/>
            </w:pPr>
            <w:r>
              <w:rPr>
                <w:rFonts w:ascii="宋体" w:hAnsi="宋体" w:eastAsia="宋体"/>
                <w:sz w:val="16"/>
              </w:rPr>
              <w:t>保障单位职工工资发放人数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7F101">
            <w:pPr>
              <w:jc w:val="center"/>
            </w:pPr>
            <w:r>
              <w:rPr>
                <w:rFonts w:ascii="宋体" w:hAnsi="宋体" w:eastAsia="宋体"/>
                <w:sz w:val="16"/>
              </w:rPr>
              <w:t>&gt;=30人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3DF7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B4C1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C3649">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6ADAC">
            <w:pPr>
              <w:jc w:val="center"/>
            </w:pPr>
            <w:r>
              <w:rPr>
                <w:rFonts w:ascii="宋体" w:hAnsi="宋体" w:eastAsia="宋体"/>
                <w:sz w:val="16"/>
              </w:rPr>
              <w:t>30</w:t>
            </w:r>
          </w:p>
        </w:tc>
      </w:tr>
      <w:tr w14:paraId="06F8BF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8B3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331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CBDE">
            <w:pPr>
              <w:jc w:val="center"/>
            </w:pPr>
            <w:r>
              <w:rPr>
                <w:rFonts w:ascii="宋体" w:hAnsi="宋体" w:eastAsia="宋体"/>
                <w:sz w:val="16"/>
              </w:rPr>
              <w:t>开展市场监督检查次数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48384">
            <w:pPr>
              <w:jc w:val="center"/>
            </w:pPr>
            <w:r>
              <w:rPr>
                <w:rFonts w:ascii="宋体" w:hAnsi="宋体" w:eastAsia="宋体"/>
                <w:sz w:val="16"/>
              </w:rPr>
              <w:t>&gt;=280次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DC6D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D44D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881BB">
            <w:pPr>
              <w:jc w:val="center"/>
            </w:pPr>
            <w:r>
              <w:rPr>
                <w:rFonts w:ascii="宋体" w:hAnsi="宋体" w:eastAsia="宋体"/>
                <w:sz w:val="16"/>
              </w:rPr>
              <w:t>285次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B5AF1">
            <w:pPr>
              <w:jc w:val="center"/>
            </w:pPr>
            <w:r>
              <w:rPr>
                <w:rFonts w:ascii="宋体" w:hAnsi="宋体" w:eastAsia="宋体"/>
                <w:sz w:val="16"/>
              </w:rPr>
              <w:t>30</w:t>
            </w:r>
          </w:p>
        </w:tc>
      </w:tr>
    </w:tbl>
    <w:p w14:paraId="170AEF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3B97AE">
        <w:tblPrEx>
          <w:tblCellMar>
            <w:top w:w="0" w:type="dxa"/>
            <w:left w:w="108" w:type="dxa"/>
            <w:bottom w:w="0" w:type="dxa"/>
            <w:right w:w="108" w:type="dxa"/>
          </w:tblCellMar>
        </w:tblPrEx>
        <w:tc>
          <w:tcPr>
            <w:tcW w:w="8847" w:type="dxa"/>
            <w:gridSpan w:val="9"/>
            <w:vAlign w:val="center"/>
          </w:tcPr>
          <w:p w14:paraId="2E55D85D">
            <w:pPr>
              <w:jc w:val="center"/>
            </w:pPr>
            <w:r>
              <w:rPr>
                <w:rFonts w:ascii="宋体" w:hAnsi="宋体" w:eastAsia="宋体"/>
                <w:sz w:val="24"/>
              </w:rPr>
              <w:t>项目支出绩效自评表</w:t>
            </w:r>
          </w:p>
        </w:tc>
      </w:tr>
      <w:tr w14:paraId="7B52E1B2">
        <w:tblPrEx>
          <w:tblCellMar>
            <w:top w:w="0" w:type="dxa"/>
            <w:left w:w="108" w:type="dxa"/>
            <w:bottom w:w="0" w:type="dxa"/>
            <w:right w:w="108" w:type="dxa"/>
          </w:tblCellMar>
        </w:tblPrEx>
        <w:tc>
          <w:tcPr>
            <w:tcW w:w="8847" w:type="dxa"/>
            <w:gridSpan w:val="9"/>
            <w:vAlign w:val="center"/>
          </w:tcPr>
          <w:p w14:paraId="5D2E57A8">
            <w:pPr>
              <w:jc w:val="center"/>
            </w:pPr>
            <w:r>
              <w:rPr>
                <w:rFonts w:ascii="宋体" w:hAnsi="宋体" w:eastAsia="宋体"/>
                <w:sz w:val="24"/>
              </w:rPr>
              <w:t>(2024年度)</w:t>
            </w:r>
          </w:p>
        </w:tc>
      </w:tr>
      <w:tr w14:paraId="62C2D8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7E38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08DDC3">
            <w:pPr>
              <w:jc w:val="center"/>
            </w:pPr>
            <w:r>
              <w:rPr>
                <w:rFonts w:ascii="宋体" w:hAnsi="宋体" w:eastAsia="宋体"/>
                <w:sz w:val="16"/>
              </w:rPr>
              <w:t>2024年聘用人员工资</w:t>
            </w:r>
          </w:p>
        </w:tc>
      </w:tr>
      <w:tr w14:paraId="722DF3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ABBB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EF0CD9">
            <w:pPr>
              <w:jc w:val="center"/>
            </w:pPr>
            <w:r>
              <w:rPr>
                <w:rFonts w:ascii="宋体" w:hAnsi="宋体" w:eastAsia="宋体"/>
                <w:sz w:val="16"/>
              </w:rPr>
              <w:t>洛浦县市场开发建设管理中心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A9E8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7C8EC3">
            <w:pPr>
              <w:jc w:val="center"/>
            </w:pPr>
            <w:r>
              <w:rPr>
                <w:rFonts w:ascii="宋体" w:hAnsi="宋体" w:eastAsia="宋体"/>
                <w:sz w:val="16"/>
              </w:rPr>
              <w:t>洛浦县市场开发建设管理中心</w:t>
            </w:r>
          </w:p>
        </w:tc>
      </w:tr>
      <w:tr w14:paraId="05C132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73EB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0B3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667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1729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B3CF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BD92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3AC1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30F71">
            <w:pPr>
              <w:jc w:val="center"/>
            </w:pPr>
            <w:r>
              <w:rPr>
                <w:rFonts w:ascii="宋体" w:hAnsi="宋体" w:eastAsia="宋体"/>
                <w:sz w:val="16"/>
              </w:rPr>
              <w:t>得分</w:t>
            </w:r>
          </w:p>
        </w:tc>
      </w:tr>
      <w:tr w14:paraId="3C5A71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8B6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6D5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88979">
            <w:pPr>
              <w:jc w:val="center"/>
            </w:pPr>
            <w:r>
              <w:rPr>
                <w:rFonts w:ascii="宋体" w:hAnsi="宋体" w:eastAsia="宋体"/>
                <w:sz w:val="16"/>
              </w:rPr>
              <w:t>21.00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F4F1F">
            <w:pPr>
              <w:jc w:val="center"/>
            </w:pPr>
            <w:r>
              <w:rPr>
                <w:rFonts w:ascii="宋体" w:hAnsi="宋体" w:eastAsia="宋体"/>
                <w:sz w:val="16"/>
              </w:rPr>
              <w:t>13.06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B4853">
            <w:pPr>
              <w:jc w:val="center"/>
            </w:pPr>
            <w:r>
              <w:rPr>
                <w:rFonts w:ascii="宋体" w:hAnsi="宋体" w:eastAsia="宋体"/>
                <w:sz w:val="16"/>
              </w:rPr>
              <w:t>13.06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2B1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1DD4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728A2">
            <w:pPr>
              <w:jc w:val="center"/>
            </w:pPr>
            <w:r>
              <w:rPr>
                <w:rFonts w:ascii="宋体" w:hAnsi="宋体" w:eastAsia="宋体"/>
                <w:sz w:val="16"/>
              </w:rPr>
              <w:t>10.00分</w:t>
            </w:r>
          </w:p>
        </w:tc>
      </w:tr>
      <w:tr w14:paraId="09B1EB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C2C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8F3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81A48">
            <w:pPr>
              <w:jc w:val="center"/>
            </w:pPr>
            <w:r>
              <w:rPr>
                <w:rFonts w:ascii="宋体" w:hAnsi="宋体" w:eastAsia="宋体"/>
                <w:sz w:val="16"/>
              </w:rPr>
              <w:t>21.00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DDC8A">
            <w:pPr>
              <w:jc w:val="center"/>
            </w:pPr>
            <w:r>
              <w:rPr>
                <w:rFonts w:ascii="宋体" w:hAnsi="宋体" w:eastAsia="宋体"/>
                <w:sz w:val="16"/>
              </w:rPr>
              <w:t>13.06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88B6D">
            <w:pPr>
              <w:jc w:val="center"/>
            </w:pPr>
            <w:r>
              <w:rPr>
                <w:rFonts w:ascii="宋体" w:hAnsi="宋体" w:eastAsia="宋体"/>
                <w:sz w:val="16"/>
              </w:rPr>
              <w:t>13.06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346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92E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BD443">
            <w:pPr>
              <w:jc w:val="center"/>
            </w:pPr>
            <w:r>
              <w:rPr>
                <w:rFonts w:ascii="宋体" w:hAnsi="宋体" w:eastAsia="宋体"/>
                <w:sz w:val="16"/>
              </w:rPr>
              <w:t>—</w:t>
            </w:r>
          </w:p>
        </w:tc>
      </w:tr>
      <w:tr w14:paraId="4BB33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94F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9FFF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F18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C1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EEB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880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06A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921F6">
            <w:pPr>
              <w:jc w:val="center"/>
            </w:pPr>
            <w:r>
              <w:rPr>
                <w:rFonts w:ascii="宋体" w:hAnsi="宋体" w:eastAsia="宋体"/>
                <w:sz w:val="16"/>
              </w:rPr>
              <w:t>—</w:t>
            </w:r>
          </w:p>
        </w:tc>
      </w:tr>
      <w:tr w14:paraId="6391CD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EB4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4F24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F1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95C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500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C40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DC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E6CD3">
            <w:pPr>
              <w:jc w:val="center"/>
            </w:pPr>
            <w:r>
              <w:rPr>
                <w:rFonts w:ascii="宋体" w:hAnsi="宋体" w:eastAsia="宋体"/>
                <w:sz w:val="16"/>
              </w:rPr>
              <w:t>—</w:t>
            </w:r>
          </w:p>
        </w:tc>
      </w:tr>
      <w:tr w14:paraId="4F5575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8E8A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F78DC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633DE4">
            <w:pPr>
              <w:jc w:val="center"/>
            </w:pPr>
            <w:r>
              <w:rPr>
                <w:rFonts w:ascii="宋体" w:hAnsi="宋体" w:eastAsia="宋体"/>
                <w:sz w:val="16"/>
              </w:rPr>
              <w:t>实际完成情况</w:t>
            </w:r>
          </w:p>
        </w:tc>
      </w:tr>
      <w:tr w14:paraId="18A330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244C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7ECD98">
            <w:pPr>
              <w:jc w:val="both"/>
            </w:pPr>
            <w:r>
              <w:rPr>
                <w:rFonts w:ascii="宋体" w:hAnsi="宋体" w:eastAsia="宋体"/>
                <w:sz w:val="16"/>
              </w:rPr>
              <w:t>保证</w:t>
            </w:r>
            <w:r>
              <w:rPr>
                <w:rFonts w:hint="eastAsia" w:ascii="宋体" w:hAnsi="宋体"/>
                <w:sz w:val="16"/>
                <w:lang w:eastAsia="zh-CN"/>
              </w:rPr>
              <w:t>本单位</w:t>
            </w:r>
            <w:r>
              <w:rPr>
                <w:rFonts w:ascii="宋体" w:hAnsi="宋体" w:eastAsia="宋体"/>
                <w:sz w:val="16"/>
              </w:rPr>
              <w:t>4名安保人员2024年1月至12月工资及社保金按时发放，提高</w:t>
            </w:r>
            <w:r>
              <w:rPr>
                <w:rFonts w:hint="eastAsia" w:ascii="宋体" w:hAnsi="宋体"/>
                <w:sz w:val="16"/>
                <w:lang w:eastAsia="zh-CN"/>
              </w:rPr>
              <w:t>本单位</w:t>
            </w:r>
            <w:r>
              <w:rPr>
                <w:rFonts w:ascii="宋体" w:hAnsi="宋体" w:eastAsia="宋体"/>
                <w:sz w:val="16"/>
              </w:rPr>
              <w:t>安保人员正常生活水平，带动村民就业、提高就业率及其安保人员工作积极性。</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4A2441">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已完成4名保安工资的工资发放，资金已使用13.06万元。通过项目的实施，提高</w:t>
            </w:r>
            <w:r>
              <w:rPr>
                <w:rFonts w:hint="eastAsia" w:ascii="宋体" w:hAnsi="宋体"/>
                <w:sz w:val="16"/>
                <w:lang w:eastAsia="zh-CN"/>
              </w:rPr>
              <w:t>本单位</w:t>
            </w:r>
            <w:r>
              <w:rPr>
                <w:rFonts w:ascii="宋体" w:hAnsi="宋体" w:eastAsia="宋体"/>
                <w:sz w:val="16"/>
              </w:rPr>
              <w:t>安保人员正常生活水平，带动村民就业、提高就业率</w:t>
            </w:r>
            <w:r>
              <w:rPr>
                <w:rFonts w:hint="eastAsia" w:ascii="宋体" w:hAnsi="宋体"/>
                <w:sz w:val="16"/>
                <w:lang w:eastAsia="zh-CN"/>
              </w:rPr>
              <w:t>及</w:t>
            </w:r>
            <w:r>
              <w:rPr>
                <w:rFonts w:ascii="宋体" w:hAnsi="宋体" w:eastAsia="宋体"/>
                <w:sz w:val="16"/>
              </w:rPr>
              <w:t>安保人员工作积极性。</w:t>
            </w:r>
          </w:p>
        </w:tc>
      </w:tr>
      <w:tr w14:paraId="52CBD1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6B6EE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5DC2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8A5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7BF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DC19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A19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514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BB5A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F60EE">
            <w:pPr>
              <w:jc w:val="center"/>
            </w:pPr>
            <w:r>
              <w:rPr>
                <w:rFonts w:ascii="宋体" w:hAnsi="宋体" w:eastAsia="宋体"/>
                <w:sz w:val="16"/>
              </w:rPr>
              <w:t>偏差原因分析及改进措施</w:t>
            </w:r>
          </w:p>
        </w:tc>
      </w:tr>
      <w:tr w14:paraId="59224B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51F9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3B14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0407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628F5">
            <w:pPr>
              <w:jc w:val="center"/>
            </w:pPr>
            <w:r>
              <w:rPr>
                <w:rFonts w:ascii="宋体" w:hAnsi="宋体" w:eastAsia="宋体"/>
                <w:sz w:val="16"/>
              </w:rPr>
              <w:t>安保人员配置数量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78AAE">
            <w:pPr>
              <w:jc w:val="center"/>
            </w:pPr>
            <w:r>
              <w:rPr>
                <w:rFonts w:ascii="宋体" w:hAnsi="宋体" w:eastAsia="宋体"/>
                <w:sz w:val="16"/>
              </w:rPr>
              <w:t>&gt;=4人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1065D">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A9BF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137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9F74E">
            <w:pPr>
              <w:jc w:val="center"/>
            </w:pPr>
          </w:p>
        </w:tc>
      </w:tr>
      <w:tr w14:paraId="7FD3B0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596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A68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94B5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DC0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93A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D46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91A1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F3BA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28B7C">
            <w:pPr>
              <w:jc w:val="center"/>
            </w:pPr>
          </w:p>
        </w:tc>
      </w:tr>
      <w:tr w14:paraId="5BEDB4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8D3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F7D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DD7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6DDE">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22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B06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F255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237C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76F4F">
            <w:pPr>
              <w:jc w:val="center"/>
            </w:pPr>
          </w:p>
        </w:tc>
      </w:tr>
      <w:tr w14:paraId="69AA6C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FBB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B58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8724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12C8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0F57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A287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AE31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A870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663CF">
            <w:pPr>
              <w:jc w:val="center"/>
            </w:pPr>
          </w:p>
        </w:tc>
      </w:tr>
      <w:tr w14:paraId="3521FD62">
        <w:tblPrEx>
          <w:tblCellMar>
            <w:top w:w="0" w:type="dxa"/>
            <w:left w:w="108" w:type="dxa"/>
            <w:bottom w:w="0" w:type="dxa"/>
            <w:right w:w="108" w:type="dxa"/>
          </w:tblCellMar>
        </w:tblPrEx>
        <w:trPr>
          <w:trHeight w:val="88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EB9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DED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B1F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538E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6CAB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862F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CEAF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6EA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379BE">
            <w:pPr>
              <w:jc w:val="center"/>
            </w:pPr>
          </w:p>
        </w:tc>
      </w:tr>
      <w:tr w14:paraId="5D8F2C2C">
        <w:tblPrEx>
          <w:tblCellMar>
            <w:top w:w="0" w:type="dxa"/>
            <w:left w:w="108" w:type="dxa"/>
            <w:bottom w:w="0" w:type="dxa"/>
            <w:right w:w="108" w:type="dxa"/>
          </w:tblCellMar>
        </w:tblPrEx>
        <w:trPr>
          <w:trHeight w:val="126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31C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DDA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E4B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4967B">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EEA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FC3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FEF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7651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E91CA">
            <w:pPr>
              <w:jc w:val="center"/>
            </w:pPr>
          </w:p>
        </w:tc>
      </w:tr>
      <w:tr w14:paraId="4E0D1752">
        <w:tblPrEx>
          <w:tblCellMar>
            <w:top w:w="0" w:type="dxa"/>
            <w:left w:w="108" w:type="dxa"/>
            <w:bottom w:w="0" w:type="dxa"/>
            <w:right w:w="108" w:type="dxa"/>
          </w:tblCellMar>
        </w:tblPrEx>
        <w:trPr>
          <w:trHeight w:val="9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3FA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4CC1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858B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82B3B">
            <w:pPr>
              <w:jc w:val="center"/>
            </w:pPr>
            <w:r>
              <w:rPr>
                <w:rFonts w:ascii="宋体" w:hAnsi="宋体" w:eastAsia="宋体"/>
                <w:sz w:val="16"/>
              </w:rPr>
              <w:t>聘用人员工资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616C2">
            <w:pPr>
              <w:jc w:val="center"/>
            </w:pPr>
            <w:r>
              <w:rPr>
                <w:rFonts w:ascii="宋体" w:hAnsi="宋体" w:eastAsia="宋体"/>
                <w:sz w:val="16"/>
              </w:rPr>
              <w:t>&lt;=13.06万元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94120">
            <w:pPr>
              <w:jc w:val="center"/>
            </w:pPr>
            <w:r>
              <w:rPr>
                <w:rFonts w:ascii="宋体" w:hAnsi="宋体" w:eastAsia="宋体"/>
                <w:sz w:val="16"/>
              </w:rPr>
              <w:t>=13.06万元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A3F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7D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25A06">
            <w:pPr>
              <w:jc w:val="center"/>
            </w:pPr>
          </w:p>
        </w:tc>
      </w:tr>
      <w:tr w14:paraId="29A58E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83E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B68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8A6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184BF">
            <w:pPr>
              <w:jc w:val="center"/>
            </w:pPr>
            <w:r>
              <w:rPr>
                <w:rFonts w:ascii="宋体" w:hAnsi="宋体" w:eastAsia="宋体"/>
                <w:sz w:val="16"/>
              </w:rPr>
              <w:t>保障聘用人员工作积极性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CEB1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605D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E14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5D5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B4E7C">
            <w:pPr>
              <w:jc w:val="center"/>
            </w:pPr>
          </w:p>
        </w:tc>
      </w:tr>
      <w:tr w14:paraId="72681E23">
        <w:tblPrEx>
          <w:tblCellMar>
            <w:top w:w="0" w:type="dxa"/>
            <w:left w:w="108" w:type="dxa"/>
            <w:bottom w:w="0" w:type="dxa"/>
            <w:right w:w="108" w:type="dxa"/>
          </w:tblCellMar>
        </w:tblPrEx>
        <w:trPr>
          <w:trHeight w:val="10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366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617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B0A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59C5">
            <w:pPr>
              <w:jc w:val="center"/>
            </w:pPr>
            <w:r>
              <w:rPr>
                <w:rFonts w:ascii="宋体" w:hAnsi="宋体" w:eastAsia="宋体"/>
                <w:sz w:val="16"/>
              </w:rPr>
              <w:t>受益聘用人员满意度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442A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7E9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745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34B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A88FD">
            <w:pPr>
              <w:jc w:val="center"/>
            </w:pPr>
          </w:p>
        </w:tc>
      </w:tr>
      <w:tr w14:paraId="0740DAF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A565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E4A5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527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FED8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9BB307"/>
        </w:tc>
      </w:tr>
    </w:tbl>
    <w:p w14:paraId="6ED7AFEA">
      <w:r>
        <w:br w:type="page"/>
      </w:r>
    </w:p>
    <w:p w14:paraId="073ABE5F">
      <w:pPr>
        <w:spacing w:line="640" w:lineRule="exact"/>
        <w:ind w:firstLine="640"/>
        <w:jc w:val="both"/>
        <w:outlineLvl w:val="2"/>
      </w:pPr>
      <w:r>
        <w:rPr>
          <w:rFonts w:ascii="黑体" w:hAnsi="黑体" w:eastAsia="黑体"/>
          <w:sz w:val="32"/>
        </w:rPr>
        <w:t>十二、其他需说明的事项</w:t>
      </w:r>
    </w:p>
    <w:p w14:paraId="7869169A">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本年度本单位政府采购为大中型企业采购，故授予小微企业合同金额为0.00万元。</w:t>
      </w:r>
    </w:p>
    <w:p w14:paraId="71CDB694">
      <w:pPr>
        <w:spacing w:line="580" w:lineRule="exact"/>
        <w:ind w:firstLine="640"/>
        <w:jc w:val="both"/>
      </w:pPr>
      <w:bookmarkStart w:id="0" w:name="_GoBack"/>
      <w:bookmarkEnd w:id="0"/>
      <w:r>
        <w:rPr>
          <w:rFonts w:ascii="仿宋_GB2312" w:hAnsi="仿宋_GB2312" w:eastAsia="仿宋_GB2312"/>
          <w:b w:val="0"/>
          <w:sz w:val="32"/>
        </w:rPr>
        <w:t>本年本单位SM项目1个，全年预算数5.63万元，全年执行数5.63万元。</w:t>
      </w:r>
    </w:p>
    <w:p w14:paraId="37B82F94">
      <w:r>
        <w:br w:type="page"/>
      </w:r>
    </w:p>
    <w:p w14:paraId="21D24BCF">
      <w:pPr>
        <w:spacing w:line="240" w:lineRule="auto"/>
        <w:jc w:val="center"/>
        <w:outlineLvl w:val="1"/>
      </w:pPr>
      <w:r>
        <w:rPr>
          <w:rFonts w:ascii="黑体" w:hAnsi="黑体" w:eastAsia="黑体"/>
          <w:sz w:val="32"/>
        </w:rPr>
        <w:t>第三部分 专业名词解释</w:t>
      </w:r>
    </w:p>
    <w:p w14:paraId="79FEF51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87693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9E2FF0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2C9B3C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30362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9F3E8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4434C6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0891D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3F093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6EA69B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CC3A71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D884BA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92EB9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2861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30570FE">
      <w:r>
        <w:br w:type="page"/>
      </w:r>
    </w:p>
    <w:p w14:paraId="510497C7">
      <w:pPr>
        <w:spacing w:line="240" w:lineRule="auto"/>
        <w:jc w:val="center"/>
        <w:outlineLvl w:val="1"/>
      </w:pPr>
      <w:r>
        <w:rPr>
          <w:rFonts w:ascii="黑体" w:hAnsi="黑体" w:eastAsia="黑体"/>
          <w:sz w:val="32"/>
        </w:rPr>
        <w:t>第四部分 部门决算报表（见附表）</w:t>
      </w:r>
    </w:p>
    <w:p w14:paraId="483994E3">
      <w:pPr>
        <w:spacing w:line="240" w:lineRule="auto"/>
        <w:ind w:firstLine="640"/>
        <w:jc w:val="both"/>
      </w:pPr>
      <w:r>
        <w:rPr>
          <w:rFonts w:ascii="仿宋_GB2312" w:hAnsi="仿宋_GB2312" w:eastAsia="仿宋_GB2312"/>
          <w:b w:val="0"/>
          <w:sz w:val="32"/>
        </w:rPr>
        <w:t>一、《收入支出决算总表》</w:t>
      </w:r>
    </w:p>
    <w:p w14:paraId="3175614E">
      <w:pPr>
        <w:spacing w:line="240" w:lineRule="auto"/>
        <w:ind w:firstLine="640"/>
        <w:jc w:val="both"/>
      </w:pPr>
      <w:r>
        <w:rPr>
          <w:rFonts w:ascii="仿宋_GB2312" w:hAnsi="仿宋_GB2312" w:eastAsia="仿宋_GB2312"/>
          <w:b w:val="0"/>
          <w:sz w:val="32"/>
        </w:rPr>
        <w:t>二、《收入决算表》</w:t>
      </w:r>
    </w:p>
    <w:p w14:paraId="3E3C42E8">
      <w:pPr>
        <w:spacing w:line="240" w:lineRule="auto"/>
        <w:ind w:firstLine="640"/>
        <w:jc w:val="both"/>
      </w:pPr>
      <w:r>
        <w:rPr>
          <w:rFonts w:ascii="仿宋_GB2312" w:hAnsi="仿宋_GB2312" w:eastAsia="仿宋_GB2312"/>
          <w:b w:val="0"/>
          <w:sz w:val="32"/>
        </w:rPr>
        <w:t>三、《支出决算表》</w:t>
      </w:r>
    </w:p>
    <w:p w14:paraId="496B7C9B">
      <w:pPr>
        <w:spacing w:line="240" w:lineRule="auto"/>
        <w:ind w:firstLine="640"/>
        <w:jc w:val="both"/>
      </w:pPr>
      <w:r>
        <w:rPr>
          <w:rFonts w:ascii="仿宋_GB2312" w:hAnsi="仿宋_GB2312" w:eastAsia="仿宋_GB2312"/>
          <w:b w:val="0"/>
          <w:sz w:val="32"/>
        </w:rPr>
        <w:t>四、《财政拨款收入支出决算总表》</w:t>
      </w:r>
    </w:p>
    <w:p w14:paraId="67F4F753">
      <w:pPr>
        <w:spacing w:line="240" w:lineRule="auto"/>
        <w:ind w:firstLine="640"/>
        <w:jc w:val="both"/>
      </w:pPr>
      <w:r>
        <w:rPr>
          <w:rFonts w:ascii="仿宋_GB2312" w:hAnsi="仿宋_GB2312" w:eastAsia="仿宋_GB2312"/>
          <w:b w:val="0"/>
          <w:sz w:val="32"/>
        </w:rPr>
        <w:t>五、《一般公共预算财政拨款支出决算表》</w:t>
      </w:r>
    </w:p>
    <w:p w14:paraId="16BDF7FD">
      <w:pPr>
        <w:spacing w:line="240" w:lineRule="auto"/>
        <w:ind w:firstLine="640"/>
        <w:jc w:val="both"/>
      </w:pPr>
      <w:r>
        <w:rPr>
          <w:rFonts w:ascii="仿宋_GB2312" w:hAnsi="仿宋_GB2312" w:eastAsia="仿宋_GB2312"/>
          <w:b w:val="0"/>
          <w:sz w:val="32"/>
        </w:rPr>
        <w:t>六、《一般公共预算财政拨款基本支出决算表》</w:t>
      </w:r>
    </w:p>
    <w:p w14:paraId="0C547D4F">
      <w:pPr>
        <w:spacing w:line="240" w:lineRule="auto"/>
        <w:ind w:firstLine="640"/>
        <w:jc w:val="both"/>
      </w:pPr>
      <w:r>
        <w:rPr>
          <w:rFonts w:ascii="仿宋_GB2312" w:hAnsi="仿宋_GB2312" w:eastAsia="仿宋_GB2312"/>
          <w:b w:val="0"/>
          <w:sz w:val="32"/>
        </w:rPr>
        <w:t>七、《政府性基金预算财政拨款收入支出决算表》</w:t>
      </w:r>
    </w:p>
    <w:p w14:paraId="676BD5B7">
      <w:pPr>
        <w:spacing w:line="240" w:lineRule="auto"/>
        <w:ind w:firstLine="640"/>
        <w:jc w:val="both"/>
      </w:pPr>
      <w:r>
        <w:rPr>
          <w:rFonts w:ascii="仿宋_GB2312" w:hAnsi="仿宋_GB2312" w:eastAsia="仿宋_GB2312"/>
          <w:b w:val="0"/>
          <w:sz w:val="32"/>
        </w:rPr>
        <w:t>八、《国有资本经营预算财政拨款收入支出决算表》</w:t>
      </w:r>
    </w:p>
    <w:p w14:paraId="65188064">
      <w:pPr>
        <w:spacing w:line="240" w:lineRule="auto"/>
        <w:ind w:firstLine="640"/>
        <w:jc w:val="both"/>
      </w:pPr>
      <w:r>
        <w:rPr>
          <w:rFonts w:ascii="仿宋_GB2312" w:hAnsi="仿宋_GB2312" w:eastAsia="仿宋_GB2312"/>
          <w:b w:val="0"/>
          <w:sz w:val="32"/>
        </w:rPr>
        <w:t>九、《财政拨款“三公”经费支出决算表》</w:t>
      </w:r>
    </w:p>
    <w:p w14:paraId="1AA1054F">
      <w:pPr>
        <w:spacing w:line="240" w:lineRule="auto"/>
        <w:ind w:firstLine="640"/>
        <w:jc w:val="both"/>
      </w:pPr>
    </w:p>
    <w:p w14:paraId="6B25E261">
      <w:pPr>
        <w:spacing w:line="240" w:lineRule="auto"/>
        <w:ind w:firstLine="640"/>
        <w:jc w:val="both"/>
      </w:pPr>
    </w:p>
    <w:p w14:paraId="64E3FE81">
      <w:pPr>
        <w:spacing w:line="240" w:lineRule="auto"/>
        <w:ind w:firstLine="640"/>
        <w:jc w:val="both"/>
      </w:pPr>
    </w:p>
    <w:p w14:paraId="4A89B959">
      <w:pPr>
        <w:spacing w:line="240" w:lineRule="auto"/>
        <w:ind w:firstLine="640"/>
        <w:jc w:val="both"/>
      </w:pPr>
    </w:p>
    <w:p w14:paraId="473F2B3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89DB74D-C829-4C56-B907-A6823084EB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FEF4174-565C-4042-A2E3-B70694CBFCDB}"/>
  </w:font>
  <w:font w:name="仿宋_GB2312">
    <w:panose1 w:val="02010609030101010101"/>
    <w:charset w:val="86"/>
    <w:family w:val="modern"/>
    <w:pitch w:val="default"/>
    <w:sig w:usb0="00000001" w:usb1="080E0000" w:usb2="00000000" w:usb3="00000000" w:csb0="00040000" w:csb1="00000000"/>
    <w:embedRegular r:id="rId3" w:fontKey="{C4759013-C66A-4206-A294-F0CDACAAD820}"/>
  </w:font>
  <w:font w:name="楷体_GB2312">
    <w:panose1 w:val="02010609030101010101"/>
    <w:charset w:val="86"/>
    <w:family w:val="auto"/>
    <w:pitch w:val="default"/>
    <w:sig w:usb0="00000001" w:usb1="080E0000" w:usb2="00000000" w:usb3="00000000" w:csb0="00040000" w:csb1="00000000"/>
    <w:embedRegular r:id="rId4" w:fontKey="{2BC03F59-7D53-40A4-9E0D-7DD2663ADB1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6A6A5E"/>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40EAE"/>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D73C09"/>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5423</Words>
  <Characters>6222</Characters>
  <Lines>0</Lines>
  <Paragraphs>0</Paragraphs>
  <TotalTime>5</TotalTime>
  <ScaleCrop>false</ScaleCrop>
  <LinksUpToDate>false</LinksUpToDate>
  <CharactersWithSpaces>6231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2025-09-17T09:22:28Z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