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洛浦县审计局2024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71CE9961">
      <w:r>
        <w:br w:type="page"/>
      </w:r>
    </w:p>
    <w:p w14:paraId="49348773">
      <w:pPr>
        <w:spacing w:line="640" w:lineRule="exact"/>
        <w:jc w:val="center"/>
        <w:outlineLvl w:val="1"/>
      </w:pPr>
      <w:r>
        <w:rPr>
          <w:rFonts w:ascii="黑体" w:hAnsi="黑体" w:eastAsia="黑体"/>
          <w:sz w:val="32"/>
        </w:rPr>
        <w:t>第一部分 单位概况</w:t>
      </w:r>
    </w:p>
    <w:p w14:paraId="36F03A25">
      <w:pPr>
        <w:spacing w:line="640" w:lineRule="exact"/>
        <w:ind w:firstLine="640"/>
        <w:jc w:val="both"/>
        <w:outlineLvl w:val="2"/>
      </w:pPr>
      <w:r>
        <w:rPr>
          <w:rFonts w:ascii="黑体" w:hAnsi="黑体" w:eastAsia="黑体"/>
          <w:sz w:val="32"/>
        </w:rPr>
        <w:t>一、主要职能</w:t>
      </w:r>
    </w:p>
    <w:p w14:paraId="2D4E7FA0">
      <w:pPr>
        <w:spacing w:line="580" w:lineRule="exact"/>
        <w:ind w:firstLine="640"/>
        <w:jc w:val="both"/>
      </w:pPr>
      <w:r>
        <w:rPr>
          <w:rFonts w:ascii="仿宋_GB2312" w:hAnsi="仿宋_GB2312" w:eastAsia="仿宋_GB2312"/>
          <w:sz w:val="32"/>
        </w:rPr>
        <w:t>(1)主管全县审计工作，负责对全县财政收支和法律法规规定属于审计监督范围的财务收支的真实、合法和效益进行审计监督，对公共资金、国有资产、国有资源和领导干部履行经济责任情况实行审计全覆盖，对领导干部实行自然资源资产离任审计，对国家有关重大政策措施贯彻落实情况进行跟踪审计。对审计、专项审计调查和核查社会审计机构相关审计报告的结果承担责任，并负有督促被审计单位整改的责任。</w:t>
      </w:r>
    </w:p>
    <w:p w14:paraId="4D2DC6AB">
      <w:pPr>
        <w:spacing w:line="580" w:lineRule="exact"/>
        <w:ind w:firstLine="640"/>
        <w:jc w:val="both"/>
      </w:pPr>
      <w:r>
        <w:rPr>
          <w:rFonts w:ascii="仿宋_GB2312" w:hAnsi="仿宋_GB2312" w:eastAsia="仿宋_GB2312"/>
          <w:sz w:val="32"/>
        </w:rPr>
        <w:t>(2)贯彻执行审计法律法规规章、国家审计准则和指南并监督执行。制定并组织实施年度审计计划。对直接审计、调查和核查的事项依法进行审计评价，做出审计决定或提出。</w:t>
      </w:r>
    </w:p>
    <w:p w14:paraId="7600C98B">
      <w:pPr>
        <w:spacing w:line="580" w:lineRule="exact"/>
        <w:ind w:firstLine="640"/>
        <w:jc w:val="both"/>
      </w:pPr>
      <w:r>
        <w:rPr>
          <w:rFonts w:ascii="仿宋_GB2312" w:hAnsi="仿宋_GB2312" w:eastAsia="仿宋_GB2312"/>
          <w:sz w:val="32"/>
        </w:rPr>
        <w:t>审计建议。</w:t>
      </w:r>
    </w:p>
    <w:p w14:paraId="0A91D6E1">
      <w:pPr>
        <w:spacing w:line="580" w:lineRule="exact"/>
        <w:ind w:firstLine="640"/>
        <w:jc w:val="both"/>
      </w:pPr>
      <w:r>
        <w:rPr>
          <w:rFonts w:ascii="仿宋_GB2312" w:hAnsi="仿宋_GB2312" w:eastAsia="仿宋_GB2312"/>
          <w:sz w:val="32"/>
        </w:rPr>
        <w:t>(3)向县委审计委员会提出年度县预算执行和其他财务支出情况审计报告。向县人民政府县长提出年度县预算执行和其他财政收支情况的审计结果报告。受县人民政府委托向县人大常委会提出洛浦县本级预算执行和其他财政收支情况的审计工作报告、审计查出问题的整改情况报告。向县委、县人民政府报告对其他事项的审计和专项审计调查情况及结果。依法向社会公布审计结果。向县有关部门通报审计情况和审计结果。</w:t>
      </w:r>
    </w:p>
    <w:p w14:paraId="262C9698">
      <w:pPr>
        <w:spacing w:line="580" w:lineRule="exact"/>
        <w:ind w:firstLine="640"/>
        <w:jc w:val="both"/>
      </w:pPr>
      <w:r>
        <w:rPr>
          <w:rFonts w:ascii="仿宋_GB2312" w:hAnsi="仿宋_GB2312" w:eastAsia="仿宋_GB2312"/>
          <w:sz w:val="32"/>
        </w:rPr>
        <w:t>(4)直接审计下列事项，出具审计报告，在法定职权范围内做出审计决定，包括国家、自治区、地区有关重大</w:t>
      </w:r>
      <w:r>
        <w:rPr>
          <w:rFonts w:hint="eastAsia" w:ascii="仿宋_GB2312" w:hAnsi="仿宋_GB2312" w:eastAsia="仿宋_GB2312"/>
          <w:sz w:val="32"/>
          <w:lang w:eastAsia="zh-CN"/>
        </w:rPr>
        <w:t>政策</w:t>
      </w:r>
      <w:r>
        <w:rPr>
          <w:rFonts w:ascii="仿宋_GB2312" w:hAnsi="仿宋_GB2312" w:eastAsia="仿宋_GB2312"/>
          <w:sz w:val="32"/>
        </w:rPr>
        <w:t>贯彻落实情况</w:t>
      </w:r>
      <w:bookmarkStart w:id="0" w:name="_GoBack"/>
      <w:r>
        <w:rPr>
          <w:rFonts w:hint="eastAsia" w:ascii="仿宋_GB2312" w:hAnsi="仿宋_GB2312" w:eastAsia="仿宋_GB2312"/>
          <w:sz w:val="32"/>
          <w:lang w:eastAsia="zh-CN"/>
        </w:rPr>
        <w:t>；</w:t>
      </w:r>
      <w:bookmarkEnd w:id="0"/>
      <w:r>
        <w:rPr>
          <w:rFonts w:ascii="仿宋_GB2312" w:hAnsi="仿宋_GB2312" w:eastAsia="仿宋_GB2312"/>
          <w:sz w:val="32"/>
        </w:rPr>
        <w:t>洛浦县本级财政预算执行情况和其他</w:t>
      </w:r>
      <w:r>
        <w:rPr>
          <w:rFonts w:hint="eastAsia" w:ascii="仿宋_GB2312" w:hAnsi="仿宋_GB2312" w:eastAsia="仿宋_GB2312"/>
          <w:sz w:val="32"/>
          <w:lang w:eastAsia="zh-CN"/>
        </w:rPr>
        <w:t>财政收支</w:t>
      </w:r>
      <w:r>
        <w:rPr>
          <w:rFonts w:ascii="仿宋_GB2312" w:hAnsi="仿宋_GB2312" w:eastAsia="仿宋_GB2312"/>
          <w:sz w:val="32"/>
        </w:rPr>
        <w:t>，县委、县人民政府各部门(含直属单位)预算的执行情况、决算和其他财政收支</w:t>
      </w:r>
      <w:r>
        <w:rPr>
          <w:rFonts w:hint="eastAsia" w:ascii="仿宋_GB2312" w:hAnsi="仿宋_GB2312" w:eastAsia="仿宋_GB2312"/>
          <w:sz w:val="32"/>
          <w:lang w:eastAsia="zh-CN"/>
        </w:rPr>
        <w:t>；</w:t>
      </w:r>
      <w:r>
        <w:rPr>
          <w:rFonts w:ascii="仿宋_GB2312" w:hAnsi="仿宋_GB2312" w:eastAsia="仿宋_GB2312"/>
          <w:sz w:val="32"/>
        </w:rPr>
        <w:t>乡镇(街道)党(工)委和政府预算执行情况、决算和其他财政收支</w:t>
      </w:r>
      <w:r>
        <w:rPr>
          <w:rFonts w:hint="eastAsia" w:ascii="仿宋_GB2312" w:hAnsi="仿宋_GB2312" w:eastAsia="仿宋_GB2312"/>
          <w:sz w:val="32"/>
          <w:lang w:eastAsia="zh-CN"/>
        </w:rPr>
        <w:t>；</w:t>
      </w:r>
      <w:r>
        <w:rPr>
          <w:rFonts w:ascii="仿宋_GB2312" w:hAnsi="仿宋_GB2312" w:eastAsia="仿宋_GB2312"/>
          <w:sz w:val="32"/>
        </w:rPr>
        <w:t>使用财政资金的事业单位和社会团体的财务收支</w:t>
      </w:r>
      <w:r>
        <w:rPr>
          <w:rFonts w:hint="eastAsia" w:ascii="仿宋_GB2312" w:hAnsi="仿宋_GB2312" w:eastAsia="仿宋_GB2312"/>
          <w:sz w:val="32"/>
          <w:lang w:eastAsia="zh-CN"/>
        </w:rPr>
        <w:t>；</w:t>
      </w:r>
      <w:r>
        <w:rPr>
          <w:rFonts w:ascii="仿宋_GB2312" w:hAnsi="仿宋_GB2312" w:eastAsia="仿宋_GB2312"/>
          <w:sz w:val="32"/>
        </w:rPr>
        <w:t>洛浦县投资和以洛浦县投资为主的建设项目的预算执行情况和决算</w:t>
      </w:r>
      <w:r>
        <w:rPr>
          <w:rFonts w:hint="eastAsia" w:ascii="仿宋_GB2312" w:hAnsi="仿宋_GB2312" w:eastAsia="仿宋_GB2312"/>
          <w:sz w:val="32"/>
          <w:lang w:eastAsia="zh-CN"/>
        </w:rPr>
        <w:t>；</w:t>
      </w:r>
      <w:r>
        <w:rPr>
          <w:rFonts w:ascii="仿宋_GB2312" w:hAnsi="仿宋_GB2312" w:eastAsia="仿宋_GB2312"/>
          <w:sz w:val="32"/>
        </w:rPr>
        <w:t>洛浦县国有企业及国有资本控股或占主导地位企业的资产、负债和损益</w:t>
      </w:r>
      <w:r>
        <w:rPr>
          <w:rFonts w:hint="eastAsia" w:ascii="仿宋_GB2312" w:hAnsi="仿宋_GB2312" w:eastAsia="仿宋_GB2312"/>
          <w:sz w:val="32"/>
          <w:lang w:eastAsia="zh-CN"/>
        </w:rPr>
        <w:t>；</w:t>
      </w:r>
      <w:r>
        <w:rPr>
          <w:rFonts w:ascii="仿宋_GB2312" w:hAnsi="仿宋_GB2312" w:eastAsia="仿宋_GB2312"/>
          <w:sz w:val="32"/>
        </w:rPr>
        <w:t>县人民政府管理的和其他单位受县委、县人民政府委托管理的社会保障基金、社会捐赠资金及其他有关基金、资金的财务收支:法律、行政法规规定应由县审计局审计的其他事项。</w:t>
      </w:r>
    </w:p>
    <w:p w14:paraId="04C873D3">
      <w:pPr>
        <w:spacing w:line="580" w:lineRule="exact"/>
        <w:ind w:firstLine="640"/>
        <w:jc w:val="both"/>
      </w:pPr>
      <w:r>
        <w:rPr>
          <w:rFonts w:ascii="仿宋_GB2312" w:hAnsi="仿宋_GB2312" w:eastAsia="仿宋_GB2312"/>
          <w:sz w:val="32"/>
        </w:rPr>
        <w:t>(5)按规定对属于本级审计机关审计监督对象的党政主要领导干部及其他单位主要负责人实施经济责任审计和自然资源资产离任审计。</w:t>
      </w:r>
    </w:p>
    <w:p w14:paraId="24DE7BA5">
      <w:pPr>
        <w:spacing w:line="580" w:lineRule="exact"/>
        <w:ind w:firstLine="640"/>
        <w:jc w:val="both"/>
      </w:pPr>
      <w:r>
        <w:rPr>
          <w:rFonts w:ascii="仿宋_GB2312" w:hAnsi="仿宋_GB2312" w:eastAsia="仿宋_GB2312"/>
          <w:sz w:val="32"/>
        </w:rPr>
        <w:t>(6)组织实施对国家、自治区、地区财经法律、法规、规章、政策和宏观调控措施执行情况、财政预算管理或国有资产管理使用等与国家财政收支有关的特定事项进行专项审计调查。</w:t>
      </w:r>
    </w:p>
    <w:p w14:paraId="04B24A0B">
      <w:pPr>
        <w:spacing w:line="580" w:lineRule="exact"/>
        <w:ind w:firstLine="640"/>
        <w:jc w:val="both"/>
      </w:pPr>
      <w:r>
        <w:rPr>
          <w:rFonts w:ascii="仿宋_GB2312" w:hAnsi="仿宋_GB2312" w:eastAsia="仿宋_GB2312"/>
          <w:sz w:val="32"/>
        </w:rPr>
        <w:t>(7)依法检查审计决定执行情况，督促整改审计查出的问题，依法办理被审计单位对审计决定提请行政复议、行政诉讼或县委、县人民政府裁决中的有关事项。协助配合有关部门查处相关重大案件。</w:t>
      </w:r>
    </w:p>
    <w:p w14:paraId="3FC3D789">
      <w:pPr>
        <w:spacing w:line="580" w:lineRule="exact"/>
        <w:ind w:firstLine="640"/>
        <w:jc w:val="both"/>
      </w:pPr>
      <w:r>
        <w:rPr>
          <w:rFonts w:ascii="仿宋_GB2312" w:hAnsi="仿宋_GB2312" w:eastAsia="仿宋_GB2312"/>
          <w:sz w:val="32"/>
        </w:rPr>
        <w:t>(8)指导和监督内部审计工作，核查社会审计机构对依法属于审计监督对象的单位出具的相关审计报告。</w:t>
      </w:r>
    </w:p>
    <w:p w14:paraId="23D7836C">
      <w:pPr>
        <w:spacing w:line="580" w:lineRule="exact"/>
        <w:ind w:firstLine="640"/>
        <w:jc w:val="both"/>
      </w:pPr>
      <w:r>
        <w:rPr>
          <w:rFonts w:ascii="仿宋_GB2312" w:hAnsi="仿宋_GB2312" w:eastAsia="仿宋_GB2312"/>
          <w:sz w:val="32"/>
        </w:rPr>
        <w:t>(9)负责和推广信息技术在审计领域的应用。</w:t>
      </w:r>
    </w:p>
    <w:p w14:paraId="6D1FEE9B">
      <w:pPr>
        <w:spacing w:line="580" w:lineRule="exact"/>
        <w:ind w:firstLine="640"/>
        <w:jc w:val="both"/>
      </w:pPr>
      <w:r>
        <w:rPr>
          <w:rFonts w:ascii="仿宋_GB2312" w:hAnsi="仿宋_GB2312" w:eastAsia="仿宋_GB2312"/>
          <w:sz w:val="32"/>
        </w:rPr>
        <w:t>(10)完成县委、县政府交办的其他任务。</w:t>
      </w:r>
    </w:p>
    <w:p w14:paraId="17AC07F2">
      <w:pPr>
        <w:spacing w:line="580" w:lineRule="exact"/>
        <w:ind w:firstLine="640"/>
        <w:jc w:val="both"/>
      </w:pPr>
      <w:r>
        <w:rPr>
          <w:rFonts w:ascii="仿宋_GB2312" w:hAnsi="仿宋_GB2312" w:eastAsia="仿宋_GB2312"/>
          <w:sz w:val="32"/>
        </w:rPr>
        <w:t>(11)职能转变。进一步完善审计管理体制，加强洛浦县审计工作统筹，优化审计资源配置，充实加强一线审计力量，构建集中统一、全面覆盖、权威高效的审计监督体系。优化审计工作机制，坚持科技强审，完善业务流程，改进工作方式，加强与相关部门的沟通协调，充分调动内部审计和社会审计力量，增强监督合力。</w:t>
      </w:r>
    </w:p>
    <w:p w14:paraId="4C9389A1">
      <w:pPr>
        <w:spacing w:line="640" w:lineRule="exact"/>
        <w:ind w:firstLine="640"/>
        <w:jc w:val="both"/>
        <w:outlineLvl w:val="2"/>
      </w:pPr>
      <w:r>
        <w:rPr>
          <w:rFonts w:ascii="黑体" w:hAnsi="黑体" w:eastAsia="黑体"/>
          <w:sz w:val="32"/>
        </w:rPr>
        <w:t>二、机构设置及人员情况</w:t>
      </w:r>
    </w:p>
    <w:p w14:paraId="04F23FC9">
      <w:pPr>
        <w:spacing w:line="580" w:lineRule="exact"/>
        <w:ind w:firstLine="640"/>
        <w:jc w:val="both"/>
      </w:pPr>
      <w:r>
        <w:rPr>
          <w:rFonts w:ascii="仿宋_GB2312" w:hAnsi="仿宋_GB2312" w:eastAsia="仿宋_GB2312"/>
          <w:sz w:val="32"/>
        </w:rPr>
        <w:t>洛浦县审计局2024年度，实有人数22人，其中：在职人员18人，增加1人；离休人员0人，增加0人；退休人员4人,增加0人。</w:t>
      </w:r>
    </w:p>
    <w:p w14:paraId="14F7A5B6">
      <w:pPr>
        <w:spacing w:line="580" w:lineRule="exact"/>
        <w:ind w:firstLine="640"/>
        <w:jc w:val="both"/>
      </w:pPr>
      <w:r>
        <w:rPr>
          <w:rFonts w:ascii="仿宋_GB2312" w:hAnsi="仿宋_GB2312" w:eastAsia="仿宋_GB2312"/>
          <w:sz w:val="32"/>
        </w:rPr>
        <w:t>洛浦县审计局无下属预算单位，下设2个科室，分别是：办公室、财务室。</w:t>
      </w:r>
    </w:p>
    <w:p w14:paraId="0A219AA6">
      <w:r>
        <w:br w:type="page"/>
      </w:r>
    </w:p>
    <w:p w14:paraId="65F22F3C">
      <w:pPr>
        <w:spacing w:line="240" w:lineRule="auto"/>
        <w:jc w:val="center"/>
        <w:outlineLvl w:val="1"/>
      </w:pPr>
      <w:r>
        <w:rPr>
          <w:rFonts w:ascii="黑体" w:hAnsi="黑体" w:eastAsia="黑体"/>
          <w:sz w:val="32"/>
        </w:rPr>
        <w:t>第二部分 部门决算情况说明</w:t>
      </w:r>
    </w:p>
    <w:p w14:paraId="068F5FA7">
      <w:pPr>
        <w:spacing w:line="640" w:lineRule="exact"/>
        <w:ind w:firstLine="640"/>
        <w:jc w:val="both"/>
        <w:outlineLvl w:val="2"/>
      </w:pPr>
      <w:r>
        <w:rPr>
          <w:rFonts w:ascii="黑体" w:hAnsi="黑体" w:eastAsia="黑体"/>
          <w:sz w:val="32"/>
        </w:rPr>
        <w:t>一、收入支出决算总体情况说明</w:t>
      </w:r>
    </w:p>
    <w:p w14:paraId="5B3A1CD8">
      <w:pPr>
        <w:spacing w:line="580" w:lineRule="exact"/>
        <w:ind w:firstLine="640"/>
        <w:jc w:val="both"/>
      </w:pPr>
      <w:r>
        <w:rPr>
          <w:rFonts w:ascii="仿宋_GB2312" w:hAnsi="仿宋_GB2312" w:eastAsia="仿宋_GB2312"/>
          <w:b/>
          <w:sz w:val="32"/>
        </w:rPr>
        <w:t>2024年度收入总计459.74万元，</w:t>
      </w:r>
      <w:r>
        <w:rPr>
          <w:rFonts w:ascii="仿宋_GB2312" w:hAnsi="仿宋_GB2312" w:eastAsia="仿宋_GB2312"/>
          <w:b w:val="0"/>
          <w:sz w:val="32"/>
        </w:rPr>
        <w:t>其中：本年收入合计449.86万元，使用非财政拨款结余（含专用结余）0.00万元，年初结转和结余9.88万元。</w:t>
      </w:r>
    </w:p>
    <w:p w14:paraId="1D3929FB">
      <w:pPr>
        <w:spacing w:line="580" w:lineRule="exact"/>
        <w:ind w:firstLine="640"/>
        <w:jc w:val="both"/>
      </w:pPr>
      <w:r>
        <w:rPr>
          <w:rFonts w:ascii="仿宋_GB2312" w:hAnsi="仿宋_GB2312" w:eastAsia="仿宋_GB2312"/>
          <w:b/>
          <w:sz w:val="32"/>
        </w:rPr>
        <w:t>2024年度支出总计459.74万元，</w:t>
      </w:r>
      <w:r>
        <w:rPr>
          <w:rFonts w:ascii="仿宋_GB2312" w:hAnsi="仿宋_GB2312" w:eastAsia="仿宋_GB2312"/>
          <w:b w:val="0"/>
          <w:sz w:val="32"/>
        </w:rPr>
        <w:t>其中：本年支出合计450.08万元，结余分配0.00万元，年末结转和结余9.66万元。</w:t>
      </w:r>
    </w:p>
    <w:p w14:paraId="72924C26">
      <w:pPr>
        <w:spacing w:line="580" w:lineRule="exact"/>
        <w:ind w:firstLine="640"/>
        <w:jc w:val="both"/>
      </w:pPr>
      <w:r>
        <w:rPr>
          <w:rFonts w:ascii="仿宋_GB2312" w:hAnsi="仿宋_GB2312" w:eastAsia="仿宋_GB2312"/>
          <w:b w:val="0"/>
          <w:sz w:val="32"/>
        </w:rPr>
        <w:t>收入支出总体与上年相比，增加47.67万元，增长11.57%，主要原因是：本年增加2021年村级财务审计项目经费，为民办实事经费，审计经费，经济责任审计经费。</w:t>
      </w:r>
    </w:p>
    <w:p w14:paraId="595E4525">
      <w:pPr>
        <w:spacing w:line="640" w:lineRule="exact"/>
        <w:ind w:firstLine="640"/>
        <w:jc w:val="both"/>
        <w:outlineLvl w:val="2"/>
      </w:pPr>
      <w:r>
        <w:rPr>
          <w:rFonts w:ascii="黑体" w:hAnsi="黑体" w:eastAsia="黑体"/>
          <w:sz w:val="32"/>
        </w:rPr>
        <w:t>二、收入决算情况说明</w:t>
      </w:r>
    </w:p>
    <w:p w14:paraId="0E868000">
      <w:pPr>
        <w:spacing w:line="580" w:lineRule="exact"/>
        <w:ind w:firstLine="640"/>
        <w:jc w:val="both"/>
      </w:pPr>
      <w:r>
        <w:rPr>
          <w:rFonts w:ascii="仿宋_GB2312" w:hAnsi="仿宋_GB2312" w:eastAsia="仿宋_GB2312"/>
          <w:b/>
          <w:sz w:val="32"/>
        </w:rPr>
        <w:t>本年收入449.86万元，</w:t>
      </w:r>
      <w:r>
        <w:rPr>
          <w:rFonts w:ascii="仿宋_GB2312" w:hAnsi="仿宋_GB2312" w:eastAsia="仿宋_GB2312"/>
          <w:b w:val="0"/>
          <w:sz w:val="32"/>
        </w:rPr>
        <w:t>其中：财政拨款收入430.94万元，占95.79%；上级补助收入0.00万元，占0.00%；事业收入0.00万元，占0.00%；经营收入0.00万元，占0.00%；附属单位上缴收入0.00万元，占0.00%；其他收入18.92万元，占4.21%。</w:t>
      </w:r>
    </w:p>
    <w:p w14:paraId="2A8A7E83">
      <w:pPr>
        <w:spacing w:line="640" w:lineRule="exact"/>
        <w:ind w:firstLine="640"/>
        <w:jc w:val="both"/>
        <w:outlineLvl w:val="2"/>
      </w:pPr>
      <w:r>
        <w:rPr>
          <w:rFonts w:ascii="黑体" w:hAnsi="黑体" w:eastAsia="黑体"/>
          <w:sz w:val="32"/>
        </w:rPr>
        <w:t>三、支出决算情况说明</w:t>
      </w:r>
    </w:p>
    <w:p w14:paraId="2C1975FB">
      <w:pPr>
        <w:spacing w:line="580" w:lineRule="exact"/>
        <w:ind w:firstLine="640"/>
        <w:jc w:val="both"/>
      </w:pPr>
      <w:r>
        <w:rPr>
          <w:rFonts w:ascii="仿宋_GB2312" w:hAnsi="仿宋_GB2312" w:eastAsia="仿宋_GB2312"/>
          <w:b/>
          <w:sz w:val="32"/>
        </w:rPr>
        <w:t>本年支出450.08万元，</w:t>
      </w:r>
      <w:r>
        <w:rPr>
          <w:rFonts w:ascii="仿宋_GB2312" w:hAnsi="仿宋_GB2312" w:eastAsia="仿宋_GB2312"/>
          <w:b w:val="0"/>
          <w:sz w:val="32"/>
        </w:rPr>
        <w:t>其中：基本支出350.10万元，占77.79%；项目支出99.98万元，占22.21%；上缴上级支出0.00万元，占0.00%；经营支出0.00万元，占0.00%；对附属单位补助支出0.00万元，占0.00%。</w:t>
      </w:r>
    </w:p>
    <w:p w14:paraId="5CEA7F11">
      <w:pPr>
        <w:spacing w:line="640" w:lineRule="exact"/>
        <w:ind w:firstLine="640"/>
        <w:jc w:val="both"/>
        <w:outlineLvl w:val="2"/>
      </w:pPr>
      <w:r>
        <w:rPr>
          <w:rFonts w:ascii="黑体" w:hAnsi="黑体" w:eastAsia="黑体"/>
          <w:sz w:val="32"/>
        </w:rPr>
        <w:t>四、财政拨款收入支出决算总体情况说明</w:t>
      </w:r>
    </w:p>
    <w:p w14:paraId="4BF2A9AF">
      <w:pPr>
        <w:spacing w:line="580" w:lineRule="exact"/>
        <w:ind w:firstLine="640"/>
        <w:jc w:val="both"/>
      </w:pPr>
      <w:r>
        <w:rPr>
          <w:rFonts w:ascii="仿宋_GB2312" w:hAnsi="仿宋_GB2312" w:eastAsia="仿宋_GB2312"/>
          <w:b/>
          <w:sz w:val="32"/>
        </w:rPr>
        <w:t>2024年度财政拨款收入总计430.94万元，</w:t>
      </w:r>
      <w:r>
        <w:rPr>
          <w:rFonts w:ascii="仿宋_GB2312" w:hAnsi="仿宋_GB2312" w:eastAsia="仿宋_GB2312"/>
          <w:b w:val="0"/>
          <w:sz w:val="32"/>
        </w:rPr>
        <w:t>其中：年初财政拨款结转和结余0.00万元，本年财政拨款收入430.94万元。</w:t>
      </w:r>
      <w:r>
        <w:rPr>
          <w:rFonts w:ascii="仿宋_GB2312" w:hAnsi="仿宋_GB2312" w:eastAsia="仿宋_GB2312"/>
          <w:b/>
          <w:sz w:val="32"/>
        </w:rPr>
        <w:t>财政拨款支出总计430.94万元，</w:t>
      </w:r>
      <w:r>
        <w:rPr>
          <w:rFonts w:ascii="仿宋_GB2312" w:hAnsi="仿宋_GB2312" w:eastAsia="仿宋_GB2312"/>
          <w:b w:val="0"/>
          <w:sz w:val="32"/>
        </w:rPr>
        <w:t>其中：年末财政拨款结转和结余0.00万元，本年财政拨款支出430.94万元。</w:t>
      </w:r>
    </w:p>
    <w:p w14:paraId="0DE7545F">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增加55.81万元，增长14.88%，主要原因是：本年在职人员增加，在职人员工资调增、社保、公积金基数调增，人员经费增加。本年增加2021年村级财务审计项目经费，为民办实事经费。</w:t>
      </w:r>
      <w:r>
        <w:rPr>
          <w:rFonts w:ascii="仿宋_GB2312" w:hAnsi="仿宋_GB2312" w:eastAsia="仿宋_GB2312"/>
          <w:b/>
          <w:sz w:val="32"/>
        </w:rPr>
        <w:t>与年初预算相比，</w:t>
      </w:r>
      <w:r>
        <w:rPr>
          <w:rFonts w:ascii="仿宋_GB2312" w:hAnsi="仿宋_GB2312" w:eastAsia="仿宋_GB2312"/>
          <w:b w:val="0"/>
          <w:sz w:val="32"/>
        </w:rPr>
        <w:t>年初预算数371.27万元，决算数430.94万元，预决算差异率16.07%，主要原因是：年中追加村级财务审计项目经费，为民办实事经费，年中追加人员工资、社保、公积金基数调增部分资金，导致预决算存在差异。</w:t>
      </w:r>
    </w:p>
    <w:p w14:paraId="5E38531A">
      <w:pPr>
        <w:spacing w:line="640" w:lineRule="exact"/>
        <w:ind w:firstLine="640"/>
        <w:jc w:val="both"/>
        <w:outlineLvl w:val="2"/>
      </w:pPr>
      <w:r>
        <w:rPr>
          <w:rFonts w:ascii="黑体" w:hAnsi="黑体" w:eastAsia="黑体"/>
          <w:sz w:val="32"/>
        </w:rPr>
        <w:t>五、一般公共预算财政拨款支出决算情况说明</w:t>
      </w:r>
    </w:p>
    <w:p w14:paraId="25FD9908">
      <w:pPr>
        <w:spacing w:line="640" w:lineRule="exact"/>
        <w:ind w:firstLine="640"/>
        <w:jc w:val="both"/>
        <w:outlineLvl w:val="3"/>
      </w:pPr>
      <w:r>
        <w:rPr>
          <w:rFonts w:ascii="楷体_GB2312" w:hAnsi="楷体_GB2312" w:eastAsia="楷体_GB2312"/>
          <w:b/>
          <w:sz w:val="32"/>
        </w:rPr>
        <w:t>（一）一般公共预算财政拨款支出决算总体情况</w:t>
      </w:r>
    </w:p>
    <w:p w14:paraId="02300BA5">
      <w:pPr>
        <w:spacing w:line="580" w:lineRule="exact"/>
        <w:ind w:firstLine="640"/>
        <w:jc w:val="both"/>
      </w:pPr>
      <w:r>
        <w:rPr>
          <w:rFonts w:ascii="仿宋_GB2312" w:hAnsi="仿宋_GB2312" w:eastAsia="仿宋_GB2312"/>
          <w:b/>
          <w:sz w:val="32"/>
        </w:rPr>
        <w:t>2024年度一般公共预算财政拨款支出430.94万元，</w:t>
      </w:r>
      <w:r>
        <w:rPr>
          <w:rFonts w:ascii="仿宋_GB2312" w:hAnsi="仿宋_GB2312" w:eastAsia="仿宋_GB2312"/>
          <w:b w:val="0"/>
          <w:sz w:val="32"/>
        </w:rPr>
        <w:t>占本年支出合计的95.75%。</w:t>
      </w:r>
      <w:r>
        <w:rPr>
          <w:rFonts w:ascii="仿宋_GB2312" w:hAnsi="仿宋_GB2312" w:eastAsia="仿宋_GB2312"/>
          <w:b/>
          <w:sz w:val="32"/>
        </w:rPr>
        <w:t>与上年相比，</w:t>
      </w:r>
      <w:r>
        <w:rPr>
          <w:rFonts w:ascii="仿宋_GB2312" w:hAnsi="仿宋_GB2312" w:eastAsia="仿宋_GB2312"/>
          <w:b w:val="0"/>
          <w:sz w:val="32"/>
        </w:rPr>
        <w:t>增加55.81万元，增长14.88%，主要原因是：本年在职人员增加，在职人员工资调增、社保、公积金基数调增，人员经费增加。本年增加2021年村级财务审计项目经费，为民办实事经费。</w:t>
      </w:r>
      <w:r>
        <w:rPr>
          <w:rFonts w:ascii="仿宋_GB2312" w:hAnsi="仿宋_GB2312" w:eastAsia="仿宋_GB2312"/>
          <w:b/>
          <w:sz w:val="32"/>
        </w:rPr>
        <w:t>与年初预算相比,</w:t>
      </w:r>
      <w:r>
        <w:rPr>
          <w:rFonts w:ascii="仿宋_GB2312" w:hAnsi="仿宋_GB2312" w:eastAsia="仿宋_GB2312"/>
          <w:b w:val="0"/>
          <w:sz w:val="32"/>
        </w:rPr>
        <w:t>年初预算数371.27万元，决算数430.94万元，预决算差异率16.07%，主要原因是：年中追加村级财务审计项目经费，为民办实事经费，年中追加人员工资、社保、公积金基数调增部分资金，导致预决算存在差异。</w:t>
      </w:r>
    </w:p>
    <w:p w14:paraId="5B50093B">
      <w:pPr>
        <w:spacing w:line="640" w:lineRule="exact"/>
        <w:ind w:firstLine="640"/>
        <w:jc w:val="both"/>
        <w:outlineLvl w:val="3"/>
      </w:pPr>
      <w:r>
        <w:rPr>
          <w:rFonts w:ascii="楷体_GB2312" w:hAnsi="楷体_GB2312" w:eastAsia="楷体_GB2312"/>
          <w:b/>
          <w:sz w:val="32"/>
        </w:rPr>
        <w:t>（二）一般公共预算财政拨款支出决算结构情况</w:t>
      </w:r>
    </w:p>
    <w:p w14:paraId="172A4E45">
      <w:pPr>
        <w:spacing w:line="580" w:lineRule="exact"/>
        <w:ind w:firstLine="640"/>
        <w:jc w:val="both"/>
      </w:pPr>
      <w:r>
        <w:rPr>
          <w:rFonts w:ascii="仿宋_GB2312" w:hAnsi="仿宋_GB2312" w:eastAsia="仿宋_GB2312"/>
          <w:b w:val="0"/>
          <w:sz w:val="32"/>
        </w:rPr>
        <w:t>1.一般公共服务支出(类)333.03万元,占77.28%。</w:t>
      </w:r>
    </w:p>
    <w:p w14:paraId="290AE265">
      <w:pPr>
        <w:spacing w:line="580" w:lineRule="exact"/>
        <w:ind w:firstLine="640"/>
        <w:jc w:val="both"/>
      </w:pPr>
      <w:r>
        <w:rPr>
          <w:rFonts w:ascii="仿宋_GB2312" w:hAnsi="仿宋_GB2312" w:eastAsia="仿宋_GB2312"/>
          <w:b w:val="0"/>
          <w:sz w:val="32"/>
        </w:rPr>
        <w:t>2.社会保障和就业支出(类)41.18万元,占9.56%。</w:t>
      </w:r>
    </w:p>
    <w:p w14:paraId="718048C2">
      <w:pPr>
        <w:spacing w:line="580" w:lineRule="exact"/>
        <w:ind w:firstLine="640"/>
        <w:jc w:val="both"/>
      </w:pPr>
      <w:r>
        <w:rPr>
          <w:rFonts w:ascii="仿宋_GB2312" w:hAnsi="仿宋_GB2312" w:eastAsia="仿宋_GB2312"/>
          <w:b w:val="0"/>
          <w:sz w:val="32"/>
        </w:rPr>
        <w:t>3.卫生健康支出(类)20.27万元,占4.70%。</w:t>
      </w:r>
    </w:p>
    <w:p w14:paraId="3376DAEB">
      <w:pPr>
        <w:spacing w:line="580" w:lineRule="exact"/>
        <w:ind w:firstLine="640"/>
        <w:jc w:val="both"/>
      </w:pPr>
      <w:r>
        <w:rPr>
          <w:rFonts w:ascii="仿宋_GB2312" w:hAnsi="仿宋_GB2312" w:eastAsia="仿宋_GB2312"/>
          <w:b w:val="0"/>
          <w:sz w:val="32"/>
        </w:rPr>
        <w:t>4.住房保障支出(类)26.47万元,占6.14%。</w:t>
      </w:r>
    </w:p>
    <w:p w14:paraId="70532F48">
      <w:pPr>
        <w:spacing w:line="580" w:lineRule="exact"/>
        <w:ind w:firstLine="640"/>
        <w:jc w:val="both"/>
      </w:pPr>
      <w:r>
        <w:rPr>
          <w:rFonts w:ascii="仿宋_GB2312" w:hAnsi="仿宋_GB2312" w:eastAsia="仿宋_GB2312"/>
          <w:b w:val="0"/>
          <w:sz w:val="32"/>
        </w:rPr>
        <w:t>5.其他支出(类)10.00万元,占2.32%。</w:t>
      </w:r>
    </w:p>
    <w:p w14:paraId="664C0507">
      <w:pPr>
        <w:spacing w:line="640" w:lineRule="exact"/>
        <w:ind w:firstLine="640"/>
        <w:jc w:val="both"/>
        <w:outlineLvl w:val="3"/>
      </w:pPr>
      <w:r>
        <w:rPr>
          <w:rFonts w:ascii="楷体_GB2312" w:hAnsi="楷体_GB2312" w:eastAsia="楷体_GB2312"/>
          <w:b/>
          <w:sz w:val="32"/>
        </w:rPr>
        <w:t>（三）一般公共预算财政拨款支出决算具体情况</w:t>
      </w:r>
    </w:p>
    <w:p w14:paraId="481BEEB7">
      <w:pPr>
        <w:spacing w:line="580" w:lineRule="exact"/>
        <w:ind w:firstLine="640"/>
        <w:jc w:val="both"/>
      </w:pPr>
      <w:r>
        <w:rPr>
          <w:rFonts w:ascii="仿宋_GB2312" w:hAnsi="仿宋_GB2312" w:eastAsia="仿宋_GB2312"/>
          <w:b w:val="0"/>
          <w:sz w:val="32"/>
        </w:rPr>
        <w:t>1.一般公共服务支出(类)审计事务(款)行政运行(项):支出决算数为260.77万元，比上年决算减少50.06万元，下降16.11%,主要原因是：上年度退休人员经费，在职人员医疗缴费、公务员医疗补助、住房公积金上年度在主科目列支，本年单独列支，导致本科目经费减少。</w:t>
      </w:r>
    </w:p>
    <w:p w14:paraId="6846631C">
      <w:pPr>
        <w:spacing w:line="580" w:lineRule="exact"/>
        <w:ind w:firstLine="640"/>
        <w:jc w:val="both"/>
      </w:pPr>
      <w:r>
        <w:rPr>
          <w:rFonts w:ascii="仿宋_GB2312" w:hAnsi="仿宋_GB2312" w:eastAsia="仿宋_GB2312"/>
          <w:b w:val="0"/>
          <w:sz w:val="32"/>
        </w:rPr>
        <w:t>2.一般公共服务支出(类)审计事务(款)审计业务(项):支出决算数为7.25万元，比上年决算减少1.96万元，下降21.28%,主要原因是：本年审计业务经费中差旅费较上年减少。</w:t>
      </w:r>
    </w:p>
    <w:p w14:paraId="5E77AE16">
      <w:pPr>
        <w:spacing w:line="580" w:lineRule="exact"/>
        <w:ind w:firstLine="640"/>
        <w:jc w:val="both"/>
      </w:pPr>
      <w:r>
        <w:rPr>
          <w:rFonts w:ascii="仿宋_GB2312" w:hAnsi="仿宋_GB2312" w:eastAsia="仿宋_GB2312"/>
          <w:b w:val="0"/>
          <w:sz w:val="32"/>
        </w:rPr>
        <w:t>3.一般公共服务支出(类)审计事务(款)其他审计事务支出(项):支出决算数为65.00万元，比上年决算增加65.00万元，增长100.00%,主要原因是：本年增加支付2021年村级财务审计项目经费。</w:t>
      </w:r>
    </w:p>
    <w:p w14:paraId="69CDA1AC">
      <w:pPr>
        <w:spacing w:line="580" w:lineRule="exact"/>
        <w:ind w:firstLine="640"/>
        <w:jc w:val="both"/>
      </w:pPr>
      <w:r>
        <w:rPr>
          <w:rFonts w:ascii="仿宋_GB2312" w:hAnsi="仿宋_GB2312" w:eastAsia="仿宋_GB2312"/>
          <w:b w:val="0"/>
          <w:sz w:val="32"/>
        </w:rPr>
        <w:t>4.社会保障和就业支出(类)行政事业单位养老支出(款)行政单位离退休(项):支出决算数为5.25万元，比上年决算增加5.25万元，增长100.00%,主要原因是：本年功能科目调整，行政单位离退休上年度在主科目列支，本年单独列支，导致经费较上年增加。</w:t>
      </w:r>
    </w:p>
    <w:p w14:paraId="2A46344B">
      <w:pPr>
        <w:spacing w:line="580" w:lineRule="exact"/>
        <w:ind w:firstLine="640"/>
        <w:jc w:val="both"/>
      </w:pPr>
      <w:r>
        <w:rPr>
          <w:rFonts w:ascii="仿宋_GB2312" w:hAnsi="仿宋_GB2312" w:eastAsia="仿宋_GB2312"/>
          <w:b w:val="0"/>
          <w:sz w:val="32"/>
        </w:rPr>
        <w:t>5.社会保障和就业支出(类)行政事业单位养老支出(款)机关事业单位基本养老保险缴费支出(项):支出决算数为35.93万元，比上年决算增加5.06万元，增长16.39%,主要原因是：本年在职人员工资基数调增，养老缴费基数上涨，相应支出增加。</w:t>
      </w:r>
    </w:p>
    <w:p w14:paraId="4D9D7BD8">
      <w:pPr>
        <w:spacing w:line="580" w:lineRule="exact"/>
        <w:ind w:firstLine="640"/>
        <w:jc w:val="both"/>
      </w:pPr>
      <w:r>
        <w:rPr>
          <w:rFonts w:ascii="仿宋_GB2312" w:hAnsi="仿宋_GB2312" w:eastAsia="仿宋_GB2312"/>
          <w:b w:val="0"/>
          <w:sz w:val="32"/>
        </w:rPr>
        <w:t>6.社会保障和就业支出(类)行政事业单位养老支出(款)机关事业单位职业年金缴费支出(项):支出决算数为0.00万元，比上年决算减少19.74万元，下降100.00%,主要原因是：本年</w:t>
      </w:r>
      <w:r>
        <w:rPr>
          <w:rFonts w:hint="eastAsia" w:ascii="仿宋_GB2312" w:hAnsi="仿宋_GB2312" w:eastAsia="仿宋_GB2312"/>
          <w:b w:val="0"/>
          <w:sz w:val="32"/>
          <w:lang w:eastAsia="zh-CN"/>
        </w:rPr>
        <w:t>本单位</w:t>
      </w:r>
      <w:r>
        <w:rPr>
          <w:rFonts w:ascii="仿宋_GB2312" w:hAnsi="仿宋_GB2312" w:eastAsia="仿宋_GB2312"/>
          <w:b w:val="0"/>
          <w:sz w:val="32"/>
        </w:rPr>
        <w:t>无新增退休、辞职调离人员，未安排职业年金缴费支出。</w:t>
      </w:r>
    </w:p>
    <w:p w14:paraId="59900490">
      <w:pPr>
        <w:spacing w:line="580" w:lineRule="exact"/>
        <w:ind w:firstLine="640"/>
        <w:jc w:val="both"/>
      </w:pPr>
      <w:r>
        <w:rPr>
          <w:rFonts w:ascii="仿宋_GB2312" w:hAnsi="仿宋_GB2312" w:eastAsia="仿宋_GB2312"/>
          <w:b w:val="0"/>
          <w:sz w:val="32"/>
        </w:rPr>
        <w:t>7.卫生健康支出(类)行政事业单位医疗(款)行政单位医疗(项):支出决算数为14.60万元，比上年决算增加14.60万元，增长100.00%,主要原因是：本年功能科目调整，行政单位医疗上年度在主科目列支，本年单独列支，导致经费较上年增加。</w:t>
      </w:r>
    </w:p>
    <w:p w14:paraId="385C07FA">
      <w:pPr>
        <w:spacing w:line="580" w:lineRule="exact"/>
        <w:ind w:firstLine="640"/>
        <w:jc w:val="both"/>
      </w:pPr>
      <w:r>
        <w:rPr>
          <w:rFonts w:ascii="仿宋_GB2312" w:hAnsi="仿宋_GB2312" w:eastAsia="仿宋_GB2312"/>
          <w:b w:val="0"/>
          <w:sz w:val="32"/>
        </w:rPr>
        <w:t>8.卫生健康支出(类)行政事业单位医疗(款)公务员医疗补助(项):支出决算数为5.67万元，比上年决算增加5.67万元，增长100.00%,主要原因是：本年功能科目调整，公务员医疗补助上年度在主科目列支，本年单独列支，导致经费较上年增加。</w:t>
      </w:r>
    </w:p>
    <w:p w14:paraId="2F57A9A0">
      <w:pPr>
        <w:spacing w:line="580" w:lineRule="exact"/>
        <w:ind w:firstLine="640"/>
        <w:jc w:val="both"/>
      </w:pPr>
      <w:r>
        <w:rPr>
          <w:rFonts w:ascii="仿宋_GB2312" w:hAnsi="仿宋_GB2312" w:eastAsia="仿宋_GB2312"/>
          <w:b w:val="0"/>
          <w:sz w:val="32"/>
        </w:rPr>
        <w:t>9.住房保障支出(类)住房改革支出(款)住房公积金(项):支出决算数为26.47万元，比上年决算增加26.47万元，增长100.00%,主要原因是：本年功能科目调整，住房公积金上年度在主科目列支，本年单独列支，导致经费较上年增加。</w:t>
      </w:r>
    </w:p>
    <w:p w14:paraId="26F7B2D5">
      <w:pPr>
        <w:spacing w:line="580" w:lineRule="exact"/>
        <w:ind w:firstLine="640"/>
        <w:jc w:val="both"/>
      </w:pPr>
      <w:r>
        <w:rPr>
          <w:rFonts w:ascii="仿宋_GB2312" w:hAnsi="仿宋_GB2312" w:eastAsia="仿宋_GB2312"/>
          <w:b w:val="0"/>
          <w:sz w:val="32"/>
        </w:rPr>
        <w:t>10.其他支出(类)其他支出(款)其他支出(项):支出决算数为10.00万元，比上年决算增加5.53万元，增长123.71%,主要原因是：本年为民办实事经费较上年增加。</w:t>
      </w:r>
    </w:p>
    <w:p w14:paraId="2A2751D8">
      <w:pPr>
        <w:spacing w:line="640" w:lineRule="exact"/>
        <w:ind w:firstLine="640"/>
        <w:jc w:val="both"/>
        <w:outlineLvl w:val="2"/>
      </w:pPr>
      <w:r>
        <w:rPr>
          <w:rFonts w:ascii="黑体" w:hAnsi="黑体" w:eastAsia="黑体"/>
          <w:sz w:val="32"/>
        </w:rPr>
        <w:t>六、一般公共预算财政拨款基本支出决算情况说明</w:t>
      </w:r>
    </w:p>
    <w:p w14:paraId="33443247">
      <w:pPr>
        <w:spacing w:line="580" w:lineRule="exact"/>
        <w:ind w:firstLine="640"/>
        <w:jc w:val="both"/>
      </w:pPr>
      <w:r>
        <w:rPr>
          <w:rFonts w:ascii="仿宋_GB2312" w:hAnsi="仿宋_GB2312" w:eastAsia="仿宋_GB2312"/>
          <w:b w:val="0"/>
          <w:sz w:val="32"/>
        </w:rPr>
        <w:t>2024年度一般公共预算财政拨款基本支出348.68万元，其中：</w:t>
      </w:r>
      <w:r>
        <w:rPr>
          <w:rFonts w:ascii="仿宋_GB2312" w:hAnsi="仿宋_GB2312" w:eastAsia="仿宋_GB2312"/>
          <w:b/>
          <w:sz w:val="32"/>
        </w:rPr>
        <w:t>人员经费344.90万元，</w:t>
      </w:r>
      <w:r>
        <w:rPr>
          <w:rFonts w:ascii="仿宋_GB2312" w:hAnsi="仿宋_GB2312" w:eastAsia="仿宋_GB2312"/>
          <w:b w:val="0"/>
          <w:sz w:val="32"/>
        </w:rPr>
        <w:t>包括：基本工资、津贴补贴、奖金、机关事业单位基本养老保险缴费、职工基本医疗保险缴费、公务员医疗补助缴费、其他社会保障缴费、住房公积金、退休费、其他对个人和家庭的补助。</w:t>
      </w:r>
    </w:p>
    <w:p w14:paraId="5C0AC0DE">
      <w:pPr>
        <w:spacing w:line="580" w:lineRule="exact"/>
        <w:ind w:firstLine="640"/>
        <w:jc w:val="both"/>
      </w:pPr>
      <w:r>
        <w:rPr>
          <w:rFonts w:ascii="仿宋_GB2312" w:hAnsi="仿宋_GB2312" w:eastAsia="仿宋_GB2312"/>
          <w:b/>
          <w:sz w:val="32"/>
        </w:rPr>
        <w:t>公用经费3.79万元，</w:t>
      </w:r>
      <w:r>
        <w:rPr>
          <w:rFonts w:ascii="仿宋_GB2312" w:hAnsi="仿宋_GB2312" w:eastAsia="仿宋_GB2312"/>
          <w:b w:val="0"/>
          <w:sz w:val="32"/>
        </w:rPr>
        <w:t>包括：办公费、电费、差旅费、工会经费、公务用车运行维护费。</w:t>
      </w:r>
    </w:p>
    <w:p w14:paraId="5CB1581A">
      <w:pPr>
        <w:spacing w:line="640" w:lineRule="exact"/>
        <w:ind w:firstLine="640"/>
        <w:jc w:val="both"/>
        <w:outlineLvl w:val="2"/>
      </w:pPr>
      <w:r>
        <w:rPr>
          <w:rFonts w:ascii="黑体" w:hAnsi="黑体" w:eastAsia="黑体"/>
          <w:sz w:val="32"/>
        </w:rPr>
        <w:t>七、政府性基金预算财政拨款收入支出决算情况说明</w:t>
      </w:r>
    </w:p>
    <w:p w14:paraId="5554CEB1">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3146CE0B">
      <w:pPr>
        <w:spacing w:line="640" w:lineRule="exact"/>
        <w:ind w:firstLine="640"/>
        <w:jc w:val="both"/>
        <w:outlineLvl w:val="2"/>
      </w:pPr>
      <w:r>
        <w:rPr>
          <w:rFonts w:ascii="黑体" w:hAnsi="黑体" w:eastAsia="黑体"/>
          <w:sz w:val="32"/>
        </w:rPr>
        <w:t>八、国有资本经营预算财政拨款收入支出决算情况说明</w:t>
      </w:r>
    </w:p>
    <w:p w14:paraId="5B1D2ACC">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6EA5A816">
      <w:pPr>
        <w:spacing w:line="640" w:lineRule="exact"/>
        <w:ind w:firstLine="640"/>
        <w:jc w:val="both"/>
        <w:outlineLvl w:val="2"/>
      </w:pPr>
      <w:r>
        <w:rPr>
          <w:rFonts w:ascii="黑体" w:hAnsi="黑体" w:eastAsia="黑体"/>
          <w:sz w:val="32"/>
        </w:rPr>
        <w:t>九、财政拨款“三公”经费支出决算情况说明</w:t>
      </w:r>
    </w:p>
    <w:p w14:paraId="6072F0CC">
      <w:pPr>
        <w:spacing w:line="580" w:lineRule="exact"/>
        <w:ind w:firstLine="640"/>
        <w:jc w:val="both"/>
      </w:pPr>
      <w:r>
        <w:rPr>
          <w:rFonts w:ascii="仿宋_GB2312" w:hAnsi="仿宋_GB2312" w:eastAsia="仿宋_GB2312"/>
          <w:b/>
          <w:sz w:val="32"/>
        </w:rPr>
        <w:t>2024年度财政拨款“三公”经费支出1.07万元，</w:t>
      </w:r>
      <w:r>
        <w:rPr>
          <w:rFonts w:ascii="仿宋_GB2312" w:hAnsi="仿宋_GB2312" w:eastAsia="仿宋_GB2312"/>
          <w:b w:val="0"/>
          <w:sz w:val="32"/>
        </w:rPr>
        <w:t>比上年增加0.67万元，增长167.50%，主要原因是：本单位公务用车日渐老化，维修维护成本增加，导致公务用车运行维护费较上年增加。其中：因公出国（境）费支出0.00万元，占0.00%，比上年增加0.00万元，增长0.00%，主要原因是：2023年与2024年均未安排因公出国（境）费支出。公务用车购置及运行维护费支出1.07万元，占100.00%，比上年增加0.67万元，增长167.50%，主要原因是：本单位公务用车日渐老化，维修维护成本增加，导致公务用车运行维护费较上年增加。公务接待费支出0.00万元，占0.00%，比上年增加0.00万元，增长0.00%，主要原因是：2023年与2024年均未安排公务接待费支出。</w:t>
      </w:r>
    </w:p>
    <w:p w14:paraId="7E80482F">
      <w:pPr>
        <w:spacing w:line="580" w:lineRule="exact"/>
        <w:ind w:firstLine="640"/>
        <w:jc w:val="both"/>
      </w:pPr>
      <w:r>
        <w:rPr>
          <w:rFonts w:ascii="仿宋_GB2312" w:hAnsi="仿宋_GB2312" w:eastAsia="仿宋_GB2312"/>
          <w:b/>
          <w:sz w:val="32"/>
        </w:rPr>
        <w:t>具体情况如下：</w:t>
      </w:r>
    </w:p>
    <w:p w14:paraId="452EBF06">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50C57EB6">
      <w:pPr>
        <w:spacing w:line="580" w:lineRule="exact"/>
        <w:ind w:firstLine="640"/>
        <w:jc w:val="both"/>
      </w:pPr>
      <w:r>
        <w:rPr>
          <w:rFonts w:ascii="仿宋_GB2312" w:hAnsi="仿宋_GB2312" w:eastAsia="仿宋_GB2312"/>
          <w:b w:val="0"/>
          <w:sz w:val="32"/>
        </w:rPr>
        <w:t>公务用车购置及运行维护费1.07万元，其中：公务用车购置费0.00万元，公务用车运行维护费1.07万元。公务用车运行维护费开支内容包括车辆保险费、燃油费。公务用车购置数0辆，公务用车保有量1辆。国有资产占用情况中固定资产车辆1辆，与公务用车保有量差异原因是：本单位固定资产车辆与公务用车保有量一致无差异。</w:t>
      </w:r>
    </w:p>
    <w:p w14:paraId="105139E6">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3FC5C223">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1.07万元，决算数1.07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1.07万元，决算数1.07万元，预决算差异率0.00%，主要原因是：严格按照预算执行，预决算无差异。公务接待费全年预算数0.00万元，决算数0.00万元，预决算差异率0.00%，主要原因是：本单位无公务接待费。</w:t>
      </w:r>
    </w:p>
    <w:p w14:paraId="6061D462">
      <w:pPr>
        <w:spacing w:line="640" w:lineRule="exact"/>
        <w:ind w:firstLine="640"/>
        <w:jc w:val="both"/>
        <w:outlineLvl w:val="2"/>
      </w:pPr>
      <w:r>
        <w:rPr>
          <w:rFonts w:ascii="黑体" w:hAnsi="黑体" w:eastAsia="黑体"/>
          <w:sz w:val="32"/>
        </w:rPr>
        <w:t>十、其他重要事项的情况说明</w:t>
      </w:r>
    </w:p>
    <w:p w14:paraId="750D092A">
      <w:pPr>
        <w:spacing w:line="640" w:lineRule="exact"/>
        <w:ind w:firstLine="640"/>
        <w:jc w:val="both"/>
        <w:outlineLvl w:val="3"/>
      </w:pPr>
      <w:r>
        <w:rPr>
          <w:rFonts w:ascii="楷体_GB2312" w:hAnsi="楷体_GB2312" w:eastAsia="楷体_GB2312"/>
          <w:b/>
          <w:sz w:val="32"/>
        </w:rPr>
        <w:t>（一）机关运行经费及公用经费支出情况</w:t>
      </w:r>
    </w:p>
    <w:p w14:paraId="411F589A">
      <w:pPr>
        <w:spacing w:line="580" w:lineRule="exact"/>
        <w:ind w:firstLine="640"/>
        <w:jc w:val="both"/>
      </w:pPr>
      <w:r>
        <w:rPr>
          <w:rFonts w:ascii="仿宋_GB2312" w:hAnsi="仿宋_GB2312" w:eastAsia="仿宋_GB2312"/>
          <w:b w:val="0"/>
          <w:sz w:val="32"/>
        </w:rPr>
        <w:t>2024年度洛浦县审计局（行政单位和参照公务员法管理事业单位）机关运行经费支出3.79万元，比上年增加0.96万元，增长33.92%，主要原因是：本年业务量增加，机关运行经费支出增加。</w:t>
      </w:r>
    </w:p>
    <w:p w14:paraId="6D2FBC62">
      <w:pPr>
        <w:spacing w:line="640" w:lineRule="exact"/>
        <w:ind w:firstLine="640"/>
        <w:jc w:val="both"/>
        <w:outlineLvl w:val="3"/>
      </w:pPr>
      <w:r>
        <w:rPr>
          <w:rFonts w:ascii="楷体_GB2312" w:hAnsi="楷体_GB2312" w:eastAsia="楷体_GB2312"/>
          <w:b/>
          <w:sz w:val="32"/>
        </w:rPr>
        <w:t>（二）政府采购情况</w:t>
      </w:r>
    </w:p>
    <w:p w14:paraId="0A052A3F">
      <w:pPr>
        <w:spacing w:line="580" w:lineRule="exact"/>
        <w:ind w:firstLine="640"/>
        <w:jc w:val="both"/>
      </w:pPr>
      <w:r>
        <w:rPr>
          <w:rFonts w:ascii="仿宋_GB2312" w:hAnsi="仿宋_GB2312" w:eastAsia="仿宋_GB2312"/>
          <w:b w:val="0"/>
          <w:sz w:val="32"/>
        </w:rPr>
        <w:t>2024年度政府采购支出总额1.14万元，其中：政府采购货物支出0.10万元、政府采购工程支出0.00万元、政府采购服务支出1.04万元。</w:t>
      </w:r>
    </w:p>
    <w:p w14:paraId="3DEADC2E">
      <w:pPr>
        <w:spacing w:line="580" w:lineRule="exact"/>
        <w:ind w:firstLine="640"/>
        <w:jc w:val="both"/>
      </w:pPr>
      <w:r>
        <w:rPr>
          <w:rFonts w:ascii="仿宋_GB2312" w:hAnsi="仿宋_GB2312" w:eastAsia="仿宋_GB2312"/>
          <w:b w:val="0"/>
          <w:sz w:val="32"/>
        </w:rPr>
        <w:t>授予中小企业合同金额1.14万元，占政府采购支出总额的100.00%，其中：授予小微企业合同金额0.86万元，占政府采购支出总额的75.44%。</w:t>
      </w:r>
    </w:p>
    <w:p w14:paraId="51047277">
      <w:pPr>
        <w:spacing w:line="640" w:lineRule="exact"/>
        <w:ind w:firstLine="640"/>
        <w:jc w:val="both"/>
        <w:outlineLvl w:val="3"/>
      </w:pPr>
      <w:r>
        <w:rPr>
          <w:rFonts w:ascii="楷体_GB2312" w:hAnsi="楷体_GB2312" w:eastAsia="楷体_GB2312"/>
          <w:b/>
          <w:sz w:val="32"/>
        </w:rPr>
        <w:t>（三）国有资产占用情况说明</w:t>
      </w:r>
    </w:p>
    <w:p w14:paraId="3C316A5C">
      <w:pPr>
        <w:spacing w:line="580" w:lineRule="exact"/>
        <w:ind w:firstLine="640"/>
        <w:jc w:val="both"/>
      </w:pPr>
      <w:r>
        <w:rPr>
          <w:rFonts w:ascii="仿宋_GB2312" w:hAnsi="仿宋_GB2312" w:eastAsia="仿宋_GB2312"/>
          <w:b w:val="0"/>
          <w:sz w:val="32"/>
        </w:rPr>
        <w:t>截至2024年12月31日，房屋0.00平方米，价值0.00万元。车辆1辆，价值17.39万元，其中：副部（省）级及以上领导用车0辆、主要负责人用车0辆、机要通信用车0辆、应急保障用车0辆、执法执勤用车0辆、特种专业技术用车0辆、离退休干部服务用车0辆、其他用车1辆，其他用车主要是：一般公务用车。单价100万元（含）以上设备（不含车辆）0台（套）。</w:t>
      </w:r>
    </w:p>
    <w:p w14:paraId="05829F0C">
      <w:pPr>
        <w:spacing w:line="640" w:lineRule="exact"/>
        <w:ind w:firstLine="640"/>
        <w:jc w:val="both"/>
        <w:outlineLvl w:val="2"/>
      </w:pPr>
      <w:r>
        <w:rPr>
          <w:rFonts w:ascii="黑体" w:hAnsi="黑体" w:eastAsia="黑体"/>
          <w:sz w:val="32"/>
        </w:rPr>
        <w:t>十一、预算绩效的情况说明</w:t>
      </w:r>
    </w:p>
    <w:p w14:paraId="219944F6">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根据预算绩效管理要求，本单位2024年度预算绩效管理形成整体支出绩效自评表1个，全年预算总额459.74万元，实际执行总额450.08万元；预算绩效评价项目</w:t>
      </w:r>
      <w:r>
        <w:rPr>
          <w:rFonts w:hint="eastAsia" w:ascii="仿宋_GB2312" w:hAnsi="仿宋_GB2312" w:eastAsia="仿宋_GB2312"/>
          <w:b w:val="0"/>
          <w:sz w:val="32"/>
          <w:lang w:val="en-US" w:eastAsia="zh-CN"/>
        </w:rPr>
        <w:t>3</w:t>
      </w:r>
      <w:r>
        <w:rPr>
          <w:rFonts w:ascii="仿宋_GB2312" w:hAnsi="仿宋_GB2312" w:eastAsia="仿宋_GB2312"/>
          <w:b w:val="0"/>
          <w:sz w:val="32"/>
        </w:rPr>
        <w:t>个，全年预算数</w:t>
      </w:r>
      <w:r>
        <w:rPr>
          <w:rFonts w:hint="eastAsia" w:ascii="仿宋_GB2312" w:hAnsi="仿宋_GB2312" w:eastAsia="仿宋_GB2312"/>
          <w:b w:val="0"/>
          <w:sz w:val="32"/>
        </w:rPr>
        <w:t>99.73</w:t>
      </w:r>
      <w:r>
        <w:rPr>
          <w:rFonts w:ascii="仿宋_GB2312" w:hAnsi="仿宋_GB2312" w:eastAsia="仿宋_GB2312"/>
          <w:b w:val="0"/>
          <w:sz w:val="32"/>
        </w:rPr>
        <w:t>万元，全年执行数</w:t>
      </w:r>
      <w:r>
        <w:rPr>
          <w:rFonts w:hint="eastAsia" w:ascii="仿宋_GB2312" w:hAnsi="仿宋_GB2312" w:eastAsia="仿宋_GB2312"/>
          <w:b w:val="0"/>
          <w:sz w:val="32"/>
        </w:rPr>
        <w:t>82.25</w:t>
      </w:r>
      <w:r>
        <w:rPr>
          <w:rFonts w:ascii="仿宋_GB2312" w:hAnsi="仿宋_GB2312" w:eastAsia="仿宋_GB2312"/>
          <w:b w:val="0"/>
          <w:sz w:val="32"/>
        </w:rPr>
        <w:t>万元。预算绩效管理取得的成效：本项目实施效果较好的原因主要是管理制度完善、责任落实到位，跟踪考核机制完善且运行有效，在项目实施过程中创新管理办法，使项目取得了良好的效果。发现的问题及原因：由于项目预算管理在编制和实施中还存在编制不细，预算调整较多、追加预算比重较大等现象，因此项目预算执行的准确率还有待加强，同时分析手段和技术水平上还有待完善。在今后的工作中我们将加强与财政单位的紧密配合，开展好整体支出及项目资金绩效管理工作，运用好绩效评价的结果不断提升预算管理水平。下一步改进措施：预算编制工作，认真做好预算的编制。全面编制预算项目，优先保障固定性的、相对刚性的费用支出项目，尽量压缩变动性的、有控制空间的费用项目，进一步提高预算编制的科学性、严谨性和可控性。具体附整体支出绩效自评表，项目支出绩效自评表和评价报告。</w:t>
      </w:r>
    </w:p>
    <w:p w14:paraId="4DC2FFF6">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57CAA9B">
        <w:tblPrEx>
          <w:tblCellMar>
            <w:top w:w="0" w:type="dxa"/>
            <w:left w:w="108" w:type="dxa"/>
            <w:bottom w:w="0" w:type="dxa"/>
            <w:right w:w="108" w:type="dxa"/>
          </w:tblCellMar>
        </w:tblPrEx>
        <w:tc>
          <w:tcPr>
            <w:tcW w:w="8847" w:type="dxa"/>
            <w:gridSpan w:val="9"/>
            <w:vAlign w:val="center"/>
          </w:tcPr>
          <w:p w14:paraId="7AB34104">
            <w:pPr>
              <w:jc w:val="center"/>
            </w:pPr>
            <w:r>
              <w:rPr>
                <w:rFonts w:ascii="宋体" w:hAnsi="宋体" w:eastAsia="宋体"/>
                <w:sz w:val="24"/>
              </w:rPr>
              <w:t>单位整体支出绩效自评表</w:t>
            </w:r>
          </w:p>
        </w:tc>
      </w:tr>
      <w:tr w14:paraId="2887D61F">
        <w:tblPrEx>
          <w:tblCellMar>
            <w:top w:w="0" w:type="dxa"/>
            <w:left w:w="108" w:type="dxa"/>
            <w:bottom w:w="0" w:type="dxa"/>
            <w:right w:w="108" w:type="dxa"/>
          </w:tblCellMar>
        </w:tblPrEx>
        <w:tc>
          <w:tcPr>
            <w:tcW w:w="8847" w:type="dxa"/>
            <w:gridSpan w:val="9"/>
            <w:vAlign w:val="center"/>
          </w:tcPr>
          <w:p w14:paraId="23DECEF2">
            <w:pPr>
              <w:jc w:val="center"/>
            </w:pPr>
            <w:r>
              <w:rPr>
                <w:rFonts w:ascii="宋体" w:hAnsi="宋体" w:eastAsia="宋体"/>
                <w:sz w:val="24"/>
              </w:rPr>
              <w:t>（2024年度）</w:t>
            </w:r>
          </w:p>
        </w:tc>
      </w:tr>
      <w:tr w14:paraId="2ED2EB9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9F27EC">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0CCC69E">
            <w:pPr>
              <w:jc w:val="center"/>
            </w:pPr>
            <w:r>
              <w:rPr>
                <w:rFonts w:ascii="宋体" w:hAnsi="宋体" w:eastAsia="宋体"/>
                <w:sz w:val="16"/>
              </w:rPr>
              <w:t>洛浦县审计局</w:t>
            </w:r>
          </w:p>
        </w:tc>
      </w:tr>
      <w:tr w14:paraId="73DFFE3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E9650B">
            <w:pPr>
              <w:jc w:val="center"/>
            </w:pPr>
            <w:r>
              <w:rPr>
                <w:rFonts w:ascii="宋体" w:hAnsi="宋体" w:eastAsia="宋体"/>
                <w:sz w:val="16"/>
              </w:rPr>
              <w:t>年度预算（万元）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43D65F">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30C482">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C92E60">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4D77C5">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ED4135">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8AD778">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E0F903">
            <w:pPr>
              <w:jc w:val="center"/>
            </w:pPr>
            <w:r>
              <w:rPr>
                <w:rFonts w:ascii="宋体" w:hAnsi="宋体" w:eastAsia="宋体"/>
                <w:sz w:val="16"/>
              </w:rPr>
              <w:t>得分</w:t>
            </w:r>
          </w:p>
        </w:tc>
      </w:tr>
      <w:tr w14:paraId="356F700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592F51"/>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468975">
            <w:pPr>
              <w:jc w:val="center"/>
            </w:pPr>
            <w:r>
              <w:rPr>
                <w:rFonts w:ascii="宋体" w:hAnsi="宋体" w:eastAsia="宋体"/>
                <w:sz w:val="16"/>
              </w:rPr>
              <w:t>财政资金（万元）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D1C0CF">
            <w:pPr>
              <w:jc w:val="center"/>
            </w:pPr>
            <w:r>
              <w:rPr>
                <w:rFonts w:ascii="宋体" w:hAnsi="宋体" w:eastAsia="宋体"/>
                <w:sz w:val="16"/>
              </w:rPr>
              <w:t>上级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44B42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5239AD">
            <w:pPr>
              <w:jc w:val="center"/>
            </w:pPr>
            <w:r>
              <w:rPr>
                <w:rFonts w:ascii="宋体" w:hAnsi="宋体" w:eastAsia="宋体"/>
                <w:sz w:val="16"/>
              </w:rPr>
              <w:t>18.92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6950F1">
            <w:pPr>
              <w:jc w:val="center"/>
            </w:pPr>
            <w:r>
              <w:rPr>
                <w:rFonts w:ascii="宋体" w:hAnsi="宋体" w:eastAsia="宋体"/>
                <w:sz w:val="16"/>
              </w:rPr>
              <w:t>19.14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BC365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64747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BED31D">
            <w:pPr>
              <w:jc w:val="center"/>
            </w:pPr>
            <w:r>
              <w:rPr>
                <w:rFonts w:ascii="宋体" w:hAnsi="宋体" w:eastAsia="宋体"/>
                <w:sz w:val="16"/>
              </w:rPr>
              <w:t>-</w:t>
            </w:r>
          </w:p>
        </w:tc>
      </w:tr>
      <w:tr w14:paraId="49B4913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67913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42FB5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2BEB31">
            <w:pPr>
              <w:jc w:val="center"/>
            </w:pPr>
            <w:r>
              <w:rPr>
                <w:rFonts w:ascii="宋体" w:hAnsi="宋体" w:eastAsia="宋体"/>
                <w:sz w:val="16"/>
              </w:rPr>
              <w:t>本级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59369C">
            <w:pPr>
              <w:jc w:val="center"/>
            </w:pPr>
            <w:r>
              <w:rPr>
                <w:rFonts w:ascii="宋体" w:hAnsi="宋体" w:eastAsia="宋体"/>
                <w:sz w:val="16"/>
              </w:rPr>
              <w:t>341.84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92C039">
            <w:pPr>
              <w:jc w:val="center"/>
            </w:pPr>
            <w:r>
              <w:rPr>
                <w:rFonts w:ascii="宋体" w:hAnsi="宋体" w:eastAsia="宋体"/>
                <w:sz w:val="16"/>
              </w:rPr>
              <w:t>430.94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034118">
            <w:pPr>
              <w:jc w:val="center"/>
            </w:pPr>
            <w:r>
              <w:rPr>
                <w:rFonts w:ascii="宋体" w:hAnsi="宋体" w:eastAsia="宋体"/>
                <w:sz w:val="16"/>
              </w:rPr>
              <w:t>430.94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BE43C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A029C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C5A219">
            <w:pPr>
              <w:jc w:val="center"/>
            </w:pPr>
            <w:r>
              <w:rPr>
                <w:rFonts w:ascii="宋体" w:hAnsi="宋体" w:eastAsia="宋体"/>
                <w:sz w:val="16"/>
              </w:rPr>
              <w:t>-</w:t>
            </w:r>
          </w:p>
        </w:tc>
      </w:tr>
      <w:tr w14:paraId="0157005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439F0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BAC51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FDD5FF">
            <w:pPr>
              <w:jc w:val="center"/>
            </w:pPr>
            <w:r>
              <w:rPr>
                <w:rFonts w:ascii="宋体" w:hAnsi="宋体" w:eastAsia="宋体"/>
                <w:sz w:val="16"/>
              </w:rPr>
              <w:t>其他</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F58F96">
            <w:pPr>
              <w:jc w:val="center"/>
            </w:pPr>
            <w:r>
              <w:rPr>
                <w:rFonts w:ascii="宋体" w:hAnsi="宋体" w:eastAsia="宋体"/>
                <w:sz w:val="16"/>
              </w:rPr>
              <w:t>29.43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9ECA6C">
            <w:pPr>
              <w:jc w:val="center"/>
            </w:pPr>
            <w:r>
              <w:rPr>
                <w:rFonts w:ascii="宋体" w:hAnsi="宋体" w:eastAsia="宋体"/>
                <w:sz w:val="16"/>
              </w:rPr>
              <w:t>9.88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16A0F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B55F5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F81F6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A70947">
            <w:pPr>
              <w:jc w:val="center"/>
            </w:pPr>
            <w:r>
              <w:rPr>
                <w:rFonts w:ascii="宋体" w:hAnsi="宋体" w:eastAsia="宋体"/>
                <w:sz w:val="16"/>
              </w:rPr>
              <w:t>-</w:t>
            </w:r>
          </w:p>
        </w:tc>
      </w:tr>
      <w:tr w14:paraId="500A865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54909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3D9ADE">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78290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02AD2E">
            <w:pPr>
              <w:jc w:val="center"/>
            </w:pPr>
            <w:r>
              <w:rPr>
                <w:rFonts w:ascii="宋体" w:hAnsi="宋体" w:eastAsia="宋体"/>
                <w:sz w:val="16"/>
              </w:rPr>
              <w:t>371.27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A32E52">
            <w:pPr>
              <w:jc w:val="center"/>
            </w:pPr>
            <w:r>
              <w:rPr>
                <w:rFonts w:ascii="宋体" w:hAnsi="宋体" w:eastAsia="宋体"/>
                <w:sz w:val="16"/>
              </w:rPr>
              <w:t>459.74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4CFA9C">
            <w:pPr>
              <w:jc w:val="center"/>
            </w:pPr>
            <w:r>
              <w:rPr>
                <w:rFonts w:ascii="宋体" w:hAnsi="宋体" w:eastAsia="宋体"/>
                <w:sz w:val="16"/>
              </w:rPr>
              <w:t>450.08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8B3B0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E08AC5">
            <w:pPr>
              <w:jc w:val="center"/>
            </w:pPr>
            <w:r>
              <w:rPr>
                <w:rFonts w:ascii="宋体" w:hAnsi="宋体" w:eastAsia="宋体"/>
                <w:sz w:val="16"/>
              </w:rPr>
              <w:t>97.90%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D08823">
            <w:pPr>
              <w:jc w:val="center"/>
            </w:pPr>
            <w:r>
              <w:rPr>
                <w:rFonts w:ascii="宋体" w:hAnsi="宋体" w:eastAsia="宋体"/>
                <w:sz w:val="16"/>
              </w:rPr>
              <w:t>9.79</w:t>
            </w:r>
          </w:p>
        </w:tc>
      </w:tr>
      <w:tr w14:paraId="277E561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B983B5">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5029B23">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85CB2CA">
            <w:pPr>
              <w:jc w:val="center"/>
            </w:pPr>
            <w:r>
              <w:rPr>
                <w:rFonts w:ascii="宋体" w:hAnsi="宋体" w:eastAsia="宋体"/>
                <w:sz w:val="16"/>
              </w:rPr>
              <w:t>实际完成情况</w:t>
            </w:r>
          </w:p>
        </w:tc>
      </w:tr>
      <w:tr w14:paraId="2C7A62A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7C6DAE"/>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29B2BA1">
            <w:pPr>
              <w:jc w:val="both"/>
            </w:pPr>
            <w:r>
              <w:rPr>
                <w:rFonts w:ascii="宋体" w:hAnsi="宋体" w:eastAsia="宋体"/>
                <w:sz w:val="16"/>
              </w:rPr>
              <w:t>单位基本职能：(一)主管全县审计工作，负责对全县财政收支和法律法规规定属于审计监督范围的财务收支的真实、合法和效益进行审计监督，对公共资金、国有资产、国有资源和领导干部履行经济责任情况实行审计全覆盖，对领导干部实行自然资源资产离任审计，对国家有关重大政策措施贯彻落实情况进行跟踪审计。对审计、专项审计调查和核查社会审计机构相关审计报告的结果承担责任，并负有督促被审计单位整改的责任。</w:t>
            </w:r>
            <w:r>
              <w:rPr>
                <w:rFonts w:ascii="宋体" w:hAnsi="宋体" w:eastAsia="宋体"/>
                <w:sz w:val="16"/>
              </w:rPr>
              <w:br w:type="textWrapping"/>
            </w:r>
            <w:r>
              <w:rPr>
                <w:rFonts w:ascii="宋体" w:hAnsi="宋体" w:eastAsia="宋体"/>
                <w:sz w:val="16"/>
              </w:rPr>
              <w:t>(二)贯彻执行审计法律法规规章、国家审计准则和指南并监督执行。制定并组织实施年度审计计划。对直接审计、调查和核查的事项依法进行审计评价，做出审计决定或提出审计建议。</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(三)向县委审计委员会提出年度县预算执行和其他财务支出情况审计报告。</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(四)直接审计下列事项，出具审计报告，在法定职权范围内做出审计决定。                                                                                                        机构设置及人员配置：无下属预算单位，下设6个股室，编制数19，实有人数22人，在职18人，退休4人。</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中长期规划：巩固拓展脱贫攻坚成果衔接期内，通过不间断开展审计监督，促进巩固提升脱贫地区特色产业，完善联农带农机制，提高脱贫人口收入，</w:t>
            </w:r>
            <w:r>
              <w:rPr>
                <w:rFonts w:hint="eastAsia" w:ascii="宋体" w:hAnsi="宋体"/>
                <w:sz w:val="16"/>
                <w:lang w:eastAsia="zh-CN"/>
              </w:rPr>
              <w:t>进一步</w:t>
            </w:r>
            <w:r>
              <w:rPr>
                <w:rFonts w:ascii="宋体" w:hAnsi="宋体" w:eastAsia="宋体"/>
                <w:sz w:val="16"/>
              </w:rPr>
              <w:t>巩固脱贫成果，提高脱贫人口生活的幸福感和安全感的效果。</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目标1：保障单位在职18人，退休4人的工资福利及各项补助正常发放及部门正常运转；</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目标2：保障单位预算项目按计划实施，项目审计类别5个，完成或配合完成审计项目数量5个，出具各类审计报告及审计意见5个。"</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CC05E5C">
            <w:pPr>
              <w:jc w:val="both"/>
            </w:pPr>
            <w:r>
              <w:rPr>
                <w:rFonts w:hint="eastAsia" w:ascii="宋体" w:hAnsi="宋体"/>
                <w:sz w:val="16"/>
                <w:lang w:eastAsia="zh-CN"/>
              </w:rPr>
              <w:t>截至</w:t>
            </w:r>
            <w:r>
              <w:rPr>
                <w:rFonts w:ascii="宋体" w:hAnsi="宋体" w:eastAsia="宋体"/>
                <w:sz w:val="16"/>
              </w:rPr>
              <w:t>2024年12月，洛浦县审计局根据2024年度审计项目计划，共实施审计项目6类、9项，出具审计报告9份，提出审计意见20多条，被审单位全部采纳。主管全县审计工作，负责对全县财政收支和法律法规规定属于审计监督范围的财务收支的真实、合法和效益进行审计监督，对公共资金、国有资产、国有资源和领导干部履行经济责任情况实行审计全覆盖，对领导干部实行自然资源资产离任审计，对国家有关重大政策措施贯彻落实情况进行跟踪审计。对审计、专项审计调查和核查社会审计机构相关审计报告的结果承担责任，并负有督促被审计单位整改的责任。贯彻执行审计法律法规规章、国家审计准则和指南并监督执行。制定并组织实施年度审计计划。对直接审计、调查和核查的事项依法进行审计评价，做出审计决定或提出审计建议。向县委审计委员会提出年度县预算执行和其他财务支出情况审计报告。直接审计下列事项，出具审计报告，在法定职权范围内做出审计决定。 巩固拓展脱贫攻坚成果衔接期内，通过不间断开展审计监督，促进巩固提升脱贫地区特色产业，完善联农带农机制，提高脱贫人口收入，</w:t>
            </w:r>
            <w:r>
              <w:rPr>
                <w:rFonts w:hint="eastAsia" w:ascii="宋体" w:hAnsi="宋体"/>
                <w:sz w:val="16"/>
                <w:lang w:eastAsia="zh-CN"/>
              </w:rPr>
              <w:t>进一步</w:t>
            </w:r>
            <w:r>
              <w:rPr>
                <w:rFonts w:ascii="宋体" w:hAnsi="宋体" w:eastAsia="宋体"/>
                <w:sz w:val="16"/>
              </w:rPr>
              <w:t>巩固脱贫成果，提高脱贫人口生活的幸福感和安全感的效果。</w:t>
            </w:r>
          </w:p>
        </w:tc>
      </w:tr>
      <w:tr w14:paraId="46F2E82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0501EB">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E9A701">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04843A">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DE0402">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B53658">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6283AF">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8D4D06">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675841">
            <w:pPr>
              <w:jc w:val="center"/>
            </w:pPr>
            <w:r>
              <w:rPr>
                <w:rFonts w:ascii="宋体" w:hAnsi="宋体" w:eastAsia="宋体"/>
                <w:sz w:val="16"/>
              </w:rPr>
              <w:t>得分</w:t>
            </w:r>
          </w:p>
        </w:tc>
      </w:tr>
      <w:tr w14:paraId="24768F3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C5C2F5">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C04E59">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AB511C">
            <w:pPr>
              <w:jc w:val="center"/>
            </w:pPr>
            <w:r>
              <w:rPr>
                <w:rFonts w:ascii="宋体" w:hAnsi="宋体" w:eastAsia="宋体"/>
                <w:sz w:val="16"/>
              </w:rPr>
              <w:t>项目审计类别</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6CE9C4">
            <w:pPr>
              <w:jc w:val="center"/>
            </w:pPr>
            <w:r>
              <w:rPr>
                <w:rFonts w:ascii="宋体" w:hAnsi="宋体" w:eastAsia="宋体"/>
                <w:sz w:val="16"/>
              </w:rPr>
              <w:t>&gt;=5个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95C6FC">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78A782">
            <w:pPr>
              <w:jc w:val="center"/>
            </w:pPr>
            <w:r>
              <w:rPr>
                <w:rFonts w:ascii="宋体" w:hAnsi="宋体" w:eastAsia="宋体"/>
                <w:sz w:val="16"/>
              </w:rPr>
              <w:t>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540D48">
            <w:pPr>
              <w:jc w:val="center"/>
            </w:pPr>
            <w:r>
              <w:rPr>
                <w:rFonts w:ascii="宋体" w:hAnsi="宋体" w:eastAsia="宋体"/>
                <w:sz w:val="16"/>
              </w:rPr>
              <w:t>6个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EBA395">
            <w:pPr>
              <w:jc w:val="center"/>
            </w:pPr>
            <w:r>
              <w:rPr>
                <w:rFonts w:ascii="宋体" w:hAnsi="宋体" w:eastAsia="宋体"/>
                <w:sz w:val="16"/>
              </w:rPr>
              <w:t>30</w:t>
            </w:r>
          </w:p>
        </w:tc>
      </w:tr>
      <w:tr w14:paraId="56E4FFC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D3A56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55096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0CD809">
            <w:pPr>
              <w:jc w:val="center"/>
            </w:pPr>
            <w:r>
              <w:rPr>
                <w:rFonts w:ascii="宋体" w:hAnsi="宋体" w:eastAsia="宋体"/>
                <w:sz w:val="16"/>
              </w:rPr>
              <w:t>完成或配合完成审计项目数量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788AF4">
            <w:pPr>
              <w:jc w:val="center"/>
            </w:pPr>
            <w:r>
              <w:rPr>
                <w:rFonts w:ascii="宋体" w:hAnsi="宋体" w:eastAsia="宋体"/>
                <w:sz w:val="16"/>
              </w:rPr>
              <w:t>&gt;=5个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282A79">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0CF71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2C74EB">
            <w:pPr>
              <w:jc w:val="center"/>
            </w:pPr>
            <w:r>
              <w:rPr>
                <w:rFonts w:ascii="宋体" w:hAnsi="宋体" w:eastAsia="宋体"/>
                <w:sz w:val="16"/>
              </w:rPr>
              <w:t>9个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9B7ACE">
            <w:pPr>
              <w:jc w:val="center"/>
            </w:pPr>
            <w:r>
              <w:rPr>
                <w:rFonts w:ascii="宋体" w:hAnsi="宋体" w:eastAsia="宋体"/>
                <w:sz w:val="16"/>
              </w:rPr>
              <w:t>20</w:t>
            </w:r>
          </w:p>
        </w:tc>
      </w:tr>
      <w:tr w14:paraId="402866E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51578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56990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9306C9">
            <w:pPr>
              <w:jc w:val="center"/>
            </w:pPr>
            <w:r>
              <w:rPr>
                <w:rFonts w:ascii="宋体" w:hAnsi="宋体" w:eastAsia="宋体"/>
                <w:sz w:val="16"/>
              </w:rPr>
              <w:t>出具各类审计报告及审计意见</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49A53D">
            <w:pPr>
              <w:jc w:val="center"/>
            </w:pPr>
            <w:r>
              <w:rPr>
                <w:rFonts w:ascii="宋体" w:hAnsi="宋体" w:eastAsia="宋体"/>
                <w:sz w:val="16"/>
              </w:rPr>
              <w:t>&gt;=5个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0927E8">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1D82F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1773E2">
            <w:pPr>
              <w:jc w:val="center"/>
            </w:pPr>
            <w:r>
              <w:rPr>
                <w:rFonts w:ascii="宋体" w:hAnsi="宋体" w:eastAsia="宋体"/>
                <w:sz w:val="16"/>
              </w:rPr>
              <w:t>9个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705BB5">
            <w:pPr>
              <w:jc w:val="center"/>
            </w:pPr>
            <w:r>
              <w:rPr>
                <w:rFonts w:ascii="宋体" w:hAnsi="宋体" w:eastAsia="宋体"/>
                <w:sz w:val="16"/>
              </w:rPr>
              <w:t>20</w:t>
            </w:r>
          </w:p>
        </w:tc>
      </w:tr>
      <w:tr w14:paraId="04E12F2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5A122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92BDDC">
            <w:pPr>
              <w:jc w:val="center"/>
            </w:pPr>
            <w:r>
              <w:rPr>
                <w:rFonts w:ascii="宋体" w:hAnsi="宋体" w:eastAsia="宋体"/>
                <w:sz w:val="16"/>
              </w:rPr>
              <w:t>质量指标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082A15">
            <w:pPr>
              <w:jc w:val="center"/>
            </w:pPr>
            <w:r>
              <w:rPr>
                <w:rFonts w:ascii="宋体" w:hAnsi="宋体" w:eastAsia="宋体"/>
                <w:sz w:val="16"/>
              </w:rPr>
              <w:t>被审计单位对审计建议采纳比例</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339A05">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C4D264">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10B22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0B62B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3FB479">
            <w:pPr>
              <w:jc w:val="center"/>
            </w:pPr>
            <w:r>
              <w:rPr>
                <w:rFonts w:ascii="宋体" w:hAnsi="宋体" w:eastAsia="宋体"/>
                <w:sz w:val="16"/>
              </w:rPr>
              <w:t>20</w:t>
            </w:r>
          </w:p>
        </w:tc>
      </w:tr>
    </w:tbl>
    <w:p w14:paraId="50912200">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5F2B4CE">
        <w:tblPrEx>
          <w:tblCellMar>
            <w:top w:w="0" w:type="dxa"/>
            <w:left w:w="108" w:type="dxa"/>
            <w:bottom w:w="0" w:type="dxa"/>
            <w:right w:w="108" w:type="dxa"/>
          </w:tblCellMar>
        </w:tblPrEx>
        <w:tc>
          <w:tcPr>
            <w:tcW w:w="8847" w:type="dxa"/>
            <w:gridSpan w:val="9"/>
            <w:vAlign w:val="center"/>
          </w:tcPr>
          <w:p w14:paraId="75B7EB1D">
            <w:pPr>
              <w:jc w:val="center"/>
            </w:pPr>
            <w:r>
              <w:rPr>
                <w:rFonts w:ascii="宋体" w:hAnsi="宋体" w:eastAsia="宋体"/>
                <w:sz w:val="24"/>
              </w:rPr>
              <w:t>项目支出绩效自评表</w:t>
            </w:r>
          </w:p>
        </w:tc>
      </w:tr>
      <w:tr w14:paraId="36C57123">
        <w:tblPrEx>
          <w:tblCellMar>
            <w:top w:w="0" w:type="dxa"/>
            <w:left w:w="108" w:type="dxa"/>
            <w:bottom w:w="0" w:type="dxa"/>
            <w:right w:w="108" w:type="dxa"/>
          </w:tblCellMar>
        </w:tblPrEx>
        <w:tc>
          <w:tcPr>
            <w:tcW w:w="8847" w:type="dxa"/>
            <w:gridSpan w:val="9"/>
            <w:vAlign w:val="center"/>
          </w:tcPr>
          <w:p w14:paraId="4AE318D2">
            <w:pPr>
              <w:jc w:val="center"/>
            </w:pPr>
            <w:r>
              <w:rPr>
                <w:rFonts w:ascii="宋体" w:hAnsi="宋体" w:eastAsia="宋体"/>
                <w:sz w:val="24"/>
              </w:rPr>
              <w:t>(2024年度)</w:t>
            </w:r>
          </w:p>
        </w:tc>
      </w:tr>
      <w:tr w14:paraId="00F2A31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49AC98">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04733EE">
            <w:pPr>
              <w:jc w:val="center"/>
            </w:pPr>
            <w:r>
              <w:rPr>
                <w:rFonts w:ascii="宋体" w:hAnsi="宋体" w:eastAsia="宋体"/>
                <w:sz w:val="16"/>
              </w:rPr>
              <w:t>2024年度自治区乡村振兴专项审计经费</w:t>
            </w:r>
          </w:p>
        </w:tc>
      </w:tr>
      <w:tr w14:paraId="0AB1E3D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39C5AC">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793C30B">
            <w:pPr>
              <w:jc w:val="center"/>
            </w:pPr>
            <w:r>
              <w:rPr>
                <w:rFonts w:ascii="宋体" w:hAnsi="宋体" w:eastAsia="宋体"/>
                <w:sz w:val="16"/>
              </w:rPr>
              <w:t>洛浦县审计局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543785">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A779A75">
            <w:pPr>
              <w:jc w:val="center"/>
            </w:pPr>
            <w:r>
              <w:rPr>
                <w:rFonts w:ascii="宋体" w:hAnsi="宋体" w:eastAsia="宋体"/>
                <w:sz w:val="16"/>
              </w:rPr>
              <w:t>洛浦县审计局</w:t>
            </w:r>
          </w:p>
        </w:tc>
      </w:tr>
      <w:tr w14:paraId="54E50C3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DDAF26">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9CC7FE">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AFEC08">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3211C8">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F62F39">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F39DD0">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D2E0C3">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45CAFC">
            <w:pPr>
              <w:jc w:val="center"/>
            </w:pPr>
            <w:r>
              <w:rPr>
                <w:rFonts w:ascii="宋体" w:hAnsi="宋体" w:eastAsia="宋体"/>
                <w:sz w:val="16"/>
              </w:rPr>
              <w:t>得分</w:t>
            </w:r>
          </w:p>
        </w:tc>
      </w:tr>
      <w:tr w14:paraId="05C4D5C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8C001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74AA11">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F57FDF">
            <w:pPr>
              <w:jc w:val="center"/>
            </w:pPr>
            <w:r>
              <w:rPr>
                <w:rFonts w:ascii="宋体" w:hAnsi="宋体" w:eastAsia="宋体"/>
                <w:sz w:val="16"/>
              </w:rPr>
              <w:t>11.00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C16A20">
            <w:pPr>
              <w:jc w:val="center"/>
            </w:pPr>
            <w:r>
              <w:rPr>
                <w:rFonts w:ascii="宋体" w:hAnsi="宋体" w:eastAsia="宋体"/>
                <w:sz w:val="16"/>
              </w:rPr>
              <w:t>11.00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B7B97B">
            <w:pPr>
              <w:jc w:val="center"/>
            </w:pPr>
            <w:r>
              <w:rPr>
                <w:rFonts w:ascii="宋体" w:hAnsi="宋体" w:eastAsia="宋体"/>
                <w:sz w:val="16"/>
              </w:rPr>
              <w:t>7.25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DBC0F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585370">
            <w:pPr>
              <w:jc w:val="center"/>
            </w:pPr>
            <w:r>
              <w:rPr>
                <w:rFonts w:ascii="宋体" w:hAnsi="宋体" w:eastAsia="宋体"/>
                <w:sz w:val="16"/>
              </w:rPr>
              <w:t xml:space="preserve">65.91%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96BA59">
            <w:pPr>
              <w:jc w:val="center"/>
            </w:pPr>
            <w:r>
              <w:rPr>
                <w:rFonts w:ascii="宋体" w:hAnsi="宋体" w:eastAsia="宋体"/>
                <w:sz w:val="16"/>
              </w:rPr>
              <w:t>1.48分</w:t>
            </w:r>
          </w:p>
        </w:tc>
      </w:tr>
      <w:tr w14:paraId="0AB84BD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7C69B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DC51C1">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0220FA">
            <w:pPr>
              <w:jc w:val="center"/>
            </w:pPr>
            <w:r>
              <w:rPr>
                <w:rFonts w:ascii="宋体" w:hAnsi="宋体" w:eastAsia="宋体"/>
                <w:sz w:val="16"/>
              </w:rPr>
              <w:t>11.00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0F1216">
            <w:pPr>
              <w:jc w:val="center"/>
            </w:pPr>
            <w:r>
              <w:rPr>
                <w:rFonts w:ascii="宋体" w:hAnsi="宋体" w:eastAsia="宋体"/>
                <w:sz w:val="16"/>
              </w:rPr>
              <w:t>11.00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DDB096">
            <w:pPr>
              <w:jc w:val="center"/>
            </w:pPr>
            <w:r>
              <w:rPr>
                <w:rFonts w:ascii="宋体" w:hAnsi="宋体" w:eastAsia="宋体"/>
                <w:sz w:val="16"/>
              </w:rPr>
              <w:t>7.25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569DE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B2067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43FE56">
            <w:pPr>
              <w:jc w:val="center"/>
            </w:pPr>
            <w:r>
              <w:rPr>
                <w:rFonts w:ascii="宋体" w:hAnsi="宋体" w:eastAsia="宋体"/>
                <w:sz w:val="16"/>
              </w:rPr>
              <w:t>—</w:t>
            </w:r>
          </w:p>
        </w:tc>
      </w:tr>
      <w:tr w14:paraId="1C806D8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5A7F3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0D8CB2">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391FA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E8636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66A40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BC0F1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606DC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0B5D37">
            <w:pPr>
              <w:jc w:val="center"/>
            </w:pPr>
            <w:r>
              <w:rPr>
                <w:rFonts w:ascii="宋体" w:hAnsi="宋体" w:eastAsia="宋体"/>
                <w:sz w:val="16"/>
              </w:rPr>
              <w:t>—</w:t>
            </w:r>
          </w:p>
        </w:tc>
      </w:tr>
      <w:tr w14:paraId="7E89D0C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F4670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DF4B17">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90572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4C07C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E1DCC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FDB97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B3017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8608F9">
            <w:pPr>
              <w:jc w:val="center"/>
            </w:pPr>
            <w:r>
              <w:rPr>
                <w:rFonts w:ascii="宋体" w:hAnsi="宋体" w:eastAsia="宋体"/>
                <w:sz w:val="16"/>
              </w:rPr>
              <w:t>—</w:t>
            </w:r>
          </w:p>
        </w:tc>
      </w:tr>
      <w:tr w14:paraId="27490C6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9B7BE8">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23B3882">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C6DCC18">
            <w:pPr>
              <w:jc w:val="center"/>
            </w:pPr>
            <w:r>
              <w:rPr>
                <w:rFonts w:ascii="宋体" w:hAnsi="宋体" w:eastAsia="宋体"/>
                <w:sz w:val="16"/>
              </w:rPr>
              <w:t>实际完成情况</w:t>
            </w:r>
          </w:p>
        </w:tc>
      </w:tr>
      <w:tr w14:paraId="7AC83F7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565A41"/>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3D54D47">
            <w:pPr>
              <w:jc w:val="both"/>
            </w:pPr>
            <w:r>
              <w:rPr>
                <w:rFonts w:ascii="宋体" w:hAnsi="宋体" w:eastAsia="宋体"/>
                <w:sz w:val="16"/>
              </w:rPr>
              <w:t>根据《关于提前下达自治区2024年度乡村振兴专项审计经费的通知》（和地财行〔2024〕1号）文件实施此项目，主要内容为：在自治区党委、人民政府和审计署的坚强领导下，坚持以习近平新时代中国特色社会主义思</w:t>
            </w:r>
            <w:r>
              <w:rPr>
                <w:rFonts w:hint="eastAsia" w:ascii="宋体" w:hAnsi="宋体"/>
                <w:sz w:val="16"/>
                <w:lang w:eastAsia="zh-CN"/>
              </w:rPr>
              <w:t>想为</w:t>
            </w:r>
            <w:r>
              <w:rPr>
                <w:rFonts w:ascii="宋体" w:hAnsi="宋体" w:eastAsia="宋体"/>
                <w:sz w:val="16"/>
              </w:rPr>
              <w:t>指导，紧紧围绕产业帮扶项目建设管理、项目库建设和执行、帮扶产业后续培育和扶持、联农带农机制建立健全、产业帮扶项目资产和资金管理、以前年度审计查出问题整改等方面开展审计，对乡村振兴专项审计项目数≥1个,提交各类审计报告和信息简报数量≥1篇，</w:t>
            </w:r>
            <w:r>
              <w:rPr>
                <w:rFonts w:ascii="宋体" w:hAnsi="宋体" w:eastAsia="宋体"/>
                <w:sz w:val="16"/>
              </w:rPr>
              <w:br w:type="textWrapping"/>
            </w:r>
            <w:r>
              <w:rPr>
                <w:rFonts w:ascii="宋体" w:hAnsi="宋体" w:eastAsia="宋体"/>
                <w:sz w:val="16"/>
              </w:rPr>
              <w:t>通过项目实施,达到巩固拓展脱贫攻坚成果衔接期内，通过不间断开展审计监督，促进巩固提升脱贫地区特色产业，完善联农带农机制，提高脱贫人口收入，</w:t>
            </w:r>
            <w:r>
              <w:rPr>
                <w:rFonts w:hint="eastAsia" w:ascii="宋体" w:hAnsi="宋体"/>
                <w:sz w:val="16"/>
                <w:lang w:eastAsia="zh-CN"/>
              </w:rPr>
              <w:t>进一步</w:t>
            </w:r>
            <w:r>
              <w:rPr>
                <w:rFonts w:ascii="宋体" w:hAnsi="宋体" w:eastAsia="宋体"/>
                <w:sz w:val="16"/>
              </w:rPr>
              <w:t>巩固脱贫成果，提高脱贫人口生活的幸福感和安全感的效果。</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41C35DD">
            <w:pPr>
              <w:jc w:val="both"/>
            </w:pPr>
            <w:r>
              <w:rPr>
                <w:rFonts w:hint="eastAsia" w:ascii="宋体" w:hAnsi="宋体"/>
                <w:sz w:val="16"/>
                <w:lang w:eastAsia="zh-CN"/>
              </w:rPr>
              <w:t>截至</w:t>
            </w:r>
            <w:r>
              <w:rPr>
                <w:rFonts w:ascii="宋体" w:hAnsi="宋体" w:eastAsia="宋体"/>
                <w:sz w:val="16"/>
              </w:rPr>
              <w:t>2024年12月31日，该项目已实施完毕，已支付资金7.25万元。项目已完成对于田县乡村振兴衔接资金及粮食产能提升项目资金审计，并出具报告；通过项目实施，查出问题11条，已完成整改4条，正在整改7条，追回资金15.69万元,已整改25589.06万元的问题。</w:t>
            </w:r>
          </w:p>
        </w:tc>
      </w:tr>
      <w:tr w14:paraId="708963B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7CB25D1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0256CA">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A2D60C">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45C491">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115D13">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7230F1">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C88FCB">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10EE4B">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D3E2B0">
            <w:pPr>
              <w:jc w:val="center"/>
            </w:pPr>
            <w:r>
              <w:rPr>
                <w:rFonts w:ascii="宋体" w:hAnsi="宋体" w:eastAsia="宋体"/>
                <w:sz w:val="16"/>
              </w:rPr>
              <w:t>偏差原因分析及改进措施</w:t>
            </w:r>
          </w:p>
        </w:tc>
      </w:tr>
      <w:tr w14:paraId="38D8BEE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EB912A">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3122D6">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4B66C8">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952E85">
            <w:pPr>
              <w:jc w:val="center"/>
            </w:pPr>
            <w:r>
              <w:rPr>
                <w:rFonts w:ascii="宋体" w:hAnsi="宋体" w:eastAsia="宋体"/>
                <w:sz w:val="16"/>
              </w:rPr>
              <w:t>保障项目个数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528973">
            <w:pPr>
              <w:jc w:val="center"/>
            </w:pPr>
            <w:r>
              <w:rPr>
                <w:rFonts w:ascii="宋体" w:hAnsi="宋体" w:eastAsia="宋体"/>
                <w:sz w:val="16"/>
              </w:rPr>
              <w:t>&gt;=1个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114609">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24E17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C7547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193E1F">
            <w:pPr>
              <w:jc w:val="center"/>
            </w:pPr>
          </w:p>
        </w:tc>
      </w:tr>
      <w:tr w14:paraId="2D1F1C8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194F7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0DE87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3B512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B80E2C">
            <w:pPr>
              <w:jc w:val="center"/>
            </w:pPr>
            <w:r>
              <w:rPr>
                <w:rFonts w:ascii="宋体" w:hAnsi="宋体" w:eastAsia="宋体"/>
                <w:sz w:val="16"/>
              </w:rPr>
              <w:t>提交各类审计报告和信息简报数量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9C885C">
            <w:pPr>
              <w:jc w:val="center"/>
            </w:pPr>
            <w:r>
              <w:rPr>
                <w:rFonts w:ascii="宋体" w:hAnsi="宋体" w:eastAsia="宋体"/>
                <w:sz w:val="16"/>
              </w:rPr>
              <w:t>&gt;=1篇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FFEA65">
            <w:pPr>
              <w:jc w:val="center"/>
            </w:pPr>
            <w:r>
              <w:rPr>
                <w:rFonts w:ascii="宋体" w:hAnsi="宋体" w:eastAsia="宋体"/>
                <w:sz w:val="16"/>
              </w:rPr>
              <w:t>=1篇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87D65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39441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7FF367">
            <w:pPr>
              <w:jc w:val="center"/>
            </w:pPr>
          </w:p>
        </w:tc>
      </w:tr>
      <w:tr w14:paraId="2727728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5C99E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CEA0A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846DAB">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7FB8DD">
            <w:pPr>
              <w:jc w:val="center"/>
            </w:pPr>
            <w:r>
              <w:rPr>
                <w:rFonts w:ascii="宋体" w:hAnsi="宋体" w:eastAsia="宋体"/>
                <w:sz w:val="16"/>
              </w:rPr>
              <w:t>抽检覆盖率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39B158">
            <w:pPr>
              <w:jc w:val="center"/>
            </w:pPr>
            <w:r>
              <w:rPr>
                <w:rFonts w:ascii="宋体" w:hAnsi="宋体" w:eastAsia="宋体"/>
                <w:sz w:val="16"/>
              </w:rPr>
              <w:t>&gt;=50%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3A7203">
            <w:pPr>
              <w:jc w:val="center"/>
            </w:pPr>
            <w:r>
              <w:rPr>
                <w:rFonts w:ascii="宋体" w:hAnsi="宋体" w:eastAsia="宋体"/>
                <w:sz w:val="16"/>
              </w:rPr>
              <w:t>=70%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914F6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BF9EA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EE47A1">
            <w:pPr>
              <w:jc w:val="center"/>
            </w:pPr>
          </w:p>
        </w:tc>
      </w:tr>
      <w:tr w14:paraId="0BC8C75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B3BBD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729CE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47D18C">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DE3446">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8CD8FA">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61BB20">
            <w:pPr>
              <w:jc w:val="center"/>
            </w:pPr>
            <w:r>
              <w:rPr>
                <w:rFonts w:ascii="宋体" w:hAnsi="宋体" w:eastAsia="宋体"/>
                <w:sz w:val="16"/>
              </w:rPr>
              <w:t>2024年10月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0BCF3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F325B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7330D8">
            <w:pPr>
              <w:jc w:val="center"/>
            </w:pPr>
          </w:p>
        </w:tc>
      </w:tr>
      <w:tr w14:paraId="7D7572A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0549A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F737C1">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1D11A0">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90DFE3">
            <w:pPr>
              <w:jc w:val="center"/>
            </w:pPr>
            <w:r>
              <w:rPr>
                <w:rFonts w:ascii="宋体" w:hAnsi="宋体" w:eastAsia="宋体"/>
                <w:sz w:val="16"/>
              </w:rPr>
              <w:t>项目成本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76E934">
            <w:pPr>
              <w:jc w:val="center"/>
            </w:pPr>
            <w:r>
              <w:rPr>
                <w:rFonts w:ascii="宋体" w:hAnsi="宋体" w:eastAsia="宋体"/>
                <w:sz w:val="16"/>
              </w:rPr>
              <w:t>&lt;=11万元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207937">
            <w:pPr>
              <w:jc w:val="center"/>
            </w:pPr>
            <w:r>
              <w:rPr>
                <w:rFonts w:ascii="宋体" w:hAnsi="宋体" w:eastAsia="宋体"/>
                <w:sz w:val="16"/>
              </w:rPr>
              <w:t>=7.25万元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80105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91990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36F7AB">
            <w:pPr>
              <w:jc w:val="center"/>
            </w:pPr>
          </w:p>
        </w:tc>
      </w:tr>
      <w:tr w14:paraId="033851E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34E9E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FE4A07">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0C8778">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5F82F0">
            <w:pPr>
              <w:jc w:val="center"/>
            </w:pPr>
            <w:r>
              <w:rPr>
                <w:rFonts w:ascii="宋体" w:hAnsi="宋体" w:eastAsia="宋体"/>
                <w:sz w:val="16"/>
              </w:rPr>
              <w:t>提高脱贫人口生活的幸福感和安全感</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BE9F8E">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A599A3">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68A81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9C6CA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38BD58">
            <w:pPr>
              <w:jc w:val="center"/>
            </w:pPr>
          </w:p>
        </w:tc>
      </w:tr>
      <w:tr w14:paraId="3E3EA23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D7F5E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D5A62E">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0E0C4C">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CC663C">
            <w:pPr>
              <w:jc w:val="center"/>
            </w:pPr>
            <w:r>
              <w:rPr>
                <w:rFonts w:ascii="宋体" w:hAnsi="宋体" w:eastAsia="宋体"/>
                <w:sz w:val="16"/>
              </w:rPr>
              <w:t>受益审计单位满意度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F70FCF">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04969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9706E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27AD8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259C45">
            <w:pPr>
              <w:jc w:val="center"/>
            </w:pPr>
          </w:p>
        </w:tc>
      </w:tr>
      <w:tr w14:paraId="238A5AF4">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93F9904">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88F69E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ED6BD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7BA2A4">
            <w:pPr>
              <w:jc w:val="center"/>
            </w:pPr>
            <w:r>
              <w:rPr>
                <w:rFonts w:ascii="宋体" w:hAnsi="宋体" w:eastAsia="宋体"/>
                <w:sz w:val="16"/>
              </w:rPr>
              <w:t>91.48分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B611873"/>
        </w:tc>
      </w:tr>
    </w:tbl>
    <w:p w14:paraId="234E1622">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F4E289D">
        <w:tc>
          <w:tcPr>
            <w:tcW w:w="8847" w:type="dxa"/>
            <w:gridSpan w:val="9"/>
            <w:vAlign w:val="center"/>
          </w:tcPr>
          <w:p w14:paraId="4C7D1763">
            <w:pPr>
              <w:jc w:val="center"/>
            </w:pPr>
            <w:r>
              <w:rPr>
                <w:rFonts w:ascii="宋体" w:hAnsi="宋体" w:eastAsia="宋体"/>
                <w:sz w:val="24"/>
              </w:rPr>
              <w:t>项目支出绩效自评表</w:t>
            </w:r>
          </w:p>
        </w:tc>
      </w:tr>
      <w:tr w14:paraId="6EAFE93E">
        <w:tblPrEx>
          <w:tblCellMar>
            <w:top w:w="0" w:type="dxa"/>
            <w:left w:w="108" w:type="dxa"/>
            <w:bottom w:w="0" w:type="dxa"/>
            <w:right w:w="108" w:type="dxa"/>
          </w:tblCellMar>
        </w:tblPrEx>
        <w:tc>
          <w:tcPr>
            <w:tcW w:w="8847" w:type="dxa"/>
            <w:gridSpan w:val="9"/>
            <w:vAlign w:val="center"/>
          </w:tcPr>
          <w:p w14:paraId="4D2235A5">
            <w:pPr>
              <w:jc w:val="center"/>
            </w:pPr>
            <w:r>
              <w:rPr>
                <w:rFonts w:ascii="宋体" w:hAnsi="宋体" w:eastAsia="宋体"/>
                <w:sz w:val="24"/>
              </w:rPr>
              <w:t>(2024年度)</w:t>
            </w:r>
          </w:p>
        </w:tc>
      </w:tr>
      <w:tr w14:paraId="52E3E17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6C5B99">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A245A49">
            <w:pPr>
              <w:jc w:val="center"/>
            </w:pPr>
            <w:r>
              <w:rPr>
                <w:rFonts w:ascii="宋体" w:hAnsi="宋体" w:eastAsia="宋体"/>
                <w:sz w:val="16"/>
              </w:rPr>
              <w:t>村级财务审计费用还款-洛财纪字</w:t>
            </w:r>
            <w:r>
              <w:rPr>
                <w:rFonts w:hint="eastAsia" w:ascii="宋体" w:hAnsi="宋体"/>
                <w:sz w:val="16"/>
                <w:lang w:eastAsia="zh-CN"/>
              </w:rPr>
              <w:t>〔2024〕10号</w:t>
            </w:r>
          </w:p>
        </w:tc>
      </w:tr>
      <w:tr w14:paraId="71A1905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56B511">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F5757E7">
            <w:pPr>
              <w:jc w:val="center"/>
            </w:pPr>
            <w:r>
              <w:rPr>
                <w:rFonts w:ascii="宋体" w:hAnsi="宋体" w:eastAsia="宋体"/>
                <w:sz w:val="16"/>
              </w:rPr>
              <w:t>洛浦县审计局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CFCB3E">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EA26A13">
            <w:pPr>
              <w:jc w:val="center"/>
            </w:pPr>
            <w:r>
              <w:rPr>
                <w:rFonts w:ascii="宋体" w:hAnsi="宋体" w:eastAsia="宋体"/>
                <w:sz w:val="16"/>
              </w:rPr>
              <w:t>洛浦县审计局</w:t>
            </w:r>
          </w:p>
        </w:tc>
      </w:tr>
      <w:tr w14:paraId="5F8C60A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02F2BD">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0C4235">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6FC29F">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31B5C3">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F4AD9D">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75A3A5">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66DCEE">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0993CE">
            <w:pPr>
              <w:jc w:val="center"/>
            </w:pPr>
            <w:r>
              <w:rPr>
                <w:rFonts w:ascii="宋体" w:hAnsi="宋体" w:eastAsia="宋体"/>
                <w:sz w:val="16"/>
              </w:rPr>
              <w:t>得分</w:t>
            </w:r>
          </w:p>
        </w:tc>
      </w:tr>
      <w:tr w14:paraId="34326D8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2FA15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730F80">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692BED">
            <w:pPr>
              <w:jc w:val="center"/>
            </w:pPr>
            <w:r>
              <w:rPr>
                <w:rFonts w:ascii="宋体" w:hAnsi="宋体" w:eastAsia="宋体"/>
                <w:sz w:val="16"/>
              </w:rPr>
              <w:t>65.00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6F2629">
            <w:pPr>
              <w:jc w:val="center"/>
            </w:pPr>
            <w:r>
              <w:rPr>
                <w:rFonts w:ascii="宋体" w:hAnsi="宋体" w:eastAsia="宋体"/>
                <w:sz w:val="16"/>
              </w:rPr>
              <w:t>65.00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EA2087">
            <w:pPr>
              <w:jc w:val="center"/>
            </w:pPr>
            <w:r>
              <w:rPr>
                <w:rFonts w:ascii="宋体" w:hAnsi="宋体" w:eastAsia="宋体"/>
                <w:sz w:val="16"/>
              </w:rPr>
              <w:t>65.00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5F2A7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BF6817">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DAB23A">
            <w:pPr>
              <w:jc w:val="center"/>
            </w:pPr>
            <w:r>
              <w:rPr>
                <w:rFonts w:ascii="宋体" w:hAnsi="宋体" w:eastAsia="宋体"/>
                <w:sz w:val="16"/>
              </w:rPr>
              <w:t>10.00分</w:t>
            </w:r>
          </w:p>
        </w:tc>
      </w:tr>
      <w:tr w14:paraId="2E2B7A3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BFA1C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8C5D83">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C8DEEA">
            <w:pPr>
              <w:jc w:val="center"/>
            </w:pPr>
            <w:r>
              <w:rPr>
                <w:rFonts w:ascii="宋体" w:hAnsi="宋体" w:eastAsia="宋体"/>
                <w:sz w:val="16"/>
              </w:rPr>
              <w:t>65.00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924B4B">
            <w:pPr>
              <w:jc w:val="center"/>
            </w:pPr>
            <w:r>
              <w:rPr>
                <w:rFonts w:ascii="宋体" w:hAnsi="宋体" w:eastAsia="宋体"/>
                <w:sz w:val="16"/>
              </w:rPr>
              <w:t>65.00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D63DEB">
            <w:pPr>
              <w:jc w:val="center"/>
            </w:pPr>
            <w:r>
              <w:rPr>
                <w:rFonts w:ascii="宋体" w:hAnsi="宋体" w:eastAsia="宋体"/>
                <w:sz w:val="16"/>
              </w:rPr>
              <w:t>65.00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95F2E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7A1ED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200110">
            <w:pPr>
              <w:jc w:val="center"/>
            </w:pPr>
            <w:r>
              <w:rPr>
                <w:rFonts w:ascii="宋体" w:hAnsi="宋体" w:eastAsia="宋体"/>
                <w:sz w:val="16"/>
              </w:rPr>
              <w:t>—</w:t>
            </w:r>
          </w:p>
        </w:tc>
      </w:tr>
      <w:tr w14:paraId="490AA2B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B9341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E44085">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168BC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BE217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4ED8F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E005F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B8024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B7A940">
            <w:pPr>
              <w:jc w:val="center"/>
            </w:pPr>
            <w:r>
              <w:rPr>
                <w:rFonts w:ascii="宋体" w:hAnsi="宋体" w:eastAsia="宋体"/>
                <w:sz w:val="16"/>
              </w:rPr>
              <w:t>—</w:t>
            </w:r>
          </w:p>
        </w:tc>
      </w:tr>
      <w:tr w14:paraId="1C341B2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CA1EA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06E49F">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9F66E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E0A92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14EA6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D7359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AEE61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456474">
            <w:pPr>
              <w:jc w:val="center"/>
            </w:pPr>
            <w:r>
              <w:rPr>
                <w:rFonts w:ascii="宋体" w:hAnsi="宋体" w:eastAsia="宋体"/>
                <w:sz w:val="16"/>
              </w:rPr>
              <w:t>—</w:t>
            </w:r>
          </w:p>
        </w:tc>
      </w:tr>
      <w:tr w14:paraId="3FCF508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BF23FD">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3DE626D">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6E2C32D">
            <w:pPr>
              <w:jc w:val="center"/>
            </w:pPr>
            <w:r>
              <w:rPr>
                <w:rFonts w:ascii="宋体" w:hAnsi="宋体" w:eastAsia="宋体"/>
                <w:sz w:val="16"/>
              </w:rPr>
              <w:t>实际完成情况</w:t>
            </w:r>
          </w:p>
        </w:tc>
      </w:tr>
      <w:tr w14:paraId="08AC61A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F8867A"/>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D14AE7A">
            <w:pPr>
              <w:jc w:val="both"/>
            </w:pPr>
            <w:r>
              <w:rPr>
                <w:rFonts w:ascii="宋体" w:hAnsi="宋体" w:eastAsia="宋体"/>
                <w:sz w:val="16"/>
              </w:rPr>
              <w:t>聘请第三方，对全县230个行政村财务收支情况进行全面审计</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F674977">
            <w:pPr>
              <w:jc w:val="both"/>
            </w:pPr>
            <w:r>
              <w:rPr>
                <w:rFonts w:hint="eastAsia" w:ascii="宋体" w:hAnsi="宋体"/>
                <w:sz w:val="16"/>
                <w:lang w:eastAsia="zh-CN"/>
              </w:rPr>
              <w:t>截至</w:t>
            </w:r>
            <w:r>
              <w:rPr>
                <w:rFonts w:ascii="宋体" w:hAnsi="宋体" w:eastAsia="宋体"/>
                <w:sz w:val="16"/>
              </w:rPr>
              <w:t xml:space="preserve">2024年12月31日，该项目已实施完毕，已支付资金65万元。项目已完成对全县230个行政村财务收支情况进行全面审计；通过项目实施，有效促进各村财务规范化。        </w:t>
            </w:r>
          </w:p>
        </w:tc>
      </w:tr>
      <w:tr w14:paraId="1F45E63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174E81F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A0075E">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11AC44">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630F1C">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41BEB2">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64770C">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34EF56">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9E4F47">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FF612F">
            <w:pPr>
              <w:jc w:val="center"/>
            </w:pPr>
            <w:r>
              <w:rPr>
                <w:rFonts w:ascii="宋体" w:hAnsi="宋体" w:eastAsia="宋体"/>
                <w:sz w:val="16"/>
              </w:rPr>
              <w:t>偏差原因分析及改进措施</w:t>
            </w:r>
          </w:p>
        </w:tc>
      </w:tr>
      <w:tr w14:paraId="2C1722D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681307">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37035D">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9FB67E">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043D4B">
            <w:pPr>
              <w:jc w:val="center"/>
            </w:pPr>
            <w:r>
              <w:rPr>
                <w:rFonts w:ascii="宋体" w:hAnsi="宋体" w:eastAsia="宋体"/>
                <w:sz w:val="16"/>
              </w:rPr>
              <w:t>审计村数量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93312C">
            <w:pPr>
              <w:jc w:val="center"/>
            </w:pPr>
            <w:r>
              <w:rPr>
                <w:rFonts w:ascii="宋体" w:hAnsi="宋体" w:eastAsia="宋体"/>
                <w:sz w:val="16"/>
              </w:rPr>
              <w:t>=230个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D06D43">
            <w:pPr>
              <w:jc w:val="center"/>
            </w:pPr>
            <w:r>
              <w:rPr>
                <w:rFonts w:ascii="宋体" w:hAnsi="宋体" w:eastAsia="宋体"/>
                <w:sz w:val="16"/>
              </w:rPr>
              <w:t>=230个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F1396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AA391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102EA5">
            <w:pPr>
              <w:jc w:val="center"/>
            </w:pPr>
          </w:p>
        </w:tc>
      </w:tr>
      <w:tr w14:paraId="4389409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1EC4F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C61FB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8234D1">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9E8811">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60EE9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1785B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368C5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BD2B7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1ABE2A">
            <w:pPr>
              <w:jc w:val="center"/>
            </w:pPr>
          </w:p>
        </w:tc>
      </w:tr>
      <w:tr w14:paraId="38FFC10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03958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F3B94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1BE82F">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992940">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6B6D6B">
            <w:pPr>
              <w:jc w:val="center"/>
            </w:pPr>
            <w:r>
              <w:rPr>
                <w:rFonts w:ascii="宋体" w:hAnsi="宋体" w:eastAsia="宋体"/>
                <w:sz w:val="16"/>
              </w:rPr>
              <w:t>&gt;=100%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51E5E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2E7B5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4840F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3E162A">
            <w:pPr>
              <w:jc w:val="center"/>
            </w:pPr>
          </w:p>
        </w:tc>
      </w:tr>
      <w:tr w14:paraId="7D81055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E7468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0B301A">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4031A6">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D964C6">
            <w:pPr>
              <w:jc w:val="center"/>
            </w:pPr>
            <w:r>
              <w:rPr>
                <w:rFonts w:ascii="宋体" w:hAnsi="宋体" w:eastAsia="宋体"/>
                <w:sz w:val="16"/>
              </w:rPr>
              <w:t>项目总成本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F8C161">
            <w:pPr>
              <w:jc w:val="center"/>
            </w:pPr>
            <w:r>
              <w:rPr>
                <w:rFonts w:ascii="宋体" w:hAnsi="宋体" w:eastAsia="宋体"/>
                <w:sz w:val="16"/>
              </w:rPr>
              <w:t>&lt;=65万元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D4877C">
            <w:pPr>
              <w:jc w:val="center"/>
            </w:pPr>
            <w:r>
              <w:rPr>
                <w:rFonts w:ascii="宋体" w:hAnsi="宋体" w:eastAsia="宋体"/>
                <w:sz w:val="16"/>
              </w:rPr>
              <w:t>=65万元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D82E6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BCBAD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C0F38D">
            <w:pPr>
              <w:jc w:val="center"/>
            </w:pPr>
          </w:p>
        </w:tc>
      </w:tr>
      <w:tr w14:paraId="6AC948B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A07F4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14178E">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E7BCAE">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C253E2">
            <w:pPr>
              <w:jc w:val="center"/>
            </w:pPr>
            <w:r>
              <w:rPr>
                <w:rFonts w:ascii="宋体" w:hAnsi="宋体" w:eastAsia="宋体"/>
                <w:sz w:val="16"/>
              </w:rPr>
              <w:t>促进被审村财务规范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E32F54">
            <w:pPr>
              <w:jc w:val="center"/>
            </w:pPr>
            <w:r>
              <w:rPr>
                <w:rFonts w:ascii="宋体" w:hAnsi="宋体" w:eastAsia="宋体"/>
                <w:sz w:val="16"/>
              </w:rPr>
              <w:t>有效促进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2270EA">
            <w:pPr>
              <w:jc w:val="center"/>
            </w:pPr>
            <w:r>
              <w:rPr>
                <w:rFonts w:ascii="宋体" w:hAnsi="宋体" w:eastAsia="宋体"/>
                <w:sz w:val="16"/>
              </w:rPr>
              <w:t>有效促进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2C40F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B6409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9DDBD0">
            <w:pPr>
              <w:jc w:val="center"/>
            </w:pPr>
          </w:p>
        </w:tc>
      </w:tr>
      <w:tr w14:paraId="52D3D21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3E017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A0B962">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CBB4AF">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449613">
            <w:pPr>
              <w:jc w:val="center"/>
            </w:pPr>
            <w:r>
              <w:rPr>
                <w:rFonts w:ascii="宋体" w:hAnsi="宋体" w:eastAsia="宋体"/>
                <w:sz w:val="16"/>
              </w:rPr>
              <w:t>被审村满意度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8F414C">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C251D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84486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0A3F8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35CA73">
            <w:pPr>
              <w:jc w:val="center"/>
            </w:pPr>
          </w:p>
        </w:tc>
      </w:tr>
      <w:tr w14:paraId="2D4510E1">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1118A40">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DC02D5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5A445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D72F66">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2FF6791"/>
        </w:tc>
      </w:tr>
    </w:tbl>
    <w:p w14:paraId="5128438B">
      <w:r>
        <w:br w:type="page"/>
      </w:r>
    </w:p>
    <w:p w14:paraId="7FB445DD">
      <w:pPr>
        <w:spacing w:line="640" w:lineRule="exact"/>
        <w:ind w:firstLine="640"/>
        <w:jc w:val="both"/>
        <w:outlineLvl w:val="2"/>
      </w:pPr>
      <w:r>
        <w:rPr>
          <w:rFonts w:ascii="黑体" w:hAnsi="黑体" w:eastAsia="黑体"/>
          <w:sz w:val="32"/>
        </w:rPr>
        <w:t>十二、其他需说明的事项</w:t>
      </w:r>
    </w:p>
    <w:p w14:paraId="6A69EC4C">
      <w:pPr>
        <w:spacing w:line="580" w:lineRule="exact"/>
        <w:ind w:firstLine="640"/>
        <w:jc w:val="both"/>
      </w:pPr>
      <w:r>
        <w:rPr>
          <w:rFonts w:ascii="仿宋_GB2312" w:hAnsi="仿宋_GB2312" w:eastAsia="仿宋_GB2312"/>
          <w:b w:val="0"/>
          <w:sz w:val="32"/>
        </w:rPr>
        <w:t>本年本单位SM项目1个，全年预算数23.73万元，全年执行数10万元。</w:t>
      </w:r>
    </w:p>
    <w:p w14:paraId="3B9B928C">
      <w:r>
        <w:br w:type="page"/>
      </w:r>
    </w:p>
    <w:p w14:paraId="1636C2D0">
      <w:pPr>
        <w:spacing w:line="240" w:lineRule="auto"/>
        <w:jc w:val="center"/>
        <w:outlineLvl w:val="1"/>
      </w:pPr>
      <w:r>
        <w:rPr>
          <w:rFonts w:ascii="黑体" w:hAnsi="黑体" w:eastAsia="黑体"/>
          <w:sz w:val="32"/>
        </w:rPr>
        <w:t>第三部分 专业名词解释</w:t>
      </w:r>
    </w:p>
    <w:p w14:paraId="747C21EA">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24F03918">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0D2B6DA6">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1EEC81C5">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1032464B">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083CAF25">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49F8DDC7">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3CE96C0F">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A17FEB3">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27CA4203">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0AEB0A02">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7132F076">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0CC87ADD">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E05604B">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22C43237">
      <w:r>
        <w:br w:type="page"/>
      </w:r>
    </w:p>
    <w:p w14:paraId="39D281DC">
      <w:pPr>
        <w:spacing w:line="240" w:lineRule="auto"/>
        <w:jc w:val="center"/>
        <w:outlineLvl w:val="1"/>
      </w:pPr>
      <w:r>
        <w:rPr>
          <w:rFonts w:ascii="黑体" w:hAnsi="黑体" w:eastAsia="黑体"/>
          <w:sz w:val="32"/>
        </w:rPr>
        <w:t>第四部分 部门决算报表（见附表）</w:t>
      </w:r>
    </w:p>
    <w:p w14:paraId="259CAF71">
      <w:pPr>
        <w:spacing w:line="240" w:lineRule="auto"/>
        <w:ind w:firstLine="640"/>
        <w:jc w:val="both"/>
      </w:pPr>
      <w:r>
        <w:rPr>
          <w:rFonts w:ascii="仿宋_GB2312" w:hAnsi="仿宋_GB2312" w:eastAsia="仿宋_GB2312"/>
          <w:b w:val="0"/>
          <w:sz w:val="32"/>
        </w:rPr>
        <w:t>一、《收入支出决算总表》</w:t>
      </w:r>
    </w:p>
    <w:p w14:paraId="4C29A403">
      <w:pPr>
        <w:spacing w:line="240" w:lineRule="auto"/>
        <w:ind w:firstLine="640"/>
        <w:jc w:val="both"/>
      </w:pPr>
      <w:r>
        <w:rPr>
          <w:rFonts w:ascii="仿宋_GB2312" w:hAnsi="仿宋_GB2312" w:eastAsia="仿宋_GB2312"/>
          <w:b w:val="0"/>
          <w:sz w:val="32"/>
        </w:rPr>
        <w:t>二、《收入决算表》</w:t>
      </w:r>
    </w:p>
    <w:p w14:paraId="3D338E7A">
      <w:pPr>
        <w:spacing w:line="240" w:lineRule="auto"/>
        <w:ind w:firstLine="640"/>
        <w:jc w:val="both"/>
      </w:pPr>
      <w:r>
        <w:rPr>
          <w:rFonts w:ascii="仿宋_GB2312" w:hAnsi="仿宋_GB2312" w:eastAsia="仿宋_GB2312"/>
          <w:b w:val="0"/>
          <w:sz w:val="32"/>
        </w:rPr>
        <w:t>三、《支出决算表》</w:t>
      </w:r>
    </w:p>
    <w:p w14:paraId="19F238D3">
      <w:pPr>
        <w:spacing w:line="240" w:lineRule="auto"/>
        <w:ind w:firstLine="640"/>
        <w:jc w:val="both"/>
      </w:pPr>
      <w:r>
        <w:rPr>
          <w:rFonts w:ascii="仿宋_GB2312" w:hAnsi="仿宋_GB2312" w:eastAsia="仿宋_GB2312"/>
          <w:b w:val="0"/>
          <w:sz w:val="32"/>
        </w:rPr>
        <w:t>四、《财政拨款收入支出决算总表》</w:t>
      </w:r>
    </w:p>
    <w:p w14:paraId="2BCA07AB">
      <w:pPr>
        <w:spacing w:line="240" w:lineRule="auto"/>
        <w:ind w:firstLine="640"/>
        <w:jc w:val="both"/>
      </w:pPr>
      <w:r>
        <w:rPr>
          <w:rFonts w:ascii="仿宋_GB2312" w:hAnsi="仿宋_GB2312" w:eastAsia="仿宋_GB2312"/>
          <w:b w:val="0"/>
          <w:sz w:val="32"/>
        </w:rPr>
        <w:t>五、《一般公共预算财政拨款支出决算表》</w:t>
      </w:r>
    </w:p>
    <w:p w14:paraId="1CE3B9B5">
      <w:pPr>
        <w:spacing w:line="240" w:lineRule="auto"/>
        <w:ind w:firstLine="640"/>
        <w:jc w:val="both"/>
      </w:pPr>
      <w:r>
        <w:rPr>
          <w:rFonts w:ascii="仿宋_GB2312" w:hAnsi="仿宋_GB2312" w:eastAsia="仿宋_GB2312"/>
          <w:b w:val="0"/>
          <w:sz w:val="32"/>
        </w:rPr>
        <w:t>六、《一般公共预算财政拨款基本支出决算表》</w:t>
      </w:r>
    </w:p>
    <w:p w14:paraId="0889FC56">
      <w:pPr>
        <w:spacing w:line="240" w:lineRule="auto"/>
        <w:ind w:firstLine="640"/>
        <w:jc w:val="both"/>
      </w:pPr>
      <w:r>
        <w:rPr>
          <w:rFonts w:ascii="仿宋_GB2312" w:hAnsi="仿宋_GB2312" w:eastAsia="仿宋_GB2312"/>
          <w:b w:val="0"/>
          <w:sz w:val="32"/>
        </w:rPr>
        <w:t>七、《政府性基金预算财政拨款收入支出决算表》</w:t>
      </w:r>
    </w:p>
    <w:p w14:paraId="729478A9">
      <w:pPr>
        <w:spacing w:line="240" w:lineRule="auto"/>
        <w:ind w:firstLine="640"/>
        <w:jc w:val="both"/>
      </w:pPr>
      <w:r>
        <w:rPr>
          <w:rFonts w:ascii="仿宋_GB2312" w:hAnsi="仿宋_GB2312" w:eastAsia="仿宋_GB2312"/>
          <w:b w:val="0"/>
          <w:sz w:val="32"/>
        </w:rPr>
        <w:t>八、《国有资本经营预算财政拨款收入支出决算表》</w:t>
      </w:r>
    </w:p>
    <w:p w14:paraId="2E2B1DCC">
      <w:pPr>
        <w:spacing w:line="240" w:lineRule="auto"/>
        <w:ind w:firstLine="640"/>
        <w:jc w:val="both"/>
      </w:pPr>
      <w:r>
        <w:rPr>
          <w:rFonts w:ascii="仿宋_GB2312" w:hAnsi="仿宋_GB2312" w:eastAsia="仿宋_GB2312"/>
          <w:b w:val="0"/>
          <w:sz w:val="32"/>
        </w:rPr>
        <w:t>九、《财政拨款“三公”经费支出决算表》</w:t>
      </w:r>
    </w:p>
    <w:p w14:paraId="656A14EB">
      <w:pPr>
        <w:spacing w:line="240" w:lineRule="auto"/>
        <w:ind w:firstLine="640"/>
        <w:jc w:val="both"/>
      </w:pPr>
    </w:p>
    <w:p w14:paraId="07FB0A03">
      <w:pPr>
        <w:spacing w:line="240" w:lineRule="auto"/>
        <w:ind w:firstLine="640"/>
        <w:jc w:val="both"/>
      </w:pPr>
    </w:p>
    <w:p w14:paraId="6F6233F4">
      <w:pPr>
        <w:spacing w:line="240" w:lineRule="auto"/>
        <w:ind w:firstLine="640"/>
        <w:jc w:val="both"/>
      </w:pPr>
    </w:p>
    <w:p w14:paraId="1402ADA4">
      <w:pPr>
        <w:spacing w:line="240" w:lineRule="auto"/>
        <w:ind w:firstLine="640"/>
        <w:jc w:val="both"/>
      </w:pPr>
    </w:p>
    <w:p w14:paraId="65E8E504">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696A8CE-2F2F-487C-AD11-07155ADD168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FD786FFB-6CA2-4CA6-8022-8D5AA46E97D2}"/>
  </w:font>
  <w:font w:name="仿宋_GB2312">
    <w:panose1 w:val="02010609030101010101"/>
    <w:charset w:val="86"/>
    <w:family w:val="modern"/>
    <w:pitch w:val="default"/>
    <w:sig w:usb0="00000001" w:usb1="080E0000" w:usb2="00000000" w:usb3="00000000" w:csb0="00040000" w:csb1="00000000"/>
    <w:embedRegular r:id="rId3" w:fontKey="{9CDF7D00-E726-4269-8445-33EFCF766036}"/>
  </w:font>
  <w:font w:name="楷体_GB2312">
    <w:panose1 w:val="02010609030101010101"/>
    <w:charset w:val="86"/>
    <w:family w:val="auto"/>
    <w:pitch w:val="default"/>
    <w:sig w:usb0="00000001" w:usb1="080E0000" w:usb2="00000000" w:usb3="00000000" w:csb0="00040000" w:csb1="00000000"/>
    <w:embedRegular r:id="rId4" w:fontKey="{91816DC5-C8F1-4B12-81A2-5A4E735AAF46}"/>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A7E18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D342585"/>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24</Pages>
  <Words>5841</Words>
  <Characters>6571</Characters>
  <Lines>0</Lines>
  <Paragraphs>0</Paragraphs>
  <TotalTime>8</TotalTime>
  <ScaleCrop>false</ScaleCrop>
  <LinksUpToDate>false</LinksUpToDate>
  <CharactersWithSpaces>6579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来财&amp;十个晴天</cp:lastModifiedBy>
  <cp:lastPrinted>2024-07-22T11:58:00Z</cp:lastPrinted>
  <dcterms:modified xsi:type="dcterms:W3CDTF">2025-09-18T04:12:51Z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B858A68E913346F885B5BC17D4DBEB06_13</vt:lpwstr>
  </property>
  <property fmtid="{D5CDD505-2E9C-101B-9397-08002B2CF9AE}" pid="4" name="KSOTemplateDocerSaveRecord">
    <vt:lpwstr>eyJoZGlkIjoiMGIxZTI3ODM4ZmVjOGE5NDFiYmE3OTRiMjQ5OTEyNzIiLCJ1c2VySWQiOiIzNzI2MDMzNTYifQ==</vt:lpwstr>
  </property>
</Properties>
</file>