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洛浦县图书馆2024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AB6D011">
      <w:r>
        <w:br w:type="page"/>
      </w:r>
    </w:p>
    <w:p w14:paraId="48584AE7">
      <w:pPr>
        <w:spacing w:line="640" w:lineRule="exact"/>
        <w:jc w:val="center"/>
        <w:outlineLvl w:val="1"/>
      </w:pPr>
      <w:r>
        <w:rPr>
          <w:rFonts w:ascii="黑体" w:hAnsi="黑体" w:eastAsia="黑体"/>
          <w:sz w:val="32"/>
        </w:rPr>
        <w:t>第一部分 单位概况</w:t>
      </w:r>
    </w:p>
    <w:p w14:paraId="6AE2F25D">
      <w:pPr>
        <w:spacing w:line="640" w:lineRule="exact"/>
        <w:ind w:firstLine="640"/>
        <w:jc w:val="both"/>
        <w:outlineLvl w:val="2"/>
      </w:pPr>
      <w:r>
        <w:rPr>
          <w:rFonts w:ascii="黑体" w:hAnsi="黑体" w:eastAsia="黑体"/>
          <w:sz w:val="32"/>
        </w:rPr>
        <w:t>一、主要职能</w:t>
      </w:r>
    </w:p>
    <w:p w14:paraId="1B5CB84F">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做好图书资料的采集、整理、典藏、复制、推荐新书和咨询工作。</w:t>
      </w:r>
    </w:p>
    <w:p w14:paraId="5772B9F0">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做好读者图书出借工作。经常检查图书的借阅情况。不断改进工作方法，定期追回超期借书，提高图书流通率，完善图书馆社会服务功能。</w:t>
      </w:r>
    </w:p>
    <w:p w14:paraId="3D5623B0">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进行图书馆专业知识的理论研究，努力创造条件，应用新的技术手段，争取实现图书馆的现代化。</w:t>
      </w:r>
    </w:p>
    <w:p w14:paraId="6ABAA93F">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积极开展馆际协作交流活动。</w:t>
      </w:r>
    </w:p>
    <w:p w14:paraId="5EA5DA66">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加强图书馆职工队伍的建设，不断提高工作人员的政治、业务素质。</w:t>
      </w:r>
    </w:p>
    <w:p w14:paraId="76A14498">
      <w:pPr>
        <w:spacing w:line="640" w:lineRule="exact"/>
        <w:ind w:firstLine="640"/>
        <w:jc w:val="both"/>
        <w:outlineLvl w:val="2"/>
      </w:pPr>
      <w:r>
        <w:rPr>
          <w:rFonts w:ascii="黑体" w:hAnsi="黑体" w:eastAsia="黑体"/>
          <w:sz w:val="32"/>
        </w:rPr>
        <w:t>二、机构设置及人员情况</w:t>
      </w:r>
    </w:p>
    <w:p w14:paraId="5A047CF2">
      <w:pPr>
        <w:spacing w:line="580" w:lineRule="exact"/>
        <w:ind w:firstLine="640"/>
        <w:jc w:val="both"/>
      </w:pPr>
      <w:r>
        <w:rPr>
          <w:rFonts w:ascii="仿宋_GB2312" w:hAnsi="仿宋_GB2312" w:eastAsia="仿宋_GB2312"/>
          <w:sz w:val="32"/>
        </w:rPr>
        <w:t>洛浦县图书馆2024年度，实有人数13人，其中：在职人员6人，增加0人；离休人员0人，增加0人；退休人员7人</w:t>
      </w:r>
      <w:bookmarkStart w:id="0" w:name="_GoBack"/>
      <w:r>
        <w:rPr>
          <w:rFonts w:ascii="仿宋_GB2312" w:hAnsi="仿宋_GB2312" w:eastAsia="仿宋_GB2312"/>
          <w:sz w:val="32"/>
        </w:rPr>
        <w:t>,</w:t>
      </w:r>
      <w:bookmarkEnd w:id="0"/>
      <w:r>
        <w:rPr>
          <w:rFonts w:ascii="仿宋_GB2312" w:hAnsi="仿宋_GB2312" w:eastAsia="仿宋_GB2312"/>
          <w:sz w:val="32"/>
        </w:rPr>
        <w:t>增加0人。</w:t>
      </w:r>
    </w:p>
    <w:p w14:paraId="6EDF3E3F">
      <w:pPr>
        <w:spacing w:line="580" w:lineRule="exact"/>
        <w:ind w:firstLine="640"/>
        <w:jc w:val="both"/>
      </w:pPr>
      <w:r>
        <w:rPr>
          <w:rFonts w:ascii="仿宋_GB2312" w:hAnsi="仿宋_GB2312" w:eastAsia="仿宋_GB2312"/>
          <w:sz w:val="32"/>
        </w:rPr>
        <w:t>洛浦县图书馆无下属预算单位，下设1个科室，分别是：办公室。</w:t>
      </w:r>
    </w:p>
    <w:p w14:paraId="494A64BD">
      <w:r>
        <w:br w:type="page"/>
      </w:r>
    </w:p>
    <w:p w14:paraId="68F54C8B">
      <w:pPr>
        <w:spacing w:line="240" w:lineRule="auto"/>
        <w:jc w:val="center"/>
        <w:outlineLvl w:val="1"/>
      </w:pPr>
      <w:r>
        <w:rPr>
          <w:rFonts w:ascii="黑体" w:hAnsi="黑体" w:eastAsia="黑体"/>
          <w:sz w:val="32"/>
        </w:rPr>
        <w:t>第二部分 部门决算情况说明</w:t>
      </w:r>
    </w:p>
    <w:p w14:paraId="13040FC0">
      <w:pPr>
        <w:spacing w:line="640" w:lineRule="exact"/>
        <w:ind w:firstLine="640"/>
        <w:jc w:val="both"/>
        <w:outlineLvl w:val="2"/>
      </w:pPr>
      <w:r>
        <w:rPr>
          <w:rFonts w:ascii="黑体" w:hAnsi="黑体" w:eastAsia="黑体"/>
          <w:sz w:val="32"/>
        </w:rPr>
        <w:t>一、收入支出决算总体情况说明</w:t>
      </w:r>
    </w:p>
    <w:p w14:paraId="5AEBDBE6">
      <w:pPr>
        <w:spacing w:line="580" w:lineRule="exact"/>
        <w:ind w:firstLine="640"/>
        <w:jc w:val="both"/>
      </w:pPr>
      <w:r>
        <w:rPr>
          <w:rFonts w:ascii="仿宋_GB2312" w:hAnsi="仿宋_GB2312" w:eastAsia="仿宋_GB2312"/>
          <w:b/>
          <w:sz w:val="32"/>
        </w:rPr>
        <w:t>2024年度收入总计140.39万元，</w:t>
      </w:r>
      <w:r>
        <w:rPr>
          <w:rFonts w:ascii="仿宋_GB2312" w:hAnsi="仿宋_GB2312" w:eastAsia="仿宋_GB2312"/>
          <w:b w:val="0"/>
          <w:sz w:val="32"/>
        </w:rPr>
        <w:t>其中：本年收入合计140.39万元，使用非财政拨款结余（含专用结余）0.00万元，年初结转和结余0.00万元。</w:t>
      </w:r>
    </w:p>
    <w:p w14:paraId="65DDD728">
      <w:pPr>
        <w:spacing w:line="580" w:lineRule="exact"/>
        <w:ind w:firstLine="640"/>
        <w:jc w:val="both"/>
      </w:pPr>
      <w:r>
        <w:rPr>
          <w:rFonts w:ascii="仿宋_GB2312" w:hAnsi="仿宋_GB2312" w:eastAsia="仿宋_GB2312"/>
          <w:b/>
          <w:sz w:val="32"/>
        </w:rPr>
        <w:t>2024年度支出总计140.39万元，</w:t>
      </w:r>
      <w:r>
        <w:rPr>
          <w:rFonts w:ascii="仿宋_GB2312" w:hAnsi="仿宋_GB2312" w:eastAsia="仿宋_GB2312"/>
          <w:b w:val="0"/>
          <w:sz w:val="32"/>
        </w:rPr>
        <w:t>其中：本年支出合计140.39万元，结余分配0.00万元，年末结转和结余0.00万元。</w:t>
      </w:r>
    </w:p>
    <w:p w14:paraId="4F8F87BD">
      <w:pPr>
        <w:spacing w:line="580" w:lineRule="exact"/>
        <w:ind w:firstLine="640"/>
        <w:jc w:val="both"/>
      </w:pPr>
      <w:r>
        <w:rPr>
          <w:rFonts w:ascii="仿宋_GB2312" w:hAnsi="仿宋_GB2312" w:eastAsia="仿宋_GB2312"/>
          <w:b w:val="0"/>
          <w:sz w:val="32"/>
        </w:rPr>
        <w:t>收入支出总体与上年相比，增加12.13万元，增长9.46%，主要原因是：1.本年在职人员工资调增，社保、公积金基数调增，人员经费增加。2、本年增加中央补助地方公共文化服务体系建设项目。</w:t>
      </w:r>
    </w:p>
    <w:p w14:paraId="3653AE63">
      <w:pPr>
        <w:spacing w:line="640" w:lineRule="exact"/>
        <w:ind w:firstLine="640"/>
        <w:jc w:val="both"/>
        <w:outlineLvl w:val="2"/>
      </w:pPr>
      <w:r>
        <w:rPr>
          <w:rFonts w:ascii="黑体" w:hAnsi="黑体" w:eastAsia="黑体"/>
          <w:sz w:val="32"/>
        </w:rPr>
        <w:t>二、收入决算情况说明</w:t>
      </w:r>
    </w:p>
    <w:p w14:paraId="7A74DFC2">
      <w:pPr>
        <w:spacing w:line="580" w:lineRule="exact"/>
        <w:ind w:firstLine="640"/>
        <w:jc w:val="both"/>
      </w:pPr>
      <w:r>
        <w:rPr>
          <w:rFonts w:ascii="仿宋_GB2312" w:hAnsi="仿宋_GB2312" w:eastAsia="仿宋_GB2312"/>
          <w:b/>
          <w:sz w:val="32"/>
        </w:rPr>
        <w:t>本年收入140.39万元，</w:t>
      </w:r>
      <w:r>
        <w:rPr>
          <w:rFonts w:ascii="仿宋_GB2312" w:hAnsi="仿宋_GB2312" w:eastAsia="仿宋_GB2312"/>
          <w:b w:val="0"/>
          <w:sz w:val="32"/>
        </w:rPr>
        <w:t>其中：财政拨款收入140.39万元，占100.00%；上级补助收入0.00万元，占0.00%；事业收入0.00万元，占0.00%；经营收入0.00万元，占0.00%；附属单位上缴收入0.00万元，占0.00%；其他收入0.00万元，占0.00%。</w:t>
      </w:r>
    </w:p>
    <w:p w14:paraId="1879B696">
      <w:pPr>
        <w:spacing w:line="640" w:lineRule="exact"/>
        <w:ind w:firstLine="640"/>
        <w:jc w:val="both"/>
        <w:outlineLvl w:val="2"/>
      </w:pPr>
      <w:r>
        <w:rPr>
          <w:rFonts w:ascii="黑体" w:hAnsi="黑体" w:eastAsia="黑体"/>
          <w:sz w:val="32"/>
        </w:rPr>
        <w:t>三、支出决算情况说明</w:t>
      </w:r>
    </w:p>
    <w:p w14:paraId="2AC631DE">
      <w:pPr>
        <w:spacing w:line="580" w:lineRule="exact"/>
        <w:ind w:firstLine="640"/>
        <w:jc w:val="both"/>
      </w:pPr>
      <w:r>
        <w:rPr>
          <w:rFonts w:ascii="仿宋_GB2312" w:hAnsi="仿宋_GB2312" w:eastAsia="仿宋_GB2312"/>
          <w:b/>
          <w:sz w:val="32"/>
        </w:rPr>
        <w:t>本年支出140.39万元，</w:t>
      </w:r>
      <w:r>
        <w:rPr>
          <w:rFonts w:ascii="仿宋_GB2312" w:hAnsi="仿宋_GB2312" w:eastAsia="仿宋_GB2312"/>
          <w:b w:val="0"/>
          <w:sz w:val="32"/>
        </w:rPr>
        <w:t>其中：基本支出124.28万元，占88.52%；项目支出16.11万元，占11.48%；上缴上级支出0.00万元，占0.00%；经营支出0.00万元，占0.00%；对附属单位补助支出0.00万元，占0.00%。</w:t>
      </w:r>
    </w:p>
    <w:p w14:paraId="0CABBB25">
      <w:pPr>
        <w:spacing w:line="640" w:lineRule="exact"/>
        <w:ind w:firstLine="640"/>
        <w:jc w:val="both"/>
        <w:outlineLvl w:val="2"/>
      </w:pPr>
      <w:r>
        <w:rPr>
          <w:rFonts w:ascii="黑体" w:hAnsi="黑体" w:eastAsia="黑体"/>
          <w:sz w:val="32"/>
        </w:rPr>
        <w:t>四、财政拨款收入支出决算总体情况说明</w:t>
      </w:r>
    </w:p>
    <w:p w14:paraId="4A6DD69B">
      <w:pPr>
        <w:spacing w:line="580" w:lineRule="exact"/>
        <w:ind w:firstLine="640"/>
        <w:jc w:val="both"/>
      </w:pPr>
      <w:r>
        <w:rPr>
          <w:rFonts w:ascii="仿宋_GB2312" w:hAnsi="仿宋_GB2312" w:eastAsia="仿宋_GB2312"/>
          <w:b/>
          <w:sz w:val="32"/>
        </w:rPr>
        <w:t>2024年度财政拨款收入总计140.39万元，</w:t>
      </w:r>
      <w:r>
        <w:rPr>
          <w:rFonts w:ascii="仿宋_GB2312" w:hAnsi="仿宋_GB2312" w:eastAsia="仿宋_GB2312"/>
          <w:b w:val="0"/>
          <w:sz w:val="32"/>
        </w:rPr>
        <w:t>其中：年初财政拨款结转和结余0.00万元，本年财政拨款收入140.39万元。</w:t>
      </w:r>
      <w:r>
        <w:rPr>
          <w:rFonts w:ascii="仿宋_GB2312" w:hAnsi="仿宋_GB2312" w:eastAsia="仿宋_GB2312"/>
          <w:b/>
          <w:sz w:val="32"/>
        </w:rPr>
        <w:t>财政拨款支出总计140.39万元，</w:t>
      </w:r>
      <w:r>
        <w:rPr>
          <w:rFonts w:ascii="仿宋_GB2312" w:hAnsi="仿宋_GB2312" w:eastAsia="仿宋_GB2312"/>
          <w:b w:val="0"/>
          <w:sz w:val="32"/>
        </w:rPr>
        <w:t>其中：年末财政拨款结转和结余0.00万元，本年财政拨款支出140.39万元。</w:t>
      </w:r>
    </w:p>
    <w:p w14:paraId="727EE1F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增加12.13万元，增长9.46%，主要原因是：1.本年在职人员工资调增，社保、公积金基数调增，人员经费增加。2、本年增加中央补助地方公共文化服务体系建设项目。</w:t>
      </w:r>
      <w:r>
        <w:rPr>
          <w:rFonts w:ascii="仿宋_GB2312" w:hAnsi="仿宋_GB2312" w:eastAsia="仿宋_GB2312"/>
          <w:b/>
          <w:sz w:val="32"/>
        </w:rPr>
        <w:t>与年初预算相比，</w:t>
      </w:r>
      <w:r>
        <w:rPr>
          <w:rFonts w:ascii="仿宋_GB2312" w:hAnsi="仿宋_GB2312" w:eastAsia="仿宋_GB2312"/>
          <w:b w:val="0"/>
          <w:sz w:val="32"/>
        </w:rPr>
        <w:t>年初预算数128.68万元，决算数140.39万元，预决算差异率9.10%，主要原因是：年中追加中央补助地方公共文化服务体系建设项目，年中追加人员工资、社保、公积金基数调增部分资金，导致预决算存在差异。</w:t>
      </w:r>
    </w:p>
    <w:p w14:paraId="63F1F14C">
      <w:pPr>
        <w:spacing w:line="640" w:lineRule="exact"/>
        <w:ind w:firstLine="640"/>
        <w:jc w:val="both"/>
        <w:outlineLvl w:val="2"/>
      </w:pPr>
      <w:r>
        <w:rPr>
          <w:rFonts w:ascii="黑体" w:hAnsi="黑体" w:eastAsia="黑体"/>
          <w:sz w:val="32"/>
        </w:rPr>
        <w:t>五、一般公共预算财政拨款支出决算情况说明</w:t>
      </w:r>
    </w:p>
    <w:p w14:paraId="6FE7DCD5">
      <w:pPr>
        <w:spacing w:line="640" w:lineRule="exact"/>
        <w:ind w:firstLine="640"/>
        <w:jc w:val="both"/>
        <w:outlineLvl w:val="3"/>
      </w:pPr>
      <w:r>
        <w:rPr>
          <w:rFonts w:ascii="楷体_GB2312" w:hAnsi="楷体_GB2312" w:eastAsia="楷体_GB2312"/>
          <w:b/>
          <w:sz w:val="32"/>
        </w:rPr>
        <w:t>（一）一般公共预算财政拨款支出决算总体情况</w:t>
      </w:r>
    </w:p>
    <w:p w14:paraId="2FCD943A">
      <w:pPr>
        <w:spacing w:line="580" w:lineRule="exact"/>
        <w:ind w:firstLine="640"/>
        <w:jc w:val="both"/>
      </w:pPr>
      <w:r>
        <w:rPr>
          <w:rFonts w:ascii="仿宋_GB2312" w:hAnsi="仿宋_GB2312" w:eastAsia="仿宋_GB2312"/>
          <w:b/>
          <w:sz w:val="32"/>
        </w:rPr>
        <w:t>2024年度一般公共预算财政拨款支出140.39万元，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增加12.13万元，增长9.46%，主要原因是：1.本年在职人员工资调增，社保、公积金基数调增，人员经费增加。2、本年增加中央补助地方公共文化服务体系建设项目。</w:t>
      </w:r>
      <w:r>
        <w:rPr>
          <w:rFonts w:ascii="仿宋_GB2312" w:hAnsi="仿宋_GB2312" w:eastAsia="仿宋_GB2312"/>
          <w:b/>
          <w:sz w:val="32"/>
        </w:rPr>
        <w:t>与年初预算相比,</w:t>
      </w:r>
      <w:r>
        <w:rPr>
          <w:rFonts w:ascii="仿宋_GB2312" w:hAnsi="仿宋_GB2312" w:eastAsia="仿宋_GB2312"/>
          <w:b w:val="0"/>
          <w:sz w:val="32"/>
        </w:rPr>
        <w:t>年初预算数128.68万元，决算数140.39万元，预决算差异率9.10%，主要原因是：年中追加中央补助地方公共文化服务体系建设项目，年中追加人员工资、社保、公积金基数调增部分资金，导致预决算存在差异。</w:t>
      </w:r>
    </w:p>
    <w:p w14:paraId="73B48EFE">
      <w:pPr>
        <w:spacing w:line="640" w:lineRule="exact"/>
        <w:ind w:firstLine="640"/>
        <w:jc w:val="both"/>
        <w:outlineLvl w:val="3"/>
      </w:pPr>
      <w:r>
        <w:rPr>
          <w:rFonts w:ascii="楷体_GB2312" w:hAnsi="楷体_GB2312" w:eastAsia="楷体_GB2312"/>
          <w:b/>
          <w:sz w:val="32"/>
        </w:rPr>
        <w:t>（二）一般公共预算财政拨款支出决算结构情况</w:t>
      </w:r>
    </w:p>
    <w:p w14:paraId="3CC3141E">
      <w:pPr>
        <w:spacing w:line="580" w:lineRule="exact"/>
        <w:ind w:firstLine="640"/>
        <w:jc w:val="both"/>
      </w:pPr>
      <w:r>
        <w:rPr>
          <w:rFonts w:ascii="仿宋_GB2312" w:hAnsi="仿宋_GB2312" w:eastAsia="仿宋_GB2312"/>
          <w:b w:val="0"/>
          <w:sz w:val="32"/>
        </w:rPr>
        <w:t>1.文化旅游体育与传媒支出(类)135.95万元,占96.84%。</w:t>
      </w:r>
    </w:p>
    <w:p w14:paraId="386740A1">
      <w:pPr>
        <w:spacing w:line="580" w:lineRule="exact"/>
        <w:ind w:firstLine="640"/>
        <w:jc w:val="both"/>
      </w:pPr>
      <w:r>
        <w:rPr>
          <w:rFonts w:ascii="仿宋_GB2312" w:hAnsi="仿宋_GB2312" w:eastAsia="仿宋_GB2312"/>
          <w:b w:val="0"/>
          <w:sz w:val="32"/>
        </w:rPr>
        <w:t>2.社会保障和就业支出(类)3.71万元,占2.64%。</w:t>
      </w:r>
    </w:p>
    <w:p w14:paraId="44E9705F">
      <w:pPr>
        <w:spacing w:line="580" w:lineRule="exact"/>
        <w:ind w:firstLine="640"/>
        <w:jc w:val="both"/>
      </w:pPr>
      <w:r>
        <w:rPr>
          <w:rFonts w:ascii="仿宋_GB2312" w:hAnsi="仿宋_GB2312" w:eastAsia="仿宋_GB2312"/>
          <w:b w:val="0"/>
          <w:sz w:val="32"/>
        </w:rPr>
        <w:t>3.住房保障支出(类)0.73万元,占0.52%。</w:t>
      </w:r>
    </w:p>
    <w:p w14:paraId="60CB12F4">
      <w:pPr>
        <w:spacing w:line="640" w:lineRule="exact"/>
        <w:ind w:firstLine="640"/>
        <w:jc w:val="both"/>
        <w:outlineLvl w:val="3"/>
      </w:pPr>
      <w:r>
        <w:rPr>
          <w:rFonts w:ascii="楷体_GB2312" w:hAnsi="楷体_GB2312" w:eastAsia="楷体_GB2312"/>
          <w:b/>
          <w:sz w:val="32"/>
        </w:rPr>
        <w:t>（三）一般公共预算财政拨款支出决算具体情况</w:t>
      </w:r>
    </w:p>
    <w:p w14:paraId="2DF5469E">
      <w:pPr>
        <w:spacing w:line="580" w:lineRule="exact"/>
        <w:ind w:firstLine="640"/>
        <w:jc w:val="both"/>
      </w:pPr>
      <w:r>
        <w:rPr>
          <w:rFonts w:ascii="仿宋_GB2312" w:hAnsi="仿宋_GB2312" w:eastAsia="仿宋_GB2312"/>
          <w:b w:val="0"/>
          <w:sz w:val="32"/>
        </w:rPr>
        <w:t>1.文化旅游体育与传媒支出(类)文化和旅游(款)图书馆(项):支出决算数为119.84万元，比上年决算增加10.16万元，增长9.26%,主要原因是：本年在职人员工资调增，人员经费增加。本年功能科目调整，养老保险缴费上年度单独列支，本年调整至主科目列支，导致经费较上年增加。</w:t>
      </w:r>
    </w:p>
    <w:p w14:paraId="139B4356">
      <w:pPr>
        <w:spacing w:line="580" w:lineRule="exact"/>
        <w:ind w:firstLine="640"/>
        <w:jc w:val="both"/>
      </w:pPr>
      <w:r>
        <w:rPr>
          <w:rFonts w:ascii="仿宋_GB2312" w:hAnsi="仿宋_GB2312" w:eastAsia="仿宋_GB2312"/>
          <w:b w:val="0"/>
          <w:sz w:val="32"/>
        </w:rPr>
        <w:t>2.文化旅游体育与传媒支出(类)其他文化旅游体育与传媒支出(款)其他文化旅游体育与传媒支出(项):支出决算数为16.11万元，比上年决算增加7.82万元，增长94.33%,主要原因是：本年增加中央补助地方公共文化服务体系建设项目。</w:t>
      </w:r>
    </w:p>
    <w:p w14:paraId="646582DE">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3.71万元，比上年决算增加3.71万元，增长100.00%,主要原因是：本年功能科目调整，事业单位离退休上年度在主科目列支，本年单独列支，导致经费较上年增加。</w:t>
      </w:r>
    </w:p>
    <w:p w14:paraId="3B7180AC">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0.00万元，比上年决算减少10.29万元，下降100.00%,主要原因是：本年功能科目调整，养老保险缴费上年度单独列支，本年调整至主科目列支，导致经费较上年减少。</w:t>
      </w:r>
    </w:p>
    <w:p w14:paraId="19AC746A">
      <w:pPr>
        <w:spacing w:line="580" w:lineRule="exact"/>
        <w:ind w:firstLine="640"/>
        <w:jc w:val="both"/>
      </w:pPr>
      <w:r>
        <w:rPr>
          <w:rFonts w:ascii="仿宋_GB2312" w:hAnsi="仿宋_GB2312" w:eastAsia="仿宋_GB2312"/>
          <w:b w:val="0"/>
          <w:sz w:val="32"/>
        </w:rPr>
        <w:t>5.住房保障支出(类)住房改革支出(款)住房公积金(项):支出决算数为0.73万元，比上年决算增加0.73万元，增长100.00%,主要原因是：本年功能科目调整，住房公积金上年度在主科目列支，本年单独列支，导致经费较上年增加。</w:t>
      </w:r>
    </w:p>
    <w:p w14:paraId="5BA65849">
      <w:pPr>
        <w:spacing w:line="640" w:lineRule="exact"/>
        <w:ind w:firstLine="640"/>
        <w:jc w:val="both"/>
        <w:outlineLvl w:val="2"/>
      </w:pPr>
      <w:r>
        <w:rPr>
          <w:rFonts w:ascii="黑体" w:hAnsi="黑体" w:eastAsia="黑体"/>
          <w:sz w:val="32"/>
        </w:rPr>
        <w:t>六、一般公共预算财政拨款基本支出决算情况说明</w:t>
      </w:r>
    </w:p>
    <w:p w14:paraId="63D36BF6">
      <w:pPr>
        <w:spacing w:line="580" w:lineRule="exact"/>
        <w:ind w:firstLine="640"/>
        <w:jc w:val="both"/>
      </w:pPr>
      <w:r>
        <w:rPr>
          <w:rFonts w:ascii="仿宋_GB2312" w:hAnsi="仿宋_GB2312" w:eastAsia="仿宋_GB2312"/>
          <w:b w:val="0"/>
          <w:sz w:val="32"/>
        </w:rPr>
        <w:t>2024年度一般公共预算财政拨款基本支出124.28万元，其中：</w:t>
      </w:r>
      <w:r>
        <w:rPr>
          <w:rFonts w:ascii="仿宋_GB2312" w:hAnsi="仿宋_GB2312" w:eastAsia="仿宋_GB2312"/>
          <w:b/>
          <w:sz w:val="32"/>
        </w:rPr>
        <w:t>人员经费123.09万元，</w:t>
      </w:r>
      <w:r>
        <w:rPr>
          <w:rFonts w:ascii="仿宋_GB2312" w:hAnsi="仿宋_GB2312" w:eastAsia="仿宋_GB2312"/>
          <w:b w:val="0"/>
          <w:sz w:val="32"/>
        </w:rPr>
        <w:t>包括：基本工资、津贴补贴、绩效工资、机关事业单位基本养老保险缴费、职工基本医疗保险缴费、其他社会保障缴费、住房公积金、退休费。</w:t>
      </w:r>
    </w:p>
    <w:p w14:paraId="339D85AF">
      <w:pPr>
        <w:spacing w:line="580" w:lineRule="exact"/>
        <w:ind w:firstLine="640"/>
        <w:jc w:val="both"/>
      </w:pPr>
      <w:r>
        <w:rPr>
          <w:rFonts w:ascii="仿宋_GB2312" w:hAnsi="仿宋_GB2312" w:eastAsia="仿宋_GB2312"/>
          <w:b/>
          <w:sz w:val="32"/>
        </w:rPr>
        <w:t>公用经费1.19万元，</w:t>
      </w:r>
      <w:r>
        <w:rPr>
          <w:rFonts w:ascii="仿宋_GB2312" w:hAnsi="仿宋_GB2312" w:eastAsia="仿宋_GB2312"/>
          <w:b w:val="0"/>
          <w:sz w:val="32"/>
        </w:rPr>
        <w:t>包括：办公费、印刷费、公务用车运行维护费。</w:t>
      </w:r>
    </w:p>
    <w:p w14:paraId="7B61A191">
      <w:pPr>
        <w:spacing w:line="640" w:lineRule="exact"/>
        <w:ind w:firstLine="640"/>
        <w:jc w:val="both"/>
        <w:outlineLvl w:val="2"/>
      </w:pPr>
      <w:r>
        <w:rPr>
          <w:rFonts w:ascii="黑体" w:hAnsi="黑体" w:eastAsia="黑体"/>
          <w:sz w:val="32"/>
        </w:rPr>
        <w:t>七、政府性基金预算财政拨款收入支出决算情况说明</w:t>
      </w:r>
    </w:p>
    <w:p w14:paraId="58C52AF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3DFE41E">
      <w:pPr>
        <w:spacing w:line="640" w:lineRule="exact"/>
        <w:ind w:firstLine="640"/>
        <w:jc w:val="both"/>
        <w:outlineLvl w:val="2"/>
      </w:pPr>
      <w:r>
        <w:rPr>
          <w:rFonts w:ascii="黑体" w:hAnsi="黑体" w:eastAsia="黑体"/>
          <w:sz w:val="32"/>
        </w:rPr>
        <w:t>八、国有资本经营预算财政拨款收入支出决算情况说明</w:t>
      </w:r>
    </w:p>
    <w:p w14:paraId="4E3CED4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0A51783">
      <w:pPr>
        <w:spacing w:line="640" w:lineRule="exact"/>
        <w:ind w:firstLine="640"/>
        <w:jc w:val="both"/>
        <w:outlineLvl w:val="2"/>
      </w:pPr>
      <w:r>
        <w:rPr>
          <w:rFonts w:ascii="黑体" w:hAnsi="黑体" w:eastAsia="黑体"/>
          <w:sz w:val="32"/>
        </w:rPr>
        <w:t>九、财政拨款“三公”经费支出决算情况说明</w:t>
      </w:r>
    </w:p>
    <w:p w14:paraId="3210D106">
      <w:pPr>
        <w:spacing w:line="580" w:lineRule="exact"/>
        <w:ind w:firstLine="640"/>
        <w:jc w:val="both"/>
      </w:pPr>
      <w:r>
        <w:rPr>
          <w:rFonts w:ascii="仿宋_GB2312" w:hAnsi="仿宋_GB2312" w:eastAsia="仿宋_GB2312"/>
          <w:b/>
          <w:sz w:val="32"/>
        </w:rPr>
        <w:t>2024年度财政拨款“三公”经费支出0.49万元，</w:t>
      </w:r>
      <w:r>
        <w:rPr>
          <w:rFonts w:ascii="仿宋_GB2312" w:hAnsi="仿宋_GB2312" w:eastAsia="仿宋_GB2312"/>
          <w:b w:val="0"/>
          <w:sz w:val="32"/>
        </w:rPr>
        <w:t>比上年增加0.05万元，增长11.36%，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0.49万元，占100.00%，比上年增加0.05万元，增长11.36%，主要原因是：本单位公务用车日渐老化，维修维护成本增加，导致公务用车运行维护费较上年增加。公务接待费支出0.00万元，占0.00%，比上年增加0.00万元，增长0.00%，主要原因是：2023年与2024年均未安排公务接待费支出。</w:t>
      </w:r>
    </w:p>
    <w:p w14:paraId="47EE7601">
      <w:pPr>
        <w:spacing w:line="580" w:lineRule="exact"/>
        <w:ind w:firstLine="640"/>
        <w:jc w:val="both"/>
      </w:pPr>
      <w:r>
        <w:rPr>
          <w:rFonts w:ascii="仿宋_GB2312" w:hAnsi="仿宋_GB2312" w:eastAsia="仿宋_GB2312"/>
          <w:b/>
          <w:sz w:val="32"/>
        </w:rPr>
        <w:t>具体情况如下：</w:t>
      </w:r>
    </w:p>
    <w:p w14:paraId="4F7A7B7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40E3649">
      <w:pPr>
        <w:spacing w:line="580" w:lineRule="exact"/>
        <w:ind w:firstLine="640"/>
        <w:jc w:val="both"/>
      </w:pPr>
      <w:r>
        <w:rPr>
          <w:rFonts w:ascii="仿宋_GB2312" w:hAnsi="仿宋_GB2312" w:eastAsia="仿宋_GB2312"/>
          <w:b w:val="0"/>
          <w:sz w:val="32"/>
        </w:rPr>
        <w:t>公务用车购置及运行维护费0.49万元，其中：公务用车购置费0.00万元，公务用车运行维护费0.49万元。公务用车运行维护费开支内容包括车辆保险费、维修费、加油费。公务用车购置数0辆，公务用车保有量1辆。国有资产占用情况中固定资产车辆1辆，与公务用车保有量差异原因是：本单位固定资产车辆与公务用车保有量一致无差异。</w:t>
      </w:r>
    </w:p>
    <w:p w14:paraId="2BE2652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CE9CA5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0.49万元，决算数0.49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0.49万元，决算数0.49万元，预决算差异率0.00%，主要原因是：严格按照预算执行，预决算无差异。公务接待费全年预算数0.00万元，决算数0.00万元，预决算差异率0.00%，主要原因是：本单位无公务接待费。</w:t>
      </w:r>
    </w:p>
    <w:p w14:paraId="64FF7434">
      <w:pPr>
        <w:spacing w:line="640" w:lineRule="exact"/>
        <w:ind w:firstLine="640"/>
        <w:jc w:val="both"/>
        <w:outlineLvl w:val="2"/>
      </w:pPr>
      <w:r>
        <w:rPr>
          <w:rFonts w:ascii="黑体" w:hAnsi="黑体" w:eastAsia="黑体"/>
          <w:sz w:val="32"/>
        </w:rPr>
        <w:t>十、其他重要事项的情况说明</w:t>
      </w:r>
    </w:p>
    <w:p w14:paraId="0D1652A4">
      <w:pPr>
        <w:spacing w:line="640" w:lineRule="exact"/>
        <w:ind w:firstLine="640"/>
        <w:jc w:val="both"/>
        <w:outlineLvl w:val="3"/>
      </w:pPr>
      <w:r>
        <w:rPr>
          <w:rFonts w:ascii="楷体_GB2312" w:hAnsi="楷体_GB2312" w:eastAsia="楷体_GB2312"/>
          <w:b/>
          <w:sz w:val="32"/>
        </w:rPr>
        <w:t>（一）机关运行经费及公用经费支出情况</w:t>
      </w:r>
    </w:p>
    <w:p w14:paraId="10C0A3B7">
      <w:pPr>
        <w:spacing w:line="580" w:lineRule="exact"/>
        <w:ind w:firstLine="640"/>
        <w:jc w:val="both"/>
      </w:pPr>
      <w:r>
        <w:rPr>
          <w:rFonts w:ascii="仿宋_GB2312" w:hAnsi="仿宋_GB2312" w:eastAsia="仿宋_GB2312"/>
          <w:b w:val="0"/>
          <w:sz w:val="32"/>
        </w:rPr>
        <w:t>2024年度洛浦县图书馆（事业单位）公用经费支出1.19万元，比上年减少0.09万元，下降7.03%，主要原因是：严格控制公用经费，合理节约办公用品，减少不必要开支。</w:t>
      </w:r>
    </w:p>
    <w:p w14:paraId="1B2C0EE5">
      <w:pPr>
        <w:spacing w:line="640" w:lineRule="exact"/>
        <w:ind w:firstLine="640"/>
        <w:jc w:val="both"/>
        <w:outlineLvl w:val="3"/>
      </w:pPr>
      <w:r>
        <w:rPr>
          <w:rFonts w:ascii="楷体_GB2312" w:hAnsi="楷体_GB2312" w:eastAsia="楷体_GB2312"/>
          <w:b/>
          <w:sz w:val="32"/>
        </w:rPr>
        <w:t>（二）政府采购情况</w:t>
      </w:r>
    </w:p>
    <w:p w14:paraId="370E0590">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7B907904">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06DDE9E4">
      <w:pPr>
        <w:spacing w:line="640" w:lineRule="exact"/>
        <w:ind w:firstLine="640"/>
        <w:jc w:val="both"/>
        <w:outlineLvl w:val="3"/>
      </w:pPr>
      <w:r>
        <w:rPr>
          <w:rFonts w:ascii="楷体_GB2312" w:hAnsi="楷体_GB2312" w:eastAsia="楷体_GB2312"/>
          <w:b/>
          <w:sz w:val="32"/>
        </w:rPr>
        <w:t>（三）国有资产占用情况说明</w:t>
      </w:r>
    </w:p>
    <w:p w14:paraId="755677F7">
      <w:pPr>
        <w:spacing w:line="580" w:lineRule="exact"/>
        <w:ind w:firstLine="640"/>
        <w:jc w:val="both"/>
      </w:pPr>
      <w:r>
        <w:rPr>
          <w:rFonts w:ascii="仿宋_GB2312" w:hAnsi="仿宋_GB2312" w:eastAsia="仿宋_GB2312"/>
          <w:b w:val="0"/>
          <w:sz w:val="32"/>
        </w:rPr>
        <w:t>截至2024年12月31日，房屋0.00平方米，价值0.00万元。车辆1辆，价值23.27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2B56EC58">
      <w:pPr>
        <w:spacing w:line="640" w:lineRule="exact"/>
        <w:ind w:firstLine="640"/>
        <w:jc w:val="both"/>
        <w:outlineLvl w:val="2"/>
      </w:pPr>
      <w:r>
        <w:rPr>
          <w:rFonts w:ascii="黑体" w:hAnsi="黑体" w:eastAsia="黑体"/>
          <w:sz w:val="32"/>
        </w:rPr>
        <w:t>十一、预算绩效的情况说明</w:t>
      </w:r>
    </w:p>
    <w:p w14:paraId="31697ED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140.39万元，实际执行总额140.39万元；预算绩效评价项目1个，全年预算数16.11万元，全年执行数16.11万元。预算绩效管理取得的成效：一是提升了单位预算执行效率，通过预算绩效管理，可以</w:t>
      </w:r>
      <w:r>
        <w:rPr>
          <w:rFonts w:hint="eastAsia" w:ascii="仿宋_GB2312" w:hAnsi="仿宋_GB2312" w:eastAsia="仿宋_GB2312"/>
          <w:b w:val="0"/>
          <w:sz w:val="32"/>
          <w:lang w:eastAsia="zh-CN"/>
        </w:rPr>
        <w:t>保证</w:t>
      </w:r>
      <w:r>
        <w:rPr>
          <w:rFonts w:ascii="仿宋_GB2312" w:hAnsi="仿宋_GB2312" w:eastAsia="仿宋_GB2312"/>
          <w:b w:val="0"/>
          <w:sz w:val="32"/>
        </w:rPr>
        <w:t>资金执行过程中准确及时；二是优化了单位资源配置；三是减少单位实际开支；四是增强单位干部责任意识，增加了工作能力。发现的问题及原因：一是预算执行存在偏差,在预算执行中造成个别预算调剂现象。对个别资金使用方面预算不够细致，出现实际支出数超出了预算申报数和出现项目资金</w:t>
      </w:r>
      <w:r>
        <w:rPr>
          <w:rFonts w:hint="eastAsia" w:ascii="仿宋_GB2312" w:hAnsi="仿宋_GB2312" w:eastAsia="仿宋_GB2312"/>
          <w:b w:val="0"/>
          <w:sz w:val="32"/>
          <w:lang w:eastAsia="zh-CN"/>
        </w:rPr>
        <w:t>结余</w:t>
      </w:r>
      <w:r>
        <w:rPr>
          <w:rFonts w:ascii="仿宋_GB2312" w:hAnsi="仿宋_GB2312" w:eastAsia="仿宋_GB2312"/>
          <w:b w:val="0"/>
          <w:sz w:val="32"/>
        </w:rPr>
        <w:t>数额多的情况。没有严格将单位政府采购金额纳入本年度预算内；二是目标设定科学性及评价存在难度，对于目标设定需要分科室单位分解,汇总后制定整体目标，如何科学整合全单位绩效目标比较困难；目标设定后如何科学设定考核评价标准，特别是对于不能量化的目标如何评价；三是财务管理方面，会计核算还不够细致,对于有些能够细分的工作,未能详细分类核算,绩效评价基础数据不够精准。下一步改进措施：一是强化支出预算约束。进一步提高年初预算编制的科学性和准确性，完善预算执行动态约束机制，加强财政预算资金管理，统筹协调推进项目执行，提高财政资金效益和效果；二是加强政府采购管理。严格履行政府采购程序，规范政府采购行为，加强对政府采购全流程活动的规范管理，推动政府采购相关制度贯彻落实；三是强化内部控制管理。严格按规定做好绩效目标申报、自评、公开等相关工作，提高财政资金使用绩效；加强实物资产管理，健全资产管理制度，规范资产清查和核算；具体附整体支出绩效自评表，项目支出绩效自评表和评价报告。</w:t>
      </w:r>
    </w:p>
    <w:p w14:paraId="575E626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B838B5D">
        <w:tblPrEx>
          <w:tblCellMar>
            <w:top w:w="0" w:type="dxa"/>
            <w:left w:w="108" w:type="dxa"/>
            <w:bottom w:w="0" w:type="dxa"/>
            <w:right w:w="108" w:type="dxa"/>
          </w:tblCellMar>
        </w:tblPrEx>
        <w:tc>
          <w:tcPr>
            <w:tcW w:w="8847" w:type="dxa"/>
            <w:gridSpan w:val="9"/>
            <w:vAlign w:val="center"/>
          </w:tcPr>
          <w:p w14:paraId="7BEA8F4D">
            <w:pPr>
              <w:jc w:val="center"/>
            </w:pPr>
            <w:r>
              <w:rPr>
                <w:rFonts w:ascii="宋体" w:hAnsi="宋体" w:eastAsia="宋体"/>
                <w:sz w:val="24"/>
              </w:rPr>
              <w:t>单位整体支出绩效自评表</w:t>
            </w:r>
          </w:p>
        </w:tc>
      </w:tr>
      <w:tr w14:paraId="62252E58">
        <w:tblPrEx>
          <w:tblCellMar>
            <w:top w:w="0" w:type="dxa"/>
            <w:left w:w="108" w:type="dxa"/>
            <w:bottom w:w="0" w:type="dxa"/>
            <w:right w:w="108" w:type="dxa"/>
          </w:tblCellMar>
        </w:tblPrEx>
        <w:tc>
          <w:tcPr>
            <w:tcW w:w="8847" w:type="dxa"/>
            <w:gridSpan w:val="9"/>
            <w:vAlign w:val="center"/>
          </w:tcPr>
          <w:p w14:paraId="2A2E6235">
            <w:pPr>
              <w:jc w:val="center"/>
            </w:pPr>
            <w:r>
              <w:rPr>
                <w:rFonts w:ascii="宋体" w:hAnsi="宋体" w:eastAsia="宋体"/>
                <w:sz w:val="24"/>
              </w:rPr>
              <w:t>（2024年度）</w:t>
            </w:r>
          </w:p>
        </w:tc>
      </w:tr>
      <w:tr w14:paraId="3BE1155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009B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B4425D1">
            <w:pPr>
              <w:jc w:val="center"/>
            </w:pPr>
            <w:r>
              <w:rPr>
                <w:rFonts w:ascii="宋体" w:hAnsi="宋体" w:eastAsia="宋体"/>
                <w:sz w:val="16"/>
              </w:rPr>
              <w:t>洛浦县图书馆</w:t>
            </w:r>
          </w:p>
        </w:tc>
      </w:tr>
      <w:tr w14:paraId="6D454C8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0835E">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7884B">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EE9A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B010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2E35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EAA0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7769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34897">
            <w:pPr>
              <w:jc w:val="center"/>
            </w:pPr>
            <w:r>
              <w:rPr>
                <w:rFonts w:ascii="宋体" w:hAnsi="宋体" w:eastAsia="宋体"/>
                <w:sz w:val="16"/>
              </w:rPr>
              <w:t>得分</w:t>
            </w:r>
          </w:p>
        </w:tc>
      </w:tr>
      <w:tr w14:paraId="35F84D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D942E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E90C37">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C31C3">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24807">
            <w:pPr>
              <w:jc w:val="center"/>
            </w:pPr>
            <w:r>
              <w:rPr>
                <w:rFonts w:ascii="宋体" w:hAnsi="宋体" w:eastAsia="宋体"/>
                <w:sz w:val="16"/>
              </w:rPr>
              <w:t>1.71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25D87">
            <w:pPr>
              <w:jc w:val="center"/>
            </w:pPr>
            <w:r>
              <w:rPr>
                <w:rFonts w:ascii="宋体" w:hAnsi="宋体" w:eastAsia="宋体"/>
                <w:sz w:val="16"/>
              </w:rPr>
              <w:t>16.11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B3693">
            <w:pPr>
              <w:jc w:val="center"/>
            </w:pPr>
            <w:r>
              <w:rPr>
                <w:rFonts w:ascii="宋体" w:hAnsi="宋体" w:eastAsia="宋体"/>
                <w:sz w:val="16"/>
              </w:rPr>
              <w:t>16.11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5B3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D35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0191A">
            <w:pPr>
              <w:jc w:val="center"/>
            </w:pPr>
            <w:r>
              <w:rPr>
                <w:rFonts w:ascii="宋体" w:hAnsi="宋体" w:eastAsia="宋体"/>
                <w:sz w:val="16"/>
              </w:rPr>
              <w:t>-</w:t>
            </w:r>
          </w:p>
        </w:tc>
      </w:tr>
      <w:tr w14:paraId="571BCF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F9CD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B2D0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491F1">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D9A8B">
            <w:pPr>
              <w:jc w:val="center"/>
            </w:pPr>
            <w:r>
              <w:rPr>
                <w:rFonts w:ascii="宋体" w:hAnsi="宋体" w:eastAsia="宋体"/>
                <w:sz w:val="16"/>
              </w:rPr>
              <w:t>126.97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18522">
            <w:pPr>
              <w:jc w:val="center"/>
            </w:pPr>
            <w:r>
              <w:rPr>
                <w:rFonts w:ascii="宋体" w:hAnsi="宋体" w:eastAsia="宋体"/>
                <w:sz w:val="16"/>
              </w:rPr>
              <w:t>124.28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4DD8D">
            <w:pPr>
              <w:jc w:val="center"/>
            </w:pPr>
            <w:r>
              <w:rPr>
                <w:rFonts w:ascii="宋体" w:hAnsi="宋体" w:eastAsia="宋体"/>
                <w:sz w:val="16"/>
              </w:rPr>
              <w:t>124.28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C8C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7CAC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D9D46">
            <w:pPr>
              <w:jc w:val="center"/>
            </w:pPr>
            <w:r>
              <w:rPr>
                <w:rFonts w:ascii="宋体" w:hAnsi="宋体" w:eastAsia="宋体"/>
                <w:sz w:val="16"/>
              </w:rPr>
              <w:t>-</w:t>
            </w:r>
          </w:p>
        </w:tc>
      </w:tr>
      <w:tr w14:paraId="33E122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1021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750D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DF29E">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67C9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326F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6C56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89D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6AE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9C603">
            <w:pPr>
              <w:jc w:val="center"/>
            </w:pPr>
            <w:r>
              <w:rPr>
                <w:rFonts w:ascii="宋体" w:hAnsi="宋体" w:eastAsia="宋体"/>
                <w:sz w:val="16"/>
              </w:rPr>
              <w:t>-</w:t>
            </w:r>
          </w:p>
        </w:tc>
      </w:tr>
      <w:tr w14:paraId="41557C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FFCF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C71D9">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B04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3C2C3">
            <w:pPr>
              <w:jc w:val="center"/>
            </w:pPr>
            <w:r>
              <w:rPr>
                <w:rFonts w:ascii="宋体" w:hAnsi="宋体" w:eastAsia="宋体"/>
                <w:sz w:val="16"/>
              </w:rPr>
              <w:t>128.68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70401">
            <w:pPr>
              <w:jc w:val="center"/>
            </w:pPr>
            <w:r>
              <w:rPr>
                <w:rFonts w:ascii="宋体" w:hAnsi="宋体" w:eastAsia="宋体"/>
                <w:sz w:val="16"/>
              </w:rPr>
              <w:t>140.39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B19CA">
            <w:pPr>
              <w:jc w:val="center"/>
            </w:pPr>
            <w:r>
              <w:rPr>
                <w:rFonts w:ascii="宋体" w:hAnsi="宋体" w:eastAsia="宋体"/>
                <w:sz w:val="16"/>
              </w:rPr>
              <w:t>140.39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DB04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0C18B">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91984">
            <w:pPr>
              <w:jc w:val="center"/>
            </w:pPr>
            <w:r>
              <w:rPr>
                <w:rFonts w:ascii="宋体" w:hAnsi="宋体" w:eastAsia="宋体"/>
                <w:sz w:val="16"/>
              </w:rPr>
              <w:t>10</w:t>
            </w:r>
          </w:p>
        </w:tc>
      </w:tr>
      <w:tr w14:paraId="3056573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6CBAA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40FD8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BFE4AF">
            <w:pPr>
              <w:jc w:val="center"/>
            </w:pPr>
            <w:r>
              <w:rPr>
                <w:rFonts w:ascii="宋体" w:hAnsi="宋体" w:eastAsia="宋体"/>
                <w:sz w:val="16"/>
              </w:rPr>
              <w:t>实际完成情况</w:t>
            </w:r>
          </w:p>
        </w:tc>
      </w:tr>
      <w:tr w14:paraId="5AE4DC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19DBF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A2F521">
            <w:pPr>
              <w:jc w:val="both"/>
            </w:pPr>
            <w:r>
              <w:rPr>
                <w:rFonts w:ascii="宋体" w:hAnsi="宋体" w:eastAsia="宋体"/>
                <w:sz w:val="16"/>
              </w:rPr>
              <w:t>总体目标：以满足人民精神文化生活新期待为出发点和落脚点，在全社会营造爱读书、读好书、善读书的良好氛围，引导人民群众提升阅读兴趣、养成阅读习惯、提高阅读能力，不断增强思想道德素质和科学文化素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目标1：打造图书文创产品数量不少于3个；</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目标2：组织专业人员对乡村文化室管理人员进行集中培训不少于2场次；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目标3：全年累计开展各类活动不少于60余场次；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目标4：</w:t>
            </w:r>
            <w:r>
              <w:rPr>
                <w:rFonts w:hint="eastAsia" w:ascii="宋体" w:hAnsi="宋体"/>
                <w:sz w:val="16"/>
                <w:lang w:eastAsia="zh-CN"/>
              </w:rPr>
              <w:t>全年</w:t>
            </w:r>
            <w:r>
              <w:rPr>
                <w:rFonts w:ascii="宋体" w:hAnsi="宋体" w:eastAsia="宋体"/>
                <w:sz w:val="16"/>
              </w:rPr>
              <w:t>累计推送相关书籍不少于260余册；</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目标5：计划对247个村设立图书流通服务点。</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834450">
            <w:pPr>
              <w:jc w:val="both"/>
            </w:pPr>
            <w:r>
              <w:rPr>
                <w:rFonts w:ascii="宋体" w:hAnsi="宋体" w:eastAsia="宋体"/>
                <w:sz w:val="16"/>
              </w:rPr>
              <w:t xml:space="preserve">总体目标：以满足人民精神文化生活新期待为出发点和落脚点，在全社会营造爱读书、读好书、善读书的良好氛围，引导人民群众提升阅读兴趣、养成阅读习惯、提高阅读能力，不断增强思想道德素质和科学文化素质。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目标1：打造图书文创产品数量不少于3个；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目标2：组织专业人员对乡村文化室管理人员进行集中培训不少于2场次；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目标3：全年累计开展各类活动不少于60余场次；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目标4：</w:t>
            </w:r>
            <w:r>
              <w:rPr>
                <w:rFonts w:hint="eastAsia" w:ascii="宋体" w:hAnsi="宋体"/>
                <w:sz w:val="16"/>
                <w:lang w:eastAsia="zh-CN"/>
              </w:rPr>
              <w:t>全年</w:t>
            </w:r>
            <w:r>
              <w:rPr>
                <w:rFonts w:ascii="宋体" w:hAnsi="宋体" w:eastAsia="宋体"/>
                <w:sz w:val="16"/>
              </w:rPr>
              <w:t xml:space="preserve">累计推送相关书籍不少于260余册；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目标5：计划对247个村设立图书流通服务点。</w:t>
            </w:r>
          </w:p>
        </w:tc>
      </w:tr>
      <w:tr w14:paraId="1696F54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D4CC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ADAC9">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5EBC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90BDA">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E7C09">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B7E8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68B66">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D2644">
            <w:pPr>
              <w:jc w:val="center"/>
            </w:pPr>
            <w:r>
              <w:rPr>
                <w:rFonts w:ascii="宋体" w:hAnsi="宋体" w:eastAsia="宋体"/>
                <w:sz w:val="16"/>
              </w:rPr>
              <w:t>得分</w:t>
            </w:r>
          </w:p>
        </w:tc>
      </w:tr>
      <w:tr w14:paraId="23F2A0D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4F2C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5295BA">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79017">
            <w:pPr>
              <w:jc w:val="center"/>
            </w:pPr>
            <w:r>
              <w:rPr>
                <w:rFonts w:ascii="宋体" w:hAnsi="宋体" w:eastAsia="宋体"/>
                <w:sz w:val="16"/>
              </w:rPr>
              <w:t>打造图书文创产品数量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8DD0B">
            <w:pPr>
              <w:jc w:val="center"/>
            </w:pPr>
            <w:r>
              <w:rPr>
                <w:rFonts w:ascii="宋体" w:hAnsi="宋体" w:eastAsia="宋体"/>
                <w:sz w:val="16"/>
              </w:rPr>
              <w:t>&gt;=3个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685BD">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2BA8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D3A2D">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6D438">
            <w:pPr>
              <w:jc w:val="center"/>
            </w:pPr>
            <w:r>
              <w:rPr>
                <w:rFonts w:ascii="宋体" w:hAnsi="宋体" w:eastAsia="宋体"/>
                <w:sz w:val="16"/>
              </w:rPr>
              <w:t>18</w:t>
            </w:r>
          </w:p>
        </w:tc>
      </w:tr>
      <w:tr w14:paraId="024751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1497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F9BC0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BF5E2">
            <w:pPr>
              <w:jc w:val="center"/>
            </w:pPr>
            <w:r>
              <w:rPr>
                <w:rFonts w:ascii="宋体" w:hAnsi="宋体" w:eastAsia="宋体"/>
                <w:sz w:val="16"/>
              </w:rPr>
              <w:t>组织专业人员对乡村文化室管理人员集中培训次数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F4EC4">
            <w:pPr>
              <w:jc w:val="center"/>
            </w:pPr>
            <w:r>
              <w:rPr>
                <w:rFonts w:ascii="宋体" w:hAnsi="宋体" w:eastAsia="宋体"/>
                <w:sz w:val="16"/>
              </w:rPr>
              <w:t>&gt;=2场次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4F54F">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11D5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51FCB">
            <w:pPr>
              <w:jc w:val="center"/>
            </w:pPr>
            <w:r>
              <w:rPr>
                <w:rFonts w:ascii="宋体" w:hAnsi="宋体" w:eastAsia="宋体"/>
                <w:sz w:val="16"/>
              </w:rPr>
              <w:t>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D6811">
            <w:pPr>
              <w:jc w:val="center"/>
            </w:pPr>
            <w:r>
              <w:rPr>
                <w:rFonts w:ascii="宋体" w:hAnsi="宋体" w:eastAsia="宋体"/>
                <w:sz w:val="16"/>
              </w:rPr>
              <w:t>18</w:t>
            </w:r>
          </w:p>
        </w:tc>
      </w:tr>
      <w:tr w14:paraId="75750C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549B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CB733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2682B">
            <w:pPr>
              <w:jc w:val="center"/>
            </w:pPr>
            <w:r>
              <w:rPr>
                <w:rFonts w:ascii="宋体" w:hAnsi="宋体" w:eastAsia="宋体"/>
                <w:sz w:val="16"/>
              </w:rPr>
              <w:t>开展各类活动次数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38A6A">
            <w:pPr>
              <w:jc w:val="center"/>
            </w:pPr>
            <w:r>
              <w:rPr>
                <w:rFonts w:ascii="宋体" w:hAnsi="宋体" w:eastAsia="宋体"/>
                <w:sz w:val="16"/>
              </w:rPr>
              <w:t>&gt;=60场次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B8224">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49A85">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17335">
            <w:pPr>
              <w:jc w:val="center"/>
            </w:pPr>
            <w:r>
              <w:rPr>
                <w:rFonts w:ascii="宋体" w:hAnsi="宋体" w:eastAsia="宋体"/>
                <w:sz w:val="16"/>
              </w:rPr>
              <w:t>60场次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CD2D1">
            <w:pPr>
              <w:jc w:val="center"/>
            </w:pPr>
            <w:r>
              <w:rPr>
                <w:rFonts w:ascii="宋体" w:hAnsi="宋体" w:eastAsia="宋体"/>
                <w:sz w:val="16"/>
              </w:rPr>
              <w:t>18</w:t>
            </w:r>
          </w:p>
        </w:tc>
      </w:tr>
      <w:tr w14:paraId="03240D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492A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A5086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21683">
            <w:pPr>
              <w:jc w:val="center"/>
            </w:pPr>
            <w:r>
              <w:rPr>
                <w:rFonts w:ascii="宋体" w:hAnsi="宋体" w:eastAsia="宋体"/>
                <w:sz w:val="16"/>
              </w:rPr>
              <w:t>推送优秀书籍数量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125C3">
            <w:pPr>
              <w:jc w:val="center"/>
            </w:pPr>
            <w:r>
              <w:rPr>
                <w:rFonts w:ascii="宋体" w:hAnsi="宋体" w:eastAsia="宋体"/>
                <w:sz w:val="16"/>
              </w:rPr>
              <w:t>&gt;=260册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A5DA4">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3554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0EF37">
            <w:pPr>
              <w:jc w:val="center"/>
            </w:pPr>
            <w:r>
              <w:rPr>
                <w:rFonts w:ascii="宋体" w:hAnsi="宋体" w:eastAsia="宋体"/>
                <w:sz w:val="16"/>
              </w:rPr>
              <w:t>260册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6A549">
            <w:pPr>
              <w:jc w:val="center"/>
            </w:pPr>
            <w:r>
              <w:rPr>
                <w:rFonts w:ascii="宋体" w:hAnsi="宋体" w:eastAsia="宋体"/>
                <w:sz w:val="16"/>
              </w:rPr>
              <w:t>18</w:t>
            </w:r>
          </w:p>
        </w:tc>
      </w:tr>
      <w:tr w14:paraId="40A825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617C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4F87C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5EA79">
            <w:pPr>
              <w:jc w:val="center"/>
            </w:pPr>
            <w:r>
              <w:rPr>
                <w:rFonts w:ascii="宋体" w:hAnsi="宋体" w:eastAsia="宋体"/>
                <w:sz w:val="16"/>
              </w:rPr>
              <w:t>设立图书流通服务点数量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2FC65">
            <w:pPr>
              <w:jc w:val="center"/>
            </w:pPr>
            <w:r>
              <w:rPr>
                <w:rFonts w:ascii="宋体" w:hAnsi="宋体" w:eastAsia="宋体"/>
                <w:sz w:val="16"/>
              </w:rPr>
              <w:t>&gt;=247个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267C8">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A85C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734A1">
            <w:pPr>
              <w:jc w:val="center"/>
            </w:pPr>
            <w:r>
              <w:rPr>
                <w:rFonts w:ascii="宋体" w:hAnsi="宋体" w:eastAsia="宋体"/>
                <w:sz w:val="16"/>
              </w:rPr>
              <w:t>247个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78F3C">
            <w:pPr>
              <w:jc w:val="center"/>
            </w:pPr>
            <w:r>
              <w:rPr>
                <w:rFonts w:ascii="宋体" w:hAnsi="宋体" w:eastAsia="宋体"/>
                <w:sz w:val="16"/>
              </w:rPr>
              <w:t>18</w:t>
            </w:r>
          </w:p>
        </w:tc>
      </w:tr>
    </w:tbl>
    <w:p w14:paraId="4EB73A2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19B59A3">
        <w:tblPrEx>
          <w:tblCellMar>
            <w:top w:w="0" w:type="dxa"/>
            <w:left w:w="108" w:type="dxa"/>
            <w:bottom w:w="0" w:type="dxa"/>
            <w:right w:w="108" w:type="dxa"/>
          </w:tblCellMar>
        </w:tblPrEx>
        <w:tc>
          <w:tcPr>
            <w:tcW w:w="8847" w:type="dxa"/>
            <w:gridSpan w:val="9"/>
            <w:vAlign w:val="center"/>
          </w:tcPr>
          <w:p w14:paraId="220F7759">
            <w:pPr>
              <w:jc w:val="center"/>
            </w:pPr>
            <w:r>
              <w:rPr>
                <w:rFonts w:ascii="宋体" w:hAnsi="宋体" w:eastAsia="宋体"/>
                <w:sz w:val="24"/>
              </w:rPr>
              <w:t>项目支出绩效自评表</w:t>
            </w:r>
          </w:p>
        </w:tc>
      </w:tr>
      <w:tr w14:paraId="1C4F6221">
        <w:tblPrEx>
          <w:tblCellMar>
            <w:top w:w="0" w:type="dxa"/>
            <w:left w:w="108" w:type="dxa"/>
            <w:bottom w:w="0" w:type="dxa"/>
            <w:right w:w="108" w:type="dxa"/>
          </w:tblCellMar>
        </w:tblPrEx>
        <w:tc>
          <w:tcPr>
            <w:tcW w:w="8847" w:type="dxa"/>
            <w:gridSpan w:val="9"/>
            <w:vAlign w:val="center"/>
          </w:tcPr>
          <w:p w14:paraId="638CA88A">
            <w:pPr>
              <w:jc w:val="center"/>
            </w:pPr>
            <w:r>
              <w:rPr>
                <w:rFonts w:ascii="宋体" w:hAnsi="宋体" w:eastAsia="宋体"/>
                <w:sz w:val="24"/>
              </w:rPr>
              <w:t>(2024年度)</w:t>
            </w:r>
          </w:p>
        </w:tc>
      </w:tr>
      <w:tr w14:paraId="237B0AD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B0CA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1D8B057">
            <w:pPr>
              <w:jc w:val="center"/>
            </w:pPr>
            <w:r>
              <w:rPr>
                <w:rFonts w:ascii="宋体" w:hAnsi="宋体" w:eastAsia="宋体"/>
                <w:sz w:val="16"/>
              </w:rPr>
              <w:t>2024年中央补助地方公共文化服务体系建设资金项目</w:t>
            </w:r>
          </w:p>
        </w:tc>
      </w:tr>
      <w:tr w14:paraId="54DC980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A469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A0EA50">
            <w:pPr>
              <w:jc w:val="center"/>
            </w:pPr>
            <w:r>
              <w:rPr>
                <w:rFonts w:ascii="宋体" w:hAnsi="宋体" w:eastAsia="宋体"/>
                <w:sz w:val="16"/>
              </w:rPr>
              <w:t>洛浦县图书馆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43C8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86CFD9">
            <w:pPr>
              <w:jc w:val="center"/>
            </w:pPr>
            <w:r>
              <w:rPr>
                <w:rFonts w:ascii="宋体" w:hAnsi="宋体" w:eastAsia="宋体"/>
                <w:sz w:val="16"/>
              </w:rPr>
              <w:t>洛浦县图书馆</w:t>
            </w:r>
          </w:p>
        </w:tc>
      </w:tr>
      <w:tr w14:paraId="5DF106D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6237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37C9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9CF4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5C95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26D3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49B8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8B9F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8E7D9">
            <w:pPr>
              <w:jc w:val="center"/>
            </w:pPr>
            <w:r>
              <w:rPr>
                <w:rFonts w:ascii="宋体" w:hAnsi="宋体" w:eastAsia="宋体"/>
                <w:sz w:val="16"/>
              </w:rPr>
              <w:t>得分</w:t>
            </w:r>
          </w:p>
        </w:tc>
      </w:tr>
      <w:tr w14:paraId="1CBB17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28F8C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1EA8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AB232">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D2AB9">
            <w:pPr>
              <w:jc w:val="center"/>
            </w:pPr>
            <w:r>
              <w:rPr>
                <w:rFonts w:ascii="宋体" w:hAnsi="宋体" w:eastAsia="宋体"/>
                <w:sz w:val="16"/>
              </w:rPr>
              <w:t>16.11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85F2D">
            <w:pPr>
              <w:jc w:val="center"/>
            </w:pPr>
            <w:r>
              <w:rPr>
                <w:rFonts w:ascii="宋体" w:hAnsi="宋体" w:eastAsia="宋体"/>
                <w:sz w:val="16"/>
              </w:rPr>
              <w:t>16.11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AF8E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00C7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FADB6">
            <w:pPr>
              <w:jc w:val="center"/>
            </w:pPr>
            <w:r>
              <w:rPr>
                <w:rFonts w:ascii="宋体" w:hAnsi="宋体" w:eastAsia="宋体"/>
                <w:sz w:val="16"/>
              </w:rPr>
              <w:t>10.00分</w:t>
            </w:r>
          </w:p>
        </w:tc>
      </w:tr>
      <w:tr w14:paraId="0448BD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1971E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C781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1C143">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78C80">
            <w:pPr>
              <w:jc w:val="center"/>
            </w:pPr>
            <w:r>
              <w:rPr>
                <w:rFonts w:ascii="宋体" w:hAnsi="宋体" w:eastAsia="宋体"/>
                <w:sz w:val="16"/>
              </w:rPr>
              <w:t>16.11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CA9F3">
            <w:pPr>
              <w:jc w:val="center"/>
            </w:pPr>
            <w:r>
              <w:rPr>
                <w:rFonts w:ascii="宋体" w:hAnsi="宋体" w:eastAsia="宋体"/>
                <w:sz w:val="16"/>
              </w:rPr>
              <w:t>16.11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473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1F4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22AC8">
            <w:pPr>
              <w:jc w:val="center"/>
            </w:pPr>
            <w:r>
              <w:rPr>
                <w:rFonts w:ascii="宋体" w:hAnsi="宋体" w:eastAsia="宋体"/>
                <w:sz w:val="16"/>
              </w:rPr>
              <w:t>—</w:t>
            </w:r>
          </w:p>
        </w:tc>
      </w:tr>
      <w:tr w14:paraId="1D89C7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C45ED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EF47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96B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F019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2260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222B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9214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51C8A">
            <w:pPr>
              <w:jc w:val="center"/>
            </w:pPr>
            <w:r>
              <w:rPr>
                <w:rFonts w:ascii="宋体" w:hAnsi="宋体" w:eastAsia="宋体"/>
                <w:sz w:val="16"/>
              </w:rPr>
              <w:t>—</w:t>
            </w:r>
          </w:p>
        </w:tc>
      </w:tr>
      <w:tr w14:paraId="2FF220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495B5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8DAF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2468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7B5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7BE1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58D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4706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FC30B">
            <w:pPr>
              <w:jc w:val="center"/>
            </w:pPr>
            <w:r>
              <w:rPr>
                <w:rFonts w:ascii="宋体" w:hAnsi="宋体" w:eastAsia="宋体"/>
                <w:sz w:val="16"/>
              </w:rPr>
              <w:t>—</w:t>
            </w:r>
          </w:p>
        </w:tc>
      </w:tr>
      <w:tr w14:paraId="2192494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76D6A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9365F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F1F424">
            <w:pPr>
              <w:jc w:val="center"/>
            </w:pPr>
            <w:r>
              <w:rPr>
                <w:rFonts w:ascii="宋体" w:hAnsi="宋体" w:eastAsia="宋体"/>
                <w:sz w:val="16"/>
              </w:rPr>
              <w:t>实际完成情况</w:t>
            </w:r>
          </w:p>
        </w:tc>
      </w:tr>
      <w:tr w14:paraId="2E1ACB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03BC6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7CC9AB">
            <w:pPr>
              <w:jc w:val="both"/>
            </w:pPr>
            <w:r>
              <w:rPr>
                <w:rFonts w:ascii="宋体" w:hAnsi="宋体" w:eastAsia="宋体"/>
                <w:sz w:val="16"/>
              </w:rPr>
              <w:t>根据《财政部关于下达2024年中央支持地方公共文化服务体系建设补助资金预算的通知》（和地财教</w:t>
            </w:r>
            <w:r>
              <w:rPr>
                <w:rFonts w:hint="eastAsia" w:ascii="宋体" w:hAnsi="宋体"/>
                <w:sz w:val="16"/>
                <w:lang w:eastAsia="zh-CN"/>
              </w:rPr>
              <w:t>〔2023〕47号</w:t>
            </w:r>
            <w:r>
              <w:rPr>
                <w:rFonts w:ascii="宋体" w:hAnsi="宋体" w:eastAsia="宋体"/>
                <w:sz w:val="16"/>
              </w:rPr>
              <w:t>）文件及《财政厅关于下达2024年中央支持地方公共文化服务体系建设补助资金（文化润疆工程重点项目）预算的通知》（和地财教</w:t>
            </w:r>
            <w:r>
              <w:rPr>
                <w:rFonts w:hint="eastAsia" w:ascii="宋体" w:hAnsi="宋体"/>
                <w:sz w:val="16"/>
                <w:lang w:eastAsia="zh-CN"/>
              </w:rPr>
              <w:t>〔2024〕7号</w:t>
            </w:r>
            <w:r>
              <w:rPr>
                <w:rFonts w:ascii="宋体" w:hAnsi="宋体" w:eastAsia="宋体"/>
                <w:sz w:val="16"/>
              </w:rPr>
              <w:t>）立项。项目主要内容为：购置图书、期刊报刊等，举办图书推广讲座和全民阅读系列活动以及图书馆修缮维修费用。通过项目实施，以深化推进文化润疆工程为目标，不断提升公共文化服务效能，完善公共文化服务体系，促进文化事业繁荣发展。项目总投资19万元，2024年计划财政拨款16.11万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21FFAB">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已完成购置图书、期刊及报刊1批，资金已使用16.11万元。通过项目实施，以深化推进文化润疆工程为目标，不断提升公共文化服务效能，完善公共文化服务体系，促进文化事业繁荣发展。</w:t>
            </w:r>
          </w:p>
        </w:tc>
      </w:tr>
      <w:tr w14:paraId="70E89D3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84307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636B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0FDD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7606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A6AE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1093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6345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1658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51DE3">
            <w:pPr>
              <w:jc w:val="center"/>
            </w:pPr>
            <w:r>
              <w:rPr>
                <w:rFonts w:ascii="宋体" w:hAnsi="宋体" w:eastAsia="宋体"/>
                <w:sz w:val="16"/>
              </w:rPr>
              <w:t>偏差原因分析及改进措施</w:t>
            </w:r>
          </w:p>
        </w:tc>
      </w:tr>
      <w:tr w14:paraId="7CC1715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2F580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43D27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35F0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02FA3">
            <w:pPr>
              <w:jc w:val="center"/>
            </w:pPr>
            <w:r>
              <w:rPr>
                <w:rFonts w:ascii="宋体" w:hAnsi="宋体" w:eastAsia="宋体"/>
                <w:sz w:val="16"/>
              </w:rPr>
              <w:t>购置图书、期刊及报刊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50E92">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82B4B">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A180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458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86715">
            <w:pPr>
              <w:jc w:val="center"/>
            </w:pPr>
          </w:p>
        </w:tc>
      </w:tr>
      <w:tr w14:paraId="663175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8782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FCC6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DA8A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7D9EE">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186E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F7B1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4916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5B5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BD4AB">
            <w:pPr>
              <w:jc w:val="center"/>
            </w:pPr>
          </w:p>
        </w:tc>
      </w:tr>
      <w:tr w14:paraId="7F2C7A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4058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D4347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7E00E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B988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26C7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82BC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577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71F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64F1F">
            <w:pPr>
              <w:jc w:val="center"/>
            </w:pPr>
          </w:p>
        </w:tc>
      </w:tr>
      <w:tr w14:paraId="155C04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49CB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6B49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0691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F9FC0">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8BB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E4F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875F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7AE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5C3FF">
            <w:pPr>
              <w:jc w:val="center"/>
            </w:pPr>
          </w:p>
        </w:tc>
      </w:tr>
      <w:tr w14:paraId="479115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C0F0E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9AFF66">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8C1C8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50712">
            <w:pPr>
              <w:jc w:val="center"/>
            </w:pPr>
            <w:r>
              <w:rPr>
                <w:rFonts w:ascii="宋体" w:hAnsi="宋体" w:eastAsia="宋体"/>
                <w:sz w:val="16"/>
              </w:rPr>
              <w:t>图书、期刊报刊等活动费用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4D446">
            <w:pPr>
              <w:jc w:val="center"/>
            </w:pPr>
            <w:r>
              <w:rPr>
                <w:rFonts w:ascii="宋体" w:hAnsi="宋体" w:eastAsia="宋体"/>
                <w:sz w:val="16"/>
              </w:rPr>
              <w:t>&lt;=3.63万元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A04A2">
            <w:pPr>
              <w:jc w:val="center"/>
            </w:pPr>
            <w:r>
              <w:rPr>
                <w:rFonts w:ascii="宋体" w:hAnsi="宋体" w:eastAsia="宋体"/>
                <w:sz w:val="16"/>
              </w:rPr>
              <w:t>=3.63万元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C3D2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38C5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8F2CB">
            <w:pPr>
              <w:jc w:val="center"/>
            </w:pPr>
          </w:p>
        </w:tc>
      </w:tr>
      <w:tr w14:paraId="20CD52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6701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8CA0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C5B7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29747">
            <w:pPr>
              <w:jc w:val="center"/>
            </w:pPr>
            <w:r>
              <w:rPr>
                <w:rFonts w:ascii="宋体" w:hAnsi="宋体" w:eastAsia="宋体"/>
                <w:sz w:val="16"/>
              </w:rPr>
              <w:t>其他活动费用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D46A0">
            <w:pPr>
              <w:jc w:val="center"/>
            </w:pPr>
            <w:r>
              <w:rPr>
                <w:rFonts w:ascii="宋体" w:hAnsi="宋体" w:eastAsia="宋体"/>
                <w:sz w:val="16"/>
              </w:rPr>
              <w:t>&lt;=8.15万元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5186E">
            <w:pPr>
              <w:jc w:val="center"/>
            </w:pPr>
            <w:r>
              <w:rPr>
                <w:rFonts w:ascii="宋体" w:hAnsi="宋体" w:eastAsia="宋体"/>
                <w:sz w:val="16"/>
              </w:rPr>
              <w:t>=8.15万元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CA4C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AE81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D4794">
            <w:pPr>
              <w:jc w:val="center"/>
            </w:pPr>
          </w:p>
        </w:tc>
      </w:tr>
      <w:tr w14:paraId="30CCC9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8AE6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C46D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A66B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AC589">
            <w:pPr>
              <w:jc w:val="center"/>
            </w:pPr>
            <w:r>
              <w:rPr>
                <w:rFonts w:ascii="宋体" w:hAnsi="宋体" w:eastAsia="宋体"/>
                <w:sz w:val="16"/>
              </w:rPr>
              <w:t>图书馆维修费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B93DE">
            <w:pPr>
              <w:jc w:val="center"/>
            </w:pPr>
            <w:r>
              <w:rPr>
                <w:rFonts w:ascii="宋体" w:hAnsi="宋体" w:eastAsia="宋体"/>
                <w:sz w:val="16"/>
              </w:rPr>
              <w:t>&lt;=4.33万元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EF05F">
            <w:pPr>
              <w:jc w:val="center"/>
            </w:pPr>
            <w:r>
              <w:rPr>
                <w:rFonts w:ascii="宋体" w:hAnsi="宋体" w:eastAsia="宋体"/>
                <w:sz w:val="16"/>
              </w:rPr>
              <w:t>=4.33万元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8DD2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EB72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5C01D">
            <w:pPr>
              <w:jc w:val="center"/>
            </w:pPr>
          </w:p>
        </w:tc>
      </w:tr>
      <w:tr w14:paraId="34354A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5AA2B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DDEE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4AD4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43B6B">
            <w:pPr>
              <w:jc w:val="center"/>
            </w:pPr>
            <w:r>
              <w:rPr>
                <w:rFonts w:ascii="宋体" w:hAnsi="宋体" w:eastAsia="宋体"/>
                <w:sz w:val="16"/>
              </w:rPr>
              <w:t>公共文化服务体系建设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58208">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DC655">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EBAF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4250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8C2F9">
            <w:pPr>
              <w:jc w:val="center"/>
            </w:pPr>
          </w:p>
        </w:tc>
      </w:tr>
      <w:tr w14:paraId="74F85C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BBED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5DF5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6005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90913">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D5CF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AB6E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168A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70E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DDE26">
            <w:pPr>
              <w:jc w:val="center"/>
            </w:pPr>
          </w:p>
        </w:tc>
      </w:tr>
      <w:tr w14:paraId="208F03F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83878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3BCBB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173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7BE6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9B73A40"/>
        </w:tc>
      </w:tr>
    </w:tbl>
    <w:p w14:paraId="4AF0F086">
      <w:r>
        <w:br w:type="page"/>
      </w:r>
    </w:p>
    <w:p w14:paraId="1794277F">
      <w:pPr>
        <w:spacing w:line="640" w:lineRule="exact"/>
        <w:ind w:firstLine="640"/>
        <w:jc w:val="both"/>
        <w:outlineLvl w:val="2"/>
      </w:pPr>
      <w:r>
        <w:rPr>
          <w:rFonts w:ascii="黑体" w:hAnsi="黑体" w:eastAsia="黑体"/>
          <w:sz w:val="32"/>
        </w:rPr>
        <w:t>十二、其他需说明的事项</w:t>
      </w:r>
    </w:p>
    <w:p w14:paraId="3DE28417">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1A9E4A38">
      <w:r>
        <w:br w:type="page"/>
      </w:r>
    </w:p>
    <w:p w14:paraId="734919B0">
      <w:pPr>
        <w:spacing w:line="240" w:lineRule="auto"/>
        <w:jc w:val="center"/>
        <w:outlineLvl w:val="1"/>
      </w:pPr>
      <w:r>
        <w:rPr>
          <w:rFonts w:ascii="黑体" w:hAnsi="黑体" w:eastAsia="黑体"/>
          <w:sz w:val="32"/>
        </w:rPr>
        <w:t>第三部分 专业名词解释</w:t>
      </w:r>
    </w:p>
    <w:p w14:paraId="3591C9B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CF3674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E9B3E4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9AB8EC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466E3D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00340D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DAAF2B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915A00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FDB458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BE4B15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D8762A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6BE9DE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7F4F13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607B03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DCF84A3">
      <w:r>
        <w:br w:type="page"/>
      </w:r>
    </w:p>
    <w:p w14:paraId="6BDB53E7">
      <w:pPr>
        <w:spacing w:line="240" w:lineRule="auto"/>
        <w:jc w:val="center"/>
        <w:outlineLvl w:val="1"/>
      </w:pPr>
      <w:r>
        <w:rPr>
          <w:rFonts w:ascii="黑体" w:hAnsi="黑体" w:eastAsia="黑体"/>
          <w:sz w:val="32"/>
        </w:rPr>
        <w:t>第四部分 部门决算报表（见附表）</w:t>
      </w:r>
    </w:p>
    <w:p w14:paraId="64C9838A">
      <w:pPr>
        <w:spacing w:line="240" w:lineRule="auto"/>
        <w:ind w:firstLine="640"/>
        <w:jc w:val="both"/>
      </w:pPr>
      <w:r>
        <w:rPr>
          <w:rFonts w:ascii="仿宋_GB2312" w:hAnsi="仿宋_GB2312" w:eastAsia="仿宋_GB2312"/>
          <w:b w:val="0"/>
          <w:sz w:val="32"/>
        </w:rPr>
        <w:t>一、《收入支出决算总表》</w:t>
      </w:r>
    </w:p>
    <w:p w14:paraId="19F76F64">
      <w:pPr>
        <w:spacing w:line="240" w:lineRule="auto"/>
        <w:ind w:firstLine="640"/>
        <w:jc w:val="both"/>
      </w:pPr>
      <w:r>
        <w:rPr>
          <w:rFonts w:ascii="仿宋_GB2312" w:hAnsi="仿宋_GB2312" w:eastAsia="仿宋_GB2312"/>
          <w:b w:val="0"/>
          <w:sz w:val="32"/>
        </w:rPr>
        <w:t>二、《收入决算表》</w:t>
      </w:r>
    </w:p>
    <w:p w14:paraId="2A182000">
      <w:pPr>
        <w:spacing w:line="240" w:lineRule="auto"/>
        <w:ind w:firstLine="640"/>
        <w:jc w:val="both"/>
      </w:pPr>
      <w:r>
        <w:rPr>
          <w:rFonts w:ascii="仿宋_GB2312" w:hAnsi="仿宋_GB2312" w:eastAsia="仿宋_GB2312"/>
          <w:b w:val="0"/>
          <w:sz w:val="32"/>
        </w:rPr>
        <w:t>三、《支出决算表》</w:t>
      </w:r>
    </w:p>
    <w:p w14:paraId="2E8F91A1">
      <w:pPr>
        <w:spacing w:line="240" w:lineRule="auto"/>
        <w:ind w:firstLine="640"/>
        <w:jc w:val="both"/>
      </w:pPr>
      <w:r>
        <w:rPr>
          <w:rFonts w:ascii="仿宋_GB2312" w:hAnsi="仿宋_GB2312" w:eastAsia="仿宋_GB2312"/>
          <w:b w:val="0"/>
          <w:sz w:val="32"/>
        </w:rPr>
        <w:t>四、《财政拨款收入支出决算总表》</w:t>
      </w:r>
    </w:p>
    <w:p w14:paraId="7297B740">
      <w:pPr>
        <w:spacing w:line="240" w:lineRule="auto"/>
        <w:ind w:firstLine="640"/>
        <w:jc w:val="both"/>
      </w:pPr>
      <w:r>
        <w:rPr>
          <w:rFonts w:ascii="仿宋_GB2312" w:hAnsi="仿宋_GB2312" w:eastAsia="仿宋_GB2312"/>
          <w:b w:val="0"/>
          <w:sz w:val="32"/>
        </w:rPr>
        <w:t>五、《一般公共预算财政拨款支出决算表》</w:t>
      </w:r>
    </w:p>
    <w:p w14:paraId="283E1C9A">
      <w:pPr>
        <w:spacing w:line="240" w:lineRule="auto"/>
        <w:ind w:firstLine="640"/>
        <w:jc w:val="both"/>
      </w:pPr>
      <w:r>
        <w:rPr>
          <w:rFonts w:ascii="仿宋_GB2312" w:hAnsi="仿宋_GB2312" w:eastAsia="仿宋_GB2312"/>
          <w:b w:val="0"/>
          <w:sz w:val="32"/>
        </w:rPr>
        <w:t>六、《一般公共预算财政拨款基本支出决算表》</w:t>
      </w:r>
    </w:p>
    <w:p w14:paraId="3A663797">
      <w:pPr>
        <w:spacing w:line="240" w:lineRule="auto"/>
        <w:ind w:firstLine="640"/>
        <w:jc w:val="both"/>
      </w:pPr>
      <w:r>
        <w:rPr>
          <w:rFonts w:ascii="仿宋_GB2312" w:hAnsi="仿宋_GB2312" w:eastAsia="仿宋_GB2312"/>
          <w:b w:val="0"/>
          <w:sz w:val="32"/>
        </w:rPr>
        <w:t>七、《政府性基金预算财政拨款收入支出决算表》</w:t>
      </w:r>
    </w:p>
    <w:p w14:paraId="0C0C3353">
      <w:pPr>
        <w:spacing w:line="240" w:lineRule="auto"/>
        <w:ind w:firstLine="640"/>
        <w:jc w:val="both"/>
      </w:pPr>
      <w:r>
        <w:rPr>
          <w:rFonts w:ascii="仿宋_GB2312" w:hAnsi="仿宋_GB2312" w:eastAsia="仿宋_GB2312"/>
          <w:b w:val="0"/>
          <w:sz w:val="32"/>
        </w:rPr>
        <w:t>八、《国有资本经营预算财政拨款收入支出决算表》</w:t>
      </w:r>
    </w:p>
    <w:p w14:paraId="6C4A317F">
      <w:pPr>
        <w:spacing w:line="240" w:lineRule="auto"/>
        <w:ind w:firstLine="640"/>
        <w:jc w:val="both"/>
      </w:pPr>
      <w:r>
        <w:rPr>
          <w:rFonts w:ascii="仿宋_GB2312" w:hAnsi="仿宋_GB2312" w:eastAsia="仿宋_GB2312"/>
          <w:b w:val="0"/>
          <w:sz w:val="32"/>
        </w:rPr>
        <w:t>九、《财政拨款“三公”经费支出决算表》</w:t>
      </w:r>
    </w:p>
    <w:p w14:paraId="281540A1">
      <w:pPr>
        <w:spacing w:line="240" w:lineRule="auto"/>
        <w:ind w:firstLine="640"/>
        <w:jc w:val="both"/>
      </w:pPr>
    </w:p>
    <w:p w14:paraId="4CAED52E">
      <w:pPr>
        <w:spacing w:line="240" w:lineRule="auto"/>
        <w:ind w:firstLine="640"/>
        <w:jc w:val="both"/>
      </w:pPr>
    </w:p>
    <w:p w14:paraId="65E0C609">
      <w:pPr>
        <w:spacing w:line="240" w:lineRule="auto"/>
        <w:ind w:firstLine="640"/>
        <w:jc w:val="both"/>
      </w:pPr>
    </w:p>
    <w:p w14:paraId="462A3294">
      <w:pPr>
        <w:spacing w:line="240" w:lineRule="auto"/>
        <w:ind w:firstLine="640"/>
        <w:jc w:val="both"/>
      </w:pPr>
    </w:p>
    <w:p w14:paraId="132EA47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346A128-3527-4FD1-8835-0320BE3E04D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539E9AC-D5D5-42DB-97B0-30A87324E32A}"/>
  </w:font>
  <w:font w:name="仿宋_GB2312">
    <w:panose1 w:val="02010609030101010101"/>
    <w:charset w:val="86"/>
    <w:family w:val="modern"/>
    <w:pitch w:val="default"/>
    <w:sig w:usb0="00000001" w:usb1="080E0000" w:usb2="00000000" w:usb3="00000000" w:csb0="00040000" w:csb1="00000000"/>
    <w:embedRegular r:id="rId3" w:fontKey="{9664B060-EDC7-4B31-B299-94A6787453C9}"/>
  </w:font>
  <w:font w:name="楷体_GB2312">
    <w:panose1 w:val="02010609030101010101"/>
    <w:charset w:val="86"/>
    <w:family w:val="auto"/>
    <w:pitch w:val="default"/>
    <w:sig w:usb0="00000001" w:usb1="080E0000" w:usb2="00000000" w:usb3="00000000" w:csb0="00040000" w:csb1="00000000"/>
    <w:embedRegular r:id="rId4" w:fontKey="{66F4EB33-1967-4352-B764-C06F258F052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CF56E1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7116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4908</Words>
  <Characters>5494</Characters>
  <Lines>0</Lines>
  <Paragraphs>0</Paragraphs>
  <TotalTime>4</TotalTime>
  <ScaleCrop>false</ScaleCrop>
  <LinksUpToDate>false</LinksUpToDate>
  <CharactersWithSpaces>5505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2025-09-17T10:17:59Z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