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洛浦县司法局2024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2A6E5E">
      <w:r>
        <w:br w:type="page"/>
      </w:r>
    </w:p>
    <w:p w14:paraId="35435389">
      <w:pPr>
        <w:spacing w:line="640" w:lineRule="exact"/>
        <w:jc w:val="center"/>
        <w:outlineLvl w:val="1"/>
      </w:pPr>
      <w:r>
        <w:rPr>
          <w:rFonts w:ascii="黑体" w:hAnsi="黑体" w:eastAsia="黑体"/>
          <w:sz w:val="32"/>
        </w:rPr>
        <w:t>第一部分 单位概况</w:t>
      </w:r>
    </w:p>
    <w:p w14:paraId="4E721643">
      <w:pPr>
        <w:spacing w:line="640" w:lineRule="exact"/>
        <w:ind w:firstLine="640"/>
        <w:jc w:val="both"/>
        <w:outlineLvl w:val="2"/>
      </w:pPr>
      <w:r>
        <w:rPr>
          <w:rFonts w:ascii="黑体" w:hAnsi="黑体" w:eastAsia="黑体"/>
          <w:sz w:val="32"/>
        </w:rPr>
        <w:t>一、主要职能</w:t>
      </w:r>
    </w:p>
    <w:p w14:paraId="7ED18194">
      <w:pPr>
        <w:spacing w:line="580" w:lineRule="exact"/>
        <w:ind w:firstLine="640"/>
        <w:jc w:val="both"/>
      </w:pPr>
      <w:r>
        <w:rPr>
          <w:rFonts w:ascii="仿宋_GB2312" w:hAnsi="仿宋_GB2312" w:eastAsia="仿宋_GB2312"/>
          <w:sz w:val="32"/>
        </w:rPr>
        <w:t>1.贯彻执行国家有关司法行政工作的方针、政策、法规，编制全县司法行政工作发展规划和年度计划并监督实施。</w:t>
      </w:r>
    </w:p>
    <w:p w14:paraId="76764B5E">
      <w:pPr>
        <w:spacing w:line="580" w:lineRule="exact"/>
        <w:ind w:firstLine="640"/>
        <w:jc w:val="both"/>
      </w:pPr>
      <w:r>
        <w:rPr>
          <w:rFonts w:ascii="仿宋_GB2312" w:hAnsi="仿宋_GB2312" w:eastAsia="仿宋_GB2312"/>
          <w:sz w:val="32"/>
        </w:rPr>
        <w:t>2.组织实施司法行政方面的法律、法规和规章；承担有关司法行政规范性文件的起草工作。</w:t>
      </w:r>
    </w:p>
    <w:p w14:paraId="1A0733B9">
      <w:pPr>
        <w:spacing w:line="580" w:lineRule="exact"/>
        <w:ind w:firstLine="640"/>
        <w:jc w:val="both"/>
      </w:pPr>
      <w:r>
        <w:rPr>
          <w:rFonts w:ascii="仿宋_GB2312" w:hAnsi="仿宋_GB2312" w:eastAsia="仿宋_GB2312"/>
          <w:sz w:val="32"/>
        </w:rPr>
        <w:t>3.制定全县法治宣传教育和依法治理规划并组织实施；指导全县普法和依法治理工作；参与社会治安综合治理工作。</w:t>
      </w:r>
    </w:p>
    <w:p w14:paraId="2282F129">
      <w:pPr>
        <w:spacing w:line="580" w:lineRule="exact"/>
        <w:ind w:firstLine="640"/>
        <w:jc w:val="both"/>
      </w:pPr>
      <w:r>
        <w:rPr>
          <w:rFonts w:ascii="仿宋_GB2312" w:hAnsi="仿宋_GB2312" w:eastAsia="仿宋_GB2312"/>
          <w:sz w:val="32"/>
        </w:rPr>
        <w:t>4.监督管理法律顾问和法律援助工作；指导优化律师援助工作；协助市局进行法律服务所的设立、变更、注销工作。</w:t>
      </w:r>
    </w:p>
    <w:p w14:paraId="695C8107">
      <w:pPr>
        <w:spacing w:line="580" w:lineRule="exact"/>
        <w:ind w:firstLine="640"/>
        <w:jc w:val="both"/>
      </w:pPr>
      <w:r>
        <w:rPr>
          <w:rFonts w:ascii="仿宋_GB2312" w:hAnsi="仿宋_GB2312" w:eastAsia="仿宋_GB2312"/>
          <w:sz w:val="32"/>
        </w:rPr>
        <w:t>5.负责指导监督全县律师工作和公证工作并承担相应责任；负责管理律师和公证机构。</w:t>
      </w:r>
    </w:p>
    <w:p w14:paraId="58B6BC0E">
      <w:pPr>
        <w:spacing w:line="580" w:lineRule="exact"/>
        <w:ind w:firstLine="640"/>
        <w:jc w:val="both"/>
      </w:pPr>
      <w:r>
        <w:rPr>
          <w:rFonts w:ascii="仿宋_GB2312" w:hAnsi="仿宋_GB2312" w:eastAsia="仿宋_GB2312"/>
          <w:sz w:val="32"/>
        </w:rPr>
        <w:t>6.负责组织、指导、协调、监督全县法律援助工作。</w:t>
      </w:r>
    </w:p>
    <w:p w14:paraId="43E6A871">
      <w:pPr>
        <w:spacing w:line="580" w:lineRule="exact"/>
        <w:ind w:firstLine="640"/>
        <w:jc w:val="both"/>
      </w:pPr>
      <w:r>
        <w:rPr>
          <w:rFonts w:ascii="仿宋_GB2312" w:hAnsi="仿宋_GB2312" w:eastAsia="仿宋_GB2312"/>
          <w:sz w:val="32"/>
        </w:rPr>
        <w:t>7.指导监督管理基层司法所建设和人民调解、社区矫正、基层法律服务、司法助理员和“12348”专用电话法律服务工作、纠纷排查及睦邻友好工作。</w:t>
      </w:r>
    </w:p>
    <w:p w14:paraId="2552E6BA">
      <w:pPr>
        <w:spacing w:line="580" w:lineRule="exact"/>
        <w:ind w:firstLine="640"/>
        <w:jc w:val="both"/>
      </w:pPr>
      <w:r>
        <w:rPr>
          <w:rFonts w:ascii="仿宋_GB2312" w:hAnsi="仿宋_GB2312" w:eastAsia="仿宋_GB2312"/>
          <w:sz w:val="32"/>
        </w:rPr>
        <w:t>8.会同有关部门负责对刑满释放人员的安置帮教工作、社区矫正工作。</w:t>
      </w:r>
    </w:p>
    <w:p w14:paraId="1723949E">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指导和管理全县司法行政系统干部培训。</w:t>
      </w:r>
    </w:p>
    <w:p w14:paraId="41B47D14">
      <w:pPr>
        <w:spacing w:line="580" w:lineRule="exact"/>
        <w:ind w:firstLine="640"/>
        <w:jc w:val="both"/>
      </w:pPr>
      <w:r>
        <w:rPr>
          <w:rFonts w:ascii="仿宋_GB2312" w:hAnsi="仿宋_GB2312" w:eastAsia="仿宋_GB2312"/>
          <w:sz w:val="32"/>
        </w:rPr>
        <w:t>10.指导管理全县基层司法所的计划财产、财务及服装管理。</w:t>
      </w:r>
    </w:p>
    <w:p w14:paraId="24C9734E">
      <w:pPr>
        <w:spacing w:line="580" w:lineRule="exact"/>
        <w:ind w:firstLine="640"/>
        <w:jc w:val="both"/>
      </w:pPr>
      <w:r>
        <w:rPr>
          <w:rFonts w:ascii="仿宋_GB2312" w:hAnsi="仿宋_GB2312" w:eastAsia="仿宋_GB2312"/>
          <w:sz w:val="32"/>
        </w:rPr>
        <w:t>11.指导司法行政系统队伍建设、党组织建设和思想政治工作；负责司法行政系统的考核奖励工作。</w:t>
      </w:r>
    </w:p>
    <w:p w14:paraId="62788974">
      <w:pPr>
        <w:spacing w:line="580" w:lineRule="exact"/>
        <w:ind w:firstLine="640"/>
        <w:jc w:val="both"/>
      </w:pPr>
      <w:r>
        <w:rPr>
          <w:rFonts w:ascii="仿宋_GB2312" w:hAnsi="仿宋_GB2312" w:eastAsia="仿宋_GB2312"/>
          <w:sz w:val="32"/>
        </w:rPr>
        <w:t>12.承担洛浦县依法治县领导小组办公室和法制办的日常工作。</w:t>
      </w:r>
    </w:p>
    <w:p w14:paraId="25CA3209">
      <w:pPr>
        <w:spacing w:line="580" w:lineRule="exact"/>
        <w:ind w:firstLine="640"/>
        <w:jc w:val="both"/>
      </w:pPr>
      <w:r>
        <w:rPr>
          <w:rFonts w:ascii="仿宋_GB2312" w:hAnsi="仿宋_GB2312" w:eastAsia="仿宋_GB2312"/>
          <w:sz w:val="32"/>
        </w:rPr>
        <w:t>13.承办县委、县人民政府交办的其他事项。</w:t>
      </w:r>
    </w:p>
    <w:p w14:paraId="6D7303CB">
      <w:pPr>
        <w:spacing w:line="640" w:lineRule="exact"/>
        <w:ind w:firstLine="640"/>
        <w:jc w:val="both"/>
        <w:outlineLvl w:val="2"/>
      </w:pPr>
      <w:r>
        <w:rPr>
          <w:rFonts w:ascii="黑体" w:hAnsi="黑体" w:eastAsia="黑体"/>
          <w:sz w:val="32"/>
        </w:rPr>
        <w:t>二、机构设置及人员情况</w:t>
      </w:r>
    </w:p>
    <w:p w14:paraId="072DFFAD">
      <w:pPr>
        <w:spacing w:line="580" w:lineRule="exact"/>
        <w:ind w:firstLine="640"/>
        <w:jc w:val="both"/>
      </w:pPr>
      <w:r>
        <w:rPr>
          <w:rFonts w:ascii="仿宋_GB2312" w:hAnsi="仿宋_GB2312" w:eastAsia="仿宋_GB2312"/>
          <w:sz w:val="32"/>
        </w:rPr>
        <w:t>洛浦县司法局2024年度，实有人数76人，其中：在职人员63人，增加1人；离休人员0人，增加0人；退休人员13人,增加1人。</w:t>
      </w:r>
    </w:p>
    <w:p w14:paraId="1D689D1C">
      <w:pPr>
        <w:spacing w:line="580" w:lineRule="exact"/>
        <w:ind w:firstLine="640"/>
        <w:jc w:val="both"/>
      </w:pPr>
      <w:r>
        <w:rPr>
          <w:rFonts w:ascii="仿宋_GB2312" w:hAnsi="仿宋_GB2312" w:eastAsia="仿宋_GB2312"/>
          <w:sz w:val="32"/>
        </w:rPr>
        <w:t>洛浦县司法局无下属预算单位，下设6个科室，分别是：办公室、依法治县办、公证处、社区矫正办公室、基层科、法律援助办公室。</w:t>
      </w:r>
    </w:p>
    <w:p w14:paraId="43CFEF8D">
      <w:r>
        <w:br w:type="page"/>
      </w:r>
    </w:p>
    <w:p w14:paraId="0EAFD2F2">
      <w:pPr>
        <w:spacing w:line="240" w:lineRule="auto"/>
        <w:jc w:val="center"/>
        <w:outlineLvl w:val="1"/>
      </w:pPr>
      <w:r>
        <w:rPr>
          <w:rFonts w:ascii="黑体" w:hAnsi="黑体" w:eastAsia="黑体"/>
          <w:sz w:val="32"/>
        </w:rPr>
        <w:t>第二部分 部门决算情况说明</w:t>
      </w:r>
    </w:p>
    <w:p w14:paraId="6BB1BB31">
      <w:pPr>
        <w:spacing w:line="640" w:lineRule="exact"/>
        <w:ind w:firstLine="640"/>
        <w:jc w:val="both"/>
        <w:outlineLvl w:val="2"/>
      </w:pPr>
      <w:r>
        <w:rPr>
          <w:rFonts w:ascii="黑体" w:hAnsi="黑体" w:eastAsia="黑体"/>
          <w:sz w:val="32"/>
        </w:rPr>
        <w:t>一、收入支出决算总体情况说明</w:t>
      </w:r>
    </w:p>
    <w:p w14:paraId="502A15C1">
      <w:pPr>
        <w:spacing w:line="580" w:lineRule="exact"/>
        <w:ind w:firstLine="640"/>
        <w:jc w:val="both"/>
      </w:pPr>
      <w:r>
        <w:rPr>
          <w:rFonts w:ascii="仿宋_GB2312" w:hAnsi="仿宋_GB2312" w:eastAsia="仿宋_GB2312"/>
          <w:b/>
          <w:sz w:val="32"/>
        </w:rPr>
        <w:t>2024年度收入总计1,749.53万元，</w:t>
      </w:r>
      <w:r>
        <w:rPr>
          <w:rFonts w:ascii="仿宋_GB2312" w:hAnsi="仿宋_GB2312" w:eastAsia="仿宋_GB2312"/>
          <w:b w:val="0"/>
          <w:sz w:val="32"/>
        </w:rPr>
        <w:t>其中：本年收入合计1,732.92万元，使用非财政拨款结余（含专用结余）0.00万元，年初结转和结余16.61万元。</w:t>
      </w:r>
    </w:p>
    <w:p w14:paraId="59699F2F">
      <w:pPr>
        <w:spacing w:line="580" w:lineRule="exact"/>
        <w:ind w:firstLine="640"/>
        <w:jc w:val="both"/>
      </w:pPr>
      <w:r>
        <w:rPr>
          <w:rFonts w:ascii="仿宋_GB2312" w:hAnsi="仿宋_GB2312" w:eastAsia="仿宋_GB2312"/>
          <w:b/>
          <w:sz w:val="32"/>
        </w:rPr>
        <w:t>2024年度支出总计1,749.53万元，</w:t>
      </w:r>
      <w:r>
        <w:rPr>
          <w:rFonts w:ascii="仿宋_GB2312" w:hAnsi="仿宋_GB2312" w:eastAsia="仿宋_GB2312"/>
          <w:b w:val="0"/>
          <w:sz w:val="32"/>
        </w:rPr>
        <w:t>其中：本年支出合计1,736.99万元，结余分配0.00万元，年末结转和结余12.54万元。</w:t>
      </w:r>
    </w:p>
    <w:p w14:paraId="7B5EC1C2">
      <w:pPr>
        <w:spacing w:line="580" w:lineRule="exact"/>
        <w:ind w:firstLine="640"/>
        <w:jc w:val="both"/>
      </w:pPr>
      <w:r>
        <w:rPr>
          <w:rFonts w:ascii="仿宋_GB2312" w:hAnsi="仿宋_GB2312" w:eastAsia="仿宋_GB2312"/>
          <w:b w:val="0"/>
          <w:sz w:val="32"/>
        </w:rPr>
        <w:t>收入支出总体与上年相比，增加6.73万元，增长0.39%，主要原因是：本年增加司法协理员工资项目资金。</w:t>
      </w:r>
    </w:p>
    <w:p w14:paraId="6C8656D1">
      <w:pPr>
        <w:spacing w:line="640" w:lineRule="exact"/>
        <w:ind w:firstLine="640"/>
        <w:jc w:val="both"/>
        <w:outlineLvl w:val="2"/>
      </w:pPr>
      <w:r>
        <w:rPr>
          <w:rFonts w:ascii="黑体" w:hAnsi="黑体" w:eastAsia="黑体"/>
          <w:sz w:val="32"/>
        </w:rPr>
        <w:t>二、收入决算情况说明</w:t>
      </w:r>
    </w:p>
    <w:p w14:paraId="1CA1FFCB">
      <w:pPr>
        <w:spacing w:line="580" w:lineRule="exact"/>
        <w:ind w:firstLine="640"/>
        <w:jc w:val="both"/>
      </w:pPr>
      <w:r>
        <w:rPr>
          <w:rFonts w:ascii="仿宋_GB2312" w:hAnsi="仿宋_GB2312" w:eastAsia="仿宋_GB2312"/>
          <w:b/>
          <w:sz w:val="32"/>
        </w:rPr>
        <w:t>本年收入1,732.92万元，</w:t>
      </w:r>
      <w:r>
        <w:rPr>
          <w:rFonts w:ascii="仿宋_GB2312" w:hAnsi="仿宋_GB2312" w:eastAsia="仿宋_GB2312"/>
          <w:b w:val="0"/>
          <w:sz w:val="32"/>
        </w:rPr>
        <w:t>其中：财政拨款收入1,732.92万元，占100.00%；上级补助收入0.00万元，占0.00%；事业收入0.00万元，占0.00%；经营收入0.00万元，占0.00%；附属单位上缴收入0.00万元，占0.00%；其他收入0.00万元，占0.00%。</w:t>
      </w:r>
    </w:p>
    <w:p w14:paraId="4AB970C7">
      <w:pPr>
        <w:spacing w:line="640" w:lineRule="exact"/>
        <w:ind w:firstLine="640"/>
        <w:jc w:val="both"/>
        <w:outlineLvl w:val="2"/>
      </w:pPr>
      <w:r>
        <w:rPr>
          <w:rFonts w:ascii="黑体" w:hAnsi="黑体" w:eastAsia="黑体"/>
          <w:sz w:val="32"/>
        </w:rPr>
        <w:t>三、支出决算情况说明</w:t>
      </w:r>
    </w:p>
    <w:p w14:paraId="769A3A66">
      <w:pPr>
        <w:spacing w:line="580" w:lineRule="exact"/>
        <w:ind w:firstLine="640"/>
        <w:jc w:val="both"/>
      </w:pPr>
      <w:r>
        <w:rPr>
          <w:rFonts w:ascii="仿宋_GB2312" w:hAnsi="仿宋_GB2312" w:eastAsia="仿宋_GB2312"/>
          <w:b/>
          <w:sz w:val="32"/>
        </w:rPr>
        <w:t>本年支出1,736.99万元，</w:t>
      </w:r>
      <w:r>
        <w:rPr>
          <w:rFonts w:ascii="仿宋_GB2312" w:hAnsi="仿宋_GB2312" w:eastAsia="仿宋_GB2312"/>
          <w:b w:val="0"/>
          <w:sz w:val="32"/>
        </w:rPr>
        <w:t>其中：基本支出1,259.44万元，占72.51%；项目支出477.55万元，占27.49%；上缴上级支出0.00万元，占0.00%；经营支出0.00万元，占0.00%；对附属单位补助支出0.00万元，占0.00%。</w:t>
      </w:r>
    </w:p>
    <w:p w14:paraId="2BCEFAE7">
      <w:pPr>
        <w:spacing w:line="640" w:lineRule="exact"/>
        <w:ind w:firstLine="640"/>
        <w:jc w:val="both"/>
        <w:outlineLvl w:val="2"/>
      </w:pPr>
      <w:r>
        <w:rPr>
          <w:rFonts w:ascii="黑体" w:hAnsi="黑体" w:eastAsia="黑体"/>
          <w:sz w:val="32"/>
        </w:rPr>
        <w:t>四、财政拨款收入支出决算总体情况说明</w:t>
      </w:r>
    </w:p>
    <w:p w14:paraId="41B6C49A">
      <w:pPr>
        <w:spacing w:line="580" w:lineRule="exact"/>
        <w:ind w:firstLine="640"/>
        <w:jc w:val="both"/>
      </w:pPr>
      <w:r>
        <w:rPr>
          <w:rFonts w:ascii="仿宋_GB2312" w:hAnsi="仿宋_GB2312" w:eastAsia="仿宋_GB2312"/>
          <w:b/>
          <w:sz w:val="32"/>
        </w:rPr>
        <w:t>2024年度财政拨款收入总计1,732.92万元，</w:t>
      </w:r>
      <w:r>
        <w:rPr>
          <w:rFonts w:ascii="仿宋_GB2312" w:hAnsi="仿宋_GB2312" w:eastAsia="仿宋_GB2312"/>
          <w:b w:val="0"/>
          <w:sz w:val="32"/>
        </w:rPr>
        <w:t>其中：年初财政拨款结转和结余0.00万元，本年财政拨款收入1,732.92万元。</w:t>
      </w:r>
      <w:r>
        <w:rPr>
          <w:rFonts w:ascii="仿宋_GB2312" w:hAnsi="仿宋_GB2312" w:eastAsia="仿宋_GB2312"/>
          <w:b/>
          <w:sz w:val="32"/>
        </w:rPr>
        <w:t>财政拨款支出总计1,732.92万元，</w:t>
      </w:r>
      <w:r>
        <w:rPr>
          <w:rFonts w:ascii="仿宋_GB2312" w:hAnsi="仿宋_GB2312" w:eastAsia="仿宋_GB2312"/>
          <w:b w:val="0"/>
          <w:sz w:val="32"/>
        </w:rPr>
        <w:t>其中：年末财政拨款结转和结余0.00万元，本年财政拨款支出1,732.92万元。</w:t>
      </w:r>
    </w:p>
    <w:p w14:paraId="4D09014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增加67.60万元，增长4.06%，主要原因是：1.本年在职人员增加，在职人员工资调增、社保、公积金基数调增，人员经费增加。2.中央政法转移支付资金，司法协理员工资项目资金较上年增加。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1,492.72万元，决算数1,732.92万元，预决算差异率16.09%，主要原因是：1.年中追加人员工资、社保、公积金基数调增部分资金，导致预决算存在差异。2.年中追加中央政法转移支付资金，司法协理员工资项目，导致预决算存在差异。</w:t>
      </w:r>
    </w:p>
    <w:p w14:paraId="0B95BFB4">
      <w:pPr>
        <w:spacing w:line="640" w:lineRule="exact"/>
        <w:ind w:firstLine="640"/>
        <w:jc w:val="both"/>
        <w:outlineLvl w:val="2"/>
      </w:pPr>
      <w:r>
        <w:rPr>
          <w:rFonts w:ascii="黑体" w:hAnsi="黑体" w:eastAsia="黑体"/>
          <w:sz w:val="32"/>
        </w:rPr>
        <w:t>五、一般公共预算财政拨款支出决算情况说明</w:t>
      </w:r>
    </w:p>
    <w:p w14:paraId="54783969">
      <w:pPr>
        <w:spacing w:line="640" w:lineRule="exact"/>
        <w:ind w:firstLine="640"/>
        <w:jc w:val="both"/>
        <w:outlineLvl w:val="3"/>
      </w:pPr>
      <w:r>
        <w:rPr>
          <w:rFonts w:ascii="楷体_GB2312" w:hAnsi="楷体_GB2312" w:eastAsia="楷体_GB2312"/>
          <w:b/>
          <w:sz w:val="32"/>
        </w:rPr>
        <w:t>（一）一般公共预算财政拨款支出决算总体情况</w:t>
      </w:r>
    </w:p>
    <w:p w14:paraId="4A3E7F7E">
      <w:pPr>
        <w:spacing w:line="580" w:lineRule="exact"/>
        <w:ind w:firstLine="640"/>
        <w:jc w:val="both"/>
      </w:pPr>
      <w:r>
        <w:rPr>
          <w:rFonts w:ascii="仿宋_GB2312" w:hAnsi="仿宋_GB2312" w:eastAsia="仿宋_GB2312"/>
          <w:b/>
          <w:sz w:val="32"/>
        </w:rPr>
        <w:t>2024年度一般公共预算财政拨款支出1,720.02万元，</w:t>
      </w:r>
      <w:r>
        <w:rPr>
          <w:rFonts w:ascii="仿宋_GB2312" w:hAnsi="仿宋_GB2312" w:eastAsia="仿宋_GB2312"/>
          <w:b w:val="0"/>
          <w:sz w:val="32"/>
        </w:rPr>
        <w:t>占本年支出合计的99.02%。</w:t>
      </w:r>
      <w:r>
        <w:rPr>
          <w:rFonts w:ascii="仿宋_GB2312" w:hAnsi="仿宋_GB2312" w:eastAsia="仿宋_GB2312"/>
          <w:b/>
          <w:sz w:val="32"/>
        </w:rPr>
        <w:t>与上年相比，</w:t>
      </w:r>
      <w:r>
        <w:rPr>
          <w:rFonts w:ascii="仿宋_GB2312" w:hAnsi="仿宋_GB2312" w:eastAsia="仿宋_GB2312"/>
          <w:b w:val="0"/>
          <w:sz w:val="32"/>
        </w:rPr>
        <w:t>增加54.70万元，增长3.28%，主要原因是：1.本年在职人员增加，在职人员工资调增、社保、公积金基数调增，人员经费增加。2.</w:t>
      </w:r>
      <w:bookmarkStart w:id="0" w:name="_GoBack"/>
      <w:r>
        <w:rPr>
          <w:rFonts w:ascii="仿宋_GB2312" w:hAnsi="仿宋_GB2312" w:eastAsia="仿宋_GB2312"/>
          <w:b w:val="0"/>
          <w:sz w:val="32"/>
        </w:rPr>
        <w:t>中央政法</w:t>
      </w:r>
      <w:bookmarkEnd w:id="0"/>
      <w:r>
        <w:rPr>
          <w:rFonts w:ascii="仿宋_GB2312" w:hAnsi="仿宋_GB2312" w:eastAsia="仿宋_GB2312"/>
          <w:b w:val="0"/>
          <w:sz w:val="32"/>
        </w:rPr>
        <w:t>转移支付资金较上年增加。</w:t>
      </w:r>
      <w:r>
        <w:rPr>
          <w:rFonts w:ascii="仿宋_GB2312" w:hAnsi="仿宋_GB2312" w:eastAsia="仿宋_GB2312"/>
          <w:b/>
          <w:sz w:val="32"/>
        </w:rPr>
        <w:t>与年初预算相比,</w:t>
      </w:r>
      <w:r>
        <w:rPr>
          <w:rFonts w:ascii="仿宋_GB2312" w:hAnsi="仿宋_GB2312" w:eastAsia="仿宋_GB2312"/>
          <w:b w:val="0"/>
          <w:sz w:val="32"/>
        </w:rPr>
        <w:t>年初预算数1,492.72万元，决算数1,720.02万元，预决算差异率15.23%，主要原因是：1.年中追加人员工资、社保、公积金基数调增部分资金，导致预决算存在差异。2.年中追加中央政法转移支付资金，导致预决算存在差异。</w:t>
      </w:r>
    </w:p>
    <w:p w14:paraId="1A45211E">
      <w:pPr>
        <w:spacing w:line="640" w:lineRule="exact"/>
        <w:ind w:firstLine="640"/>
        <w:jc w:val="both"/>
        <w:outlineLvl w:val="3"/>
      </w:pPr>
      <w:r>
        <w:rPr>
          <w:rFonts w:ascii="楷体_GB2312" w:hAnsi="楷体_GB2312" w:eastAsia="楷体_GB2312"/>
          <w:b/>
          <w:sz w:val="32"/>
        </w:rPr>
        <w:t>（二）一般公共预算财政拨款支出决算结构情况</w:t>
      </w:r>
    </w:p>
    <w:p w14:paraId="04C74BDB">
      <w:pPr>
        <w:spacing w:line="580" w:lineRule="exact"/>
        <w:ind w:firstLine="640"/>
        <w:jc w:val="both"/>
      </w:pPr>
      <w:r>
        <w:rPr>
          <w:rFonts w:ascii="仿宋_GB2312" w:hAnsi="仿宋_GB2312" w:eastAsia="仿宋_GB2312"/>
          <w:b w:val="0"/>
          <w:sz w:val="32"/>
        </w:rPr>
        <w:t>1.公共安全支出(类)1,401.49万元,占81.48%。</w:t>
      </w:r>
    </w:p>
    <w:p w14:paraId="4B29F3C3">
      <w:pPr>
        <w:spacing w:line="580" w:lineRule="exact"/>
        <w:ind w:firstLine="640"/>
        <w:jc w:val="both"/>
      </w:pPr>
      <w:r>
        <w:rPr>
          <w:rFonts w:ascii="仿宋_GB2312" w:hAnsi="仿宋_GB2312" w:eastAsia="仿宋_GB2312"/>
          <w:b w:val="0"/>
          <w:sz w:val="32"/>
        </w:rPr>
        <w:t>2.社会保障和就业支出(类)143.96万元,占8.37%。</w:t>
      </w:r>
    </w:p>
    <w:p w14:paraId="0CB5767B">
      <w:pPr>
        <w:spacing w:line="580" w:lineRule="exact"/>
        <w:ind w:firstLine="640"/>
        <w:jc w:val="both"/>
      </w:pPr>
      <w:r>
        <w:rPr>
          <w:rFonts w:ascii="仿宋_GB2312" w:hAnsi="仿宋_GB2312" w:eastAsia="仿宋_GB2312"/>
          <w:b w:val="0"/>
          <w:sz w:val="32"/>
        </w:rPr>
        <w:t>3.卫生健康支出(类)69.60万元,占4.05%。</w:t>
      </w:r>
    </w:p>
    <w:p w14:paraId="0630B27D">
      <w:pPr>
        <w:spacing w:line="580" w:lineRule="exact"/>
        <w:ind w:firstLine="640"/>
        <w:jc w:val="both"/>
      </w:pPr>
      <w:r>
        <w:rPr>
          <w:rFonts w:ascii="仿宋_GB2312" w:hAnsi="仿宋_GB2312" w:eastAsia="仿宋_GB2312"/>
          <w:b w:val="0"/>
          <w:sz w:val="32"/>
        </w:rPr>
        <w:t>4.住房保障支出(类)96.00万元,占5.58%。</w:t>
      </w:r>
    </w:p>
    <w:p w14:paraId="3487DDA4">
      <w:pPr>
        <w:spacing w:line="580" w:lineRule="exact"/>
        <w:ind w:firstLine="640"/>
        <w:jc w:val="both"/>
      </w:pPr>
      <w:r>
        <w:rPr>
          <w:rFonts w:ascii="仿宋_GB2312" w:hAnsi="仿宋_GB2312" w:eastAsia="仿宋_GB2312"/>
          <w:b w:val="0"/>
          <w:sz w:val="32"/>
        </w:rPr>
        <w:t>5.其他支出(类)8.97万元,占0.52%。</w:t>
      </w:r>
    </w:p>
    <w:p w14:paraId="4ECE61E4">
      <w:pPr>
        <w:spacing w:line="640" w:lineRule="exact"/>
        <w:ind w:firstLine="640"/>
        <w:jc w:val="both"/>
        <w:outlineLvl w:val="3"/>
      </w:pPr>
      <w:r>
        <w:rPr>
          <w:rFonts w:ascii="楷体_GB2312" w:hAnsi="楷体_GB2312" w:eastAsia="楷体_GB2312"/>
          <w:b/>
          <w:sz w:val="32"/>
        </w:rPr>
        <w:t>（三）一般公共预算财政拨款支出决算具体情况</w:t>
      </w:r>
    </w:p>
    <w:p w14:paraId="241C7289">
      <w:pPr>
        <w:spacing w:line="580" w:lineRule="exact"/>
        <w:ind w:firstLine="640"/>
        <w:jc w:val="both"/>
      </w:pPr>
      <w:r>
        <w:rPr>
          <w:rFonts w:ascii="仿宋_GB2312" w:hAnsi="仿宋_GB2312" w:eastAsia="仿宋_GB2312"/>
          <w:b w:val="0"/>
          <w:sz w:val="32"/>
        </w:rPr>
        <w:t>1.公共安全支出(类)司法(款)行政运行(项):支出决算数为936.97万元，比上年决算减少173.92万元，下降15.66%,主要原因是：本年功能科目调整，行政单位离退休经费，行政单位医疗，公务员医疗补助，住房公积金上年度在主科目列支，本年单独列支，导致经费较上年减少。</w:t>
      </w:r>
    </w:p>
    <w:p w14:paraId="05158579">
      <w:pPr>
        <w:spacing w:line="580" w:lineRule="exact"/>
        <w:ind w:firstLine="640"/>
        <w:jc w:val="both"/>
      </w:pPr>
      <w:r>
        <w:rPr>
          <w:rFonts w:ascii="仿宋_GB2312" w:hAnsi="仿宋_GB2312" w:eastAsia="仿宋_GB2312"/>
          <w:b w:val="0"/>
          <w:sz w:val="32"/>
        </w:rPr>
        <w:t>2.公共安全支出(类)司法(款)其他司法支出(项):支出决算数为464.52万元，比上年决算增加44.32万元，增长10.55%,主要原因是：本年度中央政法转移支付资金增加。</w:t>
      </w:r>
    </w:p>
    <w:p w14:paraId="072680BC">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16.28万元，比上年决算增加16.28万元，增长100.00%,主要原因是：本年功能科目调整，行政单位离退休上年度在主科目列支，本年单独列支，导致经费较上年增加。</w:t>
      </w:r>
    </w:p>
    <w:p w14:paraId="283DFDA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127.68万元，比上年决算增加17.68万元，增长16.07%,主要原因是：本年在职人员工资基数调增，养老缴费基数上涨，相应支出增加。</w:t>
      </w:r>
    </w:p>
    <w:p w14:paraId="1C47DE8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5.社会保障和就业支出(类)行政事业单位养老支出(款)机关事业单位职业年金缴费支出(项):支出决算数为0.00万元，比上年决算减少16.42万元，下降100.00%,主要原因是：本年退休人员职业年金未做实，导致经费减少。</w:t>
      </w:r>
    </w:p>
    <w:p w14:paraId="304BB56A">
      <w:pPr>
        <w:spacing w:line="580" w:lineRule="exact"/>
        <w:ind w:firstLine="640"/>
        <w:jc w:val="both"/>
      </w:pPr>
      <w:r>
        <w:rPr>
          <w:rFonts w:ascii="仿宋_GB2312" w:hAnsi="仿宋_GB2312" w:eastAsia="仿宋_GB2312"/>
          <w:b w:val="0"/>
          <w:sz w:val="32"/>
        </w:rPr>
        <w:t>6.卫生健康支出(类)行政事业单位医疗(款)行政单位医疗(项):支出决算数为51.92万元，比上年决算增加51.92万元，增长100.00%,主要原因是：本年功能科目调整，行政单位医疗支出上年度在主科目列支，本年单独列支，导致经费较上年增加。</w:t>
      </w:r>
    </w:p>
    <w:p w14:paraId="638D6C84">
      <w:pPr>
        <w:spacing w:line="580" w:lineRule="exact"/>
        <w:ind w:firstLine="640"/>
        <w:jc w:val="both"/>
      </w:pPr>
      <w:r>
        <w:rPr>
          <w:rFonts w:ascii="仿宋_GB2312" w:hAnsi="仿宋_GB2312" w:eastAsia="仿宋_GB2312"/>
          <w:b w:val="0"/>
          <w:sz w:val="32"/>
        </w:rPr>
        <w:t>7.卫生健康支出(类)行政事业单位医疗(款)公务员医疗补助(项):支出决算数为17.69万元，比上年决算增加17.69万元，增长100.00%,主要原因是：本年功能科目调整，公务员医疗补助上年度在主科目列支，本年单独列支，导致经费较上年增加。</w:t>
      </w:r>
    </w:p>
    <w:p w14:paraId="45A386D8">
      <w:pPr>
        <w:spacing w:line="580" w:lineRule="exact"/>
        <w:ind w:firstLine="640"/>
        <w:jc w:val="both"/>
      </w:pPr>
      <w:r>
        <w:rPr>
          <w:rFonts w:ascii="仿宋_GB2312" w:hAnsi="仿宋_GB2312" w:eastAsia="仿宋_GB2312"/>
          <w:b w:val="0"/>
          <w:sz w:val="32"/>
        </w:rPr>
        <w:t>8.住房保障支出(类)住房改革支出(款)住房公积金(项):支出决算数为96.00万元，比上年决算增加96.00万元，增长100.00%,主要原因是：本年功能科目调整，住房公积金上年度在主科目列支，本年单独列支，导致经费较上年增加。</w:t>
      </w:r>
    </w:p>
    <w:p w14:paraId="0E8A4009">
      <w:pPr>
        <w:spacing w:line="580" w:lineRule="exact"/>
        <w:ind w:firstLine="640"/>
        <w:jc w:val="both"/>
      </w:pPr>
      <w:r>
        <w:rPr>
          <w:rFonts w:ascii="仿宋_GB2312" w:hAnsi="仿宋_GB2312" w:eastAsia="仿宋_GB2312"/>
          <w:b w:val="0"/>
          <w:sz w:val="32"/>
        </w:rPr>
        <w:t>9.其他支出(类)其他支出(款)其他支出(项):支出决算数为8.97万元，比上年决算增加1.15万元，增长14.71%,主要原因是：本年度为民办实事经费增加。</w:t>
      </w:r>
    </w:p>
    <w:p w14:paraId="3A5B2FBE">
      <w:pPr>
        <w:spacing w:line="640" w:lineRule="exact"/>
        <w:ind w:firstLine="640"/>
        <w:jc w:val="both"/>
        <w:outlineLvl w:val="2"/>
      </w:pPr>
      <w:r>
        <w:rPr>
          <w:rFonts w:ascii="黑体" w:hAnsi="黑体" w:eastAsia="黑体"/>
          <w:sz w:val="32"/>
        </w:rPr>
        <w:t>六、一般公共预算财政拨款基本支出决算情况说明</w:t>
      </w:r>
    </w:p>
    <w:p w14:paraId="77437901">
      <w:pPr>
        <w:spacing w:line="580" w:lineRule="exact"/>
        <w:ind w:firstLine="640"/>
        <w:jc w:val="both"/>
      </w:pPr>
      <w:r>
        <w:rPr>
          <w:rFonts w:ascii="仿宋_GB2312" w:hAnsi="仿宋_GB2312" w:eastAsia="仿宋_GB2312"/>
          <w:b w:val="0"/>
          <w:sz w:val="32"/>
        </w:rPr>
        <w:t>2024年度一般公共预算财政拨款基本支出1,246.53万元，其中：</w:t>
      </w:r>
      <w:r>
        <w:rPr>
          <w:rFonts w:ascii="仿宋_GB2312" w:hAnsi="仿宋_GB2312" w:eastAsia="仿宋_GB2312"/>
          <w:b/>
          <w:sz w:val="32"/>
        </w:rPr>
        <w:t>人员经费1,244.42万元，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29D5D16D">
      <w:pPr>
        <w:spacing w:line="580" w:lineRule="exact"/>
        <w:ind w:firstLine="640"/>
        <w:jc w:val="both"/>
      </w:pPr>
      <w:r>
        <w:rPr>
          <w:rFonts w:ascii="仿宋_GB2312" w:hAnsi="仿宋_GB2312" w:eastAsia="仿宋_GB2312"/>
          <w:b/>
          <w:sz w:val="32"/>
        </w:rPr>
        <w:t>公用经费2.12万元，</w:t>
      </w:r>
      <w:r>
        <w:rPr>
          <w:rFonts w:ascii="仿宋_GB2312" w:hAnsi="仿宋_GB2312" w:eastAsia="仿宋_GB2312"/>
          <w:b w:val="0"/>
          <w:sz w:val="32"/>
        </w:rPr>
        <w:t>包括：取暖费、公务用车运行维护费。</w:t>
      </w:r>
    </w:p>
    <w:p w14:paraId="4513074D">
      <w:pPr>
        <w:spacing w:line="640" w:lineRule="exact"/>
        <w:ind w:firstLine="640"/>
        <w:jc w:val="both"/>
        <w:outlineLvl w:val="2"/>
      </w:pPr>
      <w:r>
        <w:rPr>
          <w:rFonts w:ascii="黑体" w:hAnsi="黑体" w:eastAsia="黑体"/>
          <w:sz w:val="32"/>
        </w:rPr>
        <w:t>七、政府性基金预算财政拨款收入支出决算情况说明</w:t>
      </w:r>
    </w:p>
    <w:p w14:paraId="45F7BFFA">
      <w:pPr>
        <w:spacing w:line="580" w:lineRule="exact"/>
        <w:ind w:firstLine="640"/>
        <w:jc w:val="both"/>
      </w:pPr>
      <w:r>
        <w:rPr>
          <w:rFonts w:ascii="仿宋_GB2312" w:hAnsi="仿宋_GB2312" w:eastAsia="仿宋_GB2312"/>
          <w:b/>
          <w:sz w:val="32"/>
        </w:rPr>
        <w:t>2024年度政府性基金预算财政拨款收入总计12.90万元，</w:t>
      </w:r>
      <w:r>
        <w:rPr>
          <w:rFonts w:ascii="仿宋_GB2312" w:hAnsi="仿宋_GB2312" w:eastAsia="仿宋_GB2312"/>
          <w:b w:val="0"/>
          <w:sz w:val="32"/>
        </w:rPr>
        <w:t>其中：年初结转和结余0.00万元，本年收入12.90万元。</w:t>
      </w:r>
      <w:r>
        <w:rPr>
          <w:rFonts w:ascii="仿宋_GB2312" w:hAnsi="仿宋_GB2312" w:eastAsia="仿宋_GB2312"/>
          <w:b/>
          <w:sz w:val="32"/>
        </w:rPr>
        <w:t>政府性基金预算财政拨款支出总计12.90万元，</w:t>
      </w:r>
      <w:r>
        <w:rPr>
          <w:rFonts w:ascii="仿宋_GB2312" w:hAnsi="仿宋_GB2312" w:eastAsia="仿宋_GB2312"/>
          <w:b w:val="0"/>
          <w:sz w:val="32"/>
        </w:rPr>
        <w:t>其中：年末结转和结余0.00万元，本年支出12.90万元。</w:t>
      </w:r>
    </w:p>
    <w:p w14:paraId="14D3A7B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增加12.90万元，增长100.00%，主要原因是：本年增加司法协理员工资项目资金。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年初预算数0.00万元，决算数12.90万元，预决算差异率100.00%，主要原因是：年中追加司法协理员工资项目资金，导致预决算存在差异。</w:t>
      </w:r>
    </w:p>
    <w:p w14:paraId="78F63CBF">
      <w:pPr>
        <w:spacing w:line="580" w:lineRule="exact"/>
        <w:ind w:firstLine="640"/>
        <w:jc w:val="both"/>
      </w:pPr>
      <w:r>
        <w:rPr>
          <w:rFonts w:ascii="仿宋_GB2312" w:hAnsi="仿宋_GB2312" w:eastAsia="仿宋_GB2312"/>
          <w:b w:val="0"/>
          <w:sz w:val="32"/>
        </w:rPr>
        <w:t>政府性基金预算财政拨款支出12.90万元。</w:t>
      </w:r>
    </w:p>
    <w:p w14:paraId="5FFD76B2">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12.90万元，比上年决算增加12.90万元，增长100.00%,主要原因是：本年增加司法协理员工资项目资金。</w:t>
      </w:r>
    </w:p>
    <w:p w14:paraId="5792E175">
      <w:pPr>
        <w:spacing w:line="640" w:lineRule="exact"/>
        <w:ind w:firstLine="640"/>
        <w:jc w:val="both"/>
        <w:outlineLvl w:val="2"/>
      </w:pPr>
      <w:r>
        <w:rPr>
          <w:rFonts w:ascii="黑体" w:hAnsi="黑体" w:eastAsia="黑体"/>
          <w:sz w:val="32"/>
        </w:rPr>
        <w:t>八、国有资本经营预算财政拨款收入支出决算情况说明</w:t>
      </w:r>
    </w:p>
    <w:p w14:paraId="50F8165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ACB4049">
      <w:pPr>
        <w:spacing w:line="640" w:lineRule="exact"/>
        <w:ind w:firstLine="640"/>
        <w:jc w:val="both"/>
        <w:outlineLvl w:val="2"/>
      </w:pPr>
      <w:r>
        <w:rPr>
          <w:rFonts w:ascii="黑体" w:hAnsi="黑体" w:eastAsia="黑体"/>
          <w:sz w:val="32"/>
        </w:rPr>
        <w:t>九、财政拨款“三公”经费支出决算情况说明</w:t>
      </w:r>
    </w:p>
    <w:p w14:paraId="4CD42E79">
      <w:pPr>
        <w:spacing w:line="580" w:lineRule="exact"/>
        <w:ind w:firstLine="640"/>
        <w:jc w:val="both"/>
      </w:pPr>
      <w:r>
        <w:rPr>
          <w:rFonts w:ascii="仿宋_GB2312" w:hAnsi="仿宋_GB2312" w:eastAsia="仿宋_GB2312"/>
          <w:b/>
          <w:sz w:val="32"/>
        </w:rPr>
        <w:t>2024年度财政拨款“三公”经费支出3.72万元，</w:t>
      </w:r>
      <w:r>
        <w:rPr>
          <w:rFonts w:ascii="仿宋_GB2312" w:hAnsi="仿宋_GB2312" w:eastAsia="仿宋_GB2312"/>
          <w:b w:val="0"/>
          <w:sz w:val="32"/>
        </w:rPr>
        <w:t>比上年减少17.52万元，下降82.49%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3.72万元，占100.00%，比上年减少17.52万元，下降82.49%，主要原因是：严格落实中央八项规定精神，厉行节约，减少公务用车运行维护费。公务接待费支出0.00万元，占0.00%，比上年增加0.00万元，增长0.00%，主要原因是：2023年与2024年均未安排公务接待费支出。</w:t>
      </w:r>
    </w:p>
    <w:p w14:paraId="091C85FE">
      <w:pPr>
        <w:spacing w:line="580" w:lineRule="exact"/>
        <w:ind w:firstLine="640"/>
        <w:jc w:val="both"/>
      </w:pPr>
      <w:r>
        <w:rPr>
          <w:rFonts w:ascii="仿宋_GB2312" w:hAnsi="仿宋_GB2312" w:eastAsia="仿宋_GB2312"/>
          <w:b/>
          <w:sz w:val="32"/>
        </w:rPr>
        <w:t>具体情况如下：</w:t>
      </w:r>
    </w:p>
    <w:p w14:paraId="7FE67D1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1A7043">
      <w:pPr>
        <w:spacing w:line="580" w:lineRule="exact"/>
        <w:ind w:firstLine="640"/>
        <w:jc w:val="both"/>
      </w:pPr>
      <w:r>
        <w:rPr>
          <w:rFonts w:ascii="仿宋_GB2312" w:hAnsi="仿宋_GB2312" w:eastAsia="仿宋_GB2312"/>
          <w:b w:val="0"/>
          <w:sz w:val="32"/>
        </w:rPr>
        <w:t>公务用车购置及运行维护费3.72万元，其中：公务用车购置费0.00万元，公务用车运行维护费3.72万元。公务用车运行维护费开支内容包括车辆加油费、维修费、保险费、审车费、过路费。公务用车购置数0辆，公务用车保有量15辆。国有资产占用情况中固定资产车辆14辆，与公务用车保有量差异原因是：借用其他单位车辆，车辆费用由本单位支付。</w:t>
      </w:r>
    </w:p>
    <w:p w14:paraId="7C6CF8E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DCBBBB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3.72万元，决算数3.72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3.72万元，决算数3.72万元，预决算差异率0.00%，主要原因是：严格按照预算执行，预决算无差异。公务接待费全年预算数0.00万元，决算数0.00万元，预决算差异率0.00%，主要原因是：本单位无公务接待费。</w:t>
      </w:r>
    </w:p>
    <w:p w14:paraId="4AA3DD86">
      <w:pPr>
        <w:spacing w:line="640" w:lineRule="exact"/>
        <w:ind w:firstLine="640"/>
        <w:jc w:val="both"/>
        <w:outlineLvl w:val="2"/>
      </w:pPr>
      <w:r>
        <w:rPr>
          <w:rFonts w:ascii="黑体" w:hAnsi="黑体" w:eastAsia="黑体"/>
          <w:sz w:val="32"/>
        </w:rPr>
        <w:t>十、其他重要事项的情况说明</w:t>
      </w:r>
    </w:p>
    <w:p w14:paraId="514A34B2">
      <w:pPr>
        <w:spacing w:line="640" w:lineRule="exact"/>
        <w:ind w:firstLine="640"/>
        <w:jc w:val="both"/>
        <w:outlineLvl w:val="3"/>
      </w:pPr>
      <w:r>
        <w:rPr>
          <w:rFonts w:ascii="楷体_GB2312" w:hAnsi="楷体_GB2312" w:eastAsia="楷体_GB2312"/>
          <w:b/>
          <w:sz w:val="32"/>
        </w:rPr>
        <w:t>（一）机关运行经费及公用经费支出情况</w:t>
      </w:r>
    </w:p>
    <w:p w14:paraId="209719B1">
      <w:pPr>
        <w:spacing w:line="580" w:lineRule="exact"/>
        <w:ind w:firstLine="640"/>
        <w:jc w:val="both"/>
      </w:pPr>
      <w:r>
        <w:rPr>
          <w:rFonts w:ascii="仿宋_GB2312" w:hAnsi="仿宋_GB2312" w:eastAsia="仿宋_GB2312"/>
          <w:b w:val="0"/>
          <w:sz w:val="32"/>
        </w:rPr>
        <w:t>2024年度洛浦县司法局（行政单位和参照公务员法管理事业单位）机关运行经费支出2.12万元，比上年减少25.72万元，下降92.39%，主要原因是：本年减少差旅费支出。</w:t>
      </w:r>
    </w:p>
    <w:p w14:paraId="1D4C8E02">
      <w:pPr>
        <w:spacing w:line="640" w:lineRule="exact"/>
        <w:ind w:firstLine="640"/>
        <w:jc w:val="both"/>
        <w:outlineLvl w:val="3"/>
      </w:pPr>
      <w:r>
        <w:rPr>
          <w:rFonts w:ascii="楷体_GB2312" w:hAnsi="楷体_GB2312" w:eastAsia="楷体_GB2312"/>
          <w:b/>
          <w:sz w:val="32"/>
        </w:rPr>
        <w:t>（二）政府采购情况</w:t>
      </w:r>
    </w:p>
    <w:p w14:paraId="0ABA9DFD">
      <w:pPr>
        <w:spacing w:line="580" w:lineRule="exact"/>
        <w:ind w:firstLine="640"/>
        <w:jc w:val="both"/>
      </w:pPr>
      <w:r>
        <w:rPr>
          <w:rFonts w:ascii="仿宋_GB2312" w:hAnsi="仿宋_GB2312" w:eastAsia="仿宋_GB2312"/>
          <w:b w:val="0"/>
          <w:sz w:val="32"/>
        </w:rPr>
        <w:t>2024年度政府采购支出总额26.66万元，其中：政府采购货物支出11.96万元、政府采购工程支出0.00万元、政府采购服务支出14.70万元。</w:t>
      </w:r>
    </w:p>
    <w:p w14:paraId="5B8B96C8">
      <w:pPr>
        <w:spacing w:line="580" w:lineRule="exact"/>
        <w:ind w:firstLine="640"/>
        <w:jc w:val="both"/>
      </w:pPr>
      <w:r>
        <w:rPr>
          <w:rFonts w:ascii="仿宋_GB2312" w:hAnsi="仿宋_GB2312" w:eastAsia="仿宋_GB2312"/>
          <w:b w:val="0"/>
          <w:sz w:val="32"/>
        </w:rPr>
        <w:t>授予中小企业合同金额26.66万元，占政府采购支出总额的100.00%，其中：授予小微企业合同金额21.64万元，占政府采购支出总额的81.17%。</w:t>
      </w:r>
    </w:p>
    <w:p w14:paraId="09CCB0D1">
      <w:pPr>
        <w:spacing w:line="640" w:lineRule="exact"/>
        <w:ind w:firstLine="640"/>
        <w:jc w:val="both"/>
        <w:outlineLvl w:val="3"/>
      </w:pPr>
      <w:r>
        <w:rPr>
          <w:rFonts w:ascii="楷体_GB2312" w:hAnsi="楷体_GB2312" w:eastAsia="楷体_GB2312"/>
          <w:b/>
          <w:sz w:val="32"/>
        </w:rPr>
        <w:t>（三）国有资产占用情况说明</w:t>
      </w:r>
    </w:p>
    <w:p w14:paraId="47FB1555">
      <w:pPr>
        <w:spacing w:line="580" w:lineRule="exact"/>
        <w:ind w:firstLine="640"/>
        <w:jc w:val="both"/>
      </w:pPr>
      <w:r>
        <w:rPr>
          <w:rFonts w:ascii="仿宋_GB2312" w:hAnsi="仿宋_GB2312" w:eastAsia="仿宋_GB2312"/>
          <w:b w:val="0"/>
          <w:sz w:val="32"/>
        </w:rPr>
        <w:t>截至2024年12月31日，房屋2,992.33平方米，价值352.65万元。车辆14辆，价值164.91万元，其中：副部（省）级及以上领导用车0辆、主要负责人用车0辆、机要通信用车0辆、应急保障用车0辆、执法执勤用车3辆、特种专业技术用车0辆、离退休干部服务用车0辆、其他用车11辆，其他用车主要是：一般公务用车和单位业务用车。单价100万元（含）以上设备（不含车辆）5台（套）。</w:t>
      </w:r>
    </w:p>
    <w:p w14:paraId="4CBFA55B">
      <w:pPr>
        <w:spacing w:line="640" w:lineRule="exact"/>
        <w:ind w:firstLine="640"/>
        <w:jc w:val="both"/>
        <w:outlineLvl w:val="2"/>
      </w:pPr>
      <w:r>
        <w:rPr>
          <w:rFonts w:ascii="黑体" w:hAnsi="黑体" w:eastAsia="黑体"/>
          <w:sz w:val="32"/>
        </w:rPr>
        <w:t>十一、预算绩效的情况说明</w:t>
      </w:r>
    </w:p>
    <w:p w14:paraId="4D8622A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749.53</w:t>
      </w:r>
      <w:r>
        <w:rPr>
          <w:rFonts w:ascii="仿宋_GB2312" w:hAnsi="仿宋_GB2312" w:eastAsia="仿宋_GB2312"/>
          <w:b w:val="0"/>
          <w:sz w:val="32"/>
        </w:rPr>
        <w:t>万元，实际执行总额</w:t>
      </w:r>
      <w:r>
        <w:rPr>
          <w:rFonts w:hint="eastAsia" w:ascii="仿宋_GB2312" w:hAnsi="仿宋_GB2312" w:eastAsia="仿宋_GB2312"/>
          <w:b w:val="0"/>
          <w:sz w:val="32"/>
        </w:rPr>
        <w:t>1</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736.99</w:t>
      </w:r>
      <w:r>
        <w:rPr>
          <w:rFonts w:ascii="仿宋_GB2312" w:hAnsi="仿宋_GB2312" w:eastAsia="仿宋_GB2312"/>
          <w:b w:val="0"/>
          <w:sz w:val="32"/>
        </w:rPr>
        <w:t>万元；预算绩效评价项目6个，全年预算数473.48万元，全年执行数473.48万元。预算绩效管理取得的成效：本单位项目支出绩效自评表SM不予公开。发现的问题及原因：本单位项目支出绩效自评表SM不予公开。下一步改进措施：本单位项目支出绩效自评表SM不予公开。</w:t>
      </w:r>
    </w:p>
    <w:p w14:paraId="20D0DAEF">
      <w:r>
        <w:br w:type="page"/>
      </w:r>
    </w:p>
    <w:p w14:paraId="095E51E9">
      <w:pPr>
        <w:spacing w:line="640" w:lineRule="exact"/>
        <w:ind w:firstLine="640"/>
        <w:jc w:val="both"/>
        <w:outlineLvl w:val="2"/>
      </w:pPr>
      <w:r>
        <w:rPr>
          <w:rFonts w:ascii="黑体" w:hAnsi="黑体" w:eastAsia="黑体"/>
          <w:sz w:val="32"/>
        </w:rPr>
        <w:t>十二、其他需说明的事项</w:t>
      </w:r>
    </w:p>
    <w:p w14:paraId="55C2E1D7">
      <w:pPr>
        <w:spacing w:line="580" w:lineRule="exact"/>
        <w:ind w:firstLine="640"/>
        <w:jc w:val="both"/>
      </w:pPr>
      <w:r>
        <w:rPr>
          <w:rFonts w:ascii="仿宋_GB2312" w:hAnsi="仿宋_GB2312" w:eastAsia="仿宋_GB2312"/>
          <w:b w:val="0"/>
          <w:sz w:val="32"/>
        </w:rPr>
        <w:t>本年度本单位整体绩效自评表不予公开。</w:t>
      </w:r>
    </w:p>
    <w:p w14:paraId="74A9B4AC">
      <w:pPr>
        <w:spacing w:line="580" w:lineRule="exact"/>
        <w:ind w:firstLine="640"/>
        <w:jc w:val="both"/>
      </w:pPr>
      <w:r>
        <w:rPr>
          <w:rFonts w:ascii="仿宋_GB2312" w:hAnsi="仿宋_GB2312" w:eastAsia="仿宋_GB2312"/>
          <w:b w:val="0"/>
          <w:sz w:val="32"/>
        </w:rPr>
        <w:t>本年本单位SM项目6个，全年预算数473.48万元，全年执行数473.48万元。</w:t>
      </w:r>
    </w:p>
    <w:p w14:paraId="199F7DAF">
      <w:r>
        <w:br w:type="page"/>
      </w:r>
    </w:p>
    <w:p w14:paraId="41707580">
      <w:pPr>
        <w:spacing w:line="240" w:lineRule="auto"/>
        <w:jc w:val="center"/>
        <w:outlineLvl w:val="1"/>
      </w:pPr>
      <w:r>
        <w:rPr>
          <w:rFonts w:ascii="黑体" w:hAnsi="黑体" w:eastAsia="黑体"/>
          <w:sz w:val="32"/>
        </w:rPr>
        <w:t>第三部分 专业名词解释</w:t>
      </w:r>
    </w:p>
    <w:p w14:paraId="52DF767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B0200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4B52C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D6A02B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BAFC6D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2EC0AA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C118A6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FB9D3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DE717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D351D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22AF6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58F171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67FD4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83F9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F8A1F3">
      <w:r>
        <w:br w:type="page"/>
      </w:r>
    </w:p>
    <w:p w14:paraId="5F994A97">
      <w:pPr>
        <w:spacing w:line="240" w:lineRule="auto"/>
        <w:jc w:val="center"/>
        <w:outlineLvl w:val="1"/>
      </w:pPr>
      <w:r>
        <w:rPr>
          <w:rFonts w:ascii="黑体" w:hAnsi="黑体" w:eastAsia="黑体"/>
          <w:sz w:val="32"/>
        </w:rPr>
        <w:t>第四部分 部门决算报表（见附表）</w:t>
      </w:r>
    </w:p>
    <w:p w14:paraId="1B7FB39B">
      <w:pPr>
        <w:spacing w:line="240" w:lineRule="auto"/>
        <w:ind w:firstLine="640"/>
        <w:jc w:val="both"/>
      </w:pPr>
      <w:r>
        <w:rPr>
          <w:rFonts w:ascii="仿宋_GB2312" w:hAnsi="仿宋_GB2312" w:eastAsia="仿宋_GB2312"/>
          <w:b w:val="0"/>
          <w:sz w:val="32"/>
        </w:rPr>
        <w:t>一、《收入支出决算总表》</w:t>
      </w:r>
    </w:p>
    <w:p w14:paraId="1B2C7AE0">
      <w:pPr>
        <w:spacing w:line="240" w:lineRule="auto"/>
        <w:ind w:firstLine="640"/>
        <w:jc w:val="both"/>
      </w:pPr>
      <w:r>
        <w:rPr>
          <w:rFonts w:ascii="仿宋_GB2312" w:hAnsi="仿宋_GB2312" w:eastAsia="仿宋_GB2312"/>
          <w:b w:val="0"/>
          <w:sz w:val="32"/>
        </w:rPr>
        <w:t>二、《收入决算表》</w:t>
      </w:r>
    </w:p>
    <w:p w14:paraId="16A17F67">
      <w:pPr>
        <w:spacing w:line="240" w:lineRule="auto"/>
        <w:ind w:firstLine="640"/>
        <w:jc w:val="both"/>
      </w:pPr>
      <w:r>
        <w:rPr>
          <w:rFonts w:ascii="仿宋_GB2312" w:hAnsi="仿宋_GB2312" w:eastAsia="仿宋_GB2312"/>
          <w:b w:val="0"/>
          <w:sz w:val="32"/>
        </w:rPr>
        <w:t>三、《支出决算表》</w:t>
      </w:r>
    </w:p>
    <w:p w14:paraId="023688E7">
      <w:pPr>
        <w:spacing w:line="240" w:lineRule="auto"/>
        <w:ind w:firstLine="640"/>
        <w:jc w:val="both"/>
      </w:pPr>
      <w:r>
        <w:rPr>
          <w:rFonts w:ascii="仿宋_GB2312" w:hAnsi="仿宋_GB2312" w:eastAsia="仿宋_GB2312"/>
          <w:b w:val="0"/>
          <w:sz w:val="32"/>
        </w:rPr>
        <w:t>四、《财政拨款收入支出决算总表》</w:t>
      </w:r>
    </w:p>
    <w:p w14:paraId="08045FDE">
      <w:pPr>
        <w:spacing w:line="240" w:lineRule="auto"/>
        <w:ind w:firstLine="640"/>
        <w:jc w:val="both"/>
      </w:pPr>
      <w:r>
        <w:rPr>
          <w:rFonts w:ascii="仿宋_GB2312" w:hAnsi="仿宋_GB2312" w:eastAsia="仿宋_GB2312"/>
          <w:b w:val="0"/>
          <w:sz w:val="32"/>
        </w:rPr>
        <w:t>五、《一般公共预算财政拨款支出决算表》</w:t>
      </w:r>
    </w:p>
    <w:p w14:paraId="7A168D98">
      <w:pPr>
        <w:spacing w:line="240" w:lineRule="auto"/>
        <w:ind w:firstLine="640"/>
        <w:jc w:val="both"/>
      </w:pPr>
      <w:r>
        <w:rPr>
          <w:rFonts w:ascii="仿宋_GB2312" w:hAnsi="仿宋_GB2312" w:eastAsia="仿宋_GB2312"/>
          <w:b w:val="0"/>
          <w:sz w:val="32"/>
        </w:rPr>
        <w:t>六、《一般公共预算财政拨款基本支出决算表》</w:t>
      </w:r>
    </w:p>
    <w:p w14:paraId="76DA6457">
      <w:pPr>
        <w:spacing w:line="240" w:lineRule="auto"/>
        <w:ind w:firstLine="640"/>
        <w:jc w:val="both"/>
      </w:pPr>
      <w:r>
        <w:rPr>
          <w:rFonts w:ascii="仿宋_GB2312" w:hAnsi="仿宋_GB2312" w:eastAsia="仿宋_GB2312"/>
          <w:b w:val="0"/>
          <w:sz w:val="32"/>
        </w:rPr>
        <w:t>七、《政府性基金预算财政拨款收入支出决算表》</w:t>
      </w:r>
    </w:p>
    <w:p w14:paraId="091F1B1D">
      <w:pPr>
        <w:spacing w:line="240" w:lineRule="auto"/>
        <w:ind w:firstLine="640"/>
        <w:jc w:val="both"/>
      </w:pPr>
      <w:r>
        <w:rPr>
          <w:rFonts w:ascii="仿宋_GB2312" w:hAnsi="仿宋_GB2312" w:eastAsia="仿宋_GB2312"/>
          <w:b w:val="0"/>
          <w:sz w:val="32"/>
        </w:rPr>
        <w:t>八、《国有资本经营预算财政拨款收入支出决算表》</w:t>
      </w:r>
    </w:p>
    <w:p w14:paraId="492A015E">
      <w:pPr>
        <w:spacing w:line="240" w:lineRule="auto"/>
        <w:ind w:firstLine="640"/>
        <w:jc w:val="both"/>
      </w:pPr>
      <w:r>
        <w:rPr>
          <w:rFonts w:ascii="仿宋_GB2312" w:hAnsi="仿宋_GB2312" w:eastAsia="仿宋_GB2312"/>
          <w:b w:val="0"/>
          <w:sz w:val="32"/>
        </w:rPr>
        <w:t>九、《财政拨款“三公”经费支出决算表》</w:t>
      </w:r>
    </w:p>
    <w:p w14:paraId="4DECDD92">
      <w:pPr>
        <w:spacing w:line="240" w:lineRule="auto"/>
        <w:ind w:firstLine="640"/>
        <w:jc w:val="both"/>
      </w:pPr>
    </w:p>
    <w:p w14:paraId="4F4D8A37">
      <w:pPr>
        <w:spacing w:line="240" w:lineRule="auto"/>
        <w:ind w:firstLine="640"/>
        <w:jc w:val="both"/>
      </w:pPr>
    </w:p>
    <w:p w14:paraId="031C219E">
      <w:pPr>
        <w:spacing w:line="240" w:lineRule="auto"/>
        <w:ind w:firstLine="640"/>
        <w:jc w:val="both"/>
      </w:pPr>
    </w:p>
    <w:p w14:paraId="6C10694D">
      <w:pPr>
        <w:spacing w:line="240" w:lineRule="auto"/>
        <w:ind w:firstLine="640"/>
        <w:jc w:val="both"/>
      </w:pPr>
    </w:p>
    <w:p w14:paraId="0ECAC57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7DBE550-7718-4FDE-92A4-31159595670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3E31400-393F-4A6B-BDAB-9EF81EA16A08}"/>
  </w:font>
  <w:font w:name="仿宋_GB2312">
    <w:altName w:val="仿宋"/>
    <w:panose1 w:val="02010609030101010101"/>
    <w:charset w:val="86"/>
    <w:family w:val="modern"/>
    <w:pitch w:val="default"/>
    <w:sig w:usb0="00000000" w:usb1="00000000" w:usb2="00000000" w:usb3="00000000" w:csb0="00040000" w:csb1="00000000"/>
    <w:embedRegular r:id="rId3" w:fontKey="{3B33A4C3-20DA-4CBD-93F8-84AE9D159C1E}"/>
  </w:font>
  <w:font w:name="楷体_GB2312">
    <w:altName w:val="楷体"/>
    <w:panose1 w:val="00000000000000000000"/>
    <w:charset w:val="00"/>
    <w:family w:val="auto"/>
    <w:pitch w:val="default"/>
    <w:sig w:usb0="00000000" w:usb1="00000000" w:usb2="00000000" w:usb3="00000000" w:csb0="00000000" w:csb1="00000000"/>
    <w:embedRegular r:id="rId4" w:fontKey="{BF4C03A2-7D91-4B94-99ED-B2364E3F86CF}"/>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B52F07"/>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DF0173"/>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6078</Words>
  <Characters>6921</Characters>
  <Lines>0</Lines>
  <Paragraphs>0</Paragraphs>
  <TotalTime>2</TotalTime>
  <ScaleCrop>false</ScaleCrop>
  <LinksUpToDate>false</LinksUpToDate>
  <CharactersWithSpaces>6931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2025-09-17T03:39:47Z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