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680A1DC1">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洛浦县卫生监督所2024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23DF78D">
      <w:r>
        <w:br w:type="page"/>
      </w:r>
    </w:p>
    <w:p w14:paraId="39037B41">
      <w:pPr>
        <w:spacing w:line="640" w:lineRule="exact"/>
        <w:jc w:val="center"/>
        <w:outlineLvl w:val="1"/>
      </w:pPr>
      <w:r>
        <w:rPr>
          <w:rFonts w:ascii="黑体" w:hAnsi="黑体" w:eastAsia="黑体"/>
          <w:sz w:val="32"/>
        </w:rPr>
        <w:t>第一部分 单位概况</w:t>
      </w:r>
    </w:p>
    <w:p w14:paraId="1782D131">
      <w:pPr>
        <w:spacing w:line="640" w:lineRule="exact"/>
        <w:ind w:firstLine="640"/>
        <w:jc w:val="both"/>
        <w:outlineLvl w:val="2"/>
      </w:pPr>
      <w:r>
        <w:rPr>
          <w:rFonts w:ascii="黑体" w:hAnsi="黑体" w:eastAsia="黑体"/>
          <w:sz w:val="32"/>
        </w:rPr>
        <w:t>一、主要职能</w:t>
      </w:r>
    </w:p>
    <w:p w14:paraId="383A2214">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组织拟定卫生监督执法工作计划，并</w:t>
      </w:r>
      <w:r>
        <w:rPr>
          <w:rFonts w:hint="eastAsia" w:ascii="仿宋_GB2312" w:hAnsi="仿宋_GB2312" w:eastAsia="仿宋_GB2312"/>
          <w:sz w:val="32"/>
          <w:lang w:eastAsia="zh-CN"/>
        </w:rPr>
        <w:t>实施</w:t>
      </w:r>
      <w:r>
        <w:rPr>
          <w:rFonts w:ascii="仿宋_GB2312" w:hAnsi="仿宋_GB2312" w:eastAsia="仿宋_GB2312"/>
          <w:sz w:val="32"/>
        </w:rPr>
        <w:t>；受卫生行政主管部门的委托，参与拟定地方卫生标准、卫生监督管理有关</w:t>
      </w:r>
      <w:r>
        <w:rPr>
          <w:rFonts w:hint="eastAsia" w:ascii="仿宋_GB2312" w:hAnsi="仿宋_GB2312" w:eastAsia="仿宋_GB2312"/>
          <w:sz w:val="32"/>
          <w:lang w:eastAsia="zh-CN"/>
        </w:rPr>
        <w:t>地方性法规</w:t>
      </w:r>
      <w:r>
        <w:rPr>
          <w:rFonts w:ascii="仿宋_GB2312" w:hAnsi="仿宋_GB2312" w:eastAsia="仿宋_GB2312"/>
          <w:sz w:val="32"/>
        </w:rPr>
        <w:t>、规章以及其他规范性文件；负责卫生许可和执法许可申请的受理、初审、上报和批准后证书发放的具体工作；开展卫生监督执法检查，依法进行抽查，定期上报和公布抽查结果。</w:t>
      </w:r>
    </w:p>
    <w:p w14:paraId="1C79376F">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协助卫生行政主管部门定期向社会通报卫生监督结果；对卫生污染、中毒事故和突发卫生事件等进行调查取证，采取必要控制措施，提出处理意见；组织现场监督检测、采样工作；负责卫生监督信息的收集、整理、分析和报告。</w:t>
      </w:r>
    </w:p>
    <w:p w14:paraId="2EF5B2D8">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负责对卫生监督员进行法律知识和业务培训工作；负责受理对卫生监督执法的投诉、举报的受理和查处工作；开展法律、法规知识的宣传教育，提供法律咨询服务。</w:t>
      </w:r>
    </w:p>
    <w:p w14:paraId="0E26EFB4">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对新建、扩建、改建工程的选址和设计进行卫生审查，并参与竣工验收；承担卫生行政主管部门交付的其他卫生监督任务。</w:t>
      </w:r>
    </w:p>
    <w:p w14:paraId="1A4C5975">
      <w:pPr>
        <w:spacing w:line="640" w:lineRule="exact"/>
        <w:ind w:firstLine="640"/>
        <w:jc w:val="both"/>
        <w:outlineLvl w:val="2"/>
      </w:pPr>
      <w:r>
        <w:rPr>
          <w:rFonts w:ascii="黑体" w:hAnsi="黑体" w:eastAsia="黑体"/>
          <w:sz w:val="32"/>
        </w:rPr>
        <w:t>二、机构设置及人员情况</w:t>
      </w:r>
    </w:p>
    <w:p w14:paraId="2E1F68F7">
      <w:pPr>
        <w:spacing w:line="580" w:lineRule="exact"/>
        <w:ind w:firstLine="640"/>
        <w:jc w:val="both"/>
      </w:pPr>
      <w:r>
        <w:rPr>
          <w:rFonts w:ascii="仿宋_GB2312" w:hAnsi="仿宋_GB2312" w:eastAsia="仿宋_GB2312"/>
          <w:sz w:val="32"/>
        </w:rPr>
        <w:t>洛浦县卫生监督所2024年度，实有人数8人，其中：在职人员5人，减少1人；离休人员0人，增加0人；退休人员3人,减少1人。</w:t>
      </w:r>
    </w:p>
    <w:p w14:paraId="6ABA3403">
      <w:pPr>
        <w:spacing w:line="580" w:lineRule="exact"/>
        <w:ind w:firstLine="640"/>
        <w:jc w:val="both"/>
      </w:pPr>
      <w:r>
        <w:rPr>
          <w:rFonts w:ascii="仿宋_GB2312" w:hAnsi="仿宋_GB2312" w:eastAsia="仿宋_GB2312"/>
          <w:sz w:val="32"/>
        </w:rPr>
        <w:t>洛浦县卫生监督所无下属预算单位，下设1个科室，分别是：办公室。</w:t>
      </w:r>
    </w:p>
    <w:p w14:paraId="72738BF6">
      <w:r>
        <w:br w:type="page"/>
      </w:r>
    </w:p>
    <w:p w14:paraId="0D1AD723">
      <w:pPr>
        <w:spacing w:line="240" w:lineRule="auto"/>
        <w:jc w:val="center"/>
        <w:outlineLvl w:val="1"/>
      </w:pPr>
      <w:r>
        <w:rPr>
          <w:rFonts w:ascii="黑体" w:hAnsi="黑体" w:eastAsia="黑体"/>
          <w:sz w:val="32"/>
        </w:rPr>
        <w:t>第二部分 部门决算情况说明</w:t>
      </w:r>
    </w:p>
    <w:p w14:paraId="73E6B100">
      <w:pPr>
        <w:spacing w:line="640" w:lineRule="exact"/>
        <w:ind w:firstLine="640"/>
        <w:jc w:val="both"/>
        <w:outlineLvl w:val="2"/>
      </w:pPr>
      <w:r>
        <w:rPr>
          <w:rFonts w:ascii="黑体" w:hAnsi="黑体" w:eastAsia="黑体"/>
          <w:sz w:val="32"/>
        </w:rPr>
        <w:t>一、收入支出决算总体情况说明</w:t>
      </w:r>
    </w:p>
    <w:p w14:paraId="6652A10C">
      <w:pPr>
        <w:spacing w:line="580" w:lineRule="exact"/>
        <w:ind w:firstLine="640"/>
        <w:jc w:val="both"/>
      </w:pPr>
      <w:r>
        <w:rPr>
          <w:rFonts w:ascii="仿宋_GB2312" w:hAnsi="仿宋_GB2312" w:eastAsia="仿宋_GB2312"/>
          <w:b/>
          <w:sz w:val="32"/>
        </w:rPr>
        <w:t>2024年度收入总计134.03万元，</w:t>
      </w:r>
      <w:r>
        <w:rPr>
          <w:rFonts w:ascii="仿宋_GB2312" w:hAnsi="仿宋_GB2312" w:eastAsia="仿宋_GB2312"/>
          <w:b w:val="0"/>
          <w:sz w:val="32"/>
        </w:rPr>
        <w:t>其中：本年收入合计134.03万元，使用非财政拨款结余（含专用结余）0.00万元，年初结转和结余0.00万元。</w:t>
      </w:r>
    </w:p>
    <w:p w14:paraId="56BED282">
      <w:pPr>
        <w:spacing w:line="580" w:lineRule="exact"/>
        <w:ind w:firstLine="640"/>
        <w:jc w:val="both"/>
      </w:pPr>
      <w:r>
        <w:rPr>
          <w:rFonts w:ascii="仿宋_GB2312" w:hAnsi="仿宋_GB2312" w:eastAsia="仿宋_GB2312"/>
          <w:b/>
          <w:sz w:val="32"/>
        </w:rPr>
        <w:t>2024年度支出总计134.03万元，</w:t>
      </w:r>
      <w:r>
        <w:rPr>
          <w:rFonts w:ascii="仿宋_GB2312" w:hAnsi="仿宋_GB2312" w:eastAsia="仿宋_GB2312"/>
          <w:b w:val="0"/>
          <w:sz w:val="32"/>
        </w:rPr>
        <w:t>其中：本年支出合计134.03万元，结余分配0.00万元，年末结转和结余0.00万元。</w:t>
      </w:r>
    </w:p>
    <w:p w14:paraId="0A670421">
      <w:pPr>
        <w:spacing w:line="580" w:lineRule="exact"/>
        <w:ind w:firstLine="640"/>
        <w:jc w:val="both"/>
      </w:pPr>
      <w:r>
        <w:rPr>
          <w:rFonts w:ascii="仿宋_GB2312" w:hAnsi="仿宋_GB2312" w:eastAsia="仿宋_GB2312"/>
          <w:b w:val="0"/>
          <w:sz w:val="32"/>
        </w:rPr>
        <w:t>收入支出总体与上年相比，减少89.28万元，下降39.98%，主要原因是：本年在职人员减少，相关人员经费较上年减少；2024年中央基本公共卫生服务补助资金项目经费较上年减少。</w:t>
      </w:r>
    </w:p>
    <w:p w14:paraId="0AE44694">
      <w:pPr>
        <w:spacing w:line="640" w:lineRule="exact"/>
        <w:ind w:firstLine="640"/>
        <w:jc w:val="both"/>
        <w:outlineLvl w:val="2"/>
      </w:pPr>
      <w:r>
        <w:rPr>
          <w:rFonts w:ascii="黑体" w:hAnsi="黑体" w:eastAsia="黑体"/>
          <w:sz w:val="32"/>
        </w:rPr>
        <w:t>二、收入决算情况说明</w:t>
      </w:r>
    </w:p>
    <w:p w14:paraId="0B882287">
      <w:pPr>
        <w:spacing w:line="580" w:lineRule="exact"/>
        <w:ind w:firstLine="640"/>
        <w:jc w:val="both"/>
      </w:pPr>
      <w:r>
        <w:rPr>
          <w:rFonts w:ascii="仿宋_GB2312" w:hAnsi="仿宋_GB2312" w:eastAsia="仿宋_GB2312"/>
          <w:b/>
          <w:sz w:val="32"/>
        </w:rPr>
        <w:t>本年收入134.03万元，</w:t>
      </w:r>
      <w:r>
        <w:rPr>
          <w:rFonts w:ascii="仿宋_GB2312" w:hAnsi="仿宋_GB2312" w:eastAsia="仿宋_GB2312"/>
          <w:b w:val="0"/>
          <w:sz w:val="32"/>
        </w:rPr>
        <w:t>其中：财政拨款收入134.03万元，占100.00%；上级补助收入0.00万元，占0.00%；事业收入0.00万元，占0.00%；经营收入0.00万元，占0.00%；附属单位上缴收入0.00万元，占0.00%；其他收入0.00万元，占0.00%。</w:t>
      </w:r>
    </w:p>
    <w:p w14:paraId="0BA1D94E">
      <w:pPr>
        <w:spacing w:line="640" w:lineRule="exact"/>
        <w:ind w:firstLine="640"/>
        <w:jc w:val="both"/>
        <w:outlineLvl w:val="2"/>
      </w:pPr>
      <w:r>
        <w:rPr>
          <w:rFonts w:ascii="黑体" w:hAnsi="黑体" w:eastAsia="黑体"/>
          <w:sz w:val="32"/>
        </w:rPr>
        <w:t>三、支出决算情况说明</w:t>
      </w:r>
    </w:p>
    <w:p w14:paraId="7B61F2D8">
      <w:pPr>
        <w:spacing w:line="580" w:lineRule="exact"/>
        <w:ind w:firstLine="640"/>
        <w:jc w:val="both"/>
      </w:pPr>
      <w:r>
        <w:rPr>
          <w:rFonts w:ascii="仿宋_GB2312" w:hAnsi="仿宋_GB2312" w:eastAsia="仿宋_GB2312"/>
          <w:b/>
          <w:sz w:val="32"/>
        </w:rPr>
        <w:t>本年支出134.03万元，</w:t>
      </w:r>
      <w:r>
        <w:rPr>
          <w:rFonts w:ascii="仿宋_GB2312" w:hAnsi="仿宋_GB2312" w:eastAsia="仿宋_GB2312"/>
          <w:b w:val="0"/>
          <w:sz w:val="32"/>
        </w:rPr>
        <w:t>其中：基本支出104.18万元，占77.73%；项目支出29.85万元，占22.27%；上缴上级支出0.00万元，占0.00%；经营支出0.00万元，占0.00%；对附属单位补助支出0.00万元，占0.00%。</w:t>
      </w:r>
    </w:p>
    <w:p w14:paraId="435CF1DD">
      <w:pPr>
        <w:spacing w:line="640" w:lineRule="exact"/>
        <w:ind w:firstLine="640"/>
        <w:jc w:val="both"/>
        <w:outlineLvl w:val="2"/>
      </w:pPr>
      <w:r>
        <w:rPr>
          <w:rFonts w:ascii="黑体" w:hAnsi="黑体" w:eastAsia="黑体"/>
          <w:sz w:val="32"/>
        </w:rPr>
        <w:t>四、财政拨款收入支出决算总体情况说明</w:t>
      </w:r>
    </w:p>
    <w:p w14:paraId="3CB33D0F">
      <w:pPr>
        <w:spacing w:line="580" w:lineRule="exact"/>
        <w:ind w:firstLine="640"/>
        <w:jc w:val="both"/>
      </w:pPr>
      <w:r>
        <w:rPr>
          <w:rFonts w:ascii="仿宋_GB2312" w:hAnsi="仿宋_GB2312" w:eastAsia="仿宋_GB2312"/>
          <w:b/>
          <w:sz w:val="32"/>
        </w:rPr>
        <w:t>2024年度财政拨款收入总计134.03万元，</w:t>
      </w:r>
      <w:r>
        <w:rPr>
          <w:rFonts w:ascii="仿宋_GB2312" w:hAnsi="仿宋_GB2312" w:eastAsia="仿宋_GB2312"/>
          <w:b w:val="0"/>
          <w:sz w:val="32"/>
        </w:rPr>
        <w:t>其中：年初财政拨款结转和结余0.00万元，本年财政拨款收入134.03万元。</w:t>
      </w:r>
      <w:r>
        <w:rPr>
          <w:rFonts w:ascii="仿宋_GB2312" w:hAnsi="仿宋_GB2312" w:eastAsia="仿宋_GB2312"/>
          <w:b/>
          <w:sz w:val="32"/>
        </w:rPr>
        <w:t>财政拨款支出总计134.03万元，</w:t>
      </w:r>
      <w:r>
        <w:rPr>
          <w:rFonts w:ascii="仿宋_GB2312" w:hAnsi="仿宋_GB2312" w:eastAsia="仿宋_GB2312"/>
          <w:b w:val="0"/>
          <w:sz w:val="32"/>
        </w:rPr>
        <w:t>其中：年末财政拨款结转和结余0.00万元，本年财政拨款支出134.03万元。</w:t>
      </w:r>
    </w:p>
    <w:p w14:paraId="47227B7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减少89.28万元，下降39.98%，主要原因是：本年在职人员减少，相关人员经费较上年减少；2024年中央基本公共卫生服务补助资金项目经费较上年减少。</w:t>
      </w:r>
      <w:r>
        <w:rPr>
          <w:rFonts w:ascii="仿宋_GB2312" w:hAnsi="仿宋_GB2312" w:eastAsia="仿宋_GB2312"/>
          <w:b/>
          <w:sz w:val="32"/>
        </w:rPr>
        <w:t>与年初预算相比，</w:t>
      </w:r>
      <w:r>
        <w:rPr>
          <w:rFonts w:ascii="仿宋_GB2312" w:hAnsi="仿宋_GB2312" w:eastAsia="仿宋_GB2312"/>
          <w:b w:val="0"/>
          <w:sz w:val="32"/>
        </w:rPr>
        <w:t>年初预算数123.13万元，决算数134.03万元，预决算差异率8.85%，主要原因是：年中追加人员工资、社保、公积金基数调增部分资金及基本公共卫生服务补助资金项目，导致预决算存在差异。</w:t>
      </w:r>
    </w:p>
    <w:p w14:paraId="174FCBE6">
      <w:pPr>
        <w:spacing w:line="640" w:lineRule="exact"/>
        <w:ind w:firstLine="640"/>
        <w:jc w:val="both"/>
        <w:outlineLvl w:val="2"/>
      </w:pPr>
      <w:r>
        <w:rPr>
          <w:rFonts w:ascii="黑体" w:hAnsi="黑体" w:eastAsia="黑体"/>
          <w:sz w:val="32"/>
        </w:rPr>
        <w:t>五、一般公共预算财政拨款支出决算情况说明</w:t>
      </w:r>
    </w:p>
    <w:p w14:paraId="1F0349B1">
      <w:pPr>
        <w:spacing w:line="640" w:lineRule="exact"/>
        <w:ind w:firstLine="640"/>
        <w:jc w:val="both"/>
        <w:outlineLvl w:val="3"/>
      </w:pPr>
      <w:r>
        <w:rPr>
          <w:rFonts w:ascii="楷体_GB2312" w:hAnsi="楷体_GB2312" w:eastAsia="楷体_GB2312"/>
          <w:b/>
          <w:sz w:val="32"/>
        </w:rPr>
        <w:t>（一）一般公共预算财政拨款支出决算总体情况</w:t>
      </w:r>
    </w:p>
    <w:p w14:paraId="7C36D37C">
      <w:pPr>
        <w:spacing w:line="580" w:lineRule="exact"/>
        <w:ind w:firstLine="640"/>
        <w:jc w:val="both"/>
      </w:pPr>
      <w:r>
        <w:rPr>
          <w:rFonts w:ascii="仿宋_GB2312" w:hAnsi="仿宋_GB2312" w:eastAsia="仿宋_GB2312"/>
          <w:b/>
          <w:sz w:val="32"/>
        </w:rPr>
        <w:t>2024年度一般公共预算财政拨款支出134.03万元，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减少89.28万元，下降39.98%，主要原因是：本年在职人员减少，相关人员经费较上年减少；2024年中央基本公共卫生服务补助资金项目经费较上年减少。</w:t>
      </w:r>
      <w:r>
        <w:rPr>
          <w:rFonts w:ascii="仿宋_GB2312" w:hAnsi="仿宋_GB2312" w:eastAsia="仿宋_GB2312"/>
          <w:b/>
          <w:sz w:val="32"/>
        </w:rPr>
        <w:t>与年初预算相比,</w:t>
      </w:r>
      <w:r>
        <w:rPr>
          <w:rFonts w:ascii="仿宋_GB2312" w:hAnsi="仿宋_GB2312" w:eastAsia="仿宋_GB2312"/>
          <w:b w:val="0"/>
          <w:sz w:val="32"/>
        </w:rPr>
        <w:t>年初预算数123.13万元，决算数134.03万元，预决算差异率8.85%，主要原因是：年中追加人员工资、社保、公积金基数调增部分资金及基本公共卫生服务补助资金项目，导致预决算存在差异。</w:t>
      </w:r>
    </w:p>
    <w:p w14:paraId="5A0135D0">
      <w:pPr>
        <w:spacing w:line="640" w:lineRule="exact"/>
        <w:ind w:firstLine="640"/>
        <w:jc w:val="both"/>
        <w:outlineLvl w:val="3"/>
      </w:pPr>
      <w:r>
        <w:rPr>
          <w:rFonts w:ascii="楷体_GB2312" w:hAnsi="楷体_GB2312" w:eastAsia="楷体_GB2312"/>
          <w:b/>
          <w:sz w:val="32"/>
        </w:rPr>
        <w:t>（二）一般公共预算财政拨款支出决算结构情况</w:t>
      </w:r>
    </w:p>
    <w:p w14:paraId="40085572">
      <w:pPr>
        <w:spacing w:line="580" w:lineRule="exact"/>
        <w:ind w:firstLine="640"/>
        <w:jc w:val="both"/>
      </w:pPr>
      <w:r>
        <w:rPr>
          <w:rFonts w:ascii="仿宋_GB2312" w:hAnsi="仿宋_GB2312" w:eastAsia="仿宋_GB2312"/>
          <w:b w:val="0"/>
          <w:sz w:val="32"/>
        </w:rPr>
        <w:t>1.社会保障和就业支出(类)14.87万元,占11.09%。</w:t>
      </w:r>
    </w:p>
    <w:p w14:paraId="2741E760">
      <w:pPr>
        <w:spacing w:line="580" w:lineRule="exact"/>
        <w:ind w:firstLine="640"/>
        <w:jc w:val="both"/>
      </w:pPr>
      <w:r>
        <w:rPr>
          <w:rFonts w:ascii="仿宋_GB2312" w:hAnsi="仿宋_GB2312" w:eastAsia="仿宋_GB2312"/>
          <w:b w:val="0"/>
          <w:sz w:val="32"/>
        </w:rPr>
        <w:t>2.卫生健康支出(类)111.67万元,占83.32%。</w:t>
      </w:r>
    </w:p>
    <w:p w14:paraId="4FD3628E">
      <w:pPr>
        <w:spacing w:line="580" w:lineRule="exact"/>
        <w:ind w:firstLine="640"/>
        <w:jc w:val="both"/>
      </w:pPr>
      <w:r>
        <w:rPr>
          <w:rFonts w:ascii="仿宋_GB2312" w:hAnsi="仿宋_GB2312" w:eastAsia="仿宋_GB2312"/>
          <w:b w:val="0"/>
          <w:sz w:val="32"/>
        </w:rPr>
        <w:t>3.住房保障支出(类)7.49万元,占5.59%。</w:t>
      </w:r>
    </w:p>
    <w:p w14:paraId="6F960907">
      <w:pPr>
        <w:spacing w:line="640" w:lineRule="exact"/>
        <w:ind w:firstLine="640"/>
        <w:jc w:val="both"/>
        <w:outlineLvl w:val="3"/>
      </w:pPr>
      <w:r>
        <w:rPr>
          <w:rFonts w:ascii="楷体_GB2312" w:hAnsi="楷体_GB2312" w:eastAsia="楷体_GB2312"/>
          <w:b/>
          <w:sz w:val="32"/>
        </w:rPr>
        <w:t>（三）一般公共预算财政拨款支出决算具体情况</w:t>
      </w:r>
    </w:p>
    <w:p w14:paraId="1C8E74AB">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4.30万元，比上年决算增加4.30万元，增长100.00%,主要原因是：本年功能科目调整，事业单位离退休上年度在主科目列支，本年单独列支，导致经费较上年增加。</w:t>
      </w:r>
    </w:p>
    <w:p w14:paraId="67D9DD59">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10.57万元，比上年决算减少0.20万元，下降1.86%,主要原因是：本年在职人员减少，单位基本养老保险缴费较上年减少。</w:t>
      </w:r>
    </w:p>
    <w:p w14:paraId="39F4E115">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3.社会保障和就业支出(类)行政事业单位养老支出(款)机关事业单位职业年金缴费支出(项):支出决算数为0.00万元，比上年决算减少7.62万元，下降100.00%,主要原因是：本年无退休人员，减少职业年金缴费</w:t>
      </w:r>
      <w:r>
        <w:rPr>
          <w:rFonts w:hint="eastAsia" w:ascii="仿宋_GB2312" w:hAnsi="仿宋_GB2312" w:eastAsia="仿宋_GB2312"/>
          <w:b w:val="0"/>
          <w:sz w:val="32"/>
          <w:lang w:val="en-US" w:eastAsia="zh-CN"/>
        </w:rPr>
        <w:t>支出</w:t>
      </w:r>
      <w:r>
        <w:rPr>
          <w:rFonts w:ascii="仿宋_GB2312" w:hAnsi="仿宋_GB2312" w:eastAsia="仿宋_GB2312"/>
          <w:b w:val="0"/>
          <w:sz w:val="32"/>
        </w:rPr>
        <w:t>。</w:t>
      </w:r>
    </w:p>
    <w:p w14:paraId="167199A3">
      <w:pPr>
        <w:spacing w:line="580" w:lineRule="exact"/>
        <w:ind w:firstLine="640"/>
        <w:jc w:val="both"/>
      </w:pPr>
      <w:r>
        <w:rPr>
          <w:rFonts w:ascii="仿宋_GB2312" w:hAnsi="仿宋_GB2312" w:eastAsia="仿宋_GB2312"/>
          <w:b w:val="0"/>
          <w:sz w:val="32"/>
        </w:rPr>
        <w:t>4.卫生健康支出(类)公共卫生(款)卫生监督机构(项):支出决算数为74.89万元，比上年决算减少72.90万元，下降49.33%,主要原因是：本年在职人员减少，相应人员经费较上年减少；在职人员医疗缴费、公务员医疗补助、住房公积金上年度在主科目列支，本年单独列支，导致本科目经费减少。</w:t>
      </w:r>
    </w:p>
    <w:p w14:paraId="745C4CE9">
      <w:pPr>
        <w:spacing w:line="580" w:lineRule="exact"/>
        <w:ind w:firstLine="640"/>
        <w:jc w:val="both"/>
      </w:pPr>
      <w:r>
        <w:rPr>
          <w:rFonts w:ascii="仿宋_GB2312" w:hAnsi="仿宋_GB2312" w:eastAsia="仿宋_GB2312"/>
          <w:b w:val="0"/>
          <w:sz w:val="32"/>
        </w:rPr>
        <w:t>5.卫生健康支出(类)公共卫生(款)基本公共卫生服务(项):支出决算数为28.65万元，比上年决算减少28.48万元，下降49.85%,主要原因是：中央财政基本公共卫生服务补助资金项目经费较上年减少。</w:t>
      </w:r>
    </w:p>
    <w:p w14:paraId="476F42CD">
      <w:pPr>
        <w:spacing w:line="580" w:lineRule="exact"/>
        <w:ind w:firstLine="640"/>
        <w:jc w:val="both"/>
      </w:pPr>
      <w:r>
        <w:rPr>
          <w:rFonts w:ascii="仿宋_GB2312" w:hAnsi="仿宋_GB2312" w:eastAsia="仿宋_GB2312"/>
          <w:b w:val="0"/>
          <w:sz w:val="32"/>
        </w:rPr>
        <w:t>6.卫生健康支出(类)公共卫生(款)其他公共卫生支出(项):支出决算数为1.20万元，比上年决算增加1.20万元，增长100.00%,主要原因是：增加2024年自治区公共卫生服务[地方公共卫生]补助资金-国家随机监督抽查项目。</w:t>
      </w:r>
    </w:p>
    <w:p w14:paraId="12D11ED8">
      <w:pPr>
        <w:spacing w:line="580" w:lineRule="exact"/>
        <w:ind w:firstLine="640"/>
        <w:jc w:val="both"/>
      </w:pPr>
      <w:r>
        <w:rPr>
          <w:rFonts w:ascii="仿宋_GB2312" w:hAnsi="仿宋_GB2312" w:eastAsia="仿宋_GB2312"/>
          <w:b w:val="0"/>
          <w:sz w:val="32"/>
        </w:rPr>
        <w:t>7.卫生健康支出(类)行政事业单位医疗(款)行政单位医疗(项):支出决算数为4.29万元，比上年决算增加4.29万元，增长100.00%,主要原因是：本年功能科目调整，行政单位医疗上年度在主科目列支，本年单独列支，导致经费较上年增加。</w:t>
      </w:r>
    </w:p>
    <w:p w14:paraId="658189DD">
      <w:pPr>
        <w:spacing w:line="580" w:lineRule="exact"/>
        <w:ind w:firstLine="640"/>
        <w:jc w:val="both"/>
      </w:pPr>
      <w:r>
        <w:rPr>
          <w:rFonts w:ascii="仿宋_GB2312" w:hAnsi="仿宋_GB2312" w:eastAsia="仿宋_GB2312"/>
          <w:b w:val="0"/>
          <w:sz w:val="32"/>
        </w:rPr>
        <w:t>8.卫生健康支出(类)行政事业单位医疗(款)公务员医疗补助(项):支出决算数为2.64万元，比上年决算增加2.64万元，增长100.00%,主要原因是：本年功能科目调整，公务员医疗补助上年度在主科目列支，本年单独列支，导致经费较上年增加。</w:t>
      </w:r>
    </w:p>
    <w:p w14:paraId="262F592F">
      <w:pPr>
        <w:spacing w:line="580" w:lineRule="exact"/>
        <w:ind w:firstLine="640"/>
        <w:jc w:val="both"/>
      </w:pPr>
      <w:r>
        <w:rPr>
          <w:rFonts w:ascii="仿宋_GB2312" w:hAnsi="仿宋_GB2312" w:eastAsia="仿宋_GB2312"/>
          <w:b w:val="0"/>
          <w:sz w:val="32"/>
        </w:rPr>
        <w:t>9.住房保障支出(类)住房改革支出(款)住房公积金(项):支出决算数为7.49万元，比上年决算增加7.49万元，增长100.00%,主要原因是：本年功能科目调整，住房公积金上年度在主科目列支，本年单独列支，导致经费较上年增加。</w:t>
      </w:r>
    </w:p>
    <w:p w14:paraId="358861AF">
      <w:pPr>
        <w:spacing w:line="640" w:lineRule="exact"/>
        <w:ind w:firstLine="640"/>
        <w:jc w:val="both"/>
        <w:outlineLvl w:val="2"/>
      </w:pPr>
      <w:r>
        <w:rPr>
          <w:rFonts w:ascii="黑体" w:hAnsi="黑体" w:eastAsia="黑体"/>
          <w:sz w:val="32"/>
        </w:rPr>
        <w:t>六、一般公共预算财政拨款基本支出决算情况说明</w:t>
      </w:r>
    </w:p>
    <w:p w14:paraId="5E1B0CA1">
      <w:pPr>
        <w:spacing w:line="580" w:lineRule="exact"/>
        <w:ind w:firstLine="640"/>
        <w:jc w:val="both"/>
      </w:pPr>
      <w:r>
        <w:rPr>
          <w:rFonts w:ascii="仿宋_GB2312" w:hAnsi="仿宋_GB2312" w:eastAsia="仿宋_GB2312"/>
          <w:b w:val="0"/>
          <w:sz w:val="32"/>
        </w:rPr>
        <w:t>2024年度一般公共预算财政拨款基本支出104.18万元，其中：</w:t>
      </w:r>
      <w:r>
        <w:rPr>
          <w:rFonts w:ascii="仿宋_GB2312" w:hAnsi="仿宋_GB2312" w:eastAsia="仿宋_GB2312"/>
          <w:b/>
          <w:sz w:val="32"/>
        </w:rPr>
        <w:t>人员经费103.41万元，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w:t>
      </w:r>
    </w:p>
    <w:p w14:paraId="484D4CAD">
      <w:pPr>
        <w:spacing w:line="580" w:lineRule="exact"/>
        <w:ind w:firstLine="640"/>
        <w:jc w:val="both"/>
      </w:pPr>
      <w:r>
        <w:rPr>
          <w:rFonts w:ascii="仿宋_GB2312" w:hAnsi="仿宋_GB2312" w:eastAsia="仿宋_GB2312"/>
          <w:b/>
          <w:sz w:val="32"/>
        </w:rPr>
        <w:t>公用经费0.76万元，</w:t>
      </w:r>
      <w:r>
        <w:rPr>
          <w:rFonts w:ascii="仿宋_GB2312" w:hAnsi="仿宋_GB2312" w:eastAsia="仿宋_GB2312"/>
          <w:b w:val="0"/>
          <w:sz w:val="32"/>
        </w:rPr>
        <w:t>包括：办公费、印刷费、培训费。</w:t>
      </w:r>
    </w:p>
    <w:p w14:paraId="23FACAE0">
      <w:pPr>
        <w:spacing w:line="640" w:lineRule="exact"/>
        <w:ind w:firstLine="640"/>
        <w:jc w:val="both"/>
        <w:outlineLvl w:val="2"/>
      </w:pPr>
      <w:r>
        <w:rPr>
          <w:rFonts w:ascii="黑体" w:hAnsi="黑体" w:eastAsia="黑体"/>
          <w:sz w:val="32"/>
        </w:rPr>
        <w:t>七、政府性基金预算财政拨款收入支出决算情况说明</w:t>
      </w:r>
    </w:p>
    <w:p w14:paraId="66991B9B">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084FBBD">
      <w:pPr>
        <w:spacing w:line="640" w:lineRule="exact"/>
        <w:ind w:firstLine="640"/>
        <w:jc w:val="both"/>
        <w:outlineLvl w:val="2"/>
      </w:pPr>
      <w:r>
        <w:rPr>
          <w:rFonts w:ascii="黑体" w:hAnsi="黑体" w:eastAsia="黑体"/>
          <w:sz w:val="32"/>
        </w:rPr>
        <w:t>八、国有资本经营预算财政拨款收入支出决算情况说明</w:t>
      </w:r>
    </w:p>
    <w:p w14:paraId="7A3C720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ED91317">
      <w:pPr>
        <w:spacing w:line="640" w:lineRule="exact"/>
        <w:ind w:firstLine="640"/>
        <w:jc w:val="both"/>
        <w:outlineLvl w:val="2"/>
      </w:pPr>
      <w:r>
        <w:rPr>
          <w:rFonts w:ascii="黑体" w:hAnsi="黑体" w:eastAsia="黑体"/>
          <w:sz w:val="32"/>
        </w:rPr>
        <w:t>九、财政拨款“三公”经费支出决算情况说明</w:t>
      </w:r>
    </w:p>
    <w:p w14:paraId="57624C68">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减少1.44万元，下降100.00%，主要原因是：本年公务用车未使用，未产生车辆运行经费。其中：因公出国（境）费支出0.00万元，占0.00%，比上年增加0.00万元，增长0.00%，主要原因是：2023年与2024年均未安排因公出国（境）费支出。公务用车购置及运行维护费支出0.00万元，占0.00%，比上年减少1.44万元，下降100.00%，主要原因是：本年公务用车未使用，未产生车辆运行经费。公务接待费支出0.00万元，占0.00%，比上年增加0.00万元，增长0.00%，主要原因是：2023年与2024年均未安排公务接待费支出。</w:t>
      </w:r>
    </w:p>
    <w:p w14:paraId="1CB88973">
      <w:pPr>
        <w:spacing w:line="580" w:lineRule="exact"/>
        <w:ind w:firstLine="640"/>
        <w:jc w:val="both"/>
      </w:pPr>
      <w:r>
        <w:rPr>
          <w:rFonts w:ascii="仿宋_GB2312" w:hAnsi="仿宋_GB2312" w:eastAsia="仿宋_GB2312"/>
          <w:b/>
          <w:sz w:val="32"/>
        </w:rPr>
        <w:t>具体情况如下：</w:t>
      </w:r>
    </w:p>
    <w:p w14:paraId="21F6177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3F0D702">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3辆，与公务用车保有量差异原因是：</w:t>
      </w:r>
      <w:r>
        <w:rPr>
          <w:rFonts w:hint="eastAsia" w:ascii="仿宋_GB2312" w:hAnsi="仿宋_GB2312" w:eastAsia="仿宋_GB2312"/>
          <w:b w:val="0"/>
          <w:sz w:val="32"/>
        </w:rPr>
        <w:t>差异车辆为一般业务用车，预算未安排公务用车运行维护费</w:t>
      </w:r>
      <w:r>
        <w:rPr>
          <w:rFonts w:ascii="仿宋_GB2312" w:hAnsi="仿宋_GB2312" w:eastAsia="仿宋_GB2312"/>
          <w:b w:val="0"/>
          <w:sz w:val="32"/>
        </w:rPr>
        <w:t>。</w:t>
      </w:r>
    </w:p>
    <w:p w14:paraId="1D999FC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D824E2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0A290C8A">
      <w:pPr>
        <w:spacing w:line="640" w:lineRule="exact"/>
        <w:ind w:firstLine="640"/>
        <w:jc w:val="both"/>
        <w:outlineLvl w:val="2"/>
      </w:pPr>
      <w:r>
        <w:rPr>
          <w:rFonts w:ascii="黑体" w:hAnsi="黑体" w:eastAsia="黑体"/>
          <w:sz w:val="32"/>
        </w:rPr>
        <w:t>十、其他重要事项的情况说明</w:t>
      </w:r>
    </w:p>
    <w:p w14:paraId="570A08E4">
      <w:pPr>
        <w:spacing w:line="640" w:lineRule="exact"/>
        <w:ind w:firstLine="640"/>
        <w:jc w:val="both"/>
        <w:outlineLvl w:val="3"/>
      </w:pPr>
      <w:r>
        <w:rPr>
          <w:rFonts w:ascii="楷体_GB2312" w:hAnsi="楷体_GB2312" w:eastAsia="楷体_GB2312"/>
          <w:b/>
          <w:sz w:val="32"/>
        </w:rPr>
        <w:t>（一）机关运行经费及公用经费支出情况</w:t>
      </w:r>
    </w:p>
    <w:p w14:paraId="52ADE72C">
      <w:pPr>
        <w:spacing w:line="580" w:lineRule="exact"/>
        <w:ind w:firstLine="640"/>
        <w:jc w:val="both"/>
      </w:pPr>
      <w:r>
        <w:rPr>
          <w:rFonts w:ascii="仿宋_GB2312" w:hAnsi="仿宋_GB2312" w:eastAsia="仿宋_GB2312"/>
          <w:b w:val="0"/>
          <w:sz w:val="32"/>
        </w:rPr>
        <w:t>2024年度洛浦县卫生监督所（行政单位和参照公务员法管理事业单位）机关运行经费支出0.76万元，比上年减少1.72万元，下降69.35%，主要原因是：严格控制公用经费，合理节约办公用品，减少不必要开支。</w:t>
      </w:r>
    </w:p>
    <w:p w14:paraId="5417EAC0">
      <w:pPr>
        <w:spacing w:line="640" w:lineRule="exact"/>
        <w:ind w:firstLine="640"/>
        <w:jc w:val="both"/>
        <w:outlineLvl w:val="3"/>
      </w:pPr>
      <w:r>
        <w:rPr>
          <w:rFonts w:ascii="楷体_GB2312" w:hAnsi="楷体_GB2312" w:eastAsia="楷体_GB2312"/>
          <w:b/>
          <w:sz w:val="32"/>
        </w:rPr>
        <w:t>（二）政府采购情况</w:t>
      </w:r>
    </w:p>
    <w:p w14:paraId="06F3A2AB">
      <w:pPr>
        <w:spacing w:line="580" w:lineRule="exact"/>
        <w:ind w:firstLine="640"/>
        <w:jc w:val="both"/>
      </w:pPr>
      <w:r>
        <w:rPr>
          <w:rFonts w:ascii="仿宋_GB2312" w:hAnsi="仿宋_GB2312" w:eastAsia="仿宋_GB2312"/>
          <w:b w:val="0"/>
          <w:sz w:val="32"/>
        </w:rPr>
        <w:t>2024年度政府采购支出总额1.05万元，其中：政府采购货物支出0.00万元、政府采购工程支出0.00万元、政府采购服务支出1.05万元。</w:t>
      </w:r>
    </w:p>
    <w:p w14:paraId="2F68FB60">
      <w:pPr>
        <w:spacing w:line="580" w:lineRule="exact"/>
        <w:ind w:firstLine="640"/>
        <w:jc w:val="both"/>
      </w:pPr>
      <w:r>
        <w:rPr>
          <w:rFonts w:ascii="仿宋_GB2312" w:hAnsi="仿宋_GB2312" w:eastAsia="仿宋_GB2312"/>
          <w:b w:val="0"/>
          <w:sz w:val="32"/>
        </w:rPr>
        <w:t>授予中小企业合同金额1.05万元，占政府采购支出总额的100.00%，其中：授予小微企业合同金额1.05万元，占政府采购支出总额的100.00%。</w:t>
      </w:r>
    </w:p>
    <w:p w14:paraId="2C7612E8">
      <w:pPr>
        <w:spacing w:line="640" w:lineRule="exact"/>
        <w:ind w:firstLine="640"/>
        <w:jc w:val="both"/>
        <w:outlineLvl w:val="3"/>
      </w:pPr>
      <w:r>
        <w:rPr>
          <w:rFonts w:ascii="楷体_GB2312" w:hAnsi="楷体_GB2312" w:eastAsia="楷体_GB2312"/>
          <w:b/>
          <w:sz w:val="32"/>
        </w:rPr>
        <w:t>（三）国有资产占用情况说明</w:t>
      </w:r>
    </w:p>
    <w:p w14:paraId="06E4CCB5">
      <w:pPr>
        <w:spacing w:line="580" w:lineRule="exact"/>
        <w:ind w:firstLine="640"/>
        <w:jc w:val="both"/>
      </w:pPr>
      <w:r>
        <w:rPr>
          <w:rFonts w:ascii="仿宋_GB2312" w:hAnsi="仿宋_GB2312" w:eastAsia="仿宋_GB2312"/>
          <w:b w:val="0"/>
          <w:sz w:val="32"/>
        </w:rPr>
        <w:t>截至2024年12月31日，房屋0.00平方米，价值0.00万元。车辆3辆，价值54.30万元，其中：副部（省）级及以上领导用车0辆、主要负责人用车0辆、机要通信用车0辆、应急保障用车0辆、执法执勤用车0辆、特种专业技术用车0辆、离退休干部服务用车0辆、其他用车3辆，其他用车主要是：单位业务用车。单价100万元（含）以上设备（不含车辆）0台（套）。</w:t>
      </w:r>
    </w:p>
    <w:p w14:paraId="011F1B88">
      <w:pPr>
        <w:spacing w:line="640" w:lineRule="exact"/>
        <w:ind w:firstLine="640"/>
        <w:jc w:val="both"/>
        <w:outlineLvl w:val="2"/>
      </w:pPr>
      <w:r>
        <w:rPr>
          <w:rFonts w:ascii="黑体" w:hAnsi="黑体" w:eastAsia="黑体"/>
          <w:sz w:val="32"/>
        </w:rPr>
        <w:t>十一、预算绩效的情况说明</w:t>
      </w:r>
    </w:p>
    <w:p w14:paraId="67BC6083">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104.18万元，实际执行总额104.18万元；预算绩效评价项目0个，全年预算数0.00万元，全年执行数0.00万元。预算绩效管理取得的成效：一是确保资金的高效使用，切实发挥财政资金使用效果；二是严格按照工作职责和相关文件依据，确保专款专用；三是严格控制资金的流出方向，确保资金的合规性。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w:t>
      </w:r>
      <w:bookmarkStart w:id="0" w:name="_GoBack"/>
      <w:r>
        <w:rPr>
          <w:rFonts w:ascii="仿宋_GB2312" w:hAnsi="仿宋_GB2312" w:eastAsia="仿宋_GB2312"/>
          <w:b w:val="0"/>
          <w:sz w:val="32"/>
        </w:rPr>
        <w:t>加强学习，进一</w:t>
      </w:r>
      <w:bookmarkEnd w:id="0"/>
      <w:r>
        <w:rPr>
          <w:rFonts w:ascii="仿宋_GB2312" w:hAnsi="仿宋_GB2312" w:eastAsia="仿宋_GB2312"/>
          <w:b w:val="0"/>
          <w:sz w:val="32"/>
        </w:rPr>
        <w:t>步明确如何参照考核体系，科学合理设定绩效目标，充分发挥预算绩效管理工作效用。二是财务上会计核算要更加详细，为本单位各项工作的开展、总结、评估提供有效数据资料支撑,为各项业务工作更好</w:t>
      </w:r>
      <w:r>
        <w:rPr>
          <w:rFonts w:hint="eastAsia" w:ascii="仿宋_GB2312" w:hAnsi="仿宋_GB2312" w:eastAsia="仿宋_GB2312"/>
          <w:b w:val="0"/>
          <w:sz w:val="32"/>
          <w:lang w:eastAsia="zh-CN"/>
        </w:rPr>
        <w:t>地</w:t>
      </w:r>
      <w:r>
        <w:rPr>
          <w:rFonts w:ascii="仿宋_GB2312" w:hAnsi="仿宋_GB2312" w:eastAsia="仿宋_GB2312"/>
          <w:b w:val="0"/>
          <w:sz w:val="32"/>
        </w:rPr>
        <w:t>开展提供帮助。具体附整体支出绩效自评表。</w:t>
      </w:r>
    </w:p>
    <w:p w14:paraId="47628D7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DDC658F">
        <w:tblPrEx>
          <w:tblCellMar>
            <w:top w:w="0" w:type="dxa"/>
            <w:left w:w="108" w:type="dxa"/>
            <w:bottom w:w="0" w:type="dxa"/>
            <w:right w:w="108" w:type="dxa"/>
          </w:tblCellMar>
        </w:tblPrEx>
        <w:tc>
          <w:tcPr>
            <w:tcW w:w="8847" w:type="dxa"/>
            <w:gridSpan w:val="9"/>
            <w:vAlign w:val="center"/>
          </w:tcPr>
          <w:p w14:paraId="1F6BE912">
            <w:pPr>
              <w:jc w:val="center"/>
            </w:pPr>
            <w:r>
              <w:rPr>
                <w:rFonts w:ascii="宋体" w:hAnsi="宋体" w:eastAsia="宋体"/>
                <w:sz w:val="24"/>
              </w:rPr>
              <w:t>单位整体支出绩效自评表</w:t>
            </w:r>
          </w:p>
        </w:tc>
      </w:tr>
      <w:tr w14:paraId="6C1BCA41">
        <w:tblPrEx>
          <w:tblCellMar>
            <w:top w:w="0" w:type="dxa"/>
            <w:left w:w="108" w:type="dxa"/>
            <w:bottom w:w="0" w:type="dxa"/>
            <w:right w:w="108" w:type="dxa"/>
          </w:tblCellMar>
        </w:tblPrEx>
        <w:tc>
          <w:tcPr>
            <w:tcW w:w="8847" w:type="dxa"/>
            <w:gridSpan w:val="9"/>
            <w:vAlign w:val="center"/>
          </w:tcPr>
          <w:p w14:paraId="490EBA0B">
            <w:pPr>
              <w:jc w:val="center"/>
            </w:pPr>
            <w:r>
              <w:rPr>
                <w:rFonts w:ascii="宋体" w:hAnsi="宋体" w:eastAsia="宋体"/>
                <w:sz w:val="24"/>
              </w:rPr>
              <w:t>（2024年度）</w:t>
            </w:r>
          </w:p>
        </w:tc>
      </w:tr>
      <w:tr w14:paraId="3DAB722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DBD25">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9DFD6DA">
            <w:pPr>
              <w:jc w:val="center"/>
            </w:pPr>
            <w:r>
              <w:rPr>
                <w:rFonts w:ascii="宋体" w:hAnsi="宋体" w:eastAsia="宋体"/>
                <w:sz w:val="16"/>
              </w:rPr>
              <w:t>洛浦县卫生监督所</w:t>
            </w:r>
          </w:p>
        </w:tc>
      </w:tr>
      <w:tr w14:paraId="0A60810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03B9E4">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66DA3">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D0BD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C3B4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8BEC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D5DC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F7B3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F4E1D">
            <w:pPr>
              <w:jc w:val="center"/>
            </w:pPr>
            <w:r>
              <w:rPr>
                <w:rFonts w:ascii="宋体" w:hAnsi="宋体" w:eastAsia="宋体"/>
                <w:sz w:val="16"/>
              </w:rPr>
              <w:t>得分</w:t>
            </w:r>
          </w:p>
        </w:tc>
      </w:tr>
      <w:tr w14:paraId="138A4E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B24D8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2C8E4C">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9925F">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4FC06">
            <w:pPr>
              <w:jc w:val="center"/>
            </w:pPr>
            <w:r>
              <w:rPr>
                <w:rFonts w:ascii="宋体" w:hAnsi="宋体" w:eastAsia="宋体"/>
                <w:sz w:val="16"/>
              </w:rPr>
              <w:t>3.21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E10AA">
            <w:pPr>
              <w:jc w:val="center"/>
            </w:pPr>
            <w:r>
              <w:rPr>
                <w:rFonts w:ascii="宋体" w:hAnsi="宋体" w:eastAsia="宋体"/>
                <w:sz w:val="16"/>
              </w:rPr>
              <w:t>29.85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34A49">
            <w:pPr>
              <w:jc w:val="center"/>
            </w:pPr>
            <w:r>
              <w:rPr>
                <w:rFonts w:ascii="宋体" w:hAnsi="宋体" w:eastAsia="宋体"/>
                <w:sz w:val="16"/>
              </w:rPr>
              <w:t>29.85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8F6F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1DBC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40B62">
            <w:pPr>
              <w:jc w:val="center"/>
            </w:pPr>
            <w:r>
              <w:rPr>
                <w:rFonts w:ascii="宋体" w:hAnsi="宋体" w:eastAsia="宋体"/>
                <w:sz w:val="16"/>
              </w:rPr>
              <w:t>-</w:t>
            </w:r>
          </w:p>
        </w:tc>
      </w:tr>
      <w:tr w14:paraId="699C79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26A09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0E671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86250">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114BF">
            <w:pPr>
              <w:jc w:val="center"/>
            </w:pPr>
            <w:r>
              <w:rPr>
                <w:rFonts w:ascii="宋体" w:hAnsi="宋体" w:eastAsia="宋体"/>
                <w:sz w:val="16"/>
              </w:rPr>
              <w:t>119.92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55DF5">
            <w:pPr>
              <w:jc w:val="center"/>
            </w:pPr>
            <w:r>
              <w:rPr>
                <w:rFonts w:ascii="宋体" w:hAnsi="宋体" w:eastAsia="宋体"/>
                <w:sz w:val="16"/>
              </w:rPr>
              <w:t>74.33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38CCE">
            <w:pPr>
              <w:jc w:val="center"/>
            </w:pPr>
            <w:r>
              <w:rPr>
                <w:rFonts w:ascii="宋体" w:hAnsi="宋体" w:eastAsia="宋体"/>
                <w:sz w:val="16"/>
              </w:rPr>
              <w:t>74.33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8A5A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E94F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A4BC1">
            <w:pPr>
              <w:jc w:val="center"/>
            </w:pPr>
            <w:r>
              <w:rPr>
                <w:rFonts w:ascii="宋体" w:hAnsi="宋体" w:eastAsia="宋体"/>
                <w:sz w:val="16"/>
              </w:rPr>
              <w:t>-</w:t>
            </w:r>
          </w:p>
        </w:tc>
      </w:tr>
      <w:tr w14:paraId="7443FE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C0348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0216B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37975">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113E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C0E3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9DC9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5F1D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1A0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220E2">
            <w:pPr>
              <w:jc w:val="center"/>
            </w:pPr>
            <w:r>
              <w:rPr>
                <w:rFonts w:ascii="宋体" w:hAnsi="宋体" w:eastAsia="宋体"/>
                <w:sz w:val="16"/>
              </w:rPr>
              <w:t>-</w:t>
            </w:r>
          </w:p>
        </w:tc>
      </w:tr>
      <w:tr w14:paraId="412B51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3B030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5E4C2">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89FF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0754C">
            <w:pPr>
              <w:jc w:val="center"/>
            </w:pPr>
            <w:r>
              <w:rPr>
                <w:rFonts w:ascii="宋体" w:hAnsi="宋体" w:eastAsia="宋体"/>
                <w:sz w:val="16"/>
              </w:rPr>
              <w:t>123.13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91D82">
            <w:pPr>
              <w:jc w:val="center"/>
            </w:pPr>
            <w:r>
              <w:rPr>
                <w:rFonts w:ascii="宋体" w:hAnsi="宋体" w:eastAsia="宋体"/>
                <w:sz w:val="16"/>
              </w:rPr>
              <w:t>104.18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7A3B1">
            <w:pPr>
              <w:jc w:val="center"/>
            </w:pPr>
            <w:r>
              <w:rPr>
                <w:rFonts w:ascii="宋体" w:hAnsi="宋体" w:eastAsia="宋体"/>
                <w:sz w:val="16"/>
              </w:rPr>
              <w:t>104.18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C1EF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68A52">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39F7D">
            <w:pPr>
              <w:jc w:val="center"/>
            </w:pPr>
            <w:r>
              <w:rPr>
                <w:rFonts w:ascii="宋体" w:hAnsi="宋体" w:eastAsia="宋体"/>
                <w:sz w:val="16"/>
              </w:rPr>
              <w:t>10</w:t>
            </w:r>
          </w:p>
        </w:tc>
      </w:tr>
      <w:tr w14:paraId="7978DB7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B4B2D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74586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C78CA0">
            <w:pPr>
              <w:jc w:val="center"/>
            </w:pPr>
            <w:r>
              <w:rPr>
                <w:rFonts w:ascii="宋体" w:hAnsi="宋体" w:eastAsia="宋体"/>
                <w:sz w:val="16"/>
              </w:rPr>
              <w:t>实际完成情况</w:t>
            </w:r>
          </w:p>
        </w:tc>
      </w:tr>
      <w:tr w14:paraId="0783BC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160A0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6AB3A71">
            <w:pPr>
              <w:jc w:val="both"/>
            </w:pPr>
            <w:r>
              <w:rPr>
                <w:rFonts w:ascii="宋体" w:hAnsi="宋体" w:eastAsia="宋体"/>
                <w:sz w:val="16"/>
              </w:rPr>
              <w:t>单位本年度预算资金为123.13万元，</w:t>
            </w:r>
            <w:r>
              <w:rPr>
                <w:rFonts w:hint="eastAsia" w:ascii="宋体" w:hAnsi="宋体"/>
                <w:sz w:val="16"/>
                <w:lang w:eastAsia="zh-CN"/>
              </w:rPr>
              <w:t>主要用途</w:t>
            </w:r>
            <w:r>
              <w:rPr>
                <w:rFonts w:ascii="宋体" w:hAnsi="宋体" w:eastAsia="宋体"/>
                <w:sz w:val="16"/>
              </w:rPr>
              <w:t>如下：1.保障组织监督工作。2.保障卫生监督所各种工作的正常运行。3.各项业务经费不超出预算，不超支审批。</w:t>
            </w:r>
            <w:r>
              <w:rPr>
                <w:rFonts w:ascii="宋体" w:hAnsi="宋体" w:eastAsia="宋体"/>
                <w:sz w:val="16"/>
              </w:rPr>
              <w:br w:type="textWrapping"/>
            </w:r>
            <w:r>
              <w:rPr>
                <w:rFonts w:ascii="宋体" w:hAnsi="宋体" w:eastAsia="宋体"/>
                <w:sz w:val="16"/>
              </w:rPr>
              <w:t>目标1：组织传染病防治监督工作，</w:t>
            </w:r>
            <w:r>
              <w:rPr>
                <w:rFonts w:hint="eastAsia" w:ascii="宋体" w:hAnsi="宋体"/>
                <w:sz w:val="16"/>
                <w:lang w:eastAsia="zh-CN"/>
              </w:rPr>
              <w:t>实施</w:t>
            </w:r>
            <w:r>
              <w:rPr>
                <w:rFonts w:ascii="宋体" w:hAnsi="宋体" w:eastAsia="宋体"/>
                <w:sz w:val="16"/>
              </w:rPr>
              <w:t>医疗卫生机构传染病防治分类监督。</w:t>
            </w:r>
            <w:r>
              <w:rPr>
                <w:rFonts w:ascii="宋体" w:hAnsi="宋体" w:eastAsia="宋体"/>
                <w:sz w:val="16"/>
              </w:rPr>
              <w:br w:type="textWrapping"/>
            </w:r>
            <w:r>
              <w:rPr>
                <w:rFonts w:ascii="宋体" w:hAnsi="宋体" w:eastAsia="宋体"/>
                <w:sz w:val="16"/>
              </w:rPr>
              <w:t>目标2：开展生活饮用水监管，提升公共场所卫生监管水平。</w:t>
            </w:r>
            <w:r>
              <w:rPr>
                <w:rFonts w:ascii="宋体" w:hAnsi="宋体" w:eastAsia="宋体"/>
                <w:sz w:val="16"/>
              </w:rPr>
              <w:br w:type="textWrapping"/>
            </w:r>
            <w:r>
              <w:rPr>
                <w:rFonts w:ascii="宋体" w:hAnsi="宋体" w:eastAsia="宋体"/>
                <w:sz w:val="16"/>
              </w:rPr>
              <w:t>目标3：推行公共场所量化分级管理，保障人民群众身体健康和生命安全。</w:t>
            </w:r>
            <w:r>
              <w:rPr>
                <w:rFonts w:ascii="宋体" w:hAnsi="宋体" w:eastAsia="宋体"/>
                <w:sz w:val="16"/>
              </w:rPr>
              <w:br w:type="textWrapping"/>
            </w:r>
            <w:r>
              <w:rPr>
                <w:rFonts w:ascii="宋体" w:hAnsi="宋体" w:eastAsia="宋体"/>
                <w:sz w:val="16"/>
              </w:rPr>
              <w:t>目标4：开展卫生监督队伍的培训，强化卫生监督队伍建设。</w:t>
            </w:r>
            <w:r>
              <w:rPr>
                <w:rFonts w:ascii="宋体" w:hAnsi="宋体" w:eastAsia="宋体"/>
                <w:sz w:val="16"/>
              </w:rPr>
              <w:br w:type="textWrapping"/>
            </w:r>
            <w:r>
              <w:rPr>
                <w:rFonts w:ascii="宋体" w:hAnsi="宋体" w:eastAsia="宋体"/>
                <w:sz w:val="16"/>
              </w:rPr>
              <w:t>目标5：开展卫生监督专项整治工作，组织开展集中专项整治工作。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B7FD13">
            <w:pPr>
              <w:jc w:val="both"/>
            </w:pPr>
            <w:r>
              <w:rPr>
                <w:rFonts w:ascii="宋体" w:hAnsi="宋体" w:eastAsia="宋体"/>
                <w:sz w:val="16"/>
              </w:rPr>
              <w:t>单位本年度预算资金为123.13万元，</w:t>
            </w:r>
            <w:r>
              <w:rPr>
                <w:rFonts w:hint="eastAsia" w:ascii="宋体" w:hAnsi="宋体"/>
                <w:sz w:val="16"/>
                <w:lang w:eastAsia="zh-CN"/>
              </w:rPr>
              <w:t>主要用途</w:t>
            </w:r>
            <w:r>
              <w:rPr>
                <w:rFonts w:ascii="宋体" w:hAnsi="宋体" w:eastAsia="宋体"/>
                <w:sz w:val="16"/>
              </w:rPr>
              <w:t>如下：1.保障组织监督工作。2.保障卫生监督所各种工作的正常运行。3.各项业务经费不超出预算，不超支审批。</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目标1：组织传染病防治监督工作，</w:t>
            </w:r>
            <w:r>
              <w:rPr>
                <w:rFonts w:hint="eastAsia" w:ascii="宋体" w:hAnsi="宋体"/>
                <w:sz w:val="16"/>
                <w:lang w:eastAsia="zh-CN"/>
              </w:rPr>
              <w:t>实施</w:t>
            </w:r>
            <w:r>
              <w:rPr>
                <w:rFonts w:ascii="宋体" w:hAnsi="宋体" w:eastAsia="宋体"/>
                <w:sz w:val="16"/>
              </w:rPr>
              <w:t>医疗卫生机构传染病防治分类监督。</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目标2：开展生活饮用水监管，提升公共场所卫生监管水平。</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目标3：推行公共场所量化分级管理，保障人民群众身体健康和生命安全。</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目标4：开展卫生监督队伍的培训，强化卫生监督队伍建设。</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目标5：开展卫生监督专项整治工作，组织开展集中专项整治工作。</w:t>
            </w:r>
          </w:p>
        </w:tc>
      </w:tr>
      <w:tr w14:paraId="4F6396C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58CD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A2CF3">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FF50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84B4C">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45AD2">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AE5B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DB5AF">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C1740">
            <w:pPr>
              <w:jc w:val="center"/>
            </w:pPr>
            <w:r>
              <w:rPr>
                <w:rFonts w:ascii="宋体" w:hAnsi="宋体" w:eastAsia="宋体"/>
                <w:sz w:val="16"/>
              </w:rPr>
              <w:t>得分</w:t>
            </w:r>
          </w:p>
        </w:tc>
      </w:tr>
      <w:tr w14:paraId="2C97AAE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CCB6A1">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A9792C">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D553D">
            <w:pPr>
              <w:jc w:val="center"/>
            </w:pPr>
            <w:r>
              <w:rPr>
                <w:rFonts w:ascii="宋体" w:hAnsi="宋体" w:eastAsia="宋体"/>
                <w:sz w:val="16"/>
              </w:rPr>
              <w:t>组织传染病防治监督工作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4D0F1">
            <w:pPr>
              <w:jc w:val="center"/>
            </w:pPr>
            <w:r>
              <w:rPr>
                <w:rFonts w:ascii="宋体" w:hAnsi="宋体" w:eastAsia="宋体"/>
                <w:sz w:val="16"/>
              </w:rPr>
              <w:t>&gt;=8次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3FAD2">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1CDFB">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7DB87">
            <w:pPr>
              <w:jc w:val="center"/>
            </w:pPr>
            <w:r>
              <w:rPr>
                <w:rFonts w:ascii="宋体" w:hAnsi="宋体" w:eastAsia="宋体"/>
                <w:sz w:val="16"/>
              </w:rPr>
              <w:t>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15353">
            <w:pPr>
              <w:jc w:val="center"/>
            </w:pPr>
            <w:r>
              <w:rPr>
                <w:rFonts w:ascii="宋体" w:hAnsi="宋体" w:eastAsia="宋体"/>
                <w:sz w:val="16"/>
              </w:rPr>
              <w:t>30</w:t>
            </w:r>
          </w:p>
        </w:tc>
      </w:tr>
      <w:tr w14:paraId="27BF35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B3B10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E8BAA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A71C3">
            <w:pPr>
              <w:jc w:val="center"/>
            </w:pPr>
            <w:r>
              <w:rPr>
                <w:rFonts w:ascii="宋体" w:hAnsi="宋体" w:eastAsia="宋体"/>
                <w:sz w:val="16"/>
              </w:rPr>
              <w:t>开展卫生监督队伍的培训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F10DC">
            <w:pPr>
              <w:jc w:val="center"/>
            </w:pPr>
            <w:r>
              <w:rPr>
                <w:rFonts w:ascii="宋体" w:hAnsi="宋体" w:eastAsia="宋体"/>
                <w:sz w:val="16"/>
              </w:rPr>
              <w:t>&gt;=10次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0E8D9">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5AFD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CE93F">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1754B">
            <w:pPr>
              <w:jc w:val="center"/>
            </w:pPr>
            <w:r>
              <w:rPr>
                <w:rFonts w:ascii="宋体" w:hAnsi="宋体" w:eastAsia="宋体"/>
                <w:sz w:val="16"/>
              </w:rPr>
              <w:t>20</w:t>
            </w:r>
          </w:p>
        </w:tc>
      </w:tr>
      <w:tr w14:paraId="0DA260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57134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27BB6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4C6D6">
            <w:pPr>
              <w:jc w:val="center"/>
            </w:pPr>
            <w:r>
              <w:rPr>
                <w:rFonts w:ascii="宋体" w:hAnsi="宋体" w:eastAsia="宋体"/>
                <w:sz w:val="16"/>
              </w:rPr>
              <w:t>推行公共场所量化分级管理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64B19">
            <w:pPr>
              <w:jc w:val="center"/>
            </w:pPr>
            <w:r>
              <w:rPr>
                <w:rFonts w:ascii="宋体" w:hAnsi="宋体" w:eastAsia="宋体"/>
                <w:sz w:val="16"/>
              </w:rPr>
              <w:t>&gt;=8次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BA6E9">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2D02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776CE">
            <w:pPr>
              <w:jc w:val="center"/>
            </w:pPr>
            <w:r>
              <w:rPr>
                <w:rFonts w:ascii="宋体" w:hAnsi="宋体" w:eastAsia="宋体"/>
                <w:sz w:val="16"/>
              </w:rPr>
              <w:t>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8F87C">
            <w:pPr>
              <w:jc w:val="center"/>
            </w:pPr>
            <w:r>
              <w:rPr>
                <w:rFonts w:ascii="宋体" w:hAnsi="宋体" w:eastAsia="宋体"/>
                <w:sz w:val="16"/>
              </w:rPr>
              <w:t>10</w:t>
            </w:r>
          </w:p>
        </w:tc>
      </w:tr>
      <w:tr w14:paraId="294A53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9DDC6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92E81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A5C9D">
            <w:pPr>
              <w:jc w:val="center"/>
            </w:pPr>
            <w:r>
              <w:rPr>
                <w:rFonts w:ascii="宋体" w:hAnsi="宋体" w:eastAsia="宋体"/>
                <w:sz w:val="16"/>
              </w:rPr>
              <w:t>开展生活饮用水监管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1B511">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AD803">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5827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E7B19">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47A1F">
            <w:pPr>
              <w:jc w:val="center"/>
            </w:pPr>
            <w:r>
              <w:rPr>
                <w:rFonts w:ascii="宋体" w:hAnsi="宋体" w:eastAsia="宋体"/>
                <w:sz w:val="16"/>
              </w:rPr>
              <w:t>10</w:t>
            </w:r>
          </w:p>
        </w:tc>
      </w:tr>
      <w:tr w14:paraId="09BC79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BFBFF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264BD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B30B5">
            <w:pPr>
              <w:jc w:val="center"/>
            </w:pPr>
            <w:r>
              <w:rPr>
                <w:rFonts w:ascii="宋体" w:hAnsi="宋体" w:eastAsia="宋体"/>
                <w:sz w:val="16"/>
              </w:rPr>
              <w:t>开展卫生监督专项整治工作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314D3">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D4AA6">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9480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7AB82">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2E70F">
            <w:pPr>
              <w:jc w:val="center"/>
            </w:pPr>
            <w:r>
              <w:rPr>
                <w:rFonts w:ascii="宋体" w:hAnsi="宋体" w:eastAsia="宋体"/>
                <w:sz w:val="16"/>
              </w:rPr>
              <w:t>20</w:t>
            </w:r>
          </w:p>
        </w:tc>
      </w:tr>
    </w:tbl>
    <w:p w14:paraId="4F8BE5A3">
      <w:r>
        <w:br w:type="page"/>
      </w:r>
    </w:p>
    <w:p w14:paraId="4E73FA10">
      <w:pPr>
        <w:spacing w:line="640" w:lineRule="exact"/>
        <w:ind w:firstLine="640"/>
        <w:jc w:val="both"/>
        <w:outlineLvl w:val="2"/>
      </w:pPr>
      <w:r>
        <w:rPr>
          <w:rFonts w:ascii="黑体" w:hAnsi="黑体" w:eastAsia="黑体"/>
          <w:sz w:val="32"/>
        </w:rPr>
        <w:t>十二、其他需说明的事项</w:t>
      </w:r>
    </w:p>
    <w:p w14:paraId="6FA31AB8">
      <w:pPr>
        <w:spacing w:line="580" w:lineRule="exact"/>
        <w:ind w:firstLine="640"/>
        <w:jc w:val="both"/>
      </w:pPr>
      <w:r>
        <w:rPr>
          <w:rFonts w:ascii="仿宋_GB2312" w:hAnsi="仿宋_GB2312" w:eastAsia="仿宋_GB2312"/>
          <w:b w:val="0"/>
          <w:sz w:val="32"/>
        </w:rPr>
        <w:t>本单位无其他需说明的事项。</w:t>
      </w:r>
    </w:p>
    <w:p w14:paraId="314A4533">
      <w:r>
        <w:br w:type="page"/>
      </w:r>
    </w:p>
    <w:p w14:paraId="2589B661">
      <w:pPr>
        <w:spacing w:line="240" w:lineRule="auto"/>
        <w:jc w:val="center"/>
        <w:outlineLvl w:val="1"/>
      </w:pPr>
      <w:r>
        <w:rPr>
          <w:rFonts w:ascii="黑体" w:hAnsi="黑体" w:eastAsia="黑体"/>
          <w:sz w:val="32"/>
        </w:rPr>
        <w:t>第三部分 专业名词解释</w:t>
      </w:r>
    </w:p>
    <w:p w14:paraId="468ADF2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43E3EB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86C46E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B84EA5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C2DDCF0">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1480CA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2A0230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B442B3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8A057A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57EBA3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8E2A53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46964E1">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2857D8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2A5876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9A19AD7">
      <w:r>
        <w:br w:type="page"/>
      </w:r>
    </w:p>
    <w:p w14:paraId="45127A50">
      <w:pPr>
        <w:spacing w:line="240" w:lineRule="auto"/>
        <w:jc w:val="center"/>
        <w:outlineLvl w:val="1"/>
      </w:pPr>
      <w:r>
        <w:rPr>
          <w:rFonts w:ascii="黑体" w:hAnsi="黑体" w:eastAsia="黑体"/>
          <w:sz w:val="32"/>
        </w:rPr>
        <w:t>第四部分 部门决算报表（见附表）</w:t>
      </w:r>
    </w:p>
    <w:p w14:paraId="7D210BA8">
      <w:pPr>
        <w:spacing w:line="240" w:lineRule="auto"/>
        <w:ind w:firstLine="640"/>
        <w:jc w:val="both"/>
      </w:pPr>
      <w:r>
        <w:rPr>
          <w:rFonts w:ascii="仿宋_GB2312" w:hAnsi="仿宋_GB2312" w:eastAsia="仿宋_GB2312"/>
          <w:b w:val="0"/>
          <w:sz w:val="32"/>
        </w:rPr>
        <w:t>一、《收入支出决算总表》</w:t>
      </w:r>
    </w:p>
    <w:p w14:paraId="686E2000">
      <w:pPr>
        <w:spacing w:line="240" w:lineRule="auto"/>
        <w:ind w:firstLine="640"/>
        <w:jc w:val="both"/>
      </w:pPr>
      <w:r>
        <w:rPr>
          <w:rFonts w:ascii="仿宋_GB2312" w:hAnsi="仿宋_GB2312" w:eastAsia="仿宋_GB2312"/>
          <w:b w:val="0"/>
          <w:sz w:val="32"/>
        </w:rPr>
        <w:t>二、《收入决算表》</w:t>
      </w:r>
    </w:p>
    <w:p w14:paraId="22EA306D">
      <w:pPr>
        <w:spacing w:line="240" w:lineRule="auto"/>
        <w:ind w:firstLine="640"/>
        <w:jc w:val="both"/>
      </w:pPr>
      <w:r>
        <w:rPr>
          <w:rFonts w:ascii="仿宋_GB2312" w:hAnsi="仿宋_GB2312" w:eastAsia="仿宋_GB2312"/>
          <w:b w:val="0"/>
          <w:sz w:val="32"/>
        </w:rPr>
        <w:t>三、《支出决算表》</w:t>
      </w:r>
    </w:p>
    <w:p w14:paraId="5A54653E">
      <w:pPr>
        <w:spacing w:line="240" w:lineRule="auto"/>
        <w:ind w:firstLine="640"/>
        <w:jc w:val="both"/>
      </w:pPr>
      <w:r>
        <w:rPr>
          <w:rFonts w:ascii="仿宋_GB2312" w:hAnsi="仿宋_GB2312" w:eastAsia="仿宋_GB2312"/>
          <w:b w:val="0"/>
          <w:sz w:val="32"/>
        </w:rPr>
        <w:t>四、《财政拨款收入支出决算总表》</w:t>
      </w:r>
    </w:p>
    <w:p w14:paraId="4393CDE8">
      <w:pPr>
        <w:spacing w:line="240" w:lineRule="auto"/>
        <w:ind w:firstLine="640"/>
        <w:jc w:val="both"/>
      </w:pPr>
      <w:r>
        <w:rPr>
          <w:rFonts w:ascii="仿宋_GB2312" w:hAnsi="仿宋_GB2312" w:eastAsia="仿宋_GB2312"/>
          <w:b w:val="0"/>
          <w:sz w:val="32"/>
        </w:rPr>
        <w:t>五、《一般公共预算财政拨款支出决算表》</w:t>
      </w:r>
    </w:p>
    <w:p w14:paraId="53827CE6">
      <w:pPr>
        <w:spacing w:line="240" w:lineRule="auto"/>
        <w:ind w:firstLine="640"/>
        <w:jc w:val="both"/>
      </w:pPr>
      <w:r>
        <w:rPr>
          <w:rFonts w:ascii="仿宋_GB2312" w:hAnsi="仿宋_GB2312" w:eastAsia="仿宋_GB2312"/>
          <w:b w:val="0"/>
          <w:sz w:val="32"/>
        </w:rPr>
        <w:t>六、《一般公共预算财政拨款基本支出决算表》</w:t>
      </w:r>
    </w:p>
    <w:p w14:paraId="6A361F8B">
      <w:pPr>
        <w:spacing w:line="240" w:lineRule="auto"/>
        <w:ind w:firstLine="640"/>
        <w:jc w:val="both"/>
      </w:pPr>
      <w:r>
        <w:rPr>
          <w:rFonts w:ascii="仿宋_GB2312" w:hAnsi="仿宋_GB2312" w:eastAsia="仿宋_GB2312"/>
          <w:b w:val="0"/>
          <w:sz w:val="32"/>
        </w:rPr>
        <w:t>七、《政府性基金预算财政拨款收入支出决算表》</w:t>
      </w:r>
    </w:p>
    <w:p w14:paraId="53BCC90C">
      <w:pPr>
        <w:spacing w:line="240" w:lineRule="auto"/>
        <w:ind w:firstLine="640"/>
        <w:jc w:val="both"/>
      </w:pPr>
      <w:r>
        <w:rPr>
          <w:rFonts w:ascii="仿宋_GB2312" w:hAnsi="仿宋_GB2312" w:eastAsia="仿宋_GB2312"/>
          <w:b w:val="0"/>
          <w:sz w:val="32"/>
        </w:rPr>
        <w:t>八、《国有资本经营预算财政拨款收入支出决算表》</w:t>
      </w:r>
    </w:p>
    <w:p w14:paraId="4DF86CB3">
      <w:pPr>
        <w:spacing w:line="240" w:lineRule="auto"/>
        <w:ind w:firstLine="640"/>
        <w:jc w:val="both"/>
      </w:pPr>
      <w:r>
        <w:rPr>
          <w:rFonts w:ascii="仿宋_GB2312" w:hAnsi="仿宋_GB2312" w:eastAsia="仿宋_GB2312"/>
          <w:b w:val="0"/>
          <w:sz w:val="32"/>
        </w:rPr>
        <w:t>九、《财政拨款“三公”经费支出决算表》</w:t>
      </w:r>
    </w:p>
    <w:p w14:paraId="1EEA95A4">
      <w:pPr>
        <w:spacing w:line="240" w:lineRule="auto"/>
        <w:ind w:firstLine="640"/>
        <w:jc w:val="both"/>
      </w:pPr>
    </w:p>
    <w:p w14:paraId="771E7E2F">
      <w:pPr>
        <w:spacing w:line="240" w:lineRule="auto"/>
        <w:ind w:firstLine="640"/>
        <w:jc w:val="both"/>
      </w:pPr>
    </w:p>
    <w:p w14:paraId="0E8C721C">
      <w:pPr>
        <w:spacing w:line="240" w:lineRule="auto"/>
        <w:ind w:firstLine="640"/>
        <w:jc w:val="both"/>
      </w:pPr>
    </w:p>
    <w:p w14:paraId="09BB89E1">
      <w:pPr>
        <w:spacing w:line="240" w:lineRule="auto"/>
        <w:ind w:firstLine="640"/>
        <w:jc w:val="both"/>
      </w:pPr>
    </w:p>
    <w:p w14:paraId="361FBE7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4FB9B6F-2E5A-4D4B-8F44-1347310EBAC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EB21CF15-8F4D-43A7-9732-0F69341A2EB3}"/>
  </w:font>
  <w:font w:name="仿宋_GB2312">
    <w:panose1 w:val="02010609030101010101"/>
    <w:charset w:val="86"/>
    <w:family w:val="modern"/>
    <w:pitch w:val="default"/>
    <w:sig w:usb0="00000001" w:usb1="080E0000" w:usb2="00000000" w:usb3="00000000" w:csb0="00040000" w:csb1="00000000"/>
    <w:embedRegular r:id="rId3" w:fontKey="{7A579B34-4620-4A5F-BFDA-B10655A00821}"/>
  </w:font>
  <w:font w:name="楷体_GB2312">
    <w:panose1 w:val="02010609030101010101"/>
    <w:charset w:val="86"/>
    <w:family w:val="auto"/>
    <w:pitch w:val="default"/>
    <w:sig w:usb0="00000001" w:usb1="080E0000" w:usb2="00000000" w:usb3="00000000" w:csb0="00040000" w:csb1="00000000"/>
    <w:embedRegular r:id="rId4" w:fontKey="{79D5EC82-14F5-4FBC-BBDC-08884A099C2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8311D07"/>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8F70E04"/>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6448</Words>
  <Characters>7217</Characters>
  <Lines>0</Lines>
  <Paragraphs>0</Paragraphs>
  <TotalTime>6</TotalTime>
  <ScaleCrop>false</ScaleCrop>
  <LinksUpToDate>false</LinksUpToDate>
  <CharactersWithSpaces>7227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2025-09-17T10:27:47Z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eyJoZGlkIjoiY2ViNTMyZDM2ZThmY2RiZDFlZjg1MjJiOThhYWMyNzAiLCJ1c2VySWQiOiI0MzE2NzY3NzkifQ==</vt:lpwstr>
  </property>
</Properties>
</file>