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0"/>
          <w:szCs w:val="30"/>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洛浦县医疗保障局2024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5EDC51F">
      <w:r>
        <w:br w:type="page"/>
      </w:r>
    </w:p>
    <w:p w14:paraId="6F5EC394">
      <w:pPr>
        <w:spacing w:line="640" w:lineRule="exact"/>
        <w:jc w:val="center"/>
        <w:outlineLvl w:val="1"/>
      </w:pPr>
      <w:r>
        <w:rPr>
          <w:rFonts w:ascii="黑体" w:hAnsi="黑体" w:eastAsia="黑体"/>
          <w:sz w:val="32"/>
        </w:rPr>
        <w:t>第一部分 单位概况</w:t>
      </w:r>
    </w:p>
    <w:p w14:paraId="06D7AD05">
      <w:pPr>
        <w:spacing w:line="640" w:lineRule="exact"/>
        <w:ind w:firstLine="640"/>
        <w:jc w:val="both"/>
        <w:outlineLvl w:val="2"/>
      </w:pPr>
      <w:r>
        <w:rPr>
          <w:rFonts w:ascii="黑体" w:hAnsi="黑体" w:eastAsia="黑体"/>
          <w:sz w:val="32"/>
        </w:rPr>
        <w:t>一、主要职能</w:t>
      </w:r>
    </w:p>
    <w:p w14:paraId="62904C0B">
      <w:pPr>
        <w:spacing w:line="580" w:lineRule="exact"/>
        <w:ind w:firstLine="640"/>
        <w:jc w:val="both"/>
      </w:pPr>
      <w:r>
        <w:rPr>
          <w:rFonts w:ascii="仿宋_GB2312" w:hAnsi="仿宋_GB2312" w:eastAsia="仿宋_GB2312"/>
          <w:sz w:val="32"/>
        </w:rPr>
        <w:t>（1）贯彻实施国家医疗保险、生育保险、医疗救助等医疗保障制度，执行医疗保障制度的法规、规划、政策和标准；组织实施人身意外伤害保险、大额医疗补助、公务员医疗补助、企业事业单位补助和优抚对象医疗保障等政策和管理办法。组织实施洛浦县医疗保险、生育保险等政策。</w:t>
      </w:r>
    </w:p>
    <w:p w14:paraId="3A654135">
      <w:pPr>
        <w:spacing w:line="580" w:lineRule="exact"/>
        <w:ind w:firstLine="640"/>
        <w:jc w:val="both"/>
      </w:pPr>
      <w:r>
        <w:rPr>
          <w:rFonts w:ascii="仿宋_GB2312" w:hAnsi="仿宋_GB2312" w:eastAsia="仿宋_GB2312"/>
          <w:sz w:val="32"/>
        </w:rPr>
        <w:t>（2）实施医疗保障基金监督管理办法，承担推进医疗保障基金支付方式改革工作。</w:t>
      </w:r>
    </w:p>
    <w:p w14:paraId="546CF247">
      <w:pPr>
        <w:spacing w:line="580" w:lineRule="exact"/>
        <w:ind w:firstLine="640"/>
        <w:jc w:val="both"/>
      </w:pPr>
      <w:r>
        <w:rPr>
          <w:rFonts w:ascii="仿宋_GB2312" w:hAnsi="仿宋_GB2312" w:eastAsia="仿宋_GB2312"/>
          <w:sz w:val="32"/>
        </w:rPr>
        <w:t>（3）组织实施医疗保障筹资和待遇政策，统筹城乡医疗保障待遇标准，建立健全与筹资水平相适应的待遇调整机制。</w:t>
      </w:r>
    </w:p>
    <w:p w14:paraId="64EB0665">
      <w:pPr>
        <w:spacing w:line="580" w:lineRule="exact"/>
        <w:ind w:firstLine="640"/>
        <w:jc w:val="both"/>
      </w:pPr>
      <w:r>
        <w:rPr>
          <w:rFonts w:ascii="仿宋_GB2312" w:hAnsi="仿宋_GB2312" w:eastAsia="仿宋_GB2312"/>
          <w:sz w:val="32"/>
        </w:rPr>
        <w:t>（4）组织实施城乡统一的药品、医用耗材、医疗服务项目、医疗服务设施等医保目录和支付标准，建立动态调整机制。</w:t>
      </w:r>
    </w:p>
    <w:p w14:paraId="4157749A">
      <w:pPr>
        <w:spacing w:line="640" w:lineRule="exact"/>
        <w:ind w:firstLine="640"/>
        <w:jc w:val="both"/>
        <w:outlineLvl w:val="2"/>
      </w:pPr>
      <w:r>
        <w:rPr>
          <w:rFonts w:ascii="黑体" w:hAnsi="黑体" w:eastAsia="黑体"/>
          <w:sz w:val="32"/>
        </w:rPr>
        <w:t>二、机构设置及人员情况</w:t>
      </w:r>
    </w:p>
    <w:p w14:paraId="7E5C8EEF">
      <w:pPr>
        <w:spacing w:line="580" w:lineRule="exact"/>
        <w:ind w:firstLine="640"/>
        <w:jc w:val="both"/>
      </w:pPr>
      <w:r>
        <w:rPr>
          <w:rFonts w:ascii="仿宋_GB2312" w:hAnsi="仿宋_GB2312" w:eastAsia="仿宋_GB2312"/>
          <w:sz w:val="32"/>
        </w:rPr>
        <w:t>洛浦县医疗保障局2024年度，实有人数22人，其中：在职人员20人，增加0人；离休人员0人，增加0人；退休人员2人</w:t>
      </w:r>
      <w:r>
        <w:rPr>
          <w:rFonts w:hint="eastAsia" w:ascii="仿宋_GB2312" w:hAnsi="仿宋_GB2312" w:eastAsia="仿宋_GB2312"/>
          <w:sz w:val="32"/>
          <w:lang w:eastAsia="zh-CN"/>
        </w:rPr>
        <w:t>，</w:t>
      </w:r>
      <w:r>
        <w:rPr>
          <w:rFonts w:ascii="仿宋_GB2312" w:hAnsi="仿宋_GB2312" w:eastAsia="仿宋_GB2312"/>
          <w:sz w:val="32"/>
        </w:rPr>
        <w:t>增加2人。</w:t>
      </w:r>
    </w:p>
    <w:p w14:paraId="0A6504DE">
      <w:pPr>
        <w:spacing w:line="580" w:lineRule="exact"/>
        <w:ind w:firstLine="640"/>
        <w:jc w:val="both"/>
      </w:pPr>
      <w:r>
        <w:rPr>
          <w:rFonts w:ascii="仿宋_GB2312" w:hAnsi="仿宋_GB2312" w:eastAsia="仿宋_GB2312"/>
          <w:sz w:val="32"/>
        </w:rPr>
        <w:t>洛浦县医疗保障局无下属预算单位，下设4个科室，分别是：办公室、财务室、基金监管科、综合业务科。</w:t>
      </w:r>
    </w:p>
    <w:p w14:paraId="05C63285">
      <w:r>
        <w:br w:type="page"/>
      </w:r>
    </w:p>
    <w:p w14:paraId="722A934E">
      <w:pPr>
        <w:spacing w:line="240" w:lineRule="auto"/>
        <w:jc w:val="center"/>
        <w:outlineLvl w:val="1"/>
      </w:pPr>
      <w:r>
        <w:rPr>
          <w:rFonts w:ascii="黑体" w:hAnsi="黑体" w:eastAsia="黑体"/>
          <w:sz w:val="32"/>
        </w:rPr>
        <w:t>第二部分 部门决算情况说明</w:t>
      </w:r>
    </w:p>
    <w:p w14:paraId="085E657A">
      <w:pPr>
        <w:spacing w:line="640" w:lineRule="exact"/>
        <w:ind w:firstLine="640"/>
        <w:jc w:val="both"/>
        <w:outlineLvl w:val="2"/>
      </w:pPr>
      <w:r>
        <w:rPr>
          <w:rFonts w:ascii="黑体" w:hAnsi="黑体" w:eastAsia="黑体"/>
          <w:sz w:val="32"/>
        </w:rPr>
        <w:t>一、收入支出决算总体情况说明</w:t>
      </w:r>
    </w:p>
    <w:p w14:paraId="75645703">
      <w:pPr>
        <w:spacing w:line="580" w:lineRule="exact"/>
        <w:ind w:firstLine="640"/>
        <w:jc w:val="both"/>
      </w:pPr>
      <w:r>
        <w:rPr>
          <w:rFonts w:ascii="仿宋_GB2312" w:hAnsi="仿宋_GB2312" w:eastAsia="仿宋_GB2312"/>
          <w:b/>
          <w:sz w:val="32"/>
        </w:rPr>
        <w:t>2024年度收入总计441.98万元，</w:t>
      </w:r>
      <w:r>
        <w:rPr>
          <w:rFonts w:ascii="仿宋_GB2312" w:hAnsi="仿宋_GB2312" w:eastAsia="仿宋_GB2312"/>
          <w:b w:val="0"/>
          <w:sz w:val="32"/>
        </w:rPr>
        <w:t>其中：本年收入合计441.98万元，使用非财政拨款结余（含专用结余）0.00万元，年初结转和结余0.00万元。</w:t>
      </w:r>
    </w:p>
    <w:p w14:paraId="33349349">
      <w:pPr>
        <w:spacing w:line="580" w:lineRule="exact"/>
        <w:ind w:firstLine="640"/>
        <w:jc w:val="both"/>
      </w:pPr>
      <w:r>
        <w:rPr>
          <w:rFonts w:ascii="仿宋_GB2312" w:hAnsi="仿宋_GB2312" w:eastAsia="仿宋_GB2312"/>
          <w:b/>
          <w:sz w:val="32"/>
        </w:rPr>
        <w:t>2024年度支出总计441.98万元，</w:t>
      </w:r>
      <w:r>
        <w:rPr>
          <w:rFonts w:ascii="仿宋_GB2312" w:hAnsi="仿宋_GB2312" w:eastAsia="仿宋_GB2312"/>
          <w:b w:val="0"/>
          <w:sz w:val="32"/>
        </w:rPr>
        <w:t>其中：本年支出合计441.98万元，结余分配0.00万元，年末结转和结余0.00万元。</w:t>
      </w:r>
    </w:p>
    <w:p w14:paraId="2ABE3D8B">
      <w:pPr>
        <w:spacing w:line="580" w:lineRule="exact"/>
        <w:ind w:firstLine="640"/>
        <w:jc w:val="both"/>
      </w:pPr>
      <w:r>
        <w:rPr>
          <w:rFonts w:ascii="仿宋_GB2312" w:hAnsi="仿宋_GB2312" w:eastAsia="仿宋_GB2312"/>
          <w:b w:val="0"/>
          <w:sz w:val="32"/>
        </w:rPr>
        <w:t>收入支出总体与上年相比，减少1,367.43万元，下降75.57%，主要原因是：本年减少中央及自治区财政医疗救助补助资金、减少2023年自治区财政全民参保及医疗服务补助资金、减少为民办实事工作经费。</w:t>
      </w:r>
    </w:p>
    <w:p w14:paraId="0C873989">
      <w:pPr>
        <w:spacing w:line="640" w:lineRule="exact"/>
        <w:ind w:firstLine="640"/>
        <w:jc w:val="both"/>
        <w:outlineLvl w:val="2"/>
      </w:pPr>
      <w:r>
        <w:rPr>
          <w:rFonts w:ascii="黑体" w:hAnsi="黑体" w:eastAsia="黑体"/>
          <w:sz w:val="32"/>
        </w:rPr>
        <w:t>二、收入决算情况说明</w:t>
      </w:r>
    </w:p>
    <w:p w14:paraId="25D15C9B">
      <w:pPr>
        <w:spacing w:line="580" w:lineRule="exact"/>
        <w:ind w:firstLine="640"/>
        <w:jc w:val="both"/>
      </w:pPr>
      <w:r>
        <w:rPr>
          <w:rFonts w:ascii="仿宋_GB2312" w:hAnsi="仿宋_GB2312" w:eastAsia="仿宋_GB2312"/>
          <w:b/>
          <w:sz w:val="32"/>
        </w:rPr>
        <w:t>本年收入441.98万元，</w:t>
      </w:r>
      <w:r>
        <w:rPr>
          <w:rFonts w:ascii="仿宋_GB2312" w:hAnsi="仿宋_GB2312" w:eastAsia="仿宋_GB2312"/>
          <w:b w:val="0"/>
          <w:sz w:val="32"/>
        </w:rPr>
        <w:t>其中：财政拨款收入441.98万元，占100.00%；上级补助收入0.00万元，占0.00%；事业收入0.00万元，占0.00%；经营收入0.00万元，占0.00%；附属单位上缴收入0.00万元，占0.00%；其他收入0.00万元，占0.00%。</w:t>
      </w:r>
    </w:p>
    <w:p w14:paraId="404F39F3">
      <w:pPr>
        <w:spacing w:line="640" w:lineRule="exact"/>
        <w:ind w:firstLine="640"/>
        <w:jc w:val="both"/>
        <w:outlineLvl w:val="2"/>
      </w:pPr>
      <w:r>
        <w:rPr>
          <w:rFonts w:ascii="黑体" w:hAnsi="黑体" w:eastAsia="黑体"/>
          <w:sz w:val="32"/>
        </w:rPr>
        <w:t>三、支出决算情况说明</w:t>
      </w:r>
    </w:p>
    <w:p w14:paraId="1287F648">
      <w:pPr>
        <w:spacing w:line="580" w:lineRule="exact"/>
        <w:ind w:firstLine="640"/>
        <w:jc w:val="both"/>
      </w:pPr>
      <w:r>
        <w:rPr>
          <w:rFonts w:ascii="仿宋_GB2312" w:hAnsi="仿宋_GB2312" w:eastAsia="仿宋_GB2312"/>
          <w:b/>
          <w:sz w:val="32"/>
        </w:rPr>
        <w:t>本年支出441.98万元，</w:t>
      </w:r>
      <w:r>
        <w:rPr>
          <w:rFonts w:ascii="仿宋_GB2312" w:hAnsi="仿宋_GB2312" w:eastAsia="仿宋_GB2312"/>
          <w:b w:val="0"/>
          <w:sz w:val="32"/>
        </w:rPr>
        <w:t>其中：基本支出415.53万元，占94.02%；项目支出26.45万元，占5.98%；上缴上级支出0.00万元，占0.00%；经营支出0.00万元，占0.00%；对附属单位补助支出0.00万元，占0.00%。</w:t>
      </w:r>
    </w:p>
    <w:p w14:paraId="55504360">
      <w:pPr>
        <w:spacing w:line="640" w:lineRule="exact"/>
        <w:ind w:firstLine="640"/>
        <w:jc w:val="both"/>
        <w:outlineLvl w:val="2"/>
      </w:pPr>
      <w:r>
        <w:rPr>
          <w:rFonts w:ascii="黑体" w:hAnsi="黑体" w:eastAsia="黑体"/>
          <w:sz w:val="32"/>
        </w:rPr>
        <w:t>四、财政拨款收入支出决算总体情况说明</w:t>
      </w:r>
    </w:p>
    <w:p w14:paraId="5012E959">
      <w:pPr>
        <w:spacing w:line="580" w:lineRule="exact"/>
        <w:ind w:firstLine="640"/>
        <w:jc w:val="both"/>
      </w:pPr>
      <w:r>
        <w:rPr>
          <w:rFonts w:ascii="仿宋_GB2312" w:hAnsi="仿宋_GB2312" w:eastAsia="仿宋_GB2312"/>
          <w:b/>
          <w:sz w:val="32"/>
        </w:rPr>
        <w:t>2024年度财政拨款收入总计441.98万元，</w:t>
      </w:r>
      <w:r>
        <w:rPr>
          <w:rFonts w:ascii="仿宋_GB2312" w:hAnsi="仿宋_GB2312" w:eastAsia="仿宋_GB2312"/>
          <w:b w:val="0"/>
          <w:sz w:val="32"/>
        </w:rPr>
        <w:t>其中：年初财政拨款结转和结余0.00万元，本年财政拨款收入441.98万元。</w:t>
      </w:r>
      <w:r>
        <w:rPr>
          <w:rFonts w:ascii="仿宋_GB2312" w:hAnsi="仿宋_GB2312" w:eastAsia="仿宋_GB2312"/>
          <w:b/>
          <w:sz w:val="32"/>
        </w:rPr>
        <w:t>财政拨款支出总计441.98万元，</w:t>
      </w:r>
      <w:r>
        <w:rPr>
          <w:rFonts w:ascii="仿宋_GB2312" w:hAnsi="仿宋_GB2312" w:eastAsia="仿宋_GB2312"/>
          <w:b w:val="0"/>
          <w:sz w:val="32"/>
        </w:rPr>
        <w:t>其中：年末财政拨款结转和结余0.00万元，本年财政拨款支出441.98万元。</w:t>
      </w:r>
    </w:p>
    <w:p w14:paraId="3393648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减少1,367.43万元，下降75.57%，主要原因是：本年减少中央及自治区财政医疗救助补助资金、减少2023年自治区财政全民参保及医疗服务补助资金、减少为民办实事工作经费。</w:t>
      </w:r>
      <w:r>
        <w:rPr>
          <w:rFonts w:ascii="仿宋_GB2312" w:hAnsi="仿宋_GB2312" w:eastAsia="仿宋_GB2312"/>
          <w:b/>
          <w:sz w:val="32"/>
        </w:rPr>
        <w:t>与年初预算相比，</w:t>
      </w:r>
      <w:r>
        <w:rPr>
          <w:rFonts w:ascii="仿宋_GB2312" w:hAnsi="仿宋_GB2312" w:eastAsia="仿宋_GB2312"/>
          <w:b w:val="0"/>
          <w:sz w:val="32"/>
        </w:rPr>
        <w:t>年初预算数564.18万元，决算数441.98万元，预决算差异率-21.66%，主要原因是：年中调减中央及自治区财政医疗救助补助资金、医疗服务与保障能力提升中央财政补助资金。</w:t>
      </w:r>
    </w:p>
    <w:p w14:paraId="60C369A1">
      <w:pPr>
        <w:spacing w:line="640" w:lineRule="exact"/>
        <w:ind w:firstLine="640"/>
        <w:jc w:val="both"/>
        <w:outlineLvl w:val="2"/>
      </w:pPr>
      <w:r>
        <w:rPr>
          <w:rFonts w:ascii="黑体" w:hAnsi="黑体" w:eastAsia="黑体"/>
          <w:sz w:val="32"/>
        </w:rPr>
        <w:t>五、一般公共预算财政拨款支出决算情况说明</w:t>
      </w:r>
    </w:p>
    <w:p w14:paraId="32EF8F1C">
      <w:pPr>
        <w:spacing w:line="640" w:lineRule="exact"/>
        <w:ind w:firstLine="640"/>
        <w:jc w:val="both"/>
        <w:outlineLvl w:val="3"/>
      </w:pPr>
      <w:r>
        <w:rPr>
          <w:rFonts w:ascii="楷体_GB2312" w:hAnsi="楷体_GB2312" w:eastAsia="楷体_GB2312"/>
          <w:b/>
          <w:sz w:val="32"/>
        </w:rPr>
        <w:t>（一）一般公共预算财政拨款支出决算总体情况</w:t>
      </w:r>
    </w:p>
    <w:p w14:paraId="3199AE9F">
      <w:pPr>
        <w:spacing w:line="580" w:lineRule="exact"/>
        <w:ind w:firstLine="640"/>
        <w:jc w:val="both"/>
      </w:pPr>
      <w:r>
        <w:rPr>
          <w:rFonts w:ascii="仿宋_GB2312" w:hAnsi="仿宋_GB2312" w:eastAsia="仿宋_GB2312"/>
          <w:b/>
          <w:sz w:val="32"/>
        </w:rPr>
        <w:t>2024年度一般公共预算财政拨款支出441.98万元，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减少285.43万元，下降39.24%，主要原因是：本年减少中央财政医疗救助补助资金、减少2023年自治区财政全民参保及医疗服务补助资金、减少为民办实事工作经费。</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年初预算数564.18万元，决算数441.98万元，预决算差异率-21.66%，主要原因是：年中调减中央及自治区财政医疗救助补助资金、医疗服务与保障能力提升中央财政补助资金。</w:t>
      </w:r>
    </w:p>
    <w:p w14:paraId="6E760BD0">
      <w:pPr>
        <w:spacing w:line="640" w:lineRule="exact"/>
        <w:ind w:firstLine="640"/>
        <w:jc w:val="both"/>
        <w:outlineLvl w:val="3"/>
      </w:pPr>
      <w:r>
        <w:rPr>
          <w:rFonts w:ascii="楷体_GB2312" w:hAnsi="楷体_GB2312" w:eastAsia="楷体_GB2312"/>
          <w:b/>
          <w:sz w:val="32"/>
        </w:rPr>
        <w:t>（二）一般公共预算财政拨款支出决算结构情况</w:t>
      </w:r>
    </w:p>
    <w:p w14:paraId="6BFC023F">
      <w:pPr>
        <w:spacing w:line="580" w:lineRule="exact"/>
        <w:ind w:firstLine="640"/>
        <w:jc w:val="both"/>
      </w:pPr>
      <w:r>
        <w:rPr>
          <w:rFonts w:ascii="仿宋_GB2312" w:hAnsi="仿宋_GB2312" w:eastAsia="仿宋_GB2312"/>
          <w:b w:val="0"/>
          <w:sz w:val="32"/>
        </w:rPr>
        <w:t>1.社会保障和就业支出(类)51.90万元</w:t>
      </w:r>
      <w:r>
        <w:rPr>
          <w:rFonts w:hint="eastAsia" w:ascii="仿宋_GB2312" w:hAnsi="仿宋_GB2312" w:eastAsia="仿宋_GB2312"/>
          <w:b w:val="0"/>
          <w:sz w:val="32"/>
          <w:lang w:eastAsia="zh-CN"/>
        </w:rPr>
        <w:t>，</w:t>
      </w:r>
      <w:r>
        <w:rPr>
          <w:rFonts w:ascii="仿宋_GB2312" w:hAnsi="仿宋_GB2312" w:eastAsia="仿宋_GB2312"/>
          <w:b w:val="0"/>
          <w:sz w:val="32"/>
        </w:rPr>
        <w:t>占11.74%。</w:t>
      </w:r>
    </w:p>
    <w:p w14:paraId="2E10BDAD">
      <w:pPr>
        <w:spacing w:line="580" w:lineRule="exact"/>
        <w:ind w:firstLine="640"/>
        <w:jc w:val="both"/>
      </w:pPr>
      <w:r>
        <w:rPr>
          <w:rFonts w:ascii="仿宋_GB2312" w:hAnsi="仿宋_GB2312" w:eastAsia="仿宋_GB2312"/>
          <w:b w:val="0"/>
          <w:sz w:val="32"/>
        </w:rPr>
        <w:t>2.卫生健康支出(类)345.78万元</w:t>
      </w:r>
      <w:r>
        <w:rPr>
          <w:rFonts w:hint="eastAsia" w:ascii="仿宋_GB2312" w:hAnsi="仿宋_GB2312" w:eastAsia="仿宋_GB2312"/>
          <w:b w:val="0"/>
          <w:sz w:val="32"/>
          <w:lang w:eastAsia="zh-CN"/>
        </w:rPr>
        <w:t>，</w:t>
      </w:r>
      <w:r>
        <w:rPr>
          <w:rFonts w:ascii="仿宋_GB2312" w:hAnsi="仿宋_GB2312" w:eastAsia="仿宋_GB2312"/>
          <w:b w:val="0"/>
          <w:sz w:val="32"/>
        </w:rPr>
        <w:t>占78.23%。</w:t>
      </w:r>
    </w:p>
    <w:p w14:paraId="32E2E4EB">
      <w:pPr>
        <w:spacing w:line="580" w:lineRule="exact"/>
        <w:ind w:firstLine="640"/>
        <w:jc w:val="both"/>
      </w:pPr>
      <w:r>
        <w:rPr>
          <w:rFonts w:ascii="仿宋_GB2312" w:hAnsi="仿宋_GB2312" w:eastAsia="仿宋_GB2312"/>
          <w:b w:val="0"/>
          <w:sz w:val="32"/>
        </w:rPr>
        <w:t>3.住房保障支出(类)31.84万元</w:t>
      </w:r>
      <w:r>
        <w:rPr>
          <w:rFonts w:hint="eastAsia" w:ascii="仿宋_GB2312" w:hAnsi="仿宋_GB2312" w:eastAsia="仿宋_GB2312"/>
          <w:b w:val="0"/>
          <w:sz w:val="32"/>
          <w:lang w:eastAsia="zh-CN"/>
        </w:rPr>
        <w:t>，</w:t>
      </w:r>
      <w:r>
        <w:rPr>
          <w:rFonts w:ascii="仿宋_GB2312" w:hAnsi="仿宋_GB2312" w:eastAsia="仿宋_GB2312"/>
          <w:b w:val="0"/>
          <w:sz w:val="32"/>
        </w:rPr>
        <w:t>占7.20%。</w:t>
      </w:r>
    </w:p>
    <w:p w14:paraId="19EFA528">
      <w:pPr>
        <w:spacing w:line="580" w:lineRule="exact"/>
        <w:ind w:firstLine="640"/>
        <w:jc w:val="both"/>
      </w:pPr>
      <w:r>
        <w:rPr>
          <w:rFonts w:ascii="仿宋_GB2312" w:hAnsi="仿宋_GB2312" w:eastAsia="仿宋_GB2312"/>
          <w:b w:val="0"/>
          <w:sz w:val="32"/>
        </w:rPr>
        <w:t>4.其他支出(类)12.45万元</w:t>
      </w:r>
      <w:r>
        <w:rPr>
          <w:rFonts w:hint="eastAsia" w:ascii="仿宋_GB2312" w:hAnsi="仿宋_GB2312" w:eastAsia="仿宋_GB2312"/>
          <w:b w:val="0"/>
          <w:sz w:val="32"/>
          <w:lang w:eastAsia="zh-CN"/>
        </w:rPr>
        <w:t>，</w:t>
      </w:r>
      <w:r>
        <w:rPr>
          <w:rFonts w:ascii="仿宋_GB2312" w:hAnsi="仿宋_GB2312" w:eastAsia="仿宋_GB2312"/>
          <w:b w:val="0"/>
          <w:sz w:val="32"/>
        </w:rPr>
        <w:t>占2.82%。</w:t>
      </w:r>
    </w:p>
    <w:p w14:paraId="607C1C8C">
      <w:pPr>
        <w:spacing w:line="640" w:lineRule="exact"/>
        <w:ind w:firstLine="640"/>
        <w:jc w:val="both"/>
        <w:outlineLvl w:val="3"/>
      </w:pPr>
      <w:r>
        <w:rPr>
          <w:rFonts w:ascii="楷体_GB2312" w:hAnsi="楷体_GB2312" w:eastAsia="楷体_GB2312"/>
          <w:b/>
          <w:sz w:val="32"/>
        </w:rPr>
        <w:t>（三）一般公共预算财政拨款支出决算具体情况</w:t>
      </w:r>
    </w:p>
    <w:p w14:paraId="6E141144">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1.社会保障和就业支出(类)行政事业单位养老支出(款)行政单位离退休(项):支出决算数为0.80万元，比上年决算增加0.80万元，增长100.00%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主要原因是：本年功能科目调整，行政单位离退休上年度在主科目列支，本年单独列支，导致经费较上年增加。</w:t>
      </w:r>
    </w:p>
    <w:p w14:paraId="3B68200C">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2.社会保障和就业支出(类)行政事业单位养老支出(款)机关事业单位基本养老保险缴费支出(项):支出决算数为41.82万元，比上年决算增加6.62万元，增长18.81%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主要原因是：本年在职人员工资基数调增，养老缴费基数上涨，相应支出增加。</w:t>
      </w:r>
    </w:p>
    <w:p w14:paraId="02732E41">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3.社会保障和就业支出(类)行政事业单位养老支出(款)机关事业单位职业年金缴费支出(项):支出决算数为9.27万元，比上年决算增加9.27万元，增长100.00%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主要原因是：本年新增退休人员，职业年金缴费支出增加。</w:t>
      </w:r>
    </w:p>
    <w:p w14:paraId="3FB9D82F">
      <w:pPr>
        <w:spacing w:line="580" w:lineRule="exact"/>
        <w:ind w:firstLine="640"/>
        <w:jc w:val="both"/>
      </w:pPr>
      <w:r>
        <w:rPr>
          <w:rFonts w:ascii="仿宋_GB2312" w:hAnsi="仿宋_GB2312" w:eastAsia="仿宋_GB2312"/>
          <w:b w:val="0"/>
          <w:sz w:val="32"/>
        </w:rPr>
        <w:t>4.卫生健康支出(类)行政事业单位医疗(款)行政单位医疗(项):支出决算数为16.99万元，比上年决算增加16.99万元，增长100.00%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主要原因是：本年功能科目调整，行政单位医疗上年度在主科目列支，本年单独列支，导致经费较上年增加。</w:t>
      </w:r>
    </w:p>
    <w:p w14:paraId="3C1C2069">
      <w:pPr>
        <w:spacing w:line="580" w:lineRule="exact"/>
        <w:ind w:firstLine="640"/>
        <w:jc w:val="both"/>
      </w:pPr>
      <w:r>
        <w:rPr>
          <w:rFonts w:ascii="仿宋_GB2312" w:hAnsi="仿宋_GB2312" w:eastAsia="仿宋_GB2312"/>
          <w:b w:val="0"/>
          <w:sz w:val="32"/>
        </w:rPr>
        <w:t>5.卫生健康支出(类)行政事业单位医疗(款)公务员医疗补助(项):支出决算数为4.53万元，比上年决算增加4.53万元，增长100.00%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主要原因是：本年功能科目调整，公务员医疗补助上年度在主科目列支，本年单独列支，导致经费较上年增加。</w:t>
      </w:r>
    </w:p>
    <w:p w14:paraId="4CB3D19C">
      <w:pPr>
        <w:spacing w:line="580" w:lineRule="exact"/>
        <w:ind w:firstLine="640"/>
        <w:jc w:val="both"/>
      </w:pPr>
      <w:r>
        <w:rPr>
          <w:rFonts w:ascii="仿宋_GB2312" w:hAnsi="仿宋_GB2312" w:eastAsia="仿宋_GB2312"/>
          <w:b w:val="0"/>
          <w:sz w:val="32"/>
        </w:rPr>
        <w:t>6.卫生健康支出(类)医疗救助(款)城乡医疗救助(项):支出决算数为0.00万元，比上年决算减少276.30万元，下降100.00%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主要原因是：本年减少中央财政医疗救助补助资金。</w:t>
      </w:r>
    </w:p>
    <w:p w14:paraId="24688BB5">
      <w:pPr>
        <w:spacing w:line="580" w:lineRule="exact"/>
        <w:ind w:firstLine="640"/>
        <w:jc w:val="both"/>
      </w:pPr>
      <w:r>
        <w:rPr>
          <w:rFonts w:ascii="仿宋_GB2312" w:hAnsi="仿宋_GB2312" w:eastAsia="仿宋_GB2312"/>
          <w:b w:val="0"/>
          <w:sz w:val="32"/>
        </w:rPr>
        <w:t>7.卫生健康支出(类)医疗保障管理事务(款)行政运行(项):支出决算数为310.26万元，比上年决算减少61.51万元，下降16.55%</w:t>
      </w:r>
      <w:r>
        <w:rPr>
          <w:rFonts w:hint="eastAsia" w:ascii="仿宋_GB2312" w:hAnsi="仿宋_GB2312" w:eastAsia="仿宋_GB2312"/>
          <w:b w:val="0"/>
          <w:sz w:val="32"/>
          <w:lang w:eastAsia="zh-CN"/>
        </w:rPr>
        <w:t>，</w:t>
      </w:r>
      <w:r>
        <w:rPr>
          <w:rFonts w:ascii="仿宋_GB2312" w:hAnsi="仿宋_GB2312" w:eastAsia="仿宋_GB2312"/>
          <w:b w:val="0"/>
          <w:sz w:val="32"/>
        </w:rPr>
        <w:t>主要原因是：上年度退休人员经费，在职人员医疗缴费、公务员医疗补助、住房公积金上年度在主科目列支，本年单独列支，导致本科目减少。</w:t>
      </w:r>
    </w:p>
    <w:p w14:paraId="5A3678A2">
      <w:pPr>
        <w:spacing w:line="580" w:lineRule="exact"/>
        <w:ind w:firstLine="640"/>
        <w:jc w:val="both"/>
      </w:pPr>
      <w:r>
        <w:rPr>
          <w:rFonts w:ascii="仿宋_GB2312" w:hAnsi="仿宋_GB2312" w:eastAsia="仿宋_GB2312"/>
          <w:b w:val="0"/>
          <w:sz w:val="32"/>
        </w:rPr>
        <w:t>8.卫生健康支出(类)医疗保障管理事务(款)医疗保障经办事务(项):支出决算数为0.00万元，比上年决算减少8.33万元，下降100.00%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主要原因是：本年减少2023年自治区财政全民参保及医疗服务补助资金。</w:t>
      </w:r>
    </w:p>
    <w:p w14:paraId="3A06B2E0">
      <w:pPr>
        <w:spacing w:line="580" w:lineRule="exact"/>
        <w:ind w:firstLine="640"/>
        <w:jc w:val="both"/>
      </w:pPr>
      <w:r>
        <w:rPr>
          <w:rFonts w:ascii="仿宋_GB2312" w:hAnsi="仿宋_GB2312" w:eastAsia="仿宋_GB2312"/>
          <w:b w:val="0"/>
          <w:sz w:val="32"/>
        </w:rPr>
        <w:t>9.卫生健康支出(类)医疗保障管理事务(款)其他医疗保障管理事务支出(项):支出决算数为14.00万元，比上年决算减少1.00万元，下降6.67%</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主要原因是：本年减少医疗服务与保障能力提升中央财政补助资金。</w:t>
      </w:r>
    </w:p>
    <w:p w14:paraId="06FCB9EB">
      <w:pPr>
        <w:spacing w:line="580" w:lineRule="exact"/>
        <w:ind w:firstLine="640"/>
        <w:jc w:val="both"/>
      </w:pPr>
      <w:r>
        <w:rPr>
          <w:rFonts w:ascii="仿宋_GB2312" w:hAnsi="仿宋_GB2312" w:eastAsia="仿宋_GB2312"/>
          <w:b w:val="0"/>
          <w:sz w:val="32"/>
        </w:rPr>
        <w:t>10.住房保障支出(类)住房改革支出(款)住房公积金(项):支出决算数为31.84万元，比上年决算增加31.84万元，增长100.00%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主要原因是：本年功能科目调整，住房公积金上年度在主科目列支，本年单独列支，导致经费较上年增加。</w:t>
      </w:r>
    </w:p>
    <w:p w14:paraId="548FF1A2">
      <w:pPr>
        <w:spacing w:line="580" w:lineRule="exact"/>
        <w:ind w:firstLine="640"/>
        <w:jc w:val="both"/>
      </w:pPr>
      <w:r>
        <w:rPr>
          <w:rFonts w:ascii="仿宋_GB2312" w:hAnsi="仿宋_GB2312" w:eastAsia="仿宋_GB2312"/>
          <w:b w:val="0"/>
          <w:sz w:val="32"/>
        </w:rPr>
        <w:t>11.其他支出(类)其他支出(款)其他支出(项):支出决算数为12.45万元，比上年决算减少8.36万元，下降40.17%</w:t>
      </w:r>
      <w:r>
        <w:rPr>
          <w:rFonts w:hint="eastAsia" w:ascii="仿宋_GB2312" w:hAnsi="仿宋_GB2312" w:eastAsia="仿宋_GB2312"/>
          <w:b w:val="0"/>
          <w:sz w:val="32"/>
          <w:lang w:eastAsia="zh-CN"/>
        </w:rPr>
        <w:t>，</w:t>
      </w:r>
      <w:r>
        <w:rPr>
          <w:rFonts w:ascii="仿宋_GB2312" w:hAnsi="仿宋_GB2312" w:eastAsia="仿宋_GB2312"/>
          <w:b w:val="0"/>
          <w:sz w:val="32"/>
        </w:rPr>
        <w:t>主要原因是：本年为民办实事工作经费较上年减少。</w:t>
      </w:r>
    </w:p>
    <w:p w14:paraId="4052A262">
      <w:pPr>
        <w:spacing w:line="640" w:lineRule="exact"/>
        <w:ind w:firstLine="640"/>
        <w:jc w:val="both"/>
        <w:outlineLvl w:val="2"/>
      </w:pPr>
      <w:r>
        <w:rPr>
          <w:rFonts w:ascii="黑体" w:hAnsi="黑体" w:eastAsia="黑体"/>
          <w:sz w:val="32"/>
        </w:rPr>
        <w:t>六、一般公共预算财政拨款基本支出决算情况说明</w:t>
      </w:r>
    </w:p>
    <w:p w14:paraId="7313CAC3">
      <w:pPr>
        <w:spacing w:line="580" w:lineRule="exact"/>
        <w:ind w:firstLine="640"/>
        <w:jc w:val="both"/>
      </w:pPr>
      <w:r>
        <w:rPr>
          <w:rFonts w:ascii="仿宋_GB2312" w:hAnsi="仿宋_GB2312" w:eastAsia="仿宋_GB2312"/>
          <w:b w:val="0"/>
          <w:sz w:val="32"/>
        </w:rPr>
        <w:t>2024年度一般公共预算财政拨款基本支出415.53万元，其中：</w:t>
      </w:r>
      <w:r>
        <w:rPr>
          <w:rFonts w:ascii="仿宋_GB2312" w:hAnsi="仿宋_GB2312" w:eastAsia="仿宋_GB2312"/>
          <w:b/>
          <w:sz w:val="32"/>
        </w:rPr>
        <w:t>人员经费411.19万元，</w:t>
      </w:r>
      <w:r>
        <w:rPr>
          <w:rFonts w:ascii="仿宋_GB2312" w:hAnsi="仿宋_GB2312" w:eastAsia="仿宋_GB2312"/>
          <w:b w:val="0"/>
          <w:sz w:val="32"/>
        </w:rPr>
        <w:t>包括：基本工资、津贴补贴、绩效工资、机关事业单位基本养老保险缴费、职业年金缴费、职工基本医疗保险缴费、公务员医疗补助缴费、其他社会保障缴费、住房公积金、退休费。</w:t>
      </w:r>
    </w:p>
    <w:p w14:paraId="44EE932B">
      <w:pPr>
        <w:spacing w:line="580" w:lineRule="exact"/>
        <w:ind w:firstLine="640"/>
        <w:jc w:val="both"/>
      </w:pPr>
      <w:r>
        <w:rPr>
          <w:rFonts w:ascii="仿宋_GB2312" w:hAnsi="仿宋_GB2312" w:eastAsia="仿宋_GB2312"/>
          <w:b/>
          <w:sz w:val="32"/>
        </w:rPr>
        <w:t>公用经费4.33万元，</w:t>
      </w:r>
      <w:r>
        <w:rPr>
          <w:rFonts w:ascii="仿宋_GB2312" w:hAnsi="仿宋_GB2312" w:eastAsia="仿宋_GB2312"/>
          <w:b w:val="0"/>
          <w:sz w:val="32"/>
        </w:rPr>
        <w:t>包括：办公费、手续费、邮电费、维修（护）费、工会经费、公务用车运行维护费、其他商品和服务支出。</w:t>
      </w:r>
    </w:p>
    <w:p w14:paraId="61690D8B">
      <w:pPr>
        <w:spacing w:line="640" w:lineRule="exact"/>
        <w:ind w:firstLine="640"/>
        <w:jc w:val="both"/>
        <w:outlineLvl w:val="2"/>
      </w:pPr>
      <w:r>
        <w:rPr>
          <w:rFonts w:ascii="黑体" w:hAnsi="黑体" w:eastAsia="黑体"/>
          <w:sz w:val="32"/>
        </w:rPr>
        <w:t>七、政府性基金预算财政拨款收入支出决算情况说明</w:t>
      </w:r>
    </w:p>
    <w:p w14:paraId="0A1EF847">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14:paraId="318B50B2">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减少582.00万元，下降100.00%，主要原因是：本年减少中央及自治区财政医疗救助补助资金。</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年初预算数0.00万元，决算数0.00万元，预决算差异率0.00%，主要原因是：本单位无政府性基金预算财政拨款收入。</w:t>
      </w:r>
    </w:p>
    <w:p w14:paraId="3202BBC8">
      <w:pPr>
        <w:spacing w:line="580" w:lineRule="exact"/>
        <w:ind w:firstLine="640"/>
        <w:jc w:val="both"/>
      </w:pPr>
      <w:r>
        <w:rPr>
          <w:rFonts w:ascii="仿宋_GB2312" w:hAnsi="仿宋_GB2312" w:eastAsia="仿宋_GB2312"/>
          <w:b w:val="0"/>
          <w:sz w:val="32"/>
        </w:rPr>
        <w:t>政府性基金预算财政拨款支出0.00万元。</w:t>
      </w:r>
    </w:p>
    <w:p w14:paraId="492A0996">
      <w:pPr>
        <w:spacing w:line="580" w:lineRule="exact"/>
        <w:ind w:firstLine="640"/>
        <w:jc w:val="both"/>
      </w:pPr>
      <w:r>
        <w:rPr>
          <w:rFonts w:ascii="仿宋_GB2312" w:hAnsi="仿宋_GB2312" w:eastAsia="仿宋_GB2312"/>
          <w:b w:val="0"/>
          <w:sz w:val="32"/>
        </w:rPr>
        <w:t>1.其他支出(类)彩票公益金安排的支出(款)用于城乡医疗救助的彩票公益金支出(项):支出决算数为0.00万元，比上年决算减少582.00万元，下降100.00%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主要原因是：本年减少中央及自治区财政医疗救助补助资金。</w:t>
      </w:r>
    </w:p>
    <w:p w14:paraId="236206EA">
      <w:pPr>
        <w:spacing w:line="640" w:lineRule="exact"/>
        <w:ind w:firstLine="640"/>
        <w:jc w:val="both"/>
        <w:outlineLvl w:val="2"/>
      </w:pPr>
      <w:r>
        <w:rPr>
          <w:rFonts w:ascii="黑体" w:hAnsi="黑体" w:eastAsia="黑体"/>
          <w:sz w:val="32"/>
        </w:rPr>
        <w:t>八、国有资本经营预算财政拨款收入支出决算情况说明</w:t>
      </w:r>
    </w:p>
    <w:p w14:paraId="46F1D1E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059DBE5">
      <w:pPr>
        <w:spacing w:line="640" w:lineRule="exact"/>
        <w:ind w:firstLine="640"/>
        <w:jc w:val="both"/>
        <w:outlineLvl w:val="2"/>
      </w:pPr>
      <w:r>
        <w:rPr>
          <w:rFonts w:ascii="黑体" w:hAnsi="黑体" w:eastAsia="黑体"/>
          <w:sz w:val="32"/>
        </w:rPr>
        <w:t>九、财政拨款“三公”经费支出决算情况说明</w:t>
      </w:r>
    </w:p>
    <w:p w14:paraId="21FD23C5">
      <w:pPr>
        <w:spacing w:line="580" w:lineRule="exact"/>
        <w:ind w:firstLine="640"/>
        <w:jc w:val="both"/>
      </w:pPr>
      <w:r>
        <w:rPr>
          <w:rFonts w:ascii="仿宋_GB2312" w:hAnsi="仿宋_GB2312" w:eastAsia="仿宋_GB2312"/>
          <w:b/>
          <w:sz w:val="32"/>
        </w:rPr>
        <w:t>2024年度财政拨款“三公”经费支出0.66万元，</w:t>
      </w:r>
      <w:r>
        <w:rPr>
          <w:rFonts w:ascii="仿宋_GB2312" w:hAnsi="仿宋_GB2312" w:eastAsia="仿宋_GB2312"/>
          <w:b w:val="0"/>
          <w:sz w:val="32"/>
        </w:rPr>
        <w:t>比上年增加0.21万元，增长46.67%，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0.66万元，占100.00%，比上年增加0.21万元，增长46.67%，主要原因是：本年因业务需求，用车次数增加，燃油费增加，导致公务用车运行维护费较上年增加。公务接待费支出0.00万元，占0.00%，比上年增加0.00万元，增长0.00%，主要原因是：2023年与2024年均未安排公务接待费支出。</w:t>
      </w:r>
    </w:p>
    <w:p w14:paraId="33BD996D">
      <w:pPr>
        <w:spacing w:line="580" w:lineRule="exact"/>
        <w:ind w:firstLine="640"/>
        <w:jc w:val="both"/>
      </w:pPr>
      <w:r>
        <w:rPr>
          <w:rFonts w:ascii="仿宋_GB2312" w:hAnsi="仿宋_GB2312" w:eastAsia="仿宋_GB2312"/>
          <w:b/>
          <w:sz w:val="32"/>
        </w:rPr>
        <w:t>具体情况如下：</w:t>
      </w:r>
    </w:p>
    <w:p w14:paraId="35CF35F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AEB9D25">
      <w:pPr>
        <w:spacing w:line="580" w:lineRule="exact"/>
        <w:ind w:firstLine="640"/>
        <w:jc w:val="both"/>
      </w:pPr>
      <w:r>
        <w:rPr>
          <w:rFonts w:ascii="仿宋_GB2312" w:hAnsi="仿宋_GB2312" w:eastAsia="仿宋_GB2312"/>
          <w:b w:val="0"/>
          <w:sz w:val="32"/>
        </w:rPr>
        <w:t>公务用车购置及运行维护费0.66万元，其中：公务用车购置费0.00万元，公务用车运行维护费0.66万元。公务用车运行维护费开支内容包括维修费、保险费、审车费。公务用车购置数0辆，公务用车保有量1辆。国有资产占用情况中固定资产车辆1辆，与公务用车保有量差异原因是：本单位固定资产车辆与公务用车保有量一致无差异。</w:t>
      </w:r>
    </w:p>
    <w:p w14:paraId="21BB3B6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6161C8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0.66万元，决算数0.66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0.66万元，决算数0.66万元，预决算差异率0.00%，主要原因是：严格按照预算执行，预决算无差异。公务接待费全年预算数0.00万元，决算数0.00万元，预决算差异率0.00%，主要原因是：本单位无公务接待费。</w:t>
      </w:r>
    </w:p>
    <w:p w14:paraId="737048EE">
      <w:pPr>
        <w:spacing w:line="640" w:lineRule="exact"/>
        <w:ind w:firstLine="640"/>
        <w:jc w:val="both"/>
        <w:outlineLvl w:val="2"/>
      </w:pPr>
      <w:r>
        <w:rPr>
          <w:rFonts w:ascii="黑体" w:hAnsi="黑体" w:eastAsia="黑体"/>
          <w:sz w:val="32"/>
        </w:rPr>
        <w:t>十、其他重要事项的情况说明</w:t>
      </w:r>
    </w:p>
    <w:p w14:paraId="4025901E">
      <w:pPr>
        <w:spacing w:line="640" w:lineRule="exact"/>
        <w:ind w:firstLine="640"/>
        <w:jc w:val="both"/>
        <w:outlineLvl w:val="3"/>
      </w:pPr>
      <w:r>
        <w:rPr>
          <w:rFonts w:ascii="楷体_GB2312" w:hAnsi="楷体_GB2312" w:eastAsia="楷体_GB2312"/>
          <w:b/>
          <w:sz w:val="32"/>
        </w:rPr>
        <w:t>（一）机关运行经费及公用经费支出情况</w:t>
      </w:r>
    </w:p>
    <w:p w14:paraId="7017BD8F">
      <w:pPr>
        <w:spacing w:line="580" w:lineRule="exact"/>
        <w:ind w:firstLine="640"/>
        <w:jc w:val="both"/>
      </w:pPr>
      <w:r>
        <w:rPr>
          <w:rFonts w:ascii="仿宋_GB2312" w:hAnsi="仿宋_GB2312" w:eastAsia="仿宋_GB2312"/>
          <w:b w:val="0"/>
          <w:sz w:val="32"/>
        </w:rPr>
        <w:t>2024年度洛浦县医疗保障局（行政单位和参照公务员法管理事业单位）机关运行经费支出4.33万元，比上年增加1.56万元，增长56.32%，主要原因是：本年业务量增加，运行经费增加。</w:t>
      </w:r>
    </w:p>
    <w:p w14:paraId="0C3DD10A">
      <w:pPr>
        <w:spacing w:line="640" w:lineRule="exact"/>
        <w:ind w:firstLine="640"/>
        <w:jc w:val="both"/>
        <w:outlineLvl w:val="3"/>
      </w:pPr>
      <w:r>
        <w:rPr>
          <w:rFonts w:ascii="楷体_GB2312" w:hAnsi="楷体_GB2312" w:eastAsia="楷体_GB2312"/>
          <w:b/>
          <w:sz w:val="32"/>
        </w:rPr>
        <w:t>（二）政府采购情况</w:t>
      </w:r>
    </w:p>
    <w:p w14:paraId="73249252">
      <w:pPr>
        <w:spacing w:line="580" w:lineRule="exact"/>
        <w:ind w:firstLine="640"/>
        <w:jc w:val="both"/>
      </w:pPr>
      <w:r>
        <w:rPr>
          <w:rFonts w:ascii="仿宋_GB2312" w:hAnsi="仿宋_GB2312" w:eastAsia="仿宋_GB2312"/>
          <w:b w:val="0"/>
          <w:sz w:val="32"/>
        </w:rPr>
        <w:t>2024年度政府采购支出总额0.28万元，其中：政府采购货物支出0.00万元、政府采购工程支出0.00万元、政府采购服务支出0.28万元。</w:t>
      </w:r>
    </w:p>
    <w:p w14:paraId="5A13E29D">
      <w:pPr>
        <w:spacing w:line="580" w:lineRule="exact"/>
        <w:ind w:firstLine="640"/>
        <w:jc w:val="both"/>
      </w:pPr>
      <w:r>
        <w:rPr>
          <w:rFonts w:ascii="仿宋_GB2312" w:hAnsi="仿宋_GB2312" w:eastAsia="仿宋_GB2312"/>
          <w:b w:val="0"/>
          <w:sz w:val="32"/>
        </w:rPr>
        <w:t>授予中小企业合同金额0.28万元，占政府采购支出总额的100.00%，其中：授予小微企业合同金额0.00万元，占政府采购支出总额的0.00%。</w:t>
      </w:r>
    </w:p>
    <w:p w14:paraId="250DB156">
      <w:pPr>
        <w:spacing w:line="640" w:lineRule="exact"/>
        <w:ind w:firstLine="640"/>
        <w:jc w:val="both"/>
        <w:outlineLvl w:val="3"/>
      </w:pPr>
      <w:r>
        <w:rPr>
          <w:rFonts w:ascii="楷体_GB2312" w:hAnsi="楷体_GB2312" w:eastAsia="楷体_GB2312"/>
          <w:b/>
          <w:sz w:val="32"/>
        </w:rPr>
        <w:t>（三）国有资产占用情况说明</w:t>
      </w:r>
    </w:p>
    <w:p w14:paraId="512AAA61">
      <w:pPr>
        <w:spacing w:line="580" w:lineRule="exact"/>
        <w:ind w:firstLine="640"/>
        <w:jc w:val="both"/>
      </w:pPr>
      <w:r>
        <w:rPr>
          <w:rFonts w:ascii="仿宋_GB2312" w:hAnsi="仿宋_GB2312" w:eastAsia="仿宋_GB2312"/>
          <w:b w:val="0"/>
          <w:sz w:val="32"/>
        </w:rPr>
        <w:t>截至2024年12月31日，房屋0.00平方米，价值0.00万元。车辆1辆，价值14.98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22C4587E">
      <w:pPr>
        <w:spacing w:line="640" w:lineRule="exact"/>
        <w:ind w:firstLine="640"/>
        <w:jc w:val="both"/>
        <w:outlineLvl w:val="2"/>
      </w:pPr>
      <w:r>
        <w:rPr>
          <w:rFonts w:ascii="黑体" w:hAnsi="黑体" w:eastAsia="黑体"/>
          <w:sz w:val="32"/>
        </w:rPr>
        <w:t>十一、预算绩效的情况说明</w:t>
      </w:r>
    </w:p>
    <w:p w14:paraId="21AD4D5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根据预算绩效管理要求，本单位2024年度预算绩效管理形成整体支出绩效自评表1个，全年预算总额441.98万元，实际执行总额441.98万元；预算绩效评价项目</w:t>
      </w:r>
      <w:r>
        <w:rPr>
          <w:rFonts w:hint="eastAsia" w:ascii="仿宋_GB2312" w:hAnsi="仿宋_GB2312" w:eastAsia="仿宋_GB2312"/>
          <w:b w:val="0"/>
          <w:sz w:val="32"/>
          <w:lang w:val="en-US" w:eastAsia="zh-CN"/>
        </w:rPr>
        <w:t>4</w:t>
      </w:r>
      <w:r>
        <w:rPr>
          <w:rFonts w:ascii="仿宋_GB2312" w:hAnsi="仿宋_GB2312" w:eastAsia="仿宋_GB2312"/>
          <w:b w:val="0"/>
          <w:sz w:val="32"/>
        </w:rPr>
        <w:t>个，全年预算数</w:t>
      </w:r>
      <w:r>
        <w:rPr>
          <w:rFonts w:hint="eastAsia" w:ascii="仿宋_GB2312" w:hAnsi="仿宋_GB2312" w:eastAsia="仿宋_GB2312"/>
          <w:b w:val="0"/>
          <w:sz w:val="32"/>
        </w:rPr>
        <w:t>166.45</w:t>
      </w:r>
      <w:r>
        <w:rPr>
          <w:rFonts w:ascii="仿宋_GB2312" w:hAnsi="仿宋_GB2312" w:eastAsia="仿宋_GB2312"/>
          <w:b w:val="0"/>
          <w:sz w:val="32"/>
        </w:rPr>
        <w:t>万元，全年执行数</w:t>
      </w:r>
      <w:r>
        <w:rPr>
          <w:rFonts w:hint="eastAsia" w:ascii="仿宋_GB2312" w:hAnsi="仿宋_GB2312" w:eastAsia="仿宋_GB2312"/>
          <w:b w:val="0"/>
          <w:sz w:val="32"/>
        </w:rPr>
        <w:t>162.47</w:t>
      </w:r>
      <w:r>
        <w:rPr>
          <w:rFonts w:ascii="仿宋_GB2312" w:hAnsi="仿宋_GB2312" w:eastAsia="仿宋_GB2312"/>
          <w:b w:val="0"/>
          <w:sz w:val="32"/>
        </w:rPr>
        <w:t>万元。预算绩效管理取得的成效：我单位严格按照国家财经法规、预算资金管理办法、财务管理制度以及专项资金管理办法的规定，严控经费支出，并严格按照公示制度要求进行公示，对项目资金，把资金的审批分配、监督检查与绩效评价结合起来，遵循先预算、再审批、后支出的原则，确保了财政资金分配和</w:t>
      </w:r>
      <w:r>
        <w:rPr>
          <w:rFonts w:hint="eastAsia" w:ascii="仿宋_GB2312" w:hAnsi="仿宋_GB2312" w:eastAsia="仿宋_GB2312"/>
          <w:b w:val="0"/>
          <w:sz w:val="32"/>
          <w:lang w:eastAsia="zh-CN"/>
        </w:rPr>
        <w:t>行政审批</w:t>
      </w:r>
      <w:r>
        <w:rPr>
          <w:rFonts w:ascii="仿宋_GB2312" w:hAnsi="仿宋_GB2312" w:eastAsia="仿宋_GB2312"/>
          <w:b w:val="0"/>
          <w:sz w:val="32"/>
        </w:rPr>
        <w:t>程序合法，保证了项目资金的合理使用。对中央、自治区及地区转移支付专项资金，按照专项资金管理办法进行管理和使用，对本级资金安排项目按照单位内部制定的资金管理办法及其他相关管理办法进行管理并严格执行。按照政府信息公开有关规定及时向社会公众公开相关预决算信息，保障预决算管理的公开透明。发现的问题及原因：目标设定科学性及评价存在难，对于目标设定需要分科室部门分解，汇总后制定整体目标，如何科学整合全单位绩效目标比较困难；目标设定后如何科学设定考核评价标准，特别是对于不能量化的目标如何评价。下一步改进措施：一是加强学习，进一步明确如何参照考核体系，科学合理设定绩效目标，充分发挥预算绩效管理工作效用。二是财务上会计核算要更加详细，为本单位各项工作的开展、总结、评估提供有效数据资料支撑</w:t>
      </w:r>
      <w:r>
        <w:rPr>
          <w:rFonts w:hint="eastAsia" w:ascii="仿宋_GB2312" w:hAnsi="仿宋_GB2312" w:eastAsia="仿宋_GB2312"/>
          <w:b w:val="0"/>
          <w:sz w:val="32"/>
          <w:lang w:eastAsia="zh-CN"/>
        </w:rPr>
        <w:t>，</w:t>
      </w:r>
      <w:r>
        <w:rPr>
          <w:rFonts w:ascii="仿宋_GB2312" w:hAnsi="仿宋_GB2312" w:eastAsia="仿宋_GB2312"/>
          <w:b w:val="0"/>
          <w:sz w:val="32"/>
        </w:rPr>
        <w:t>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开展提供帮助。具体附整体支出绩效自评表，项目支出绩效自评表和评价报告。</w:t>
      </w:r>
    </w:p>
    <w:p w14:paraId="69F9B75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314EF68">
        <w:tblPrEx>
          <w:tblCellMar>
            <w:top w:w="0" w:type="dxa"/>
            <w:left w:w="108" w:type="dxa"/>
            <w:bottom w:w="0" w:type="dxa"/>
            <w:right w:w="108" w:type="dxa"/>
          </w:tblCellMar>
        </w:tblPrEx>
        <w:tc>
          <w:tcPr>
            <w:tcW w:w="8847" w:type="dxa"/>
            <w:gridSpan w:val="9"/>
            <w:vAlign w:val="center"/>
          </w:tcPr>
          <w:p w14:paraId="50C5788D">
            <w:pPr>
              <w:jc w:val="center"/>
            </w:pPr>
            <w:r>
              <w:rPr>
                <w:rFonts w:ascii="宋体" w:hAnsi="宋体" w:eastAsia="宋体"/>
                <w:sz w:val="24"/>
              </w:rPr>
              <w:t>单位整体支出绩效自评表</w:t>
            </w:r>
          </w:p>
        </w:tc>
      </w:tr>
      <w:tr w14:paraId="548B92C2">
        <w:tblPrEx>
          <w:tblCellMar>
            <w:top w:w="0" w:type="dxa"/>
            <w:left w:w="108" w:type="dxa"/>
            <w:bottom w:w="0" w:type="dxa"/>
            <w:right w:w="108" w:type="dxa"/>
          </w:tblCellMar>
        </w:tblPrEx>
        <w:tc>
          <w:tcPr>
            <w:tcW w:w="8847" w:type="dxa"/>
            <w:gridSpan w:val="9"/>
            <w:vAlign w:val="center"/>
          </w:tcPr>
          <w:p w14:paraId="31E8CB88">
            <w:pPr>
              <w:jc w:val="center"/>
            </w:pPr>
            <w:r>
              <w:rPr>
                <w:rFonts w:ascii="宋体" w:hAnsi="宋体" w:eastAsia="宋体"/>
                <w:sz w:val="24"/>
              </w:rPr>
              <w:t>（2024年度）</w:t>
            </w:r>
          </w:p>
        </w:tc>
      </w:tr>
      <w:tr w14:paraId="7AB018F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B402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156B407">
            <w:pPr>
              <w:jc w:val="center"/>
            </w:pPr>
            <w:r>
              <w:rPr>
                <w:rFonts w:ascii="宋体" w:hAnsi="宋体" w:eastAsia="宋体"/>
                <w:sz w:val="16"/>
              </w:rPr>
              <w:t>洛浦县医疗保障局</w:t>
            </w:r>
          </w:p>
        </w:tc>
      </w:tr>
      <w:tr w14:paraId="2988B51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698722">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40CB4">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708C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3EF5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7E90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770E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4BF8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35BE7">
            <w:pPr>
              <w:jc w:val="center"/>
            </w:pPr>
            <w:r>
              <w:rPr>
                <w:rFonts w:ascii="宋体" w:hAnsi="宋体" w:eastAsia="宋体"/>
                <w:sz w:val="16"/>
              </w:rPr>
              <w:t>得分</w:t>
            </w:r>
          </w:p>
        </w:tc>
      </w:tr>
      <w:tr w14:paraId="546D02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7FA3C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170BD8">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46972">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6E71E">
            <w:pPr>
              <w:jc w:val="center"/>
            </w:pPr>
            <w:r>
              <w:rPr>
                <w:rFonts w:ascii="宋体" w:hAnsi="宋体" w:eastAsia="宋体"/>
                <w:sz w:val="16"/>
              </w:rPr>
              <w:t>158.51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8D85A">
            <w:pPr>
              <w:jc w:val="center"/>
            </w:pPr>
            <w:r>
              <w:rPr>
                <w:rFonts w:ascii="宋体" w:hAnsi="宋体" w:eastAsia="宋体"/>
                <w:sz w:val="16"/>
              </w:rPr>
              <w:t>26.45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57D07">
            <w:pPr>
              <w:jc w:val="center"/>
            </w:pPr>
            <w:r>
              <w:rPr>
                <w:rFonts w:ascii="宋体" w:hAnsi="宋体" w:eastAsia="宋体"/>
                <w:sz w:val="16"/>
              </w:rPr>
              <w:t>26.45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FE99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6C36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8B976">
            <w:pPr>
              <w:jc w:val="center"/>
            </w:pPr>
            <w:r>
              <w:rPr>
                <w:rFonts w:ascii="宋体" w:hAnsi="宋体" w:eastAsia="宋体"/>
                <w:sz w:val="16"/>
              </w:rPr>
              <w:t>-</w:t>
            </w:r>
          </w:p>
        </w:tc>
      </w:tr>
      <w:tr w14:paraId="7F7D6E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DFF0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61F9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DAB29">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ECEE3">
            <w:pPr>
              <w:jc w:val="center"/>
            </w:pPr>
            <w:r>
              <w:rPr>
                <w:rFonts w:ascii="宋体" w:hAnsi="宋体" w:eastAsia="宋体"/>
                <w:sz w:val="16"/>
              </w:rPr>
              <w:t>405.66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80D0B">
            <w:pPr>
              <w:jc w:val="center"/>
            </w:pPr>
            <w:r>
              <w:rPr>
                <w:rFonts w:ascii="宋体" w:hAnsi="宋体" w:eastAsia="宋体"/>
                <w:sz w:val="16"/>
              </w:rPr>
              <w:t>415.53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58E83">
            <w:pPr>
              <w:jc w:val="center"/>
            </w:pPr>
            <w:r>
              <w:rPr>
                <w:rFonts w:ascii="宋体" w:hAnsi="宋体" w:eastAsia="宋体"/>
                <w:sz w:val="16"/>
              </w:rPr>
              <w:t>415.53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49E6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366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249A3">
            <w:pPr>
              <w:jc w:val="center"/>
            </w:pPr>
            <w:r>
              <w:rPr>
                <w:rFonts w:ascii="宋体" w:hAnsi="宋体" w:eastAsia="宋体"/>
                <w:sz w:val="16"/>
              </w:rPr>
              <w:t>-</w:t>
            </w:r>
          </w:p>
        </w:tc>
      </w:tr>
      <w:tr w14:paraId="5E3184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74CF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1BD0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8E527">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3B5B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FBEB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4002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0BF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84B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71C40">
            <w:pPr>
              <w:jc w:val="center"/>
            </w:pPr>
            <w:r>
              <w:rPr>
                <w:rFonts w:ascii="宋体" w:hAnsi="宋体" w:eastAsia="宋体"/>
                <w:sz w:val="16"/>
              </w:rPr>
              <w:t>-</w:t>
            </w:r>
          </w:p>
        </w:tc>
      </w:tr>
      <w:tr w14:paraId="6F4CBA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DE31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FE705">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E0D2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4CBD5">
            <w:pPr>
              <w:jc w:val="center"/>
            </w:pPr>
            <w:r>
              <w:rPr>
                <w:rFonts w:ascii="宋体" w:hAnsi="宋体" w:eastAsia="宋体"/>
                <w:sz w:val="16"/>
              </w:rPr>
              <w:t>564.17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CD567">
            <w:pPr>
              <w:jc w:val="center"/>
            </w:pPr>
            <w:r>
              <w:rPr>
                <w:rFonts w:ascii="宋体" w:hAnsi="宋体" w:eastAsia="宋体"/>
                <w:sz w:val="16"/>
              </w:rPr>
              <w:t>441.98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D7439">
            <w:pPr>
              <w:jc w:val="center"/>
            </w:pPr>
            <w:r>
              <w:rPr>
                <w:rFonts w:ascii="宋体" w:hAnsi="宋体" w:eastAsia="宋体"/>
                <w:sz w:val="16"/>
              </w:rPr>
              <w:t>441.98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2769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BC46C">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5B872">
            <w:pPr>
              <w:jc w:val="center"/>
            </w:pPr>
            <w:r>
              <w:rPr>
                <w:rFonts w:ascii="宋体" w:hAnsi="宋体" w:eastAsia="宋体"/>
                <w:sz w:val="16"/>
              </w:rPr>
              <w:t>10</w:t>
            </w:r>
          </w:p>
        </w:tc>
      </w:tr>
      <w:tr w14:paraId="359CF09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360CB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8A588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516901">
            <w:pPr>
              <w:jc w:val="center"/>
            </w:pPr>
            <w:r>
              <w:rPr>
                <w:rFonts w:ascii="宋体" w:hAnsi="宋体" w:eastAsia="宋体"/>
                <w:sz w:val="16"/>
              </w:rPr>
              <w:t>实际完成情况</w:t>
            </w:r>
          </w:p>
        </w:tc>
      </w:tr>
      <w:tr w14:paraId="205587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967A1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B2D5E3">
            <w:pPr>
              <w:jc w:val="both"/>
            </w:pPr>
            <w:r>
              <w:rPr>
                <w:rFonts w:ascii="宋体" w:hAnsi="宋体" w:eastAsia="宋体"/>
                <w:sz w:val="16"/>
              </w:rPr>
              <w:t>单位基本职能：1.贯彻实施国家医疗保险、生育保险、医疗</w:t>
            </w:r>
            <w:r>
              <w:rPr>
                <w:rFonts w:hint="eastAsia" w:ascii="宋体" w:hAnsi="宋体"/>
                <w:sz w:val="16"/>
                <w:lang w:eastAsia="zh-CN"/>
              </w:rPr>
              <w:t>救助</w:t>
            </w:r>
            <w:r>
              <w:rPr>
                <w:rFonts w:ascii="宋体" w:hAnsi="宋体" w:eastAsia="宋体"/>
                <w:sz w:val="16"/>
              </w:rPr>
              <w:t>等医疗保障制度，执行医疗保障制度的法规、规划、政策和标准；组织实施人身意外伤害保险、大额医疗补助、公务员医疗补助、企事业单位补充医疗保险、离休人员和优抚对象医疗保障等政策和管理办法。组织实施洛浦县医疗保险、生育保险等政策。2组织实施医疗保障筹资和待遇政策，统筹城乡医疗保障待遇标准，建立健全与筹资水平相适应的待遇调整机制。组织实施城乡统一的药品、医用耗材、医疗服务项目、医疗服务设施等医保目录和支付标准，建立动态调整机制。执行药品、医用耗材价格和医疗服务项目、医疗服务设施收费等政策，建立医保支付医药服务价格合理确定和动态调整机制，推动建立市场主导的社会医药服务价格形成机制，建立价格信息监测和信息发布制度，做好药品、医用耗材招标采购平台建设。</w:t>
            </w:r>
            <w:r>
              <w:rPr>
                <w:rFonts w:ascii="宋体" w:hAnsi="宋体" w:eastAsia="宋体"/>
                <w:sz w:val="16"/>
              </w:rPr>
              <w:br w:type="textWrapping"/>
            </w:r>
            <w:r>
              <w:rPr>
                <w:rFonts w:ascii="宋体" w:hAnsi="宋体" w:eastAsia="宋体"/>
                <w:sz w:val="16"/>
              </w:rPr>
              <w:br w:type="textWrapping"/>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机构设置及人员配置：无下属预算单位，下设5个科室，编制数20，实有人数20人，在职20人，退休0人。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中长期规划：</w:t>
            </w:r>
            <w:r>
              <w:rPr>
                <w:rFonts w:hint="eastAsia" w:ascii="宋体" w:hAnsi="宋体"/>
                <w:sz w:val="16"/>
                <w:lang w:eastAsia="zh-CN"/>
              </w:rPr>
              <w:t>全面</w:t>
            </w:r>
            <w:r>
              <w:rPr>
                <w:rFonts w:ascii="宋体" w:hAnsi="宋体" w:eastAsia="宋体"/>
                <w:sz w:val="16"/>
              </w:rPr>
              <w:t>加强党对医疗工作的全面领导，计划要有效加强医疗保险政策管理。主要用于缴费城乡居民基本医疗保险人员地方财政补助资金。争取工作人员满意度达到95%以上、保障群众（职工）</w:t>
            </w:r>
            <w:r>
              <w:rPr>
                <w:rFonts w:hint="eastAsia" w:ascii="宋体" w:hAnsi="宋体"/>
                <w:sz w:val="16"/>
                <w:lang w:eastAsia="zh-CN"/>
              </w:rPr>
              <w:t>满意度</w:t>
            </w:r>
            <w:r>
              <w:rPr>
                <w:rFonts w:ascii="宋体" w:hAnsi="宋体" w:eastAsia="宋体"/>
                <w:sz w:val="16"/>
              </w:rPr>
              <w:t>指标：</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目标1：保障20名工作人员基本支出，保障1</w:t>
            </w:r>
            <w:r>
              <w:rPr>
                <w:rFonts w:hint="eastAsia" w:ascii="宋体" w:hAnsi="宋体"/>
                <w:sz w:val="16"/>
                <w:lang w:eastAsia="zh-CN"/>
              </w:rPr>
              <w:t>台</w:t>
            </w:r>
            <w:r>
              <w:rPr>
                <w:rFonts w:ascii="宋体" w:hAnsi="宋体" w:eastAsia="宋体"/>
                <w:sz w:val="16"/>
              </w:rPr>
              <w:t>车辆正常使用。计划保障发放率达到100%、人员考核合格率达到100%。计划保障发放及时率达到100%、任务按期完成率达到100%。</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完善统一的城乡居民基本医疗保险制度和大病保险制度，建立健全覆盖全民、城乡统筹的多层次医疗保障体系，不断提高医疗保障水平，确保医保资金合理使用、安全可控，推进医疗、医保、医药“三医联动”改革，更好保障人民群众就医需求、减轻医药费用负担。</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4EC977">
            <w:pPr>
              <w:jc w:val="both"/>
            </w:pPr>
            <w:r>
              <w:rPr>
                <w:rFonts w:ascii="宋体" w:hAnsi="宋体" w:eastAsia="宋体"/>
                <w:sz w:val="16"/>
              </w:rPr>
              <w:t>截至2024年12月，我单位</w:t>
            </w:r>
            <w:r>
              <w:rPr>
                <w:rFonts w:hint="eastAsia" w:ascii="宋体" w:hAnsi="宋体"/>
                <w:sz w:val="16"/>
                <w:lang w:eastAsia="zh-CN"/>
              </w:rPr>
              <w:t>已</w:t>
            </w:r>
            <w:r>
              <w:rPr>
                <w:rFonts w:ascii="宋体" w:hAnsi="宋体" w:eastAsia="宋体"/>
                <w:sz w:val="16"/>
              </w:rPr>
              <w:t>完成困难群体参保覆盖率100%，落实地区组织集中采购药品种类数量26个，落实地区组织集中采购医用耗材种类3类。资金支出441.98万元。通过业务的实施，有效加强医疗保险政策管理。主要用于缴费城乡居民基本医疗保险人员地方财政补助资金。有效完善统一的城乡居民基本医疗保险制度和大病保险制度，建立健全覆盖全民、城乡统筹的多层次医疗保障体系，不断提高医疗保障水平，确保医保资金合理使用、安全可控，推进医疗、医保、医药“三医联动”改革，更好保障人民群众就医需求、减轻医药费用负担。</w:t>
            </w:r>
          </w:p>
        </w:tc>
      </w:tr>
      <w:tr w14:paraId="2811B54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D678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76E5F">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A7FB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E615E">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40EB5">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D9A3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AE663">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4F6F3">
            <w:pPr>
              <w:jc w:val="center"/>
            </w:pPr>
            <w:r>
              <w:rPr>
                <w:rFonts w:ascii="宋体" w:hAnsi="宋体" w:eastAsia="宋体"/>
                <w:sz w:val="16"/>
              </w:rPr>
              <w:t>得分</w:t>
            </w:r>
          </w:p>
        </w:tc>
      </w:tr>
      <w:tr w14:paraId="710363D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9DEED3">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C8D614">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066FB">
            <w:pPr>
              <w:jc w:val="center"/>
            </w:pPr>
            <w:r>
              <w:rPr>
                <w:rFonts w:ascii="宋体" w:hAnsi="宋体" w:eastAsia="宋体"/>
                <w:sz w:val="16"/>
              </w:rPr>
              <w:t>困难群体参保覆盖率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AC888">
            <w:pPr>
              <w:jc w:val="center"/>
            </w:pPr>
            <w:r>
              <w:rPr>
                <w:rFonts w:ascii="宋体" w:hAnsi="宋体" w:eastAsia="宋体"/>
                <w:sz w:val="16"/>
              </w:rPr>
              <w:t>&gt;=99%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9D6B1">
            <w:pPr>
              <w:jc w:val="center"/>
            </w:pPr>
            <w:r>
              <w:rPr>
                <w:rFonts w:ascii="宋体" w:hAnsi="宋体" w:eastAsia="宋体"/>
                <w:sz w:val="16"/>
              </w:rPr>
              <w:t>单位年度工作计划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DAF41">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32B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51393">
            <w:pPr>
              <w:jc w:val="center"/>
            </w:pPr>
            <w:r>
              <w:rPr>
                <w:rFonts w:ascii="宋体" w:hAnsi="宋体" w:eastAsia="宋体"/>
                <w:sz w:val="16"/>
              </w:rPr>
              <w:t>30</w:t>
            </w:r>
          </w:p>
        </w:tc>
      </w:tr>
      <w:tr w14:paraId="13D6B2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2096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4FE35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0D918">
            <w:pPr>
              <w:jc w:val="center"/>
            </w:pPr>
            <w:r>
              <w:rPr>
                <w:rFonts w:ascii="宋体" w:hAnsi="宋体" w:eastAsia="宋体"/>
                <w:sz w:val="16"/>
              </w:rPr>
              <w:t>落实地区组织集中采购药品种类数量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826C0">
            <w:pPr>
              <w:jc w:val="center"/>
            </w:pPr>
            <w:r>
              <w:rPr>
                <w:rFonts w:ascii="宋体" w:hAnsi="宋体" w:eastAsia="宋体"/>
                <w:sz w:val="16"/>
              </w:rPr>
              <w:t>&gt;=26个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CA66F">
            <w:pPr>
              <w:jc w:val="center"/>
            </w:pPr>
            <w:r>
              <w:rPr>
                <w:rFonts w:ascii="宋体" w:hAnsi="宋体" w:eastAsia="宋体"/>
                <w:sz w:val="16"/>
              </w:rPr>
              <w:t>单位年度工作计划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D231F">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FB18E">
            <w:pPr>
              <w:jc w:val="center"/>
            </w:pPr>
            <w:r>
              <w:rPr>
                <w:rFonts w:ascii="宋体" w:hAnsi="宋体" w:eastAsia="宋体"/>
                <w:sz w:val="16"/>
              </w:rPr>
              <w:t>26个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9F93E">
            <w:pPr>
              <w:jc w:val="center"/>
            </w:pPr>
            <w:r>
              <w:rPr>
                <w:rFonts w:ascii="宋体" w:hAnsi="宋体" w:eastAsia="宋体"/>
                <w:sz w:val="16"/>
              </w:rPr>
              <w:t>30</w:t>
            </w:r>
          </w:p>
        </w:tc>
      </w:tr>
      <w:tr w14:paraId="154E88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5AE1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F7CE1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81113">
            <w:pPr>
              <w:jc w:val="center"/>
            </w:pPr>
            <w:r>
              <w:rPr>
                <w:rFonts w:ascii="宋体" w:hAnsi="宋体" w:eastAsia="宋体"/>
                <w:sz w:val="16"/>
              </w:rPr>
              <w:t>落实地区组织集中采购医用耗材种类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5DCF1">
            <w:pPr>
              <w:jc w:val="center"/>
            </w:pPr>
            <w:r>
              <w:rPr>
                <w:rFonts w:ascii="宋体" w:hAnsi="宋体" w:eastAsia="宋体"/>
                <w:sz w:val="16"/>
              </w:rPr>
              <w:t>&gt;=3类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EDBCA">
            <w:pPr>
              <w:jc w:val="center"/>
            </w:pPr>
            <w:r>
              <w:rPr>
                <w:rFonts w:ascii="宋体" w:hAnsi="宋体" w:eastAsia="宋体"/>
                <w:sz w:val="16"/>
              </w:rPr>
              <w:t>单位年度工作计划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D9D31">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2EC16">
            <w:pPr>
              <w:jc w:val="center"/>
            </w:pPr>
            <w:r>
              <w:rPr>
                <w:rFonts w:ascii="宋体" w:hAnsi="宋体" w:eastAsia="宋体"/>
                <w:sz w:val="16"/>
              </w:rPr>
              <w:t>3类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4EE4A">
            <w:pPr>
              <w:jc w:val="center"/>
            </w:pPr>
            <w:r>
              <w:rPr>
                <w:rFonts w:ascii="宋体" w:hAnsi="宋体" w:eastAsia="宋体"/>
                <w:sz w:val="16"/>
              </w:rPr>
              <w:t>30</w:t>
            </w:r>
          </w:p>
        </w:tc>
      </w:tr>
    </w:tbl>
    <w:p w14:paraId="266FFFB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AC8C240">
        <w:tblPrEx>
          <w:tblCellMar>
            <w:top w:w="0" w:type="dxa"/>
            <w:left w:w="108" w:type="dxa"/>
            <w:bottom w:w="0" w:type="dxa"/>
            <w:right w:w="108" w:type="dxa"/>
          </w:tblCellMar>
        </w:tblPrEx>
        <w:tc>
          <w:tcPr>
            <w:tcW w:w="8847" w:type="dxa"/>
            <w:gridSpan w:val="9"/>
            <w:vAlign w:val="center"/>
          </w:tcPr>
          <w:p w14:paraId="2B4760B4">
            <w:pPr>
              <w:jc w:val="center"/>
            </w:pPr>
            <w:r>
              <w:rPr>
                <w:rFonts w:ascii="宋体" w:hAnsi="宋体" w:eastAsia="宋体"/>
                <w:sz w:val="24"/>
              </w:rPr>
              <w:t>项目支出绩效自评表</w:t>
            </w:r>
          </w:p>
        </w:tc>
      </w:tr>
      <w:tr w14:paraId="5F97B1ED">
        <w:tblPrEx>
          <w:tblCellMar>
            <w:top w:w="0" w:type="dxa"/>
            <w:left w:w="108" w:type="dxa"/>
            <w:bottom w:w="0" w:type="dxa"/>
            <w:right w:w="108" w:type="dxa"/>
          </w:tblCellMar>
        </w:tblPrEx>
        <w:tc>
          <w:tcPr>
            <w:tcW w:w="8847" w:type="dxa"/>
            <w:gridSpan w:val="9"/>
            <w:vAlign w:val="center"/>
          </w:tcPr>
          <w:p w14:paraId="30DD290F">
            <w:pPr>
              <w:jc w:val="center"/>
            </w:pPr>
            <w:r>
              <w:rPr>
                <w:rFonts w:ascii="宋体" w:hAnsi="宋体" w:eastAsia="宋体"/>
                <w:sz w:val="24"/>
              </w:rPr>
              <w:t>(2024年度)</w:t>
            </w:r>
          </w:p>
        </w:tc>
      </w:tr>
      <w:tr w14:paraId="1F2C6DA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2667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0CDB8FC">
            <w:pPr>
              <w:jc w:val="center"/>
            </w:pPr>
            <w:r>
              <w:rPr>
                <w:rFonts w:ascii="宋体" w:hAnsi="宋体" w:eastAsia="宋体"/>
                <w:sz w:val="16"/>
              </w:rPr>
              <w:t>2023年全民参保及医疗服务经费</w:t>
            </w:r>
          </w:p>
        </w:tc>
      </w:tr>
      <w:tr w14:paraId="1A12BC3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2ED1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8B9411">
            <w:pPr>
              <w:jc w:val="center"/>
            </w:pPr>
            <w:r>
              <w:rPr>
                <w:rFonts w:ascii="宋体" w:hAnsi="宋体" w:eastAsia="宋体"/>
                <w:sz w:val="16"/>
              </w:rPr>
              <w:t>洛浦县医疗保障局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8ED7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032D1E">
            <w:pPr>
              <w:jc w:val="center"/>
            </w:pPr>
            <w:r>
              <w:rPr>
                <w:rFonts w:ascii="宋体" w:hAnsi="宋体" w:eastAsia="宋体"/>
                <w:sz w:val="16"/>
              </w:rPr>
              <w:t>洛浦县医疗保障局</w:t>
            </w:r>
          </w:p>
        </w:tc>
      </w:tr>
      <w:tr w14:paraId="688477E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F469E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CB4F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3A5A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FEC9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EACC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D1E4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5164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7F15F">
            <w:pPr>
              <w:jc w:val="center"/>
            </w:pPr>
            <w:r>
              <w:rPr>
                <w:rFonts w:ascii="宋体" w:hAnsi="宋体" w:eastAsia="宋体"/>
                <w:sz w:val="16"/>
              </w:rPr>
              <w:t>得分</w:t>
            </w:r>
          </w:p>
        </w:tc>
      </w:tr>
      <w:tr w14:paraId="780FBB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F6127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740B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77E4F">
            <w:pPr>
              <w:jc w:val="center"/>
            </w:pPr>
            <w:r>
              <w:rPr>
                <w:rFonts w:ascii="宋体" w:hAnsi="宋体" w:eastAsia="宋体"/>
                <w:sz w:val="16"/>
              </w:rPr>
              <w:t>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389AA">
            <w:pPr>
              <w:jc w:val="center"/>
            </w:pPr>
            <w:r>
              <w:rPr>
                <w:rFonts w:ascii="宋体" w:hAnsi="宋体" w:eastAsia="宋体"/>
                <w:sz w:val="16"/>
              </w:rPr>
              <w:t>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80F9E">
            <w:pPr>
              <w:jc w:val="center"/>
            </w:pPr>
            <w:r>
              <w:rPr>
                <w:rFonts w:ascii="宋体" w:hAnsi="宋体" w:eastAsia="宋体"/>
                <w:sz w:val="16"/>
              </w:rPr>
              <w:t>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2804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4497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8BF19">
            <w:pPr>
              <w:jc w:val="center"/>
            </w:pPr>
            <w:r>
              <w:rPr>
                <w:rFonts w:ascii="宋体" w:hAnsi="宋体" w:eastAsia="宋体"/>
                <w:sz w:val="16"/>
              </w:rPr>
              <w:t>10.00分</w:t>
            </w:r>
          </w:p>
        </w:tc>
      </w:tr>
      <w:tr w14:paraId="37E0AB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1B74F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3FD7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08AE4">
            <w:pPr>
              <w:jc w:val="center"/>
            </w:pPr>
            <w:r>
              <w:rPr>
                <w:rFonts w:ascii="宋体" w:hAnsi="宋体" w:eastAsia="宋体"/>
                <w:sz w:val="16"/>
              </w:rPr>
              <w:t>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ABE74">
            <w:pPr>
              <w:jc w:val="center"/>
            </w:pPr>
            <w:r>
              <w:rPr>
                <w:rFonts w:ascii="宋体" w:hAnsi="宋体" w:eastAsia="宋体"/>
                <w:sz w:val="16"/>
              </w:rPr>
              <w:t>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745D7">
            <w:pPr>
              <w:jc w:val="center"/>
            </w:pPr>
            <w:r>
              <w:rPr>
                <w:rFonts w:ascii="宋体" w:hAnsi="宋体" w:eastAsia="宋体"/>
                <w:sz w:val="16"/>
              </w:rPr>
              <w:t>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8C97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76D9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523A6">
            <w:pPr>
              <w:jc w:val="center"/>
            </w:pPr>
            <w:r>
              <w:rPr>
                <w:rFonts w:ascii="宋体" w:hAnsi="宋体" w:eastAsia="宋体"/>
                <w:sz w:val="16"/>
              </w:rPr>
              <w:t>—</w:t>
            </w:r>
          </w:p>
        </w:tc>
      </w:tr>
      <w:tr w14:paraId="54A6F6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FE0F2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FC27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0757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1E13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A368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5CAA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8BEB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3515C">
            <w:pPr>
              <w:jc w:val="center"/>
            </w:pPr>
            <w:r>
              <w:rPr>
                <w:rFonts w:ascii="宋体" w:hAnsi="宋体" w:eastAsia="宋体"/>
                <w:sz w:val="16"/>
              </w:rPr>
              <w:t>—</w:t>
            </w:r>
          </w:p>
        </w:tc>
      </w:tr>
      <w:tr w14:paraId="578543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D5569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0A72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63BE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BD8C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BD7B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F897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5FE1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AF951">
            <w:pPr>
              <w:jc w:val="center"/>
            </w:pPr>
            <w:r>
              <w:rPr>
                <w:rFonts w:ascii="宋体" w:hAnsi="宋体" w:eastAsia="宋体"/>
                <w:sz w:val="16"/>
              </w:rPr>
              <w:t>—</w:t>
            </w:r>
          </w:p>
        </w:tc>
      </w:tr>
      <w:tr w14:paraId="57E90BB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66DF9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D0AEE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E34FCC">
            <w:pPr>
              <w:jc w:val="center"/>
            </w:pPr>
            <w:r>
              <w:rPr>
                <w:rFonts w:ascii="宋体" w:hAnsi="宋体" w:eastAsia="宋体"/>
                <w:sz w:val="16"/>
              </w:rPr>
              <w:t>实际完成情况</w:t>
            </w:r>
          </w:p>
        </w:tc>
      </w:tr>
      <w:tr w14:paraId="5F7E04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3C5A1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6DEF69">
            <w:pPr>
              <w:jc w:val="both"/>
            </w:pPr>
            <w:r>
              <w:rPr>
                <w:rFonts w:ascii="宋体" w:hAnsi="宋体" w:eastAsia="宋体"/>
                <w:sz w:val="16"/>
              </w:rPr>
              <w:t>根据《关于印发“自治区本级部门预算绩效目标管理暂行办法”的通知》（新财社</w:t>
            </w:r>
            <w:r>
              <w:rPr>
                <w:rFonts w:hint="eastAsia" w:ascii="宋体" w:hAnsi="宋体"/>
                <w:sz w:val="16"/>
                <w:lang w:eastAsia="zh-CN"/>
              </w:rPr>
              <w:t>〔2018〕21号</w:t>
            </w:r>
            <w:r>
              <w:rPr>
                <w:rFonts w:ascii="宋体" w:hAnsi="宋体" w:eastAsia="宋体"/>
                <w:sz w:val="16"/>
              </w:rPr>
              <w:t>）文件，实施该项目。项目主要内容：项目总投资6万元，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887D97">
            <w:pPr>
              <w:jc w:val="both"/>
            </w:pPr>
            <w:r>
              <w:rPr>
                <w:rFonts w:ascii="宋体" w:hAnsi="宋体" w:eastAsia="宋体"/>
                <w:sz w:val="16"/>
              </w:rPr>
              <w:t xml:space="preserve"> </w:t>
            </w:r>
            <w:r>
              <w:rPr>
                <w:rFonts w:hint="eastAsia" w:ascii="宋体" w:hAnsi="宋体"/>
                <w:sz w:val="16"/>
                <w:lang w:eastAsia="zh-CN"/>
              </w:rPr>
              <w:t>截至</w:t>
            </w:r>
            <w:r>
              <w:rPr>
                <w:rFonts w:ascii="宋体" w:hAnsi="宋体" w:eastAsia="宋体"/>
                <w:sz w:val="16"/>
              </w:rPr>
              <w:t>2024年12月31日，该项目已实施完毕，已支付资金6万元。项目已完成的主要内容保障基本医疗保险参保240万人，生育保险参保16万人，对医保业务档案实现全面的数字化，有效提高两定机构医疗保险服务质量，规范医疗服务行为，保障参保人员权益，提升基金；通过项目实施，保障群众看病就医，有效提升医保便民服务体验。</w:t>
            </w:r>
          </w:p>
        </w:tc>
      </w:tr>
      <w:tr w14:paraId="4718B25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1CC65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8156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BE54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6B28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DE1C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3308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57F2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49DE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F9E29">
            <w:pPr>
              <w:jc w:val="center"/>
            </w:pPr>
            <w:r>
              <w:rPr>
                <w:rFonts w:ascii="宋体" w:hAnsi="宋体" w:eastAsia="宋体"/>
                <w:sz w:val="16"/>
              </w:rPr>
              <w:t>偏差原因分析及改进措施</w:t>
            </w:r>
          </w:p>
        </w:tc>
      </w:tr>
      <w:tr w14:paraId="21C892F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11597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7E7B39">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FCAAD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B5384">
            <w:pPr>
              <w:jc w:val="center"/>
            </w:pPr>
            <w:r>
              <w:rPr>
                <w:rFonts w:ascii="宋体" w:hAnsi="宋体" w:eastAsia="宋体"/>
                <w:sz w:val="16"/>
              </w:rPr>
              <w:t>基本医疗保险参保人数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5F820">
            <w:pPr>
              <w:jc w:val="center"/>
            </w:pPr>
            <w:r>
              <w:rPr>
                <w:rFonts w:ascii="宋体" w:hAnsi="宋体" w:eastAsia="宋体"/>
                <w:sz w:val="16"/>
              </w:rPr>
              <w:t>&gt;=240万人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4302A">
            <w:pPr>
              <w:jc w:val="center"/>
            </w:pPr>
            <w:r>
              <w:rPr>
                <w:rFonts w:ascii="宋体" w:hAnsi="宋体" w:eastAsia="宋体"/>
                <w:sz w:val="16"/>
              </w:rPr>
              <w:t>=240万人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3AF21">
            <w:pPr>
              <w:jc w:val="center"/>
            </w:pPr>
            <w:r>
              <w:rPr>
                <w:rFonts w:ascii="宋体" w:hAnsi="宋体" w:eastAsia="宋体"/>
                <w:sz w:val="16"/>
              </w:rPr>
              <w:t>11.25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828C6">
            <w:pPr>
              <w:jc w:val="center"/>
            </w:pPr>
            <w:r>
              <w:rPr>
                <w:rFonts w:ascii="宋体" w:hAnsi="宋体" w:eastAsia="宋体"/>
                <w:sz w:val="16"/>
              </w:rPr>
              <w:t>11.25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D1F65">
            <w:pPr>
              <w:jc w:val="center"/>
            </w:pPr>
          </w:p>
        </w:tc>
      </w:tr>
      <w:tr w14:paraId="03A863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21EB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4EDB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403F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33856">
            <w:pPr>
              <w:jc w:val="center"/>
            </w:pPr>
            <w:r>
              <w:rPr>
                <w:rFonts w:ascii="宋体" w:hAnsi="宋体" w:eastAsia="宋体"/>
                <w:sz w:val="16"/>
              </w:rPr>
              <w:t>生育保险参保人数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B6D6C">
            <w:pPr>
              <w:jc w:val="center"/>
            </w:pPr>
            <w:r>
              <w:rPr>
                <w:rFonts w:ascii="宋体" w:hAnsi="宋体" w:eastAsia="宋体"/>
                <w:sz w:val="16"/>
              </w:rPr>
              <w:t>&gt;=16万人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7855D">
            <w:pPr>
              <w:jc w:val="center"/>
            </w:pPr>
            <w:r>
              <w:rPr>
                <w:rFonts w:ascii="宋体" w:hAnsi="宋体" w:eastAsia="宋体"/>
                <w:sz w:val="16"/>
              </w:rPr>
              <w:t>=16万人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5A2C8">
            <w:pPr>
              <w:jc w:val="center"/>
            </w:pPr>
            <w:r>
              <w:rPr>
                <w:rFonts w:ascii="宋体" w:hAnsi="宋体" w:eastAsia="宋体"/>
                <w:sz w:val="16"/>
              </w:rPr>
              <w:t>11.25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DED87">
            <w:pPr>
              <w:jc w:val="center"/>
            </w:pPr>
            <w:r>
              <w:rPr>
                <w:rFonts w:ascii="宋体" w:hAnsi="宋体" w:eastAsia="宋体"/>
                <w:sz w:val="16"/>
              </w:rPr>
              <w:t>11.25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52FDC">
            <w:pPr>
              <w:jc w:val="center"/>
            </w:pPr>
          </w:p>
        </w:tc>
      </w:tr>
      <w:tr w14:paraId="2E98FD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A99B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8C174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21AC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194AD">
            <w:pPr>
              <w:jc w:val="center"/>
            </w:pPr>
            <w:r>
              <w:rPr>
                <w:rFonts w:ascii="宋体" w:hAnsi="宋体" w:eastAsia="宋体"/>
                <w:sz w:val="16"/>
              </w:rPr>
              <w:t>资金使用合规性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A1B6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4697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FE885">
            <w:pPr>
              <w:jc w:val="center"/>
            </w:pPr>
            <w:r>
              <w:rPr>
                <w:rFonts w:ascii="宋体" w:hAnsi="宋体" w:eastAsia="宋体"/>
                <w:sz w:val="16"/>
              </w:rPr>
              <w:t>11.25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F4CE6">
            <w:pPr>
              <w:jc w:val="center"/>
            </w:pPr>
            <w:r>
              <w:rPr>
                <w:rFonts w:ascii="宋体" w:hAnsi="宋体" w:eastAsia="宋体"/>
                <w:sz w:val="16"/>
              </w:rPr>
              <w:t>11.25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2B3DC">
            <w:pPr>
              <w:jc w:val="center"/>
            </w:pPr>
          </w:p>
        </w:tc>
      </w:tr>
      <w:tr w14:paraId="42392C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9F46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0C712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DFBA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B1FA0">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6F06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1703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E303E">
            <w:pPr>
              <w:jc w:val="center"/>
            </w:pPr>
            <w:r>
              <w:rPr>
                <w:rFonts w:ascii="宋体" w:hAnsi="宋体" w:eastAsia="宋体"/>
                <w:sz w:val="16"/>
              </w:rPr>
              <w:t>11.25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02E96">
            <w:pPr>
              <w:jc w:val="center"/>
            </w:pPr>
            <w:r>
              <w:rPr>
                <w:rFonts w:ascii="宋体" w:hAnsi="宋体" w:eastAsia="宋体"/>
                <w:sz w:val="16"/>
              </w:rPr>
              <w:t>11.25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CDA63">
            <w:pPr>
              <w:jc w:val="center"/>
            </w:pPr>
          </w:p>
        </w:tc>
      </w:tr>
      <w:tr w14:paraId="21FB06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EB6A5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C452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D457F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2E74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DF2C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6468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20D10">
            <w:pPr>
              <w:jc w:val="center"/>
            </w:pPr>
            <w:r>
              <w:rPr>
                <w:rFonts w:ascii="宋体" w:hAnsi="宋体" w:eastAsia="宋体"/>
                <w:sz w:val="16"/>
              </w:rPr>
              <w:t>11.25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47D68">
            <w:pPr>
              <w:jc w:val="center"/>
            </w:pPr>
            <w:r>
              <w:rPr>
                <w:rFonts w:ascii="宋体" w:hAnsi="宋体" w:eastAsia="宋体"/>
                <w:sz w:val="16"/>
              </w:rPr>
              <w:t>11.25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CC985">
            <w:pPr>
              <w:jc w:val="center"/>
            </w:pPr>
          </w:p>
        </w:tc>
      </w:tr>
      <w:tr w14:paraId="06829F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7488A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34DF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EB10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BA90C">
            <w:pPr>
              <w:jc w:val="center"/>
            </w:pPr>
            <w:r>
              <w:rPr>
                <w:rFonts w:ascii="宋体" w:hAnsi="宋体" w:eastAsia="宋体"/>
                <w:sz w:val="16"/>
              </w:rPr>
              <w:t>项目经费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3BA37">
            <w:pPr>
              <w:jc w:val="center"/>
            </w:pPr>
            <w:r>
              <w:rPr>
                <w:rFonts w:ascii="宋体" w:hAnsi="宋体" w:eastAsia="宋体"/>
                <w:sz w:val="16"/>
              </w:rPr>
              <w:t>&lt;=6万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EAA07">
            <w:pPr>
              <w:jc w:val="center"/>
            </w:pPr>
            <w:r>
              <w:rPr>
                <w:rFonts w:ascii="宋体" w:hAnsi="宋体" w:eastAsia="宋体"/>
                <w:sz w:val="16"/>
              </w:rPr>
              <w:t>=6万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C3D1F">
            <w:pPr>
              <w:jc w:val="center"/>
            </w:pPr>
            <w:r>
              <w:rPr>
                <w:rFonts w:ascii="宋体" w:hAnsi="宋体" w:eastAsia="宋体"/>
                <w:sz w:val="16"/>
              </w:rPr>
              <w:t>11.25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70CFA">
            <w:pPr>
              <w:jc w:val="center"/>
            </w:pPr>
            <w:r>
              <w:rPr>
                <w:rFonts w:ascii="宋体" w:hAnsi="宋体" w:eastAsia="宋体"/>
                <w:sz w:val="16"/>
              </w:rPr>
              <w:t>11.25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88811">
            <w:pPr>
              <w:jc w:val="center"/>
            </w:pPr>
          </w:p>
        </w:tc>
      </w:tr>
      <w:tr w14:paraId="5D4D45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DC9C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41CE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D043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38C75">
            <w:pPr>
              <w:jc w:val="center"/>
            </w:pPr>
            <w:r>
              <w:rPr>
                <w:rFonts w:ascii="宋体" w:hAnsi="宋体" w:eastAsia="宋体"/>
                <w:sz w:val="16"/>
              </w:rPr>
              <w:t>减轻参保人员就医经济负担，缓解社会矛盾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E3224">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4177E">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1B5C9">
            <w:pPr>
              <w:jc w:val="center"/>
            </w:pPr>
            <w:r>
              <w:rPr>
                <w:rFonts w:ascii="宋体" w:hAnsi="宋体" w:eastAsia="宋体"/>
                <w:sz w:val="16"/>
              </w:rPr>
              <w:t>11.25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7B5DA">
            <w:pPr>
              <w:jc w:val="center"/>
            </w:pPr>
            <w:r>
              <w:rPr>
                <w:rFonts w:ascii="宋体" w:hAnsi="宋体" w:eastAsia="宋体"/>
                <w:sz w:val="16"/>
              </w:rPr>
              <w:t>11.25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5A48C">
            <w:pPr>
              <w:jc w:val="center"/>
            </w:pPr>
          </w:p>
        </w:tc>
      </w:tr>
      <w:tr w14:paraId="304099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BAE3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021C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6271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FC7C1">
            <w:pPr>
              <w:jc w:val="center"/>
            </w:pPr>
            <w:r>
              <w:rPr>
                <w:rFonts w:ascii="宋体" w:hAnsi="宋体" w:eastAsia="宋体"/>
                <w:sz w:val="16"/>
              </w:rPr>
              <w:t>基本医疗保险参保群众满意度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61F6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D41B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0DE99">
            <w:pPr>
              <w:jc w:val="center"/>
            </w:pPr>
            <w:r>
              <w:rPr>
                <w:rFonts w:ascii="宋体" w:hAnsi="宋体" w:eastAsia="宋体"/>
                <w:sz w:val="16"/>
              </w:rPr>
              <w:t>11.25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9B1A5">
            <w:pPr>
              <w:jc w:val="center"/>
            </w:pPr>
            <w:r>
              <w:rPr>
                <w:rFonts w:ascii="宋体" w:hAnsi="宋体" w:eastAsia="宋体"/>
                <w:sz w:val="16"/>
              </w:rPr>
              <w:t>11.25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8C47D">
            <w:pPr>
              <w:jc w:val="center"/>
            </w:pPr>
          </w:p>
        </w:tc>
      </w:tr>
      <w:tr w14:paraId="677308D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B4DAF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68A32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4FD0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8866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D03739B"/>
        </w:tc>
      </w:tr>
    </w:tbl>
    <w:p w14:paraId="6503C1B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9E158C5">
        <w:tblPrEx>
          <w:tblCellMar>
            <w:top w:w="0" w:type="dxa"/>
            <w:left w:w="108" w:type="dxa"/>
            <w:bottom w:w="0" w:type="dxa"/>
            <w:right w:w="108" w:type="dxa"/>
          </w:tblCellMar>
        </w:tblPrEx>
        <w:tc>
          <w:tcPr>
            <w:tcW w:w="8847" w:type="dxa"/>
            <w:gridSpan w:val="9"/>
            <w:vAlign w:val="center"/>
          </w:tcPr>
          <w:p w14:paraId="56D7771D">
            <w:pPr>
              <w:jc w:val="center"/>
            </w:pPr>
            <w:r>
              <w:rPr>
                <w:rFonts w:ascii="宋体" w:hAnsi="宋体" w:eastAsia="宋体"/>
                <w:sz w:val="24"/>
              </w:rPr>
              <w:t>项目支出绩效自评表</w:t>
            </w:r>
          </w:p>
        </w:tc>
      </w:tr>
      <w:tr w14:paraId="78A25C6F">
        <w:tblPrEx>
          <w:tblCellMar>
            <w:top w:w="0" w:type="dxa"/>
            <w:left w:w="108" w:type="dxa"/>
            <w:bottom w:w="0" w:type="dxa"/>
            <w:right w:w="108" w:type="dxa"/>
          </w:tblCellMar>
        </w:tblPrEx>
        <w:tc>
          <w:tcPr>
            <w:tcW w:w="8847" w:type="dxa"/>
            <w:gridSpan w:val="9"/>
            <w:vAlign w:val="center"/>
          </w:tcPr>
          <w:p w14:paraId="2C2E33C7">
            <w:pPr>
              <w:jc w:val="center"/>
            </w:pPr>
            <w:r>
              <w:rPr>
                <w:rFonts w:ascii="宋体" w:hAnsi="宋体" w:eastAsia="宋体"/>
                <w:sz w:val="24"/>
              </w:rPr>
              <w:t>(2024年度)</w:t>
            </w:r>
          </w:p>
        </w:tc>
      </w:tr>
      <w:tr w14:paraId="3F798E8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DDED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D3DF0B4">
            <w:pPr>
              <w:jc w:val="center"/>
            </w:pPr>
            <w:r>
              <w:rPr>
                <w:rFonts w:ascii="宋体" w:hAnsi="宋体" w:eastAsia="宋体"/>
                <w:sz w:val="16"/>
              </w:rPr>
              <w:t>2024年城乡居民基本医疗保险</w:t>
            </w:r>
            <w:r>
              <w:rPr>
                <w:rFonts w:hint="eastAsia" w:ascii="宋体" w:hAnsi="宋体"/>
                <w:sz w:val="16"/>
                <w:lang w:eastAsia="zh-CN"/>
              </w:rPr>
              <w:t>－</w:t>
            </w:r>
            <w:r>
              <w:rPr>
                <w:rFonts w:ascii="宋体" w:hAnsi="宋体" w:eastAsia="宋体"/>
                <w:sz w:val="16"/>
              </w:rPr>
              <w:t>县配套（140万元）</w:t>
            </w:r>
          </w:p>
        </w:tc>
      </w:tr>
      <w:tr w14:paraId="447A717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1F94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515732">
            <w:pPr>
              <w:jc w:val="center"/>
            </w:pPr>
            <w:r>
              <w:rPr>
                <w:rFonts w:ascii="宋体" w:hAnsi="宋体" w:eastAsia="宋体"/>
                <w:sz w:val="16"/>
              </w:rPr>
              <w:t>洛浦县医疗保障局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376F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1C1C56">
            <w:pPr>
              <w:jc w:val="center"/>
            </w:pPr>
            <w:r>
              <w:rPr>
                <w:rFonts w:ascii="宋体" w:hAnsi="宋体" w:eastAsia="宋体"/>
                <w:sz w:val="16"/>
              </w:rPr>
              <w:t>洛浦县医疗保障局</w:t>
            </w:r>
          </w:p>
        </w:tc>
      </w:tr>
      <w:tr w14:paraId="7743BE2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BBEC8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A2AF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EE1D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CB1D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D8BD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25F6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566A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F0541">
            <w:pPr>
              <w:jc w:val="center"/>
            </w:pPr>
            <w:r>
              <w:rPr>
                <w:rFonts w:ascii="宋体" w:hAnsi="宋体" w:eastAsia="宋体"/>
                <w:sz w:val="16"/>
              </w:rPr>
              <w:t>得分</w:t>
            </w:r>
          </w:p>
        </w:tc>
      </w:tr>
      <w:tr w14:paraId="5F054A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77352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B534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A542B">
            <w:pPr>
              <w:jc w:val="center"/>
            </w:pPr>
            <w:r>
              <w:rPr>
                <w:rFonts w:ascii="宋体" w:hAnsi="宋体" w:eastAsia="宋体"/>
                <w:sz w:val="16"/>
              </w:rPr>
              <w:t>140.00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F982B">
            <w:pPr>
              <w:jc w:val="center"/>
            </w:pPr>
            <w:r>
              <w:rPr>
                <w:rFonts w:ascii="宋体" w:hAnsi="宋体" w:eastAsia="宋体"/>
                <w:sz w:val="16"/>
              </w:rPr>
              <w:t>140.00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D806E">
            <w:pPr>
              <w:jc w:val="center"/>
            </w:pPr>
            <w:r>
              <w:rPr>
                <w:rFonts w:ascii="宋体" w:hAnsi="宋体" w:eastAsia="宋体"/>
                <w:sz w:val="16"/>
              </w:rPr>
              <w:t>136.02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7FEB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13823">
            <w:pPr>
              <w:jc w:val="center"/>
            </w:pPr>
            <w:r>
              <w:rPr>
                <w:rFonts w:ascii="宋体" w:hAnsi="宋体" w:eastAsia="宋体"/>
                <w:sz w:val="16"/>
              </w:rPr>
              <w:t xml:space="preserve">97.16%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FEA48">
            <w:pPr>
              <w:jc w:val="center"/>
            </w:pPr>
            <w:r>
              <w:rPr>
                <w:rFonts w:ascii="宋体" w:hAnsi="宋体" w:eastAsia="宋体"/>
                <w:sz w:val="16"/>
              </w:rPr>
              <w:t>10.00分</w:t>
            </w:r>
          </w:p>
        </w:tc>
      </w:tr>
      <w:tr w14:paraId="0438FF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5955B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90E5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EA5F1">
            <w:pPr>
              <w:jc w:val="center"/>
            </w:pPr>
            <w:r>
              <w:rPr>
                <w:rFonts w:ascii="宋体" w:hAnsi="宋体" w:eastAsia="宋体"/>
                <w:sz w:val="16"/>
              </w:rPr>
              <w:t>140.00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CBBBD">
            <w:pPr>
              <w:jc w:val="center"/>
            </w:pPr>
            <w:r>
              <w:rPr>
                <w:rFonts w:ascii="宋体" w:hAnsi="宋体" w:eastAsia="宋体"/>
                <w:sz w:val="16"/>
              </w:rPr>
              <w:t>140.00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CEFEC">
            <w:pPr>
              <w:jc w:val="center"/>
            </w:pPr>
            <w:r>
              <w:rPr>
                <w:rFonts w:ascii="宋体" w:hAnsi="宋体" w:eastAsia="宋体"/>
                <w:sz w:val="16"/>
              </w:rPr>
              <w:t>136.02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491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6E99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E291F">
            <w:pPr>
              <w:jc w:val="center"/>
            </w:pPr>
            <w:r>
              <w:rPr>
                <w:rFonts w:ascii="宋体" w:hAnsi="宋体" w:eastAsia="宋体"/>
                <w:sz w:val="16"/>
              </w:rPr>
              <w:t>—</w:t>
            </w:r>
          </w:p>
        </w:tc>
      </w:tr>
      <w:tr w14:paraId="41D589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ADE6E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D273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7E5D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52C5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2E24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911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EEFA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83B50">
            <w:pPr>
              <w:jc w:val="center"/>
            </w:pPr>
            <w:r>
              <w:rPr>
                <w:rFonts w:ascii="宋体" w:hAnsi="宋体" w:eastAsia="宋体"/>
                <w:sz w:val="16"/>
              </w:rPr>
              <w:t>—</w:t>
            </w:r>
          </w:p>
        </w:tc>
      </w:tr>
      <w:tr w14:paraId="6DDA31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85A1B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9AC5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AA84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BF8A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355B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BDD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F849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59144">
            <w:pPr>
              <w:jc w:val="center"/>
            </w:pPr>
            <w:r>
              <w:rPr>
                <w:rFonts w:ascii="宋体" w:hAnsi="宋体" w:eastAsia="宋体"/>
                <w:sz w:val="16"/>
              </w:rPr>
              <w:t>—</w:t>
            </w:r>
          </w:p>
        </w:tc>
      </w:tr>
      <w:tr w14:paraId="6D28843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DA898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092C4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689A2B">
            <w:pPr>
              <w:jc w:val="center"/>
            </w:pPr>
            <w:r>
              <w:rPr>
                <w:rFonts w:ascii="宋体" w:hAnsi="宋体" w:eastAsia="宋体"/>
                <w:sz w:val="16"/>
              </w:rPr>
              <w:t>实际完成情况</w:t>
            </w:r>
          </w:p>
        </w:tc>
      </w:tr>
      <w:tr w14:paraId="388B63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3D894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9869FDA">
            <w:pPr>
              <w:jc w:val="both"/>
            </w:pPr>
            <w:r>
              <w:rPr>
                <w:rFonts w:ascii="宋体" w:hAnsi="宋体" w:eastAsia="宋体"/>
                <w:sz w:val="16"/>
              </w:rPr>
              <w:t>根据《关于明确2024年城乡居民基本医疗保险缴费标准及做好2025年度城乡居民基本医疗集中参保缴费工作的通知》（和地医保发﹝2024﹞1号）文件实施该项目。项目主要内容：为我县参保人员进行每人每年5元进行补助。通过项目的实施，有效保障我县参保工作正常运行。</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A0D300">
            <w:pPr>
              <w:jc w:val="both"/>
            </w:pPr>
            <w:r>
              <w:rPr>
                <w:rFonts w:hint="eastAsia" w:ascii="宋体" w:hAnsi="宋体"/>
                <w:sz w:val="16"/>
                <w:lang w:eastAsia="zh-CN"/>
              </w:rPr>
              <w:t>截至</w:t>
            </w:r>
            <w:r>
              <w:rPr>
                <w:rFonts w:ascii="宋体" w:hAnsi="宋体" w:eastAsia="宋体"/>
                <w:sz w:val="16"/>
              </w:rPr>
              <w:t>2024年12月31日，该项目已实施完毕，已支付资金136.0175万元。项目已完成我县参保人员272035人进行每人每年5元进行补助。通过项目的实施，有效保障我县参保工作正常运行。</w:t>
            </w:r>
          </w:p>
        </w:tc>
      </w:tr>
      <w:tr w14:paraId="2019458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37BA6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2052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7EC0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2E72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1766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1067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55A9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C6D3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8E416">
            <w:pPr>
              <w:jc w:val="center"/>
            </w:pPr>
            <w:r>
              <w:rPr>
                <w:rFonts w:ascii="宋体" w:hAnsi="宋体" w:eastAsia="宋体"/>
                <w:sz w:val="16"/>
              </w:rPr>
              <w:t>偏差原因分析及改进措施</w:t>
            </w:r>
          </w:p>
        </w:tc>
      </w:tr>
      <w:tr w14:paraId="22D8140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6DF09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739B3A">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4AB5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515DB">
            <w:pPr>
              <w:jc w:val="center"/>
            </w:pPr>
            <w:r>
              <w:rPr>
                <w:rFonts w:ascii="宋体" w:hAnsi="宋体" w:eastAsia="宋体"/>
                <w:sz w:val="16"/>
              </w:rPr>
              <w:t>补助涉及人数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90209">
            <w:pPr>
              <w:jc w:val="center"/>
            </w:pPr>
            <w:r>
              <w:rPr>
                <w:rFonts w:ascii="宋体" w:hAnsi="宋体" w:eastAsia="宋体"/>
                <w:sz w:val="16"/>
              </w:rPr>
              <w:t>&gt;=272035人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EA8E1">
            <w:pPr>
              <w:jc w:val="center"/>
            </w:pPr>
            <w:r>
              <w:rPr>
                <w:rFonts w:ascii="宋体" w:hAnsi="宋体" w:eastAsia="宋体"/>
                <w:sz w:val="16"/>
              </w:rPr>
              <w:t>=272035人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E3D3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8A07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1FE22">
            <w:pPr>
              <w:jc w:val="center"/>
            </w:pPr>
          </w:p>
        </w:tc>
      </w:tr>
      <w:tr w14:paraId="7A7644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066C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D0897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A6DCB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B640C">
            <w:pPr>
              <w:jc w:val="center"/>
            </w:pPr>
            <w:r>
              <w:rPr>
                <w:rFonts w:ascii="宋体" w:hAnsi="宋体" w:eastAsia="宋体"/>
                <w:sz w:val="16"/>
              </w:rPr>
              <w:t>补助发放覆盖率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14F8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1A62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1DFE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72A3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8DFF5">
            <w:pPr>
              <w:jc w:val="center"/>
            </w:pPr>
          </w:p>
        </w:tc>
      </w:tr>
      <w:tr w14:paraId="4D7AA3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5782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2372C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1707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99A38">
            <w:pPr>
              <w:jc w:val="center"/>
            </w:pPr>
            <w:r>
              <w:rPr>
                <w:rFonts w:ascii="宋体" w:hAnsi="宋体" w:eastAsia="宋体"/>
                <w:sz w:val="16"/>
              </w:rPr>
              <w:t>补助发放准确率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922C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114B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118D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EBC6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DE9B6">
            <w:pPr>
              <w:jc w:val="center"/>
            </w:pPr>
          </w:p>
        </w:tc>
      </w:tr>
      <w:tr w14:paraId="55F4EB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5EF6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8D264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85942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A0B6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7FC6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4E4CA">
            <w:pPr>
              <w:jc w:val="center"/>
            </w:pPr>
            <w:r>
              <w:rPr>
                <w:rFonts w:ascii="宋体" w:hAnsi="宋体" w:eastAsia="宋体"/>
                <w:sz w:val="16"/>
              </w:rPr>
              <w:t>=2024年9月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6693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2062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02C06">
            <w:pPr>
              <w:jc w:val="center"/>
            </w:pPr>
          </w:p>
        </w:tc>
      </w:tr>
      <w:tr w14:paraId="770B12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B5A6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671A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7B2B9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2FA60">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4137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72BC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21AA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05A1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B0421">
            <w:pPr>
              <w:jc w:val="center"/>
            </w:pPr>
          </w:p>
        </w:tc>
      </w:tr>
      <w:tr w14:paraId="1D77A6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FDEA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6734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BBE7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CC5FC">
            <w:pPr>
              <w:jc w:val="center"/>
            </w:pPr>
            <w:r>
              <w:rPr>
                <w:rFonts w:ascii="宋体" w:hAnsi="宋体" w:eastAsia="宋体"/>
                <w:sz w:val="16"/>
              </w:rPr>
              <w:t>补助标准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5AFF7">
            <w:pPr>
              <w:jc w:val="center"/>
            </w:pPr>
            <w:r>
              <w:rPr>
                <w:rFonts w:ascii="宋体" w:hAnsi="宋体" w:eastAsia="宋体"/>
                <w:sz w:val="16"/>
              </w:rPr>
              <w:t>=5元/人/年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107BB">
            <w:pPr>
              <w:jc w:val="center"/>
            </w:pPr>
            <w:r>
              <w:rPr>
                <w:rFonts w:ascii="宋体" w:hAnsi="宋体" w:eastAsia="宋体"/>
                <w:sz w:val="16"/>
              </w:rPr>
              <w:t>=5元/人/年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BB16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2885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50C99">
            <w:pPr>
              <w:jc w:val="center"/>
            </w:pPr>
          </w:p>
        </w:tc>
      </w:tr>
      <w:tr w14:paraId="737945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E0E7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60D7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8ED4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1BC57">
            <w:pPr>
              <w:jc w:val="center"/>
            </w:pPr>
            <w:r>
              <w:rPr>
                <w:rFonts w:ascii="宋体" w:hAnsi="宋体" w:eastAsia="宋体"/>
                <w:sz w:val="16"/>
              </w:rPr>
              <w:t>保障我县参保工作正常运行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9630A">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67B74">
            <w:pPr>
              <w:jc w:val="center"/>
            </w:pPr>
            <w:r>
              <w:rPr>
                <w:rFonts w:ascii="宋体" w:hAnsi="宋体" w:eastAsia="宋体"/>
                <w:sz w:val="16"/>
              </w:rPr>
              <w:tab/>
            </w: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92FE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BB58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93D01">
            <w:pPr>
              <w:jc w:val="center"/>
            </w:pPr>
          </w:p>
        </w:tc>
      </w:tr>
      <w:tr w14:paraId="37BE24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0E26C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F752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3B5D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7A1A5">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6EAC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45F7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146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02F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74835">
            <w:pPr>
              <w:jc w:val="center"/>
            </w:pPr>
          </w:p>
        </w:tc>
      </w:tr>
      <w:tr w14:paraId="013CCDE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60CAD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D5843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D2F3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B2627">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CD9D1C2"/>
        </w:tc>
      </w:tr>
    </w:tbl>
    <w:p w14:paraId="6EC4ED5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112B44E">
        <w:tblPrEx>
          <w:tblCellMar>
            <w:top w:w="0" w:type="dxa"/>
            <w:left w:w="108" w:type="dxa"/>
            <w:bottom w:w="0" w:type="dxa"/>
            <w:right w:w="108" w:type="dxa"/>
          </w:tblCellMar>
        </w:tblPrEx>
        <w:tc>
          <w:tcPr>
            <w:tcW w:w="8847" w:type="dxa"/>
            <w:gridSpan w:val="9"/>
            <w:vAlign w:val="center"/>
          </w:tcPr>
          <w:p w14:paraId="2F4BABED">
            <w:pPr>
              <w:jc w:val="center"/>
            </w:pPr>
            <w:r>
              <w:rPr>
                <w:rFonts w:ascii="宋体" w:hAnsi="宋体" w:eastAsia="宋体"/>
                <w:sz w:val="24"/>
              </w:rPr>
              <w:t>项目支出绩效自评表</w:t>
            </w:r>
          </w:p>
        </w:tc>
      </w:tr>
      <w:tr w14:paraId="133DFC32">
        <w:tblPrEx>
          <w:tblCellMar>
            <w:top w:w="0" w:type="dxa"/>
            <w:left w:w="108" w:type="dxa"/>
            <w:bottom w:w="0" w:type="dxa"/>
            <w:right w:w="108" w:type="dxa"/>
          </w:tblCellMar>
        </w:tblPrEx>
        <w:tc>
          <w:tcPr>
            <w:tcW w:w="8847" w:type="dxa"/>
            <w:gridSpan w:val="9"/>
            <w:vAlign w:val="center"/>
          </w:tcPr>
          <w:p w14:paraId="024B68EA">
            <w:pPr>
              <w:jc w:val="center"/>
            </w:pPr>
            <w:r>
              <w:rPr>
                <w:rFonts w:ascii="宋体" w:hAnsi="宋体" w:eastAsia="宋体"/>
                <w:sz w:val="24"/>
              </w:rPr>
              <w:t>(2024年度)</w:t>
            </w:r>
          </w:p>
        </w:tc>
      </w:tr>
      <w:tr w14:paraId="7B11D3E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158D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618A11E">
            <w:pPr>
              <w:jc w:val="center"/>
            </w:pPr>
            <w:r>
              <w:rPr>
                <w:rFonts w:ascii="宋体" w:hAnsi="宋体" w:eastAsia="宋体"/>
                <w:sz w:val="16"/>
              </w:rPr>
              <w:t>2024年离休人员医疗费周转资金项目</w:t>
            </w:r>
          </w:p>
        </w:tc>
      </w:tr>
      <w:tr w14:paraId="494CE26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E639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054AA3">
            <w:pPr>
              <w:jc w:val="center"/>
            </w:pPr>
            <w:r>
              <w:rPr>
                <w:rFonts w:ascii="宋体" w:hAnsi="宋体" w:eastAsia="宋体"/>
                <w:sz w:val="16"/>
              </w:rPr>
              <w:t>洛浦县医疗保障局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A862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0595DE">
            <w:pPr>
              <w:jc w:val="center"/>
            </w:pPr>
            <w:r>
              <w:rPr>
                <w:rFonts w:ascii="宋体" w:hAnsi="宋体" w:eastAsia="宋体"/>
                <w:sz w:val="16"/>
              </w:rPr>
              <w:t>洛浦县医疗保障局</w:t>
            </w:r>
          </w:p>
        </w:tc>
      </w:tr>
      <w:tr w14:paraId="63A1E88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45993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BDB4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7526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136B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4D68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7F5B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8F6E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E37EB">
            <w:pPr>
              <w:jc w:val="center"/>
            </w:pPr>
            <w:r>
              <w:rPr>
                <w:rFonts w:ascii="宋体" w:hAnsi="宋体" w:eastAsia="宋体"/>
                <w:sz w:val="16"/>
              </w:rPr>
              <w:t>得分</w:t>
            </w:r>
          </w:p>
        </w:tc>
      </w:tr>
      <w:tr w14:paraId="3159E9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FC909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BD58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A6CF3">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486B5">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19063">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4DD9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B6C0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7BCC5">
            <w:pPr>
              <w:jc w:val="center"/>
            </w:pPr>
            <w:r>
              <w:rPr>
                <w:rFonts w:ascii="宋体" w:hAnsi="宋体" w:eastAsia="宋体"/>
                <w:sz w:val="16"/>
              </w:rPr>
              <w:t>10.00分</w:t>
            </w:r>
          </w:p>
        </w:tc>
      </w:tr>
      <w:tr w14:paraId="658641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2A324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C174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99093">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AB07D">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EA1FE">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D5AE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01E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4036B">
            <w:pPr>
              <w:jc w:val="center"/>
            </w:pPr>
            <w:r>
              <w:rPr>
                <w:rFonts w:ascii="宋体" w:hAnsi="宋体" w:eastAsia="宋体"/>
                <w:sz w:val="16"/>
              </w:rPr>
              <w:t>—</w:t>
            </w:r>
          </w:p>
        </w:tc>
      </w:tr>
      <w:tr w14:paraId="582BA5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48568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3600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B2B7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B5C4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A309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AFE9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88E8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70A6D">
            <w:pPr>
              <w:jc w:val="center"/>
            </w:pPr>
            <w:r>
              <w:rPr>
                <w:rFonts w:ascii="宋体" w:hAnsi="宋体" w:eastAsia="宋体"/>
                <w:sz w:val="16"/>
              </w:rPr>
              <w:t>—</w:t>
            </w:r>
          </w:p>
        </w:tc>
      </w:tr>
      <w:tr w14:paraId="45B6F7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88631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149A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ACE1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D9DA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1B47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B016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D361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62DBB">
            <w:pPr>
              <w:jc w:val="center"/>
            </w:pPr>
            <w:r>
              <w:rPr>
                <w:rFonts w:ascii="宋体" w:hAnsi="宋体" w:eastAsia="宋体"/>
                <w:sz w:val="16"/>
              </w:rPr>
              <w:t>—</w:t>
            </w:r>
          </w:p>
        </w:tc>
      </w:tr>
      <w:tr w14:paraId="26F6F45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9F377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E25F3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3598A9">
            <w:pPr>
              <w:jc w:val="center"/>
            </w:pPr>
            <w:r>
              <w:rPr>
                <w:rFonts w:ascii="宋体" w:hAnsi="宋体" w:eastAsia="宋体"/>
                <w:sz w:val="16"/>
              </w:rPr>
              <w:t>实际完成情况</w:t>
            </w:r>
          </w:p>
        </w:tc>
      </w:tr>
      <w:tr w14:paraId="2A1850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0DA6C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52F9AB">
            <w:pPr>
              <w:jc w:val="both"/>
            </w:pPr>
            <w:r>
              <w:rPr>
                <w:rFonts w:ascii="宋体" w:hAnsi="宋体" w:eastAsia="宋体"/>
                <w:sz w:val="16"/>
              </w:rPr>
              <w:t>全县离休人数4人</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33448A">
            <w:pPr>
              <w:jc w:val="both"/>
            </w:pPr>
            <w:r>
              <w:rPr>
                <w:rFonts w:hint="eastAsia" w:ascii="宋体" w:hAnsi="宋体"/>
                <w:sz w:val="16"/>
                <w:lang w:eastAsia="zh-CN"/>
              </w:rPr>
              <w:t>截至</w:t>
            </w:r>
            <w:r>
              <w:rPr>
                <w:rFonts w:ascii="宋体" w:hAnsi="宋体" w:eastAsia="宋体"/>
                <w:sz w:val="16"/>
              </w:rPr>
              <w:t>2024年12月31日，该项目已实施完毕，已支付资金8万元。项目已完成的主要内容实现我县2024年离休人员4人做到应保尽保，老有所养，老有所医提高离休人员生活水平，维护社会和谐稳定；通过项目实施。</w:t>
            </w:r>
          </w:p>
        </w:tc>
      </w:tr>
      <w:tr w14:paraId="6B28E7B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3350F5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84D1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218D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5ED8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3047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0461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8E06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913B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5009A">
            <w:pPr>
              <w:jc w:val="center"/>
            </w:pPr>
            <w:r>
              <w:rPr>
                <w:rFonts w:ascii="宋体" w:hAnsi="宋体" w:eastAsia="宋体"/>
                <w:sz w:val="16"/>
              </w:rPr>
              <w:t>偏差原因分析及改进措施</w:t>
            </w:r>
          </w:p>
        </w:tc>
      </w:tr>
      <w:tr w14:paraId="30BD0E4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3389B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DAEBE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4312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4327C">
            <w:pPr>
              <w:jc w:val="center"/>
            </w:pPr>
            <w:r>
              <w:rPr>
                <w:rFonts w:ascii="宋体" w:hAnsi="宋体" w:eastAsia="宋体"/>
                <w:sz w:val="16"/>
              </w:rPr>
              <w:t>全县离休人数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54221">
            <w:pPr>
              <w:jc w:val="center"/>
            </w:pPr>
            <w:r>
              <w:rPr>
                <w:rFonts w:ascii="宋体" w:hAnsi="宋体" w:eastAsia="宋体"/>
                <w:sz w:val="16"/>
              </w:rPr>
              <w:t>=4人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74176">
            <w:pPr>
              <w:jc w:val="center"/>
            </w:pPr>
            <w:r>
              <w:rPr>
                <w:rFonts w:ascii="宋体" w:hAnsi="宋体" w:eastAsia="宋体"/>
                <w:sz w:val="16"/>
              </w:rPr>
              <w:t>=4人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693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114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5F668">
            <w:pPr>
              <w:jc w:val="center"/>
            </w:pPr>
          </w:p>
        </w:tc>
      </w:tr>
      <w:tr w14:paraId="6F5FB3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E791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DC028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EF4A5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A0C22">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1A29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467A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1470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C70E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F8289">
            <w:pPr>
              <w:jc w:val="center"/>
            </w:pPr>
          </w:p>
        </w:tc>
      </w:tr>
      <w:tr w14:paraId="516A31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F7F4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DF48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1B34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7BA48">
            <w:pPr>
              <w:jc w:val="center"/>
            </w:pPr>
            <w:r>
              <w:rPr>
                <w:rFonts w:ascii="宋体" w:hAnsi="宋体" w:eastAsia="宋体"/>
                <w:sz w:val="16"/>
              </w:rPr>
              <w:t>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E618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4073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A45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1D0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4B19F">
            <w:pPr>
              <w:jc w:val="center"/>
            </w:pPr>
          </w:p>
        </w:tc>
      </w:tr>
      <w:tr w14:paraId="2914CD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88959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9AFA1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B6971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9291D">
            <w:pPr>
              <w:jc w:val="center"/>
            </w:pPr>
            <w:r>
              <w:rPr>
                <w:rFonts w:ascii="宋体" w:hAnsi="宋体" w:eastAsia="宋体"/>
                <w:sz w:val="16"/>
              </w:rPr>
              <w:t>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873B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6414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75C5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D021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35671">
            <w:pPr>
              <w:jc w:val="center"/>
            </w:pPr>
          </w:p>
        </w:tc>
      </w:tr>
      <w:tr w14:paraId="30FFE1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2C2E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99BA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42BE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2568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AE33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3E7AC">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9D9F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21BF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12F98">
            <w:pPr>
              <w:jc w:val="center"/>
            </w:pPr>
          </w:p>
        </w:tc>
      </w:tr>
      <w:tr w14:paraId="727ADC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880B6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2D4F92">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D892D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39699">
            <w:pPr>
              <w:jc w:val="center"/>
            </w:pPr>
            <w:r>
              <w:rPr>
                <w:rFonts w:ascii="宋体" w:hAnsi="宋体" w:eastAsia="宋体"/>
                <w:sz w:val="16"/>
              </w:rPr>
              <w:t>医疗周转金及医疗费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BABA0">
            <w:pPr>
              <w:jc w:val="center"/>
            </w:pPr>
            <w:r>
              <w:rPr>
                <w:rFonts w:ascii="宋体" w:hAnsi="宋体" w:eastAsia="宋体"/>
                <w:sz w:val="16"/>
              </w:rPr>
              <w:t>&lt;=8万元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35D00">
            <w:pPr>
              <w:jc w:val="center"/>
            </w:pPr>
            <w:r>
              <w:rPr>
                <w:rFonts w:ascii="宋体" w:hAnsi="宋体" w:eastAsia="宋体"/>
                <w:sz w:val="16"/>
              </w:rPr>
              <w:t>=8万元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7F9D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194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8D0D0">
            <w:pPr>
              <w:jc w:val="center"/>
            </w:pPr>
          </w:p>
        </w:tc>
      </w:tr>
      <w:tr w14:paraId="095EE5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5A1A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6748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61F9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0D94A">
            <w:pPr>
              <w:jc w:val="center"/>
            </w:pPr>
            <w:r>
              <w:rPr>
                <w:rFonts w:ascii="宋体" w:hAnsi="宋体" w:eastAsia="宋体"/>
                <w:sz w:val="16"/>
              </w:rPr>
              <w:t>项目预算控制率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A5DC3">
            <w:pPr>
              <w:jc w:val="center"/>
            </w:pPr>
            <w:r>
              <w:rPr>
                <w:rFonts w:ascii="宋体" w:hAnsi="宋体" w:eastAsia="宋体"/>
                <w:sz w:val="16"/>
              </w:rPr>
              <w:t>&lt;=100%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1099E">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E30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4394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9D373">
            <w:pPr>
              <w:jc w:val="center"/>
            </w:pPr>
          </w:p>
        </w:tc>
      </w:tr>
      <w:tr w14:paraId="7B3583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7D207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89FE25">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99DAC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791C9">
            <w:pPr>
              <w:jc w:val="center"/>
            </w:pPr>
            <w:r>
              <w:rPr>
                <w:rFonts w:ascii="宋体" w:hAnsi="宋体" w:eastAsia="宋体"/>
                <w:sz w:val="16"/>
              </w:rPr>
              <w:t>提高离休人员生活水平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5756E">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3F15F">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6359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4A28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66F13">
            <w:pPr>
              <w:jc w:val="center"/>
            </w:pPr>
          </w:p>
        </w:tc>
      </w:tr>
      <w:tr w14:paraId="29187B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5DDA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4577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38F85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A4807">
            <w:pPr>
              <w:jc w:val="center"/>
            </w:pPr>
            <w:r>
              <w:rPr>
                <w:rFonts w:ascii="宋体" w:hAnsi="宋体" w:eastAsia="宋体"/>
                <w:sz w:val="16"/>
              </w:rPr>
              <w:t>离休人员生活水平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EB23D">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F0C9B">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243D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9F03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09329">
            <w:pPr>
              <w:jc w:val="center"/>
            </w:pPr>
          </w:p>
        </w:tc>
      </w:tr>
      <w:tr w14:paraId="2201F6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FA2C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09FB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B4EA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F6C3A">
            <w:pPr>
              <w:jc w:val="center"/>
            </w:pPr>
            <w:r>
              <w:rPr>
                <w:rFonts w:ascii="宋体" w:hAnsi="宋体" w:eastAsia="宋体"/>
                <w:sz w:val="16"/>
              </w:rPr>
              <w:t>满意度、知晓率提升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DEE31">
            <w:pPr>
              <w:jc w:val="center"/>
            </w:pPr>
            <w:r>
              <w:rPr>
                <w:rFonts w:ascii="宋体" w:hAnsi="宋体" w:eastAsia="宋体"/>
                <w:sz w:val="16"/>
              </w:rPr>
              <w:t>&gt;=80%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CF0C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DDB6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342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DE616">
            <w:pPr>
              <w:jc w:val="center"/>
            </w:pPr>
          </w:p>
        </w:tc>
      </w:tr>
      <w:tr w14:paraId="01C55D8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34048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9A094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13EC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EB61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9F45DBF"/>
        </w:tc>
      </w:tr>
    </w:tbl>
    <w:p w14:paraId="4ED13725">
      <w:r>
        <w:br w:type="page"/>
      </w:r>
    </w:p>
    <w:p w14:paraId="5016CEF5">
      <w:pPr>
        <w:spacing w:line="640" w:lineRule="exact"/>
        <w:ind w:firstLine="640"/>
        <w:jc w:val="both"/>
        <w:outlineLvl w:val="2"/>
      </w:pPr>
      <w:r>
        <w:rPr>
          <w:rFonts w:ascii="黑体" w:hAnsi="黑体" w:eastAsia="黑体"/>
          <w:sz w:val="32"/>
        </w:rPr>
        <w:t>十二、其他需说明的事项</w:t>
      </w:r>
    </w:p>
    <w:p w14:paraId="5996F2E6">
      <w:pPr>
        <w:spacing w:line="580" w:lineRule="exact"/>
        <w:ind w:firstLine="640"/>
        <w:jc w:val="both"/>
      </w:pPr>
      <w:r>
        <w:rPr>
          <w:rFonts w:ascii="仿宋_GB2312" w:hAnsi="仿宋_GB2312" w:eastAsia="仿宋_GB2312"/>
          <w:b w:val="0"/>
          <w:sz w:val="32"/>
        </w:rPr>
        <w:t>本年度本单位政府采购为大中型企业采购，故授予小微企业合同金额为0.00万元。本年本单位SM项目1个，全年预算数12.45万元，全年执行数12.45万元。</w:t>
      </w:r>
    </w:p>
    <w:p w14:paraId="790688D1">
      <w:r>
        <w:br w:type="page"/>
      </w:r>
    </w:p>
    <w:p w14:paraId="47F42155">
      <w:pPr>
        <w:spacing w:line="240" w:lineRule="auto"/>
        <w:jc w:val="center"/>
        <w:outlineLvl w:val="1"/>
      </w:pPr>
      <w:r>
        <w:rPr>
          <w:rFonts w:ascii="黑体" w:hAnsi="黑体" w:eastAsia="黑体"/>
          <w:sz w:val="32"/>
        </w:rPr>
        <w:t>第三部分 专业名词解释</w:t>
      </w:r>
    </w:p>
    <w:p w14:paraId="2CD99B4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A9531B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D93CAA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322686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33338B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3258E4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EB786C8">
      <w:pPr>
        <w:spacing w:line="240" w:lineRule="auto"/>
        <w:ind w:firstLine="640"/>
        <w:jc w:val="both"/>
      </w:pPr>
      <w:r>
        <w:rPr>
          <w:rFonts w:ascii="仿宋_GB2312" w:hAnsi="仿宋_GB2312" w:eastAsia="仿宋_GB2312"/>
          <w:b/>
          <w:sz w:val="32"/>
        </w:rPr>
        <w:t>七、年初结转和</w:t>
      </w:r>
      <w:bookmarkStart w:id="0" w:name="_GoBack"/>
      <w:r>
        <w:rPr>
          <w:rFonts w:ascii="仿宋_GB2312" w:hAnsi="仿宋_GB2312" w:eastAsia="仿宋_GB2312"/>
          <w:b/>
          <w:sz w:val="32"/>
        </w:rPr>
        <w:t>结余</w:t>
      </w:r>
      <w:bookmarkEnd w:id="0"/>
      <w:r>
        <w:rPr>
          <w:rFonts w:ascii="仿宋_GB2312" w:hAnsi="仿宋_GB2312" w:eastAsia="仿宋_GB2312"/>
          <w:b/>
          <w:sz w:val="32"/>
        </w:rPr>
        <w:t>：</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2B617C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8EDB84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002015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84F929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52FA3F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CEAEBA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A55317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F1A3B4A">
      <w:r>
        <w:br w:type="page"/>
      </w:r>
    </w:p>
    <w:p w14:paraId="436C42CE">
      <w:pPr>
        <w:spacing w:line="240" w:lineRule="auto"/>
        <w:jc w:val="center"/>
        <w:outlineLvl w:val="1"/>
      </w:pPr>
      <w:r>
        <w:rPr>
          <w:rFonts w:ascii="黑体" w:hAnsi="黑体" w:eastAsia="黑体"/>
          <w:sz w:val="32"/>
        </w:rPr>
        <w:t>第四部分 部门决算报表（见附表）</w:t>
      </w:r>
    </w:p>
    <w:p w14:paraId="587BF2C4">
      <w:pPr>
        <w:spacing w:line="240" w:lineRule="auto"/>
        <w:ind w:firstLine="640"/>
        <w:jc w:val="both"/>
      </w:pPr>
      <w:r>
        <w:rPr>
          <w:rFonts w:ascii="仿宋_GB2312" w:hAnsi="仿宋_GB2312" w:eastAsia="仿宋_GB2312"/>
          <w:b w:val="0"/>
          <w:sz w:val="32"/>
        </w:rPr>
        <w:t>一、《收入支出决算总表》</w:t>
      </w:r>
    </w:p>
    <w:p w14:paraId="0E4C8464">
      <w:pPr>
        <w:spacing w:line="240" w:lineRule="auto"/>
        <w:ind w:firstLine="640"/>
        <w:jc w:val="both"/>
      </w:pPr>
      <w:r>
        <w:rPr>
          <w:rFonts w:ascii="仿宋_GB2312" w:hAnsi="仿宋_GB2312" w:eastAsia="仿宋_GB2312"/>
          <w:b w:val="0"/>
          <w:sz w:val="32"/>
        </w:rPr>
        <w:t>二、《收入决算表》</w:t>
      </w:r>
    </w:p>
    <w:p w14:paraId="7EB7DA84">
      <w:pPr>
        <w:spacing w:line="240" w:lineRule="auto"/>
        <w:ind w:firstLine="640"/>
        <w:jc w:val="both"/>
      </w:pPr>
      <w:r>
        <w:rPr>
          <w:rFonts w:ascii="仿宋_GB2312" w:hAnsi="仿宋_GB2312" w:eastAsia="仿宋_GB2312"/>
          <w:b w:val="0"/>
          <w:sz w:val="32"/>
        </w:rPr>
        <w:t>三、《支出决算表》</w:t>
      </w:r>
    </w:p>
    <w:p w14:paraId="0BF9B1D1">
      <w:pPr>
        <w:spacing w:line="240" w:lineRule="auto"/>
        <w:ind w:firstLine="640"/>
        <w:jc w:val="both"/>
      </w:pPr>
      <w:r>
        <w:rPr>
          <w:rFonts w:ascii="仿宋_GB2312" w:hAnsi="仿宋_GB2312" w:eastAsia="仿宋_GB2312"/>
          <w:b w:val="0"/>
          <w:sz w:val="32"/>
        </w:rPr>
        <w:t>四、《财政拨款收入支出决算总表》</w:t>
      </w:r>
    </w:p>
    <w:p w14:paraId="7EDC0AFA">
      <w:pPr>
        <w:spacing w:line="240" w:lineRule="auto"/>
        <w:ind w:firstLine="640"/>
        <w:jc w:val="both"/>
      </w:pPr>
      <w:r>
        <w:rPr>
          <w:rFonts w:ascii="仿宋_GB2312" w:hAnsi="仿宋_GB2312" w:eastAsia="仿宋_GB2312"/>
          <w:b w:val="0"/>
          <w:sz w:val="32"/>
        </w:rPr>
        <w:t>五、《一般公共预算财政拨款支出决算表》</w:t>
      </w:r>
    </w:p>
    <w:p w14:paraId="085CEEE2">
      <w:pPr>
        <w:spacing w:line="240" w:lineRule="auto"/>
        <w:ind w:firstLine="640"/>
        <w:jc w:val="both"/>
      </w:pPr>
      <w:r>
        <w:rPr>
          <w:rFonts w:ascii="仿宋_GB2312" w:hAnsi="仿宋_GB2312" w:eastAsia="仿宋_GB2312"/>
          <w:b w:val="0"/>
          <w:sz w:val="32"/>
        </w:rPr>
        <w:t>六、《一般公共预算财政拨款基本支出决算表》</w:t>
      </w:r>
    </w:p>
    <w:p w14:paraId="79442DE5">
      <w:pPr>
        <w:spacing w:line="240" w:lineRule="auto"/>
        <w:ind w:firstLine="640"/>
        <w:jc w:val="both"/>
      </w:pPr>
      <w:r>
        <w:rPr>
          <w:rFonts w:ascii="仿宋_GB2312" w:hAnsi="仿宋_GB2312" w:eastAsia="仿宋_GB2312"/>
          <w:b w:val="0"/>
          <w:sz w:val="32"/>
        </w:rPr>
        <w:t>七、《政府性基金预算财政拨款收入支出决算表》</w:t>
      </w:r>
    </w:p>
    <w:p w14:paraId="5BCFD072">
      <w:pPr>
        <w:spacing w:line="240" w:lineRule="auto"/>
        <w:ind w:firstLine="640"/>
        <w:jc w:val="both"/>
      </w:pPr>
      <w:r>
        <w:rPr>
          <w:rFonts w:ascii="仿宋_GB2312" w:hAnsi="仿宋_GB2312" w:eastAsia="仿宋_GB2312"/>
          <w:b w:val="0"/>
          <w:sz w:val="32"/>
        </w:rPr>
        <w:t>八、《国有资本经营预算财政拨款收入支出决算表》</w:t>
      </w:r>
    </w:p>
    <w:p w14:paraId="50CF9600">
      <w:pPr>
        <w:spacing w:line="240" w:lineRule="auto"/>
        <w:ind w:firstLine="640"/>
        <w:jc w:val="both"/>
      </w:pPr>
      <w:r>
        <w:rPr>
          <w:rFonts w:ascii="仿宋_GB2312" w:hAnsi="仿宋_GB2312" w:eastAsia="仿宋_GB2312"/>
          <w:b w:val="0"/>
          <w:sz w:val="32"/>
        </w:rPr>
        <w:t>九、《财政拨款“三公”经费支出决算表》</w:t>
      </w:r>
    </w:p>
    <w:p w14:paraId="2A6BC48D">
      <w:pPr>
        <w:spacing w:line="240" w:lineRule="auto"/>
        <w:ind w:firstLine="640"/>
        <w:jc w:val="both"/>
      </w:pPr>
    </w:p>
    <w:p w14:paraId="61124353">
      <w:pPr>
        <w:spacing w:line="240" w:lineRule="auto"/>
        <w:ind w:firstLine="640"/>
        <w:jc w:val="both"/>
      </w:pPr>
    </w:p>
    <w:p w14:paraId="2C7789CC">
      <w:pPr>
        <w:spacing w:line="240" w:lineRule="auto"/>
        <w:ind w:firstLine="640"/>
        <w:jc w:val="both"/>
      </w:pPr>
    </w:p>
    <w:p w14:paraId="41645677">
      <w:pPr>
        <w:spacing w:line="240" w:lineRule="auto"/>
        <w:ind w:firstLine="640"/>
        <w:jc w:val="both"/>
      </w:pPr>
    </w:p>
    <w:p w14:paraId="281888B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3EDA58F3"/>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5408</Words>
  <Characters>6189</Characters>
  <Lines>0</Lines>
  <Paragraphs>0</Paragraphs>
  <TotalTime>8</TotalTime>
  <ScaleCrop>false</ScaleCrop>
  <LinksUpToDate>false</LinksUpToDate>
  <CharactersWithSpaces>6197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2025-09-17T05:21:53Z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