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洛浦县农村合作经济发展中心2024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6600A8">
      <w:r>
        <w:br w:type="page"/>
      </w:r>
    </w:p>
    <w:p w14:paraId="1A14107F">
      <w:pPr>
        <w:spacing w:line="640" w:lineRule="exact"/>
        <w:jc w:val="center"/>
        <w:outlineLvl w:val="1"/>
      </w:pPr>
      <w:r>
        <w:rPr>
          <w:rFonts w:ascii="黑体" w:hAnsi="黑体" w:eastAsia="黑体"/>
          <w:sz w:val="32"/>
        </w:rPr>
        <w:t>第一部分 单位概况</w:t>
      </w:r>
    </w:p>
    <w:p w14:paraId="42C9EDAC">
      <w:pPr>
        <w:spacing w:line="640" w:lineRule="exact"/>
        <w:ind w:firstLine="640"/>
        <w:jc w:val="both"/>
        <w:outlineLvl w:val="2"/>
      </w:pPr>
      <w:r>
        <w:rPr>
          <w:rFonts w:ascii="黑体" w:hAnsi="黑体" w:eastAsia="黑体"/>
          <w:sz w:val="32"/>
        </w:rPr>
        <w:t>一、主要职能</w:t>
      </w:r>
    </w:p>
    <w:p w14:paraId="053AD354">
      <w:pPr>
        <w:spacing w:line="580" w:lineRule="exact"/>
        <w:ind w:firstLine="640"/>
        <w:jc w:val="both"/>
      </w:pPr>
      <w:r>
        <w:rPr>
          <w:rFonts w:ascii="仿宋_GB2312" w:hAnsi="仿宋_GB2312" w:eastAsia="仿宋_GB2312"/>
          <w:sz w:val="32"/>
        </w:rPr>
        <w:t>（1）负责洛浦县农村土地承包经营权流转的指导和服务。</w:t>
      </w:r>
    </w:p>
    <w:p w14:paraId="60C924FB">
      <w:pPr>
        <w:spacing w:line="580" w:lineRule="exact"/>
        <w:ind w:firstLine="640"/>
        <w:jc w:val="both"/>
      </w:pPr>
      <w:r>
        <w:rPr>
          <w:rFonts w:ascii="仿宋_GB2312" w:hAnsi="仿宋_GB2312" w:eastAsia="仿宋_GB2312"/>
          <w:sz w:val="32"/>
        </w:rPr>
        <w:t>（2）负责农村产权制度改革后股份经济合作社的指导，农村集体经济组织登记赋码和规范化建设。</w:t>
      </w:r>
    </w:p>
    <w:p w14:paraId="5DD355A4">
      <w:pPr>
        <w:spacing w:line="580" w:lineRule="exact"/>
        <w:ind w:firstLine="640"/>
        <w:jc w:val="both"/>
      </w:pPr>
      <w:r>
        <w:rPr>
          <w:rFonts w:ascii="仿宋_GB2312" w:hAnsi="仿宋_GB2312" w:eastAsia="仿宋_GB2312"/>
          <w:sz w:val="32"/>
        </w:rPr>
        <w:t>（3）组织开展农村集体财务会计业务指导、农村集体经济审计。</w:t>
      </w:r>
    </w:p>
    <w:p w14:paraId="61747671">
      <w:pPr>
        <w:spacing w:line="580" w:lineRule="exact"/>
        <w:ind w:firstLine="640"/>
        <w:jc w:val="both"/>
      </w:pPr>
      <w:r>
        <w:rPr>
          <w:rFonts w:ascii="仿宋_GB2312" w:hAnsi="仿宋_GB2312" w:eastAsia="仿宋_GB2312"/>
          <w:sz w:val="32"/>
        </w:rPr>
        <w:t>（4）指导农民专业合作社、家庭农场规范建立、运作及人才培育，组织开展示范性农民专业合作社、家庭农场评定和监测。</w:t>
      </w:r>
    </w:p>
    <w:p w14:paraId="6FD7FD9F">
      <w:pPr>
        <w:spacing w:line="580" w:lineRule="exact"/>
        <w:ind w:firstLine="640"/>
        <w:jc w:val="both"/>
      </w:pPr>
      <w:r>
        <w:rPr>
          <w:rFonts w:ascii="仿宋_GB2312" w:hAnsi="仿宋_GB2312" w:eastAsia="仿宋_GB2312"/>
          <w:sz w:val="32"/>
        </w:rPr>
        <w:t>（5）指导农业社会化服务体系建设和农业生产性服务组织规范发展。</w:t>
      </w:r>
    </w:p>
    <w:p w14:paraId="1AAB7649">
      <w:pPr>
        <w:spacing w:line="580" w:lineRule="exact"/>
        <w:ind w:firstLine="640"/>
        <w:jc w:val="both"/>
      </w:pPr>
      <w:r>
        <w:rPr>
          <w:rFonts w:ascii="仿宋_GB2312" w:hAnsi="仿宋_GB2312" w:eastAsia="仿宋_GB2312"/>
          <w:sz w:val="32"/>
        </w:rPr>
        <w:t>（6）承担农村经营管理信息化平台建设和运行维护。</w:t>
      </w:r>
    </w:p>
    <w:p w14:paraId="7638C812">
      <w:pPr>
        <w:spacing w:line="580" w:lineRule="exact"/>
        <w:ind w:firstLine="640"/>
        <w:jc w:val="both"/>
      </w:pPr>
      <w:r>
        <w:rPr>
          <w:rFonts w:ascii="仿宋_GB2312" w:hAnsi="仿宋_GB2312" w:eastAsia="仿宋_GB2312"/>
          <w:sz w:val="32"/>
        </w:rPr>
        <w:t>（7）开展农村经营管理情况统计。</w:t>
      </w:r>
    </w:p>
    <w:p w14:paraId="62083CD5">
      <w:pPr>
        <w:spacing w:line="580" w:lineRule="exact"/>
        <w:ind w:firstLine="640"/>
        <w:jc w:val="both"/>
      </w:pPr>
      <w:r>
        <w:rPr>
          <w:rFonts w:ascii="仿宋_GB2312" w:hAnsi="仿宋_GB2312" w:eastAsia="仿宋_GB2312"/>
          <w:sz w:val="32"/>
        </w:rPr>
        <w:t>（8）参与组织实施农村合作经济发展相关业务培训工作。</w:t>
      </w:r>
    </w:p>
    <w:p w14:paraId="4CB3279D">
      <w:pPr>
        <w:spacing w:line="580" w:lineRule="exact"/>
        <w:ind w:firstLine="640"/>
        <w:jc w:val="both"/>
      </w:pPr>
      <w:r>
        <w:rPr>
          <w:rFonts w:ascii="仿宋_GB2312" w:hAnsi="仿宋_GB2312" w:eastAsia="仿宋_GB2312"/>
          <w:sz w:val="32"/>
        </w:rPr>
        <w:t>（9）完成上级主管部门交办的其他工作。</w:t>
      </w:r>
    </w:p>
    <w:p w14:paraId="4699247A">
      <w:pPr>
        <w:spacing w:line="640" w:lineRule="exact"/>
        <w:ind w:firstLine="640"/>
        <w:jc w:val="both"/>
        <w:outlineLvl w:val="2"/>
      </w:pPr>
      <w:r>
        <w:rPr>
          <w:rFonts w:ascii="黑体" w:hAnsi="黑体" w:eastAsia="黑体"/>
          <w:sz w:val="32"/>
        </w:rPr>
        <w:t>二、机构设置及人员情况</w:t>
      </w:r>
    </w:p>
    <w:p w14:paraId="2FDF0CB2">
      <w:pPr>
        <w:spacing w:line="580" w:lineRule="exact"/>
        <w:ind w:firstLine="640"/>
        <w:jc w:val="both"/>
      </w:pPr>
      <w:r>
        <w:rPr>
          <w:rFonts w:ascii="仿宋_GB2312" w:hAnsi="仿宋_GB2312" w:eastAsia="仿宋_GB2312"/>
          <w:sz w:val="32"/>
        </w:rPr>
        <w:t>洛浦县农村合作经济发展中心2024年度，实有人数17人，其中：在职人员7人，增加0人；离休人员0人，增加0人；退休人员10人,增加0人。</w:t>
      </w:r>
    </w:p>
    <w:p w14:paraId="45BBF0F9">
      <w:pPr>
        <w:spacing w:line="580" w:lineRule="exact"/>
        <w:ind w:firstLine="640"/>
        <w:jc w:val="both"/>
      </w:pPr>
      <w:r>
        <w:rPr>
          <w:rFonts w:ascii="仿宋_GB2312" w:hAnsi="仿宋_GB2312" w:eastAsia="仿宋_GB2312"/>
          <w:sz w:val="32"/>
        </w:rPr>
        <w:t>洛浦县农村合作经济发展中心无下属预算单位，下设4个科室，分别是：办公室、综合科、工业科、财务室。</w:t>
      </w:r>
    </w:p>
    <w:p w14:paraId="1B2F62C3">
      <w:r>
        <w:br w:type="page"/>
      </w:r>
    </w:p>
    <w:p w14:paraId="622CA37C">
      <w:pPr>
        <w:spacing w:line="240" w:lineRule="auto"/>
        <w:jc w:val="center"/>
        <w:outlineLvl w:val="1"/>
      </w:pPr>
      <w:r>
        <w:rPr>
          <w:rFonts w:ascii="黑体" w:hAnsi="黑体" w:eastAsia="黑体"/>
          <w:sz w:val="32"/>
        </w:rPr>
        <w:t>第二部分 部门决算情况说明</w:t>
      </w:r>
    </w:p>
    <w:p w14:paraId="63E7C0C8">
      <w:pPr>
        <w:spacing w:line="640" w:lineRule="exact"/>
        <w:ind w:firstLine="640"/>
        <w:jc w:val="both"/>
        <w:outlineLvl w:val="2"/>
      </w:pPr>
      <w:r>
        <w:rPr>
          <w:rFonts w:ascii="黑体" w:hAnsi="黑体" w:eastAsia="黑体"/>
          <w:sz w:val="32"/>
        </w:rPr>
        <w:t>一、收入支出决算总体情况说明</w:t>
      </w:r>
    </w:p>
    <w:p w14:paraId="69C97BC1">
      <w:pPr>
        <w:spacing w:line="580" w:lineRule="exact"/>
        <w:ind w:firstLine="640"/>
        <w:jc w:val="both"/>
      </w:pPr>
      <w:r>
        <w:rPr>
          <w:rFonts w:ascii="仿宋_GB2312" w:hAnsi="仿宋_GB2312" w:eastAsia="仿宋_GB2312"/>
          <w:b/>
          <w:sz w:val="32"/>
        </w:rPr>
        <w:t>2024年度收入总计568.69万元，</w:t>
      </w:r>
      <w:r>
        <w:rPr>
          <w:rFonts w:ascii="仿宋_GB2312" w:hAnsi="仿宋_GB2312" w:eastAsia="仿宋_GB2312"/>
          <w:b w:val="0"/>
          <w:sz w:val="32"/>
        </w:rPr>
        <w:t>其中：本年收入合计508.30万元，使用非财政拨款结余（含专用结余）0.00万元，年初结转和结余60.39万元。</w:t>
      </w:r>
    </w:p>
    <w:p w14:paraId="5DA82959">
      <w:pPr>
        <w:spacing w:line="580" w:lineRule="exact"/>
        <w:ind w:firstLine="640"/>
        <w:jc w:val="both"/>
      </w:pPr>
      <w:r>
        <w:rPr>
          <w:rFonts w:ascii="仿宋_GB2312" w:hAnsi="仿宋_GB2312" w:eastAsia="仿宋_GB2312"/>
          <w:b/>
          <w:sz w:val="32"/>
        </w:rPr>
        <w:t>2024年度支出总计568.69万元，</w:t>
      </w:r>
      <w:r>
        <w:rPr>
          <w:rFonts w:ascii="仿宋_GB2312" w:hAnsi="仿宋_GB2312" w:eastAsia="仿宋_GB2312"/>
          <w:b w:val="0"/>
          <w:sz w:val="32"/>
        </w:rPr>
        <w:t>其中：本年支出合计536.14万元，结余分配0.00万元，年末结转和结余32.55万元。</w:t>
      </w:r>
    </w:p>
    <w:p w14:paraId="6FAF050D">
      <w:pPr>
        <w:spacing w:line="580" w:lineRule="exact"/>
        <w:ind w:firstLine="640"/>
        <w:jc w:val="both"/>
      </w:pPr>
      <w:r>
        <w:rPr>
          <w:rFonts w:ascii="仿宋_GB2312" w:hAnsi="仿宋_GB2312" w:eastAsia="仿宋_GB2312"/>
          <w:b w:val="0"/>
          <w:sz w:val="32"/>
        </w:rPr>
        <w:t>收入支出总体与上年相比，增加53.17万元，增长10.31%，主要原因是：本年增加2024年中央农业经营主体能力提升资金、自治区农业生产发展资金。</w:t>
      </w:r>
    </w:p>
    <w:p w14:paraId="4191A2BA">
      <w:pPr>
        <w:spacing w:line="640" w:lineRule="exact"/>
        <w:ind w:firstLine="640"/>
        <w:jc w:val="both"/>
        <w:outlineLvl w:val="2"/>
      </w:pPr>
      <w:r>
        <w:rPr>
          <w:rFonts w:ascii="黑体" w:hAnsi="黑体" w:eastAsia="黑体"/>
          <w:sz w:val="32"/>
        </w:rPr>
        <w:t>二、收入决算情况说明</w:t>
      </w:r>
    </w:p>
    <w:p w14:paraId="19E9CD62">
      <w:pPr>
        <w:spacing w:line="580" w:lineRule="exact"/>
        <w:ind w:firstLine="640"/>
        <w:jc w:val="both"/>
      </w:pPr>
      <w:r>
        <w:rPr>
          <w:rFonts w:ascii="仿宋_GB2312" w:hAnsi="仿宋_GB2312" w:eastAsia="仿宋_GB2312"/>
          <w:b/>
          <w:sz w:val="32"/>
        </w:rPr>
        <w:t>本年收入508.30万元，</w:t>
      </w:r>
      <w:r>
        <w:rPr>
          <w:rFonts w:ascii="仿宋_GB2312" w:hAnsi="仿宋_GB2312" w:eastAsia="仿宋_GB2312"/>
          <w:b w:val="0"/>
          <w:sz w:val="32"/>
        </w:rPr>
        <w:t>其中：财政拨款收入508.30万元，占100.00%；上级补助收入0.00万元，占0.00%；事业收入0.00万元，占0.00%；经营收入0.00万元，占0.00%；附属单位上缴收入0.00万元，占0.00%；其他收入0.00万元，占0.00%。</w:t>
      </w:r>
    </w:p>
    <w:p w14:paraId="4774A5D0">
      <w:pPr>
        <w:spacing w:line="640" w:lineRule="exact"/>
        <w:ind w:firstLine="640"/>
        <w:jc w:val="both"/>
        <w:outlineLvl w:val="2"/>
      </w:pPr>
      <w:r>
        <w:rPr>
          <w:rFonts w:ascii="黑体" w:hAnsi="黑体" w:eastAsia="黑体"/>
          <w:sz w:val="32"/>
        </w:rPr>
        <w:t>三、支出决算情况说明</w:t>
      </w:r>
    </w:p>
    <w:p w14:paraId="2EC84DB5">
      <w:pPr>
        <w:spacing w:line="580" w:lineRule="exact"/>
        <w:ind w:firstLine="640"/>
        <w:jc w:val="both"/>
      </w:pPr>
      <w:r>
        <w:rPr>
          <w:rFonts w:ascii="仿宋_GB2312" w:hAnsi="仿宋_GB2312" w:eastAsia="仿宋_GB2312"/>
          <w:b/>
          <w:sz w:val="32"/>
        </w:rPr>
        <w:t>本年支出536.14万元，</w:t>
      </w:r>
      <w:r>
        <w:rPr>
          <w:rFonts w:ascii="仿宋_GB2312" w:hAnsi="仿宋_GB2312" w:eastAsia="仿宋_GB2312"/>
          <w:b w:val="0"/>
          <w:sz w:val="32"/>
        </w:rPr>
        <w:t>其中：基本支出163.86万元，占30.56%；项目支出372.28万元，占69.44%；上缴上级支出0.00万元，占0.00%；经营支出0.00万元，占0.00%；对附属单位补助支出0.00万元，占0.00%。</w:t>
      </w:r>
    </w:p>
    <w:p w14:paraId="7D0A0768">
      <w:pPr>
        <w:spacing w:line="640" w:lineRule="exact"/>
        <w:ind w:firstLine="640"/>
        <w:jc w:val="both"/>
        <w:outlineLvl w:val="2"/>
      </w:pPr>
      <w:r>
        <w:rPr>
          <w:rFonts w:ascii="黑体" w:hAnsi="黑体" w:eastAsia="黑体"/>
          <w:sz w:val="32"/>
        </w:rPr>
        <w:t>四、财政拨款收入支出决算总体情况说明</w:t>
      </w:r>
    </w:p>
    <w:p w14:paraId="5D10C129">
      <w:pPr>
        <w:spacing w:line="580" w:lineRule="exact"/>
        <w:ind w:firstLine="640"/>
        <w:jc w:val="both"/>
      </w:pPr>
      <w:r>
        <w:rPr>
          <w:rFonts w:ascii="仿宋_GB2312" w:hAnsi="仿宋_GB2312" w:eastAsia="仿宋_GB2312"/>
          <w:b/>
          <w:sz w:val="32"/>
        </w:rPr>
        <w:t>2024年度财政拨款收入总计568.69万元，</w:t>
      </w:r>
      <w:r>
        <w:rPr>
          <w:rFonts w:ascii="仿宋_GB2312" w:hAnsi="仿宋_GB2312" w:eastAsia="仿宋_GB2312"/>
          <w:b w:val="0"/>
          <w:sz w:val="32"/>
        </w:rPr>
        <w:t>其中：年初财政拨款结转和结余60.39万元，本年财政拨款收入508.30万元。</w:t>
      </w:r>
      <w:r>
        <w:rPr>
          <w:rFonts w:ascii="仿宋_GB2312" w:hAnsi="仿宋_GB2312" w:eastAsia="仿宋_GB2312"/>
          <w:b/>
          <w:sz w:val="32"/>
        </w:rPr>
        <w:t>财政拨款支出总计568.69万元，</w:t>
      </w:r>
      <w:r>
        <w:rPr>
          <w:rFonts w:ascii="仿宋_GB2312" w:hAnsi="仿宋_GB2312" w:eastAsia="仿宋_GB2312"/>
          <w:b w:val="0"/>
          <w:sz w:val="32"/>
        </w:rPr>
        <w:t>其中：年末财政拨款结转和结余32.55万元，本年财政拨款支出536.14万元。</w:t>
      </w:r>
    </w:p>
    <w:p w14:paraId="242BFCA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增加53.17万元，增长10.31%，主要原因是：本年增加2024年中央农业经营主体能力提升资金、自治区农业生产发展资金。</w:t>
      </w:r>
      <w:r>
        <w:rPr>
          <w:rFonts w:ascii="仿宋_GB2312" w:hAnsi="仿宋_GB2312" w:eastAsia="仿宋_GB2312"/>
          <w:b/>
          <w:sz w:val="32"/>
        </w:rPr>
        <w:t>与年初预算相比，</w:t>
      </w:r>
      <w:r>
        <w:rPr>
          <w:rFonts w:ascii="仿宋_GB2312" w:hAnsi="仿宋_GB2312" w:eastAsia="仿宋_GB2312"/>
          <w:b w:val="0"/>
          <w:sz w:val="32"/>
        </w:rPr>
        <w:t>年初预算数530.84万元，决算数568.69万元，预决算差异率7.13%，主要原因是：年中追加人员工资、社保、公积金基数调增部分资金，中央农业经营主体能力提升资金</w:t>
      </w:r>
      <w:r>
        <w:rPr>
          <w:rFonts w:hint="eastAsia" w:ascii="仿宋_GB2312" w:hAnsi="仿宋_GB2312" w:eastAsia="仿宋_GB2312"/>
          <w:b w:val="0"/>
          <w:sz w:val="32"/>
          <w:lang w:eastAsia="zh-CN"/>
        </w:rPr>
        <w:t>，</w:t>
      </w:r>
      <w:r>
        <w:rPr>
          <w:rFonts w:ascii="仿宋_GB2312" w:hAnsi="仿宋_GB2312" w:eastAsia="仿宋_GB2312"/>
          <w:b w:val="0"/>
          <w:sz w:val="32"/>
        </w:rPr>
        <w:t>自治区农业生产发展资金，导致预决算存在差异。</w:t>
      </w:r>
    </w:p>
    <w:p w14:paraId="1F2E0A6F">
      <w:pPr>
        <w:spacing w:line="640" w:lineRule="exact"/>
        <w:ind w:firstLine="640"/>
        <w:jc w:val="both"/>
        <w:outlineLvl w:val="2"/>
      </w:pPr>
      <w:r>
        <w:rPr>
          <w:rFonts w:ascii="黑体" w:hAnsi="黑体" w:eastAsia="黑体"/>
          <w:sz w:val="32"/>
        </w:rPr>
        <w:t>五、一般公共预算财政拨款支出决算情况说明</w:t>
      </w:r>
    </w:p>
    <w:p w14:paraId="7CEC9D88">
      <w:pPr>
        <w:spacing w:line="640" w:lineRule="exact"/>
        <w:ind w:firstLine="640"/>
        <w:jc w:val="both"/>
        <w:outlineLvl w:val="3"/>
      </w:pPr>
      <w:r>
        <w:rPr>
          <w:rFonts w:ascii="楷体_GB2312" w:hAnsi="楷体_GB2312" w:eastAsia="楷体_GB2312"/>
          <w:b/>
          <w:sz w:val="32"/>
        </w:rPr>
        <w:t>（一）一般公共预算财政拨款支出决算总体情况</w:t>
      </w:r>
    </w:p>
    <w:p w14:paraId="50FCE238">
      <w:pPr>
        <w:spacing w:line="580" w:lineRule="exact"/>
        <w:ind w:firstLine="640"/>
        <w:jc w:val="both"/>
      </w:pPr>
      <w:r>
        <w:rPr>
          <w:rFonts w:ascii="仿宋_GB2312" w:hAnsi="仿宋_GB2312" w:eastAsia="仿宋_GB2312"/>
          <w:b/>
          <w:sz w:val="32"/>
        </w:rPr>
        <w:t>2024年度一般公共预算财政拨款支出536.14万元，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增加81.01万元，增长17.80%，主要原因是：本年增加2024年中央农业经营主体能力提升资金、自治区农业生产发展资金。</w:t>
      </w:r>
      <w:r>
        <w:rPr>
          <w:rFonts w:ascii="仿宋_GB2312" w:hAnsi="仿宋_GB2312" w:eastAsia="仿宋_GB2312"/>
          <w:b/>
          <w:sz w:val="32"/>
        </w:rPr>
        <w:t>与年初预算相比,</w:t>
      </w:r>
      <w:r>
        <w:rPr>
          <w:rFonts w:ascii="仿宋_GB2312" w:hAnsi="仿宋_GB2312" w:eastAsia="仿宋_GB2312"/>
          <w:b w:val="0"/>
          <w:sz w:val="32"/>
        </w:rPr>
        <w:t>年初预算数530.84万元，决算数536.14万元，预决算差异率1.00%，主要原因是：年中追加人员工资、社保、公积金基数调增部分资金，导致预决算存在差异。</w:t>
      </w:r>
    </w:p>
    <w:p w14:paraId="4A6A69D5">
      <w:pPr>
        <w:spacing w:line="640" w:lineRule="exact"/>
        <w:ind w:firstLine="640"/>
        <w:jc w:val="both"/>
        <w:outlineLvl w:val="3"/>
      </w:pPr>
      <w:r>
        <w:rPr>
          <w:rFonts w:ascii="楷体_GB2312" w:hAnsi="楷体_GB2312" w:eastAsia="楷体_GB2312"/>
          <w:b/>
          <w:sz w:val="32"/>
        </w:rPr>
        <w:t>（二）一般公共预算财政拨款支出决算结构情况</w:t>
      </w:r>
    </w:p>
    <w:p w14:paraId="74F6CB22">
      <w:pPr>
        <w:spacing w:line="580" w:lineRule="exact"/>
        <w:ind w:firstLine="640"/>
        <w:jc w:val="both"/>
      </w:pPr>
      <w:r>
        <w:rPr>
          <w:rFonts w:ascii="仿宋_GB2312" w:hAnsi="仿宋_GB2312" w:eastAsia="仿宋_GB2312"/>
          <w:b w:val="0"/>
          <w:sz w:val="32"/>
        </w:rPr>
        <w:t>1.社会保障和就业支出(类)28.48万元,占5.31%。</w:t>
      </w:r>
    </w:p>
    <w:p w14:paraId="096111F1">
      <w:pPr>
        <w:spacing w:line="580" w:lineRule="exact"/>
        <w:ind w:firstLine="640"/>
        <w:jc w:val="both"/>
      </w:pPr>
      <w:r>
        <w:rPr>
          <w:rFonts w:ascii="仿宋_GB2312" w:hAnsi="仿宋_GB2312" w:eastAsia="仿宋_GB2312"/>
          <w:b w:val="0"/>
          <w:sz w:val="32"/>
        </w:rPr>
        <w:t>2.卫生健康支出(类)7.57万元,占1.41%。</w:t>
      </w:r>
    </w:p>
    <w:p w14:paraId="71496B61">
      <w:pPr>
        <w:spacing w:line="580" w:lineRule="exact"/>
        <w:ind w:firstLine="640"/>
        <w:jc w:val="both"/>
      </w:pPr>
      <w:r>
        <w:rPr>
          <w:rFonts w:ascii="仿宋_GB2312" w:hAnsi="仿宋_GB2312" w:eastAsia="仿宋_GB2312"/>
          <w:b w:val="0"/>
          <w:sz w:val="32"/>
        </w:rPr>
        <w:t>3.农林水支出(类)475.28万元,占88.65%。</w:t>
      </w:r>
    </w:p>
    <w:p w14:paraId="003E347E">
      <w:pPr>
        <w:spacing w:line="580" w:lineRule="exact"/>
        <w:ind w:firstLine="640"/>
        <w:jc w:val="both"/>
      </w:pPr>
      <w:r>
        <w:rPr>
          <w:rFonts w:ascii="仿宋_GB2312" w:hAnsi="仿宋_GB2312" w:eastAsia="仿宋_GB2312"/>
          <w:b w:val="0"/>
          <w:sz w:val="32"/>
        </w:rPr>
        <w:t>4.住房保障支出(类)11.37万元,占2.12%。</w:t>
      </w:r>
    </w:p>
    <w:p w14:paraId="74CA36CE">
      <w:pPr>
        <w:spacing w:line="580" w:lineRule="exact"/>
        <w:ind w:firstLine="640"/>
        <w:jc w:val="both"/>
      </w:pPr>
      <w:r>
        <w:rPr>
          <w:rFonts w:ascii="仿宋_GB2312" w:hAnsi="仿宋_GB2312" w:eastAsia="仿宋_GB2312"/>
          <w:b w:val="0"/>
          <w:sz w:val="32"/>
        </w:rPr>
        <w:t>5.其他支出(类)13.44万元,占2.51%。</w:t>
      </w:r>
    </w:p>
    <w:p w14:paraId="1FD48D1F">
      <w:pPr>
        <w:spacing w:line="640" w:lineRule="exact"/>
        <w:ind w:firstLine="640"/>
        <w:jc w:val="both"/>
        <w:outlineLvl w:val="3"/>
      </w:pPr>
      <w:r>
        <w:rPr>
          <w:rFonts w:ascii="楷体_GB2312" w:hAnsi="楷体_GB2312" w:eastAsia="楷体_GB2312"/>
          <w:b/>
          <w:sz w:val="32"/>
        </w:rPr>
        <w:t>（三）一般公共预算财政拨款支出决算具体情况</w:t>
      </w:r>
    </w:p>
    <w:p w14:paraId="59C06502">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13.73万元，比上年决算增加13.73万元，增长100.00%,主要原因是：本年功能科目调整，事业单位离退休上年度在主科目列支，本年单独列支，导致经费较上年增加。</w:t>
      </w:r>
    </w:p>
    <w:p w14:paraId="719D12A6">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14.76万元，比上年决算增加1.96万元，增长15.31%,主要原因是：本年在职人员工资基数调增，养老缴费基数上涨，相应支出增加。</w:t>
      </w:r>
    </w:p>
    <w:p w14:paraId="5D88415D">
      <w:pPr>
        <w:spacing w:line="580" w:lineRule="exact"/>
        <w:ind w:firstLine="640"/>
        <w:jc w:val="both"/>
      </w:pPr>
      <w:r>
        <w:rPr>
          <w:rFonts w:ascii="仿宋_GB2312" w:hAnsi="仿宋_GB2312" w:eastAsia="仿宋_GB2312"/>
          <w:b w:val="0"/>
          <w:sz w:val="32"/>
        </w:rPr>
        <w:t>3.卫生健康支出(类)行政事业单位医疗(款)事业单位医疗(项):支出决算数为5.95万元，比上年决算增加5.95万元，增长100.00%,主要原因是：本年功能科目调整，事业单位医疗上年度在主科目列支，本年单独列支，导致经费较上年增加。</w:t>
      </w:r>
    </w:p>
    <w:p w14:paraId="1478A59F">
      <w:pPr>
        <w:spacing w:line="580" w:lineRule="exact"/>
        <w:ind w:firstLine="640"/>
        <w:jc w:val="both"/>
      </w:pPr>
      <w:r>
        <w:rPr>
          <w:rFonts w:ascii="仿宋_GB2312" w:hAnsi="仿宋_GB2312" w:eastAsia="仿宋_GB2312"/>
          <w:b w:val="0"/>
          <w:sz w:val="32"/>
        </w:rPr>
        <w:t>4.卫生健康支出(类)行政事业单位医疗(款)公务员医疗补助(项):支出决算数为1.62万元，比上年决算增加1.62万元，增长100.00%,主要原因是：本年功能科目调整，公务员医疗补助上年度在主科目列支，本年单独列支，导致经费较上年增加。</w:t>
      </w:r>
    </w:p>
    <w:p w14:paraId="3F70CC57">
      <w:pPr>
        <w:spacing w:line="580" w:lineRule="exact"/>
        <w:ind w:firstLine="640"/>
        <w:jc w:val="both"/>
      </w:pPr>
      <w:r>
        <w:rPr>
          <w:rFonts w:ascii="仿宋_GB2312" w:hAnsi="仿宋_GB2312" w:eastAsia="仿宋_GB2312"/>
          <w:b w:val="0"/>
          <w:sz w:val="32"/>
        </w:rPr>
        <w:t>5.农林水支出(类)农业农村(款)事业运行(项):支出决算数为116.44万元，比上年决算减少30.67万元，下降20.85%,主要原因是：上年度退休人员经费，在职人员医疗缴费、公务员医疗补助、住房公积金上年度在主科目列支，本年单独列支，导致本科目经费减少。</w:t>
      </w:r>
    </w:p>
    <w:p w14:paraId="728B63D7">
      <w:pPr>
        <w:spacing w:line="580" w:lineRule="exact"/>
        <w:ind w:firstLine="640"/>
        <w:jc w:val="both"/>
      </w:pPr>
      <w:r>
        <w:rPr>
          <w:rFonts w:ascii="仿宋_GB2312" w:hAnsi="仿宋_GB2312" w:eastAsia="仿宋_GB2312"/>
          <w:b w:val="0"/>
          <w:sz w:val="32"/>
        </w:rPr>
        <w:t>6.农林水支出(类)农业农村(款)农业生产发展(项):支出决算数为0.00万元，比上年决算减少6.00万元，下降100.00%,主要原因是：本年减少2023年合作社培训项目。</w:t>
      </w:r>
    </w:p>
    <w:p w14:paraId="1CA251C1">
      <w:pPr>
        <w:spacing w:line="580" w:lineRule="exact"/>
        <w:ind w:firstLine="640"/>
        <w:jc w:val="both"/>
      </w:pPr>
      <w:r>
        <w:rPr>
          <w:rFonts w:ascii="仿宋_GB2312" w:hAnsi="仿宋_GB2312" w:eastAsia="仿宋_GB2312"/>
          <w:b w:val="0"/>
          <w:sz w:val="32"/>
        </w:rPr>
        <w:t>7.农林水支出(类)农业农村(款)农村合作经济(项):支出决算数为331.00万元，比上年决算增加136.00万元，增长69.74%,主要原因是：本年增加2024年中央农业经营主体能力提升资金、自治区农业生产发展资金。</w:t>
      </w:r>
    </w:p>
    <w:p w14:paraId="68A7765F">
      <w:pPr>
        <w:spacing w:line="580" w:lineRule="exact"/>
        <w:ind w:firstLine="640"/>
        <w:jc w:val="both"/>
      </w:pPr>
      <w:r>
        <w:rPr>
          <w:rFonts w:ascii="仿宋_GB2312" w:hAnsi="仿宋_GB2312" w:eastAsia="仿宋_GB2312"/>
          <w:b w:val="0"/>
          <w:sz w:val="32"/>
        </w:rPr>
        <w:t>8.农林水支出(类)农业农村(款)农村社会事业(项):支出决算数为0.00万元，比上年决算减少25.23万元，下降100.00%,主要原因是：本年减少2021年社会化服务项目。</w:t>
      </w:r>
    </w:p>
    <w:p w14:paraId="33C174E7">
      <w:pPr>
        <w:spacing w:line="580" w:lineRule="exact"/>
        <w:ind w:firstLine="640"/>
        <w:jc w:val="both"/>
      </w:pPr>
      <w:r>
        <w:rPr>
          <w:rFonts w:ascii="仿宋_GB2312" w:hAnsi="仿宋_GB2312" w:eastAsia="仿宋_GB2312"/>
          <w:b w:val="0"/>
          <w:sz w:val="32"/>
        </w:rPr>
        <w:t>9.农林水支出(类)农业农村(款)其他农业农村支出(项):支出决算数为27.84万元，比上年决算减少30.73万元，下降52.47%,主要原因是：本年减少机动地调查项目支出。</w:t>
      </w:r>
    </w:p>
    <w:p w14:paraId="0BF2F975">
      <w:pPr>
        <w:spacing w:line="580" w:lineRule="exact"/>
        <w:ind w:firstLine="640"/>
        <w:jc w:val="both"/>
      </w:pPr>
      <w:r>
        <w:rPr>
          <w:rFonts w:ascii="仿宋_GB2312" w:hAnsi="仿宋_GB2312" w:eastAsia="仿宋_GB2312"/>
          <w:b w:val="0"/>
          <w:sz w:val="32"/>
        </w:rPr>
        <w:t>10.住房保障支出(类)住房改革支出(款)住房公积金(项):支出决算数为11.37万元，比上年决算增加11.37万元，增长100.00%,主要原因是：本年功能科目调整，住房公积金上年度在主科目列支，本年单独列支，导致经费较上年增加。</w:t>
      </w:r>
    </w:p>
    <w:p w14:paraId="04815C82">
      <w:pPr>
        <w:spacing w:line="580" w:lineRule="exact"/>
        <w:ind w:firstLine="640"/>
        <w:jc w:val="both"/>
      </w:pPr>
      <w:r>
        <w:rPr>
          <w:rFonts w:ascii="仿宋_GB2312" w:hAnsi="仿宋_GB2312" w:eastAsia="仿宋_GB2312"/>
          <w:b w:val="0"/>
          <w:sz w:val="32"/>
        </w:rPr>
        <w:t>11.其他支出(类)其他支出(款)其他支出(项):支出决算数为13.44万元，比上年决算增加3.02万元，增长28.98%,主要原因是：本年为民办实事工作经费支出较上年增加。</w:t>
      </w:r>
    </w:p>
    <w:p w14:paraId="17AA425C">
      <w:pPr>
        <w:spacing w:line="640" w:lineRule="exact"/>
        <w:ind w:firstLine="640"/>
        <w:jc w:val="both"/>
        <w:outlineLvl w:val="2"/>
      </w:pPr>
      <w:r>
        <w:rPr>
          <w:rFonts w:ascii="黑体" w:hAnsi="黑体" w:eastAsia="黑体"/>
          <w:sz w:val="32"/>
        </w:rPr>
        <w:t>六、一般公共预算财政拨款基本支出决算情况说明</w:t>
      </w:r>
    </w:p>
    <w:p w14:paraId="1B0DC444">
      <w:pPr>
        <w:spacing w:line="580" w:lineRule="exact"/>
        <w:ind w:firstLine="640"/>
        <w:jc w:val="both"/>
      </w:pPr>
      <w:r>
        <w:rPr>
          <w:rFonts w:ascii="仿宋_GB2312" w:hAnsi="仿宋_GB2312" w:eastAsia="仿宋_GB2312"/>
          <w:b w:val="0"/>
          <w:sz w:val="32"/>
        </w:rPr>
        <w:t>2024年度一般公共预算财政拨款基本支出163.86万元，其中：</w:t>
      </w:r>
      <w:r>
        <w:rPr>
          <w:rFonts w:ascii="仿宋_GB2312" w:hAnsi="仿宋_GB2312" w:eastAsia="仿宋_GB2312"/>
          <w:b/>
          <w:sz w:val="32"/>
        </w:rPr>
        <w:t>人员经费159.42万元，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包括：基本工资、津贴补贴、绩效工资、机关事业单位基本养老保险缴费、职工基本医疗保险缴费、公务员医疗补助缴费、其他社会保障缴费、住房公积金、退休费、生活补助。</w:t>
      </w:r>
    </w:p>
    <w:p w14:paraId="46206169">
      <w:pPr>
        <w:spacing w:line="580" w:lineRule="exact"/>
        <w:ind w:firstLine="640"/>
        <w:jc w:val="both"/>
      </w:pPr>
      <w:r>
        <w:rPr>
          <w:rFonts w:ascii="仿宋_GB2312" w:hAnsi="仿宋_GB2312" w:eastAsia="仿宋_GB2312"/>
          <w:b/>
          <w:sz w:val="32"/>
        </w:rPr>
        <w:t>公用经费4.44万元，</w:t>
      </w:r>
      <w:r>
        <w:rPr>
          <w:rFonts w:ascii="仿宋_GB2312" w:hAnsi="仿宋_GB2312" w:eastAsia="仿宋_GB2312"/>
          <w:b w:val="0"/>
          <w:sz w:val="32"/>
        </w:rPr>
        <w:t>包括：办公费、邮电费、差旅费、公务用车运行维护费、其他交通费用。</w:t>
      </w:r>
    </w:p>
    <w:p w14:paraId="31382C05">
      <w:pPr>
        <w:spacing w:line="640" w:lineRule="exact"/>
        <w:ind w:firstLine="640"/>
        <w:jc w:val="both"/>
        <w:outlineLvl w:val="2"/>
      </w:pPr>
      <w:r>
        <w:rPr>
          <w:rFonts w:ascii="黑体" w:hAnsi="黑体" w:eastAsia="黑体"/>
          <w:sz w:val="32"/>
        </w:rPr>
        <w:t>七、政府性基金预算财政拨款收入支出决算情况说明</w:t>
      </w:r>
    </w:p>
    <w:p w14:paraId="34DD880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5A1D6E9">
      <w:pPr>
        <w:spacing w:line="640" w:lineRule="exact"/>
        <w:ind w:firstLine="640"/>
        <w:jc w:val="both"/>
        <w:outlineLvl w:val="2"/>
      </w:pPr>
      <w:r>
        <w:rPr>
          <w:rFonts w:ascii="黑体" w:hAnsi="黑体" w:eastAsia="黑体"/>
          <w:sz w:val="32"/>
        </w:rPr>
        <w:t>八、国有资本经营预算财政拨款收入支出决算情况说明</w:t>
      </w:r>
    </w:p>
    <w:p w14:paraId="61E87BB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6465F3">
      <w:pPr>
        <w:spacing w:line="640" w:lineRule="exact"/>
        <w:ind w:firstLine="640"/>
        <w:jc w:val="both"/>
        <w:outlineLvl w:val="2"/>
      </w:pPr>
      <w:r>
        <w:rPr>
          <w:rFonts w:ascii="黑体" w:hAnsi="黑体" w:eastAsia="黑体"/>
          <w:sz w:val="32"/>
        </w:rPr>
        <w:t>九、财政拨款“三公”经费支出决算情况说明</w:t>
      </w:r>
    </w:p>
    <w:p w14:paraId="479BBFE9">
      <w:pPr>
        <w:spacing w:line="580" w:lineRule="exact"/>
        <w:ind w:firstLine="640"/>
        <w:jc w:val="both"/>
      </w:pPr>
      <w:r>
        <w:rPr>
          <w:rFonts w:ascii="仿宋_GB2312" w:hAnsi="仿宋_GB2312" w:eastAsia="仿宋_GB2312"/>
          <w:b/>
          <w:sz w:val="32"/>
        </w:rPr>
        <w:t>2024年度财政拨款“三公”经费支出0.97万元，</w:t>
      </w:r>
      <w:r>
        <w:rPr>
          <w:rFonts w:ascii="仿宋_GB2312" w:hAnsi="仿宋_GB2312" w:eastAsia="仿宋_GB2312"/>
          <w:b w:val="0"/>
          <w:sz w:val="32"/>
        </w:rPr>
        <w:t>比上年增加0.08万元，增长8.99%，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0.97万元，占100.00%，比上年增加0.08万元，增长8.99%，主要原因是：本单位公务用车日渐老化，维修维护成本增加，导致公务用车运行维护费较上年增加。公务接待费支出0.00万元，占0.00%，比上年增加0.00万元，增长0.00%，主要原因是：2023年与2024年均未安排公务接待费支出。</w:t>
      </w:r>
    </w:p>
    <w:p w14:paraId="490A5DB7">
      <w:pPr>
        <w:spacing w:line="580" w:lineRule="exact"/>
        <w:ind w:firstLine="640"/>
        <w:jc w:val="both"/>
      </w:pPr>
      <w:r>
        <w:rPr>
          <w:rFonts w:ascii="仿宋_GB2312" w:hAnsi="仿宋_GB2312" w:eastAsia="仿宋_GB2312"/>
          <w:b/>
          <w:sz w:val="32"/>
        </w:rPr>
        <w:t>具体情况如下：</w:t>
      </w:r>
    </w:p>
    <w:p w14:paraId="0436C7A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F87EF6">
      <w:pPr>
        <w:spacing w:line="580" w:lineRule="exact"/>
        <w:ind w:firstLine="640"/>
        <w:jc w:val="both"/>
      </w:pPr>
      <w:r>
        <w:rPr>
          <w:rFonts w:ascii="仿宋_GB2312" w:hAnsi="仿宋_GB2312" w:eastAsia="仿宋_GB2312"/>
          <w:b w:val="0"/>
          <w:sz w:val="32"/>
        </w:rPr>
        <w:t>公务用车购置及运行维护费0.97万元，其中：公务用车购置费0.00万元，公务用车运行维护费0.97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4CD574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0190AF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0.97万元，决算数0.97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0.97万元，决算数0.97万元，预决算差异率0.00%，主要原因是：严格按照预算执行，预决算无差异。公务接待费全年预算数0.00万元，决算数0.00万元，预决算差异率0.00%，主要原因是：本单位无公务接待费。</w:t>
      </w:r>
    </w:p>
    <w:p w14:paraId="71EA3B40">
      <w:pPr>
        <w:spacing w:line="640" w:lineRule="exact"/>
        <w:ind w:firstLine="640"/>
        <w:jc w:val="both"/>
        <w:outlineLvl w:val="2"/>
      </w:pPr>
      <w:r>
        <w:rPr>
          <w:rFonts w:ascii="黑体" w:hAnsi="黑体" w:eastAsia="黑体"/>
          <w:sz w:val="32"/>
        </w:rPr>
        <w:t>十、其他重要事项的情况说明</w:t>
      </w:r>
    </w:p>
    <w:p w14:paraId="15A57164">
      <w:pPr>
        <w:spacing w:line="640" w:lineRule="exact"/>
        <w:ind w:firstLine="640"/>
        <w:jc w:val="both"/>
        <w:outlineLvl w:val="3"/>
      </w:pPr>
      <w:r>
        <w:rPr>
          <w:rFonts w:ascii="楷体_GB2312" w:hAnsi="楷体_GB2312" w:eastAsia="楷体_GB2312"/>
          <w:b/>
          <w:sz w:val="32"/>
        </w:rPr>
        <w:t>（一）机关运行经费及公用经费支出情况</w:t>
      </w:r>
    </w:p>
    <w:p w14:paraId="46F20C5E">
      <w:pPr>
        <w:spacing w:line="580" w:lineRule="exact"/>
        <w:ind w:firstLine="640"/>
        <w:jc w:val="both"/>
      </w:pPr>
      <w:r>
        <w:rPr>
          <w:rFonts w:ascii="仿宋_GB2312" w:hAnsi="仿宋_GB2312" w:eastAsia="仿宋_GB2312"/>
          <w:b w:val="0"/>
          <w:sz w:val="32"/>
        </w:rPr>
        <w:t>2024年度洛浦县农村合作经济发展中心（事业单位）公用经费支出4.44万元，比上年增加2.86万元，增长181.01%，主要原因是：本年更新、维护补充办公用品，导致公用经费支出较上年增加。</w:t>
      </w:r>
    </w:p>
    <w:p w14:paraId="28B52891">
      <w:pPr>
        <w:spacing w:line="640" w:lineRule="exact"/>
        <w:ind w:firstLine="640"/>
        <w:jc w:val="both"/>
        <w:outlineLvl w:val="3"/>
      </w:pPr>
      <w:r>
        <w:rPr>
          <w:rFonts w:ascii="楷体_GB2312" w:hAnsi="楷体_GB2312" w:eastAsia="楷体_GB2312"/>
          <w:b/>
          <w:sz w:val="32"/>
        </w:rPr>
        <w:t>（二）政府采购情况</w:t>
      </w:r>
    </w:p>
    <w:p w14:paraId="531F024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1AB6DCE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CA829C2">
      <w:pPr>
        <w:spacing w:line="640" w:lineRule="exact"/>
        <w:ind w:firstLine="640"/>
        <w:jc w:val="both"/>
        <w:outlineLvl w:val="3"/>
      </w:pPr>
      <w:r>
        <w:rPr>
          <w:rFonts w:ascii="楷体_GB2312" w:hAnsi="楷体_GB2312" w:eastAsia="楷体_GB2312"/>
          <w:b/>
          <w:sz w:val="32"/>
        </w:rPr>
        <w:t>（三）国有资产占用情况说明</w:t>
      </w:r>
    </w:p>
    <w:p w14:paraId="2A3210FC">
      <w:pPr>
        <w:spacing w:line="580" w:lineRule="exact"/>
        <w:ind w:firstLine="640"/>
        <w:jc w:val="both"/>
      </w:pPr>
      <w:r>
        <w:rPr>
          <w:rFonts w:ascii="仿宋_GB2312" w:hAnsi="仿宋_GB2312" w:eastAsia="仿宋_GB2312"/>
          <w:b w:val="0"/>
          <w:sz w:val="32"/>
        </w:rPr>
        <w:t>截至2024年12月31日，房屋0.00平方米，价值0.00万元。车辆1辆，价值10.30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0E073DFE">
      <w:pPr>
        <w:spacing w:line="640" w:lineRule="exact"/>
        <w:ind w:firstLine="640"/>
        <w:jc w:val="both"/>
        <w:outlineLvl w:val="2"/>
      </w:pPr>
      <w:r>
        <w:rPr>
          <w:rFonts w:ascii="黑体" w:hAnsi="黑体" w:eastAsia="黑体"/>
          <w:sz w:val="32"/>
        </w:rPr>
        <w:t>十一、预算绩效的情况说明</w:t>
      </w:r>
    </w:p>
    <w:p w14:paraId="341691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根据预算绩效管理要求，本单位2024年度预算绩效管理形成整体支出绩效自评表1个，全年预算总额588.69万元，实际执行总额536.13万元；预算绩效评价项目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372.28</w:t>
      </w:r>
      <w:r>
        <w:rPr>
          <w:rFonts w:ascii="仿宋_GB2312" w:hAnsi="仿宋_GB2312" w:eastAsia="仿宋_GB2312"/>
          <w:b w:val="0"/>
          <w:sz w:val="32"/>
        </w:rPr>
        <w:t>万元，全年执行数</w:t>
      </w:r>
      <w:r>
        <w:rPr>
          <w:rFonts w:hint="eastAsia" w:ascii="仿宋_GB2312" w:hAnsi="仿宋_GB2312" w:eastAsia="仿宋_GB2312"/>
          <w:b w:val="0"/>
          <w:sz w:val="32"/>
        </w:rPr>
        <w:t>372.28</w:t>
      </w:r>
      <w:r>
        <w:rPr>
          <w:rFonts w:ascii="仿宋_GB2312" w:hAnsi="仿宋_GB2312" w:eastAsia="仿宋_GB2312"/>
          <w:b w:val="0"/>
          <w:sz w:val="32"/>
        </w:rPr>
        <w:t>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75ABD1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8FD3FF">
        <w:tblPrEx>
          <w:tblCellMar>
            <w:top w:w="0" w:type="dxa"/>
            <w:left w:w="108" w:type="dxa"/>
            <w:bottom w:w="0" w:type="dxa"/>
            <w:right w:w="108" w:type="dxa"/>
          </w:tblCellMar>
        </w:tblPrEx>
        <w:tc>
          <w:tcPr>
            <w:tcW w:w="8847" w:type="dxa"/>
            <w:gridSpan w:val="9"/>
            <w:vAlign w:val="center"/>
          </w:tcPr>
          <w:p w14:paraId="2B647B4F">
            <w:pPr>
              <w:jc w:val="center"/>
            </w:pPr>
            <w:r>
              <w:rPr>
                <w:rFonts w:ascii="宋体" w:hAnsi="宋体" w:eastAsia="宋体"/>
                <w:sz w:val="24"/>
              </w:rPr>
              <w:t>单位整体支出绩效自评表</w:t>
            </w:r>
          </w:p>
        </w:tc>
      </w:tr>
      <w:tr w14:paraId="12BFE3BA">
        <w:tblPrEx>
          <w:tblCellMar>
            <w:top w:w="0" w:type="dxa"/>
            <w:left w:w="108" w:type="dxa"/>
            <w:bottom w:w="0" w:type="dxa"/>
            <w:right w:w="108" w:type="dxa"/>
          </w:tblCellMar>
        </w:tblPrEx>
        <w:tc>
          <w:tcPr>
            <w:tcW w:w="8847" w:type="dxa"/>
            <w:gridSpan w:val="9"/>
            <w:vAlign w:val="center"/>
          </w:tcPr>
          <w:p w14:paraId="77C61C26">
            <w:pPr>
              <w:jc w:val="center"/>
            </w:pPr>
            <w:r>
              <w:rPr>
                <w:rFonts w:ascii="宋体" w:hAnsi="宋体" w:eastAsia="宋体"/>
                <w:sz w:val="24"/>
              </w:rPr>
              <w:t>（2024年度）</w:t>
            </w:r>
          </w:p>
        </w:tc>
      </w:tr>
      <w:tr w14:paraId="41F7B4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A6B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91CD8F">
            <w:pPr>
              <w:jc w:val="center"/>
            </w:pPr>
            <w:r>
              <w:rPr>
                <w:rFonts w:ascii="宋体" w:hAnsi="宋体" w:eastAsia="宋体"/>
                <w:sz w:val="16"/>
              </w:rPr>
              <w:t>洛浦县农村合作经济发展中心</w:t>
            </w:r>
          </w:p>
        </w:tc>
      </w:tr>
      <w:tr w14:paraId="7DFF81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7BF4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E48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9A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B8C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2EB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2043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408D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B3C28">
            <w:pPr>
              <w:jc w:val="center"/>
            </w:pPr>
            <w:r>
              <w:rPr>
                <w:rFonts w:ascii="宋体" w:hAnsi="宋体" w:eastAsia="宋体"/>
                <w:sz w:val="16"/>
              </w:rPr>
              <w:t>得分</w:t>
            </w:r>
          </w:p>
        </w:tc>
      </w:tr>
      <w:tr w14:paraId="143CF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2F4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561C0">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95AA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C1A56">
            <w:pPr>
              <w:jc w:val="center"/>
            </w:pPr>
            <w:r>
              <w:rPr>
                <w:rFonts w:ascii="宋体" w:hAnsi="宋体" w:eastAsia="宋体"/>
                <w:sz w:val="16"/>
              </w:rPr>
              <w:t>350.23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B2E0">
            <w:pPr>
              <w:jc w:val="center"/>
            </w:pPr>
            <w:r>
              <w:rPr>
                <w:rFonts w:ascii="宋体" w:hAnsi="宋体" w:eastAsia="宋体"/>
                <w:sz w:val="16"/>
              </w:rPr>
              <w:t>344.43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39D7C">
            <w:pPr>
              <w:jc w:val="center"/>
            </w:pPr>
            <w:r>
              <w:rPr>
                <w:rFonts w:ascii="宋体" w:hAnsi="宋体" w:eastAsia="宋体"/>
                <w:sz w:val="16"/>
              </w:rPr>
              <w:t>372.27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BA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6A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F83A">
            <w:pPr>
              <w:jc w:val="center"/>
            </w:pPr>
            <w:r>
              <w:rPr>
                <w:rFonts w:ascii="宋体" w:hAnsi="宋体" w:eastAsia="宋体"/>
                <w:sz w:val="16"/>
              </w:rPr>
              <w:t>-</w:t>
            </w:r>
          </w:p>
        </w:tc>
      </w:tr>
      <w:tr w14:paraId="7D192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632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804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57E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28BA5">
            <w:pPr>
              <w:jc w:val="center"/>
            </w:pPr>
            <w:r>
              <w:rPr>
                <w:rFonts w:ascii="宋体" w:hAnsi="宋体" w:eastAsia="宋体"/>
                <w:sz w:val="16"/>
              </w:rPr>
              <w:t>180.61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0648">
            <w:pPr>
              <w:jc w:val="center"/>
            </w:pPr>
            <w:r>
              <w:rPr>
                <w:rFonts w:ascii="宋体" w:hAnsi="宋体" w:eastAsia="宋体"/>
                <w:sz w:val="16"/>
              </w:rPr>
              <w:t>244.26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5615A">
            <w:pPr>
              <w:jc w:val="center"/>
            </w:pPr>
            <w:r>
              <w:rPr>
                <w:rFonts w:ascii="宋体" w:hAnsi="宋体" w:eastAsia="宋体"/>
                <w:sz w:val="16"/>
              </w:rPr>
              <w:t>163.86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40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D2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ED159">
            <w:pPr>
              <w:jc w:val="center"/>
            </w:pPr>
            <w:r>
              <w:rPr>
                <w:rFonts w:ascii="宋体" w:hAnsi="宋体" w:eastAsia="宋体"/>
                <w:sz w:val="16"/>
              </w:rPr>
              <w:t>-</w:t>
            </w:r>
          </w:p>
        </w:tc>
      </w:tr>
      <w:tr w14:paraId="22F24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310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3C8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C9C6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28C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20D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F27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7F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76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1B7E">
            <w:pPr>
              <w:jc w:val="center"/>
            </w:pPr>
            <w:r>
              <w:rPr>
                <w:rFonts w:ascii="宋体" w:hAnsi="宋体" w:eastAsia="宋体"/>
                <w:sz w:val="16"/>
              </w:rPr>
              <w:t>-</w:t>
            </w:r>
          </w:p>
        </w:tc>
      </w:tr>
      <w:tr w14:paraId="44CCFE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107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E48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5E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4DC8">
            <w:pPr>
              <w:jc w:val="center"/>
            </w:pPr>
            <w:r>
              <w:rPr>
                <w:rFonts w:ascii="宋体" w:hAnsi="宋体" w:eastAsia="宋体"/>
                <w:sz w:val="16"/>
              </w:rPr>
              <w:t>530.84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08D6">
            <w:pPr>
              <w:jc w:val="center"/>
            </w:pPr>
            <w:r>
              <w:rPr>
                <w:rFonts w:ascii="宋体" w:hAnsi="宋体" w:eastAsia="宋体"/>
                <w:sz w:val="16"/>
              </w:rPr>
              <w:t>588.69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0834D">
            <w:pPr>
              <w:jc w:val="center"/>
            </w:pPr>
            <w:r>
              <w:rPr>
                <w:rFonts w:ascii="宋体" w:hAnsi="宋体" w:eastAsia="宋体"/>
                <w:sz w:val="16"/>
              </w:rPr>
              <w:t>536.13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A3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92D4">
            <w:pPr>
              <w:jc w:val="center"/>
            </w:pPr>
            <w:r>
              <w:rPr>
                <w:rFonts w:ascii="宋体" w:hAnsi="宋体" w:eastAsia="宋体"/>
                <w:sz w:val="16"/>
              </w:rPr>
              <w:t>91.07%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D142">
            <w:pPr>
              <w:jc w:val="center"/>
            </w:pPr>
            <w:r>
              <w:rPr>
                <w:rFonts w:ascii="宋体" w:hAnsi="宋体" w:eastAsia="宋体"/>
                <w:sz w:val="16"/>
              </w:rPr>
              <w:t>9.43</w:t>
            </w:r>
          </w:p>
        </w:tc>
      </w:tr>
      <w:tr w14:paraId="42E238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75D4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2AAF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53628">
            <w:pPr>
              <w:jc w:val="center"/>
            </w:pPr>
            <w:r>
              <w:rPr>
                <w:rFonts w:ascii="宋体" w:hAnsi="宋体" w:eastAsia="宋体"/>
                <w:sz w:val="16"/>
              </w:rPr>
              <w:t>实际完成情况</w:t>
            </w:r>
          </w:p>
        </w:tc>
      </w:tr>
      <w:tr w14:paraId="236353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17B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66456">
            <w:pPr>
              <w:jc w:val="both"/>
            </w:pPr>
            <w:r>
              <w:rPr>
                <w:rFonts w:ascii="宋体" w:hAnsi="宋体" w:eastAsia="宋体"/>
                <w:sz w:val="16"/>
              </w:rPr>
              <w:t>单位职能：负责洛浦县农村土地承包经营权流转的指导和服务；负责农村产权制度改革后股份经济合作社的指导，农村集体经济组织登记赋码和规范化建设；组织开展农村集体财务会计业务指导、农村集体经济审计；指导农民专业合作社、家庭农场规范建立、运作及人才培育，组织开展示范性农民专业合作社、家庭农场评定和监测；承担农村集体资产管理业务指导、技术培训等事务性工作。协助开展农村集体经济组织登记赋码的具体工作。</w:t>
            </w:r>
            <w:r>
              <w:rPr>
                <w:rFonts w:ascii="宋体" w:hAnsi="宋体" w:eastAsia="宋体"/>
                <w:sz w:val="16"/>
              </w:rPr>
              <w:br w:type="textWrapping"/>
            </w:r>
            <w:r>
              <w:rPr>
                <w:rFonts w:ascii="宋体" w:hAnsi="宋体" w:eastAsia="宋体"/>
                <w:sz w:val="16"/>
              </w:rPr>
              <w:t>机构设置及人员编制：无下属预算单位，编制数6，实有人数7人，在职7人，退休10人。</w:t>
            </w:r>
            <w:r>
              <w:rPr>
                <w:rFonts w:ascii="宋体" w:hAnsi="宋体" w:eastAsia="宋体"/>
                <w:sz w:val="16"/>
              </w:rPr>
              <w:br w:type="textWrapping"/>
            </w:r>
            <w:r>
              <w:rPr>
                <w:rFonts w:ascii="宋体" w:hAnsi="宋体" w:eastAsia="宋体"/>
                <w:sz w:val="16"/>
              </w:rPr>
              <w:t>中长期规划：开展农民合作社质量提升整县推进全国试点工作，深入推进示范社创建，完善家庭农场名录系统管理制度，深化农村土地制度改革，完成农村集体机动地调查整理工作。</w:t>
            </w:r>
            <w:r>
              <w:rPr>
                <w:rFonts w:ascii="宋体" w:hAnsi="宋体" w:eastAsia="宋体"/>
                <w:sz w:val="16"/>
              </w:rPr>
              <w:br w:type="textWrapping"/>
            </w:r>
            <w:r>
              <w:rPr>
                <w:rFonts w:ascii="宋体" w:hAnsi="宋体" w:eastAsia="宋体"/>
                <w:sz w:val="16"/>
              </w:rPr>
              <w:t>目标1：保障单位在职7人，退休10人的工资福利及各项补助正常发放及部门正常运转；</w:t>
            </w:r>
            <w:r>
              <w:rPr>
                <w:rFonts w:ascii="宋体" w:hAnsi="宋体" w:eastAsia="宋体"/>
                <w:sz w:val="16"/>
              </w:rPr>
              <w:br w:type="textWrapping"/>
            </w:r>
            <w:r>
              <w:rPr>
                <w:rFonts w:ascii="宋体" w:hAnsi="宋体" w:eastAsia="宋体"/>
                <w:sz w:val="16"/>
              </w:rPr>
              <w:t>目标2：2023年创建各级示范合作社比例达到全县在册正常运行合作社的30%以上，累计各级示范社达到80家以上，新创建县级以上示范家庭农场1家以上，流转面积累计达到3.5万亩以上，开展230个村集体机动地调查整理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D0BFE8">
            <w:pPr>
              <w:jc w:val="both"/>
            </w:pPr>
            <w:r>
              <w:rPr>
                <w:rFonts w:ascii="宋体" w:hAnsi="宋体" w:eastAsia="宋体"/>
                <w:sz w:val="16"/>
              </w:rPr>
              <w:t>完成开展农民合作社质量提升整县推进全国试点工作，深入推进示范社创建，完善家庭农场名录系统管理制度，深化农村土地制度改革，完成农村集体机动地调查整理工作。保障单位在职7人，退休10人的工资福利及各项补助正常发放及部门正常运行。2024年创建各级示范合作社比例达到全县在册正常运行合作社的30%以上，累计各级示范社达到80家以上，新创建县级以上示范家庭农场1家以上，流转面积累计达到3.5万亩以上，开展230个村集体机动地调查整理工作，</w:t>
            </w:r>
          </w:p>
        </w:tc>
      </w:tr>
      <w:tr w14:paraId="7BC5B4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E2D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CD6C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8CC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2568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5A3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9B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8AE4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9BC6E">
            <w:pPr>
              <w:jc w:val="center"/>
            </w:pPr>
            <w:r>
              <w:rPr>
                <w:rFonts w:ascii="宋体" w:hAnsi="宋体" w:eastAsia="宋体"/>
                <w:sz w:val="16"/>
              </w:rPr>
              <w:t>得分</w:t>
            </w:r>
          </w:p>
        </w:tc>
      </w:tr>
      <w:tr w14:paraId="661ABF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CFF4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5097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DF2A8">
            <w:pPr>
              <w:jc w:val="center"/>
            </w:pPr>
            <w:r>
              <w:rPr>
                <w:rFonts w:ascii="宋体" w:hAnsi="宋体" w:eastAsia="宋体"/>
                <w:sz w:val="16"/>
              </w:rPr>
              <w:t>开展技术培训次数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61A97">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E05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B4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F5EA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1A3A">
            <w:pPr>
              <w:jc w:val="center"/>
            </w:pPr>
            <w:r>
              <w:rPr>
                <w:rFonts w:ascii="宋体" w:hAnsi="宋体" w:eastAsia="宋体"/>
                <w:sz w:val="16"/>
              </w:rPr>
              <w:t>10</w:t>
            </w:r>
          </w:p>
        </w:tc>
      </w:tr>
      <w:tr w14:paraId="3DE168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55E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196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20F4C">
            <w:pPr>
              <w:jc w:val="center"/>
            </w:pPr>
            <w:r>
              <w:rPr>
                <w:rFonts w:ascii="宋体" w:hAnsi="宋体" w:eastAsia="宋体"/>
                <w:sz w:val="16"/>
              </w:rPr>
              <w:t>合作社调研指导次数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9F37">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EF1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EC9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2535">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33F76">
            <w:pPr>
              <w:jc w:val="center"/>
            </w:pPr>
            <w:r>
              <w:rPr>
                <w:rFonts w:ascii="宋体" w:hAnsi="宋体" w:eastAsia="宋体"/>
                <w:sz w:val="16"/>
              </w:rPr>
              <w:t>10</w:t>
            </w:r>
          </w:p>
        </w:tc>
      </w:tr>
      <w:tr w14:paraId="2E905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D05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CC4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62CE8">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484EA">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67B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643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C51CB">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7193">
            <w:pPr>
              <w:jc w:val="center"/>
            </w:pPr>
            <w:r>
              <w:rPr>
                <w:rFonts w:ascii="宋体" w:hAnsi="宋体" w:eastAsia="宋体"/>
                <w:sz w:val="16"/>
              </w:rPr>
              <w:t>10</w:t>
            </w:r>
          </w:p>
        </w:tc>
      </w:tr>
      <w:tr w14:paraId="27655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BB5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410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8E78">
            <w:pPr>
              <w:jc w:val="center"/>
            </w:pPr>
            <w:r>
              <w:rPr>
                <w:rFonts w:ascii="宋体" w:hAnsi="宋体" w:eastAsia="宋体"/>
                <w:sz w:val="16"/>
              </w:rPr>
              <w:t>保障在职、退休职工工资人数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33E1A">
            <w:pPr>
              <w:jc w:val="center"/>
            </w:pPr>
            <w:r>
              <w:rPr>
                <w:rFonts w:ascii="宋体" w:hAnsi="宋体" w:eastAsia="宋体"/>
                <w:sz w:val="16"/>
              </w:rPr>
              <w:t>&gt;=17人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3200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AA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4F7B2">
            <w:pPr>
              <w:jc w:val="center"/>
            </w:pPr>
            <w:r>
              <w:rPr>
                <w:rFonts w:ascii="宋体" w:hAnsi="宋体" w:eastAsia="宋体"/>
                <w:sz w:val="16"/>
              </w:rPr>
              <w: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4AD9">
            <w:pPr>
              <w:jc w:val="center"/>
            </w:pPr>
            <w:r>
              <w:rPr>
                <w:rFonts w:ascii="宋体" w:hAnsi="宋体" w:eastAsia="宋体"/>
                <w:sz w:val="16"/>
              </w:rPr>
              <w:t>10</w:t>
            </w:r>
          </w:p>
        </w:tc>
      </w:tr>
      <w:tr w14:paraId="29A4B9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EDF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168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B808">
            <w:pPr>
              <w:jc w:val="center"/>
            </w:pPr>
            <w:r>
              <w:rPr>
                <w:rFonts w:ascii="宋体" w:hAnsi="宋体" w:eastAsia="宋体"/>
                <w:sz w:val="16"/>
              </w:rPr>
              <w:t>创建各级示范社数量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48E3">
            <w:pPr>
              <w:jc w:val="center"/>
            </w:pPr>
            <w:r>
              <w:rPr>
                <w:rFonts w:ascii="宋体" w:hAnsi="宋体" w:eastAsia="宋体"/>
                <w:sz w:val="16"/>
              </w:rPr>
              <w:t>&gt;=14家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003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55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21F20">
            <w:pPr>
              <w:jc w:val="center"/>
            </w:pPr>
            <w:r>
              <w:rPr>
                <w:rFonts w:ascii="宋体" w:hAnsi="宋体" w:eastAsia="宋体"/>
                <w:sz w:val="16"/>
              </w:rPr>
              <w:t>14家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C42E6">
            <w:pPr>
              <w:jc w:val="center"/>
            </w:pPr>
            <w:r>
              <w:rPr>
                <w:rFonts w:ascii="宋体" w:hAnsi="宋体" w:eastAsia="宋体"/>
                <w:sz w:val="16"/>
              </w:rPr>
              <w:t>10</w:t>
            </w:r>
          </w:p>
        </w:tc>
      </w:tr>
      <w:tr w14:paraId="1E0101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8DE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667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C58E">
            <w:pPr>
              <w:jc w:val="center"/>
            </w:pPr>
            <w:r>
              <w:rPr>
                <w:rFonts w:ascii="宋体" w:hAnsi="宋体" w:eastAsia="宋体"/>
                <w:sz w:val="16"/>
              </w:rPr>
              <w:t>创建县级以上示范家庭农场数量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2B003">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C6BC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4D5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7CB3">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2BA16">
            <w:pPr>
              <w:jc w:val="center"/>
            </w:pPr>
            <w:r>
              <w:rPr>
                <w:rFonts w:ascii="宋体" w:hAnsi="宋体" w:eastAsia="宋体"/>
                <w:sz w:val="16"/>
              </w:rPr>
              <w:t>10</w:t>
            </w:r>
          </w:p>
        </w:tc>
      </w:tr>
      <w:tr w14:paraId="36DB7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DB1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6AA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1D8E">
            <w:pPr>
              <w:jc w:val="center"/>
            </w:pPr>
            <w:r>
              <w:rPr>
                <w:rFonts w:ascii="宋体" w:hAnsi="宋体" w:eastAsia="宋体"/>
                <w:sz w:val="16"/>
              </w:rPr>
              <w:t>土地经营权流转面积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A2370">
            <w:pPr>
              <w:jc w:val="center"/>
            </w:pPr>
            <w:r>
              <w:rPr>
                <w:rFonts w:ascii="宋体" w:hAnsi="宋体" w:eastAsia="宋体"/>
                <w:sz w:val="16"/>
              </w:rPr>
              <w:t>&gt;=3.50万亩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6E08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0D1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1F74">
            <w:pPr>
              <w:jc w:val="center"/>
            </w:pPr>
            <w:r>
              <w:rPr>
                <w:rFonts w:ascii="宋体" w:hAnsi="宋体" w:eastAsia="宋体"/>
                <w:sz w:val="16"/>
              </w:rPr>
              <w:t>3.50万亩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B7BC">
            <w:pPr>
              <w:jc w:val="center"/>
            </w:pPr>
            <w:r>
              <w:rPr>
                <w:rFonts w:ascii="宋体" w:hAnsi="宋体" w:eastAsia="宋体"/>
                <w:sz w:val="16"/>
              </w:rPr>
              <w:t>10</w:t>
            </w:r>
          </w:p>
        </w:tc>
      </w:tr>
      <w:tr w14:paraId="3ED14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FAD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383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29FCE">
            <w:pPr>
              <w:jc w:val="center"/>
            </w:pPr>
            <w:r>
              <w:rPr>
                <w:rFonts w:ascii="宋体" w:hAnsi="宋体" w:eastAsia="宋体"/>
                <w:sz w:val="16"/>
              </w:rPr>
              <w:t>开展村集体机动地调查整理工作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A125F">
            <w:pPr>
              <w:jc w:val="center"/>
            </w:pPr>
            <w:r>
              <w:rPr>
                <w:rFonts w:ascii="宋体" w:hAnsi="宋体" w:eastAsia="宋体"/>
                <w:sz w:val="16"/>
              </w:rPr>
              <w:t>&gt;=230村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FE8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88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1F21">
            <w:pPr>
              <w:jc w:val="center"/>
            </w:pPr>
            <w:r>
              <w:rPr>
                <w:rFonts w:ascii="宋体" w:hAnsi="宋体" w:eastAsia="宋体"/>
                <w:sz w:val="16"/>
              </w:rPr>
              <w:t>230村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4003F">
            <w:pPr>
              <w:jc w:val="center"/>
            </w:pPr>
            <w:r>
              <w:rPr>
                <w:rFonts w:ascii="宋体" w:hAnsi="宋体" w:eastAsia="宋体"/>
                <w:sz w:val="16"/>
              </w:rPr>
              <w:t>20</w:t>
            </w:r>
          </w:p>
        </w:tc>
      </w:tr>
    </w:tbl>
    <w:p w14:paraId="210BC9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BFC0F4">
        <w:tc>
          <w:tcPr>
            <w:tcW w:w="8847" w:type="dxa"/>
            <w:gridSpan w:val="9"/>
            <w:vAlign w:val="center"/>
          </w:tcPr>
          <w:p w14:paraId="269642B1">
            <w:pPr>
              <w:jc w:val="center"/>
            </w:pPr>
            <w:r>
              <w:rPr>
                <w:rFonts w:ascii="宋体" w:hAnsi="宋体" w:eastAsia="宋体"/>
                <w:sz w:val="24"/>
              </w:rPr>
              <w:t>项目支出绩效自评表</w:t>
            </w:r>
          </w:p>
        </w:tc>
      </w:tr>
      <w:tr w14:paraId="76C27FE2">
        <w:tblPrEx>
          <w:tblCellMar>
            <w:top w:w="0" w:type="dxa"/>
            <w:left w:w="108" w:type="dxa"/>
            <w:bottom w:w="0" w:type="dxa"/>
            <w:right w:w="108" w:type="dxa"/>
          </w:tblCellMar>
        </w:tblPrEx>
        <w:tc>
          <w:tcPr>
            <w:tcW w:w="8847" w:type="dxa"/>
            <w:gridSpan w:val="9"/>
            <w:vAlign w:val="center"/>
          </w:tcPr>
          <w:p w14:paraId="6DBD48E5">
            <w:pPr>
              <w:jc w:val="center"/>
            </w:pPr>
            <w:r>
              <w:rPr>
                <w:rFonts w:ascii="宋体" w:hAnsi="宋体" w:eastAsia="宋体"/>
                <w:sz w:val="24"/>
              </w:rPr>
              <w:t>(2024年度)</w:t>
            </w:r>
          </w:p>
        </w:tc>
      </w:tr>
      <w:tr w14:paraId="14D6A8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A474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1479B8">
            <w:pPr>
              <w:jc w:val="center"/>
            </w:pPr>
            <w:r>
              <w:rPr>
                <w:rFonts w:ascii="宋体" w:hAnsi="宋体" w:eastAsia="宋体"/>
                <w:sz w:val="16"/>
              </w:rPr>
              <w:t>2024年农业生产社会化服务项目</w:t>
            </w:r>
          </w:p>
        </w:tc>
      </w:tr>
      <w:tr w14:paraId="5453CE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22D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BBA60E">
            <w:pPr>
              <w:jc w:val="center"/>
            </w:pPr>
            <w:r>
              <w:rPr>
                <w:rFonts w:ascii="宋体" w:hAnsi="宋体" w:eastAsia="宋体"/>
                <w:sz w:val="16"/>
              </w:rPr>
              <w:t>洛浦县农村合作经济发展中心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D4A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41070F">
            <w:pPr>
              <w:jc w:val="center"/>
            </w:pPr>
            <w:r>
              <w:rPr>
                <w:rFonts w:ascii="宋体" w:hAnsi="宋体" w:eastAsia="宋体"/>
                <w:sz w:val="16"/>
              </w:rPr>
              <w:t>洛浦县农村合作经济发展中心</w:t>
            </w:r>
          </w:p>
        </w:tc>
      </w:tr>
      <w:tr w14:paraId="21E050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5E7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61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97E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CB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710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695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E26C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DC49A">
            <w:pPr>
              <w:jc w:val="center"/>
            </w:pPr>
            <w:r>
              <w:rPr>
                <w:rFonts w:ascii="宋体" w:hAnsi="宋体" w:eastAsia="宋体"/>
                <w:sz w:val="16"/>
              </w:rPr>
              <w:t>得分</w:t>
            </w:r>
          </w:p>
        </w:tc>
      </w:tr>
      <w:tr w14:paraId="6123E2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4F4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8C2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A66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EBDD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8406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983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DCE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DCFD2">
            <w:pPr>
              <w:jc w:val="center"/>
            </w:pPr>
            <w:r>
              <w:rPr>
                <w:rFonts w:ascii="宋体" w:hAnsi="宋体" w:eastAsia="宋体"/>
                <w:sz w:val="16"/>
              </w:rPr>
              <w:t>10.00分</w:t>
            </w:r>
          </w:p>
        </w:tc>
      </w:tr>
      <w:tr w14:paraId="7AA08E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CC0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022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AC9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9CB3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0539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F1F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26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30330">
            <w:pPr>
              <w:jc w:val="center"/>
            </w:pPr>
            <w:r>
              <w:rPr>
                <w:rFonts w:ascii="宋体" w:hAnsi="宋体" w:eastAsia="宋体"/>
                <w:sz w:val="16"/>
              </w:rPr>
              <w:t>—</w:t>
            </w:r>
          </w:p>
        </w:tc>
      </w:tr>
      <w:tr w14:paraId="0688B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032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068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81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99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71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69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E9B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5366">
            <w:pPr>
              <w:jc w:val="center"/>
            </w:pPr>
            <w:r>
              <w:rPr>
                <w:rFonts w:ascii="宋体" w:hAnsi="宋体" w:eastAsia="宋体"/>
                <w:sz w:val="16"/>
              </w:rPr>
              <w:t>—</w:t>
            </w:r>
          </w:p>
        </w:tc>
      </w:tr>
      <w:tr w14:paraId="304A2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006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1F22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6C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DF8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049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35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3C1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FBE2">
            <w:pPr>
              <w:jc w:val="center"/>
            </w:pPr>
            <w:r>
              <w:rPr>
                <w:rFonts w:ascii="宋体" w:hAnsi="宋体" w:eastAsia="宋体"/>
                <w:sz w:val="16"/>
              </w:rPr>
              <w:t>—</w:t>
            </w:r>
          </w:p>
        </w:tc>
      </w:tr>
      <w:tr w14:paraId="1AFF3E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210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FA7C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4C8A9E">
            <w:pPr>
              <w:jc w:val="center"/>
            </w:pPr>
            <w:r>
              <w:rPr>
                <w:rFonts w:ascii="宋体" w:hAnsi="宋体" w:eastAsia="宋体"/>
                <w:sz w:val="16"/>
              </w:rPr>
              <w:t>实际完成情况</w:t>
            </w:r>
          </w:p>
        </w:tc>
      </w:tr>
      <w:tr w14:paraId="576A1D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4992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D8F83">
            <w:pPr>
              <w:jc w:val="both"/>
            </w:pPr>
            <w:r>
              <w:rPr>
                <w:rFonts w:ascii="宋体" w:hAnsi="宋体" w:eastAsia="宋体"/>
                <w:sz w:val="16"/>
              </w:rPr>
              <w:t>根据《关于下达2024年中央农业经营主体能力提升资金预算的通知》（和地财农〔2023〕55号）文件实施此项目，主要实施内容为：农业社会化服务项目任务面积1万亩，每亩补助100元。通过项目的实施，支持小麦病虫害防治、收割、脱粒的农业生产托管服务关键环节</w:t>
            </w:r>
            <w:r>
              <w:rPr>
                <w:rFonts w:hint="eastAsia" w:ascii="宋体" w:hAnsi="宋体"/>
                <w:sz w:val="16"/>
                <w:lang w:eastAsia="zh-CN"/>
              </w:rPr>
              <w:t>。</w:t>
            </w:r>
            <w:r>
              <w:rPr>
                <w:rFonts w:ascii="宋体" w:hAnsi="宋体" w:eastAsia="宋体"/>
                <w:sz w:val="16"/>
              </w:rPr>
              <w:t>带动小农户发展现代农业，增加农民家庭收入。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0604A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已完成补助耕地面积1万亩，资金已使用100万元。通过项目的实施，支持小麦病虫害防治、收割、脱粒的农业生产托管服务关键环节</w:t>
            </w:r>
            <w:r>
              <w:rPr>
                <w:rFonts w:hint="eastAsia" w:ascii="宋体" w:hAnsi="宋体"/>
                <w:sz w:val="16"/>
                <w:lang w:eastAsia="zh-CN"/>
              </w:rPr>
              <w:t>。</w:t>
            </w:r>
            <w:r>
              <w:rPr>
                <w:rFonts w:ascii="宋体" w:hAnsi="宋体" w:eastAsia="宋体"/>
                <w:sz w:val="16"/>
              </w:rPr>
              <w:t>带动小农户发展现代农业，增加农民家庭收入。</w:t>
            </w:r>
          </w:p>
        </w:tc>
      </w:tr>
      <w:tr w14:paraId="227E38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E5FA4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B5D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D2A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E4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E81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7F1C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F7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8B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05DC">
            <w:pPr>
              <w:jc w:val="center"/>
            </w:pPr>
            <w:r>
              <w:rPr>
                <w:rFonts w:ascii="宋体" w:hAnsi="宋体" w:eastAsia="宋体"/>
                <w:sz w:val="16"/>
              </w:rPr>
              <w:t>偏差原因分析及改进措施</w:t>
            </w:r>
          </w:p>
        </w:tc>
      </w:tr>
      <w:tr w14:paraId="26E680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ADE8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F080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317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55B4">
            <w:pPr>
              <w:jc w:val="center"/>
            </w:pPr>
            <w:r>
              <w:rPr>
                <w:rFonts w:ascii="宋体" w:hAnsi="宋体" w:eastAsia="宋体"/>
                <w:sz w:val="16"/>
              </w:rPr>
              <w:t>补助耕地面积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067F">
            <w:pPr>
              <w:jc w:val="center"/>
            </w:pPr>
            <w:r>
              <w:rPr>
                <w:rFonts w:ascii="宋体" w:hAnsi="宋体" w:eastAsia="宋体"/>
                <w:sz w:val="16"/>
              </w:rPr>
              <w:t>&gt;=1万亩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9F440">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B6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D6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5E3F3">
            <w:pPr>
              <w:jc w:val="center"/>
            </w:pPr>
          </w:p>
        </w:tc>
      </w:tr>
      <w:tr w14:paraId="6EA8E7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0F3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CB3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88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F6FB">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A5E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4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8E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14B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743B">
            <w:pPr>
              <w:jc w:val="center"/>
            </w:pPr>
          </w:p>
        </w:tc>
      </w:tr>
      <w:tr w14:paraId="19A77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DD2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13F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0EAC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9B66">
            <w:pPr>
              <w:jc w:val="center"/>
            </w:pPr>
            <w:r>
              <w:rPr>
                <w:rFonts w:ascii="宋体" w:hAnsi="宋体" w:eastAsia="宋体"/>
                <w:sz w:val="16"/>
              </w:rPr>
              <w:t>补助资金支付及时率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C3D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A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130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B8A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55FF">
            <w:pPr>
              <w:jc w:val="center"/>
            </w:pPr>
          </w:p>
        </w:tc>
      </w:tr>
      <w:tr w14:paraId="5681B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C5D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4E1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E0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013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845C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33A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6C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7E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6455B">
            <w:pPr>
              <w:jc w:val="center"/>
            </w:pPr>
          </w:p>
        </w:tc>
      </w:tr>
      <w:tr w14:paraId="295FA9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0C0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9F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0778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BE191">
            <w:pPr>
              <w:jc w:val="center"/>
            </w:pPr>
            <w:r>
              <w:rPr>
                <w:rFonts w:ascii="宋体" w:hAnsi="宋体" w:eastAsia="宋体"/>
                <w:sz w:val="16"/>
              </w:rPr>
              <w:t>项目资金总额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4EDDB">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4BB8B">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C86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E03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8EB3">
            <w:pPr>
              <w:jc w:val="center"/>
            </w:pPr>
          </w:p>
        </w:tc>
      </w:tr>
      <w:tr w14:paraId="63B4E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FC6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BCD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689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BBF45">
            <w:pPr>
              <w:jc w:val="center"/>
            </w:pPr>
            <w:r>
              <w:rPr>
                <w:rFonts w:ascii="宋体" w:hAnsi="宋体" w:eastAsia="宋体"/>
                <w:sz w:val="16"/>
              </w:rPr>
              <w:t>带动小农户发展现代农业，增加农民家庭收入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39B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9D06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A3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A7B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C808">
            <w:pPr>
              <w:jc w:val="center"/>
            </w:pPr>
          </w:p>
        </w:tc>
      </w:tr>
      <w:tr w14:paraId="2F6DA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C79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CF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8F8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8431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B632D">
            <w:pPr>
              <w:jc w:val="center"/>
            </w:pPr>
            <w:r>
              <w:rPr>
                <w:rFonts w:ascii="宋体" w:hAnsi="宋体" w:eastAsia="宋体"/>
                <w:sz w:val="16"/>
              </w:rPr>
              <w:t>&lt;=95%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C5E6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234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405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1166C">
            <w:pPr>
              <w:jc w:val="center"/>
            </w:pPr>
          </w:p>
        </w:tc>
      </w:tr>
      <w:tr w14:paraId="554CC1A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B66E4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0182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1CD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CD8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2E2683"/>
        </w:tc>
      </w:tr>
    </w:tbl>
    <w:p w14:paraId="03565293">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431"/>
        <w:gridCol w:w="1111"/>
        <w:gridCol w:w="1032"/>
        <w:gridCol w:w="540"/>
        <w:gridCol w:w="801"/>
        <w:gridCol w:w="983"/>
      </w:tblGrid>
      <w:tr w14:paraId="29ECEA3F">
        <w:tblPrEx>
          <w:tblCellMar>
            <w:top w:w="0" w:type="dxa"/>
            <w:left w:w="108" w:type="dxa"/>
            <w:bottom w:w="0" w:type="dxa"/>
            <w:right w:w="108" w:type="dxa"/>
          </w:tblCellMar>
        </w:tblPrEx>
        <w:tc>
          <w:tcPr>
            <w:tcW w:w="8847" w:type="dxa"/>
            <w:gridSpan w:val="9"/>
            <w:vAlign w:val="center"/>
          </w:tcPr>
          <w:p w14:paraId="4A238C29">
            <w:pPr>
              <w:jc w:val="center"/>
            </w:pPr>
            <w:r>
              <w:rPr>
                <w:rFonts w:ascii="宋体" w:hAnsi="宋体" w:eastAsia="宋体"/>
                <w:sz w:val="24"/>
              </w:rPr>
              <w:t>项目支出绩效自评表</w:t>
            </w:r>
          </w:p>
        </w:tc>
      </w:tr>
      <w:tr w14:paraId="230AC96D">
        <w:tblPrEx>
          <w:tblCellMar>
            <w:top w:w="0" w:type="dxa"/>
            <w:left w:w="108" w:type="dxa"/>
            <w:bottom w:w="0" w:type="dxa"/>
            <w:right w:w="108" w:type="dxa"/>
          </w:tblCellMar>
        </w:tblPrEx>
        <w:tc>
          <w:tcPr>
            <w:tcW w:w="8847" w:type="dxa"/>
            <w:gridSpan w:val="9"/>
            <w:vAlign w:val="center"/>
          </w:tcPr>
          <w:p w14:paraId="173C7D01">
            <w:pPr>
              <w:jc w:val="center"/>
            </w:pPr>
            <w:r>
              <w:rPr>
                <w:rFonts w:ascii="宋体" w:hAnsi="宋体" w:eastAsia="宋体"/>
                <w:sz w:val="24"/>
              </w:rPr>
              <w:t>(2024年度)</w:t>
            </w:r>
          </w:p>
        </w:tc>
      </w:tr>
      <w:tr w14:paraId="7DB22C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61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D2B8BD">
            <w:pPr>
              <w:jc w:val="center"/>
            </w:pPr>
            <w:r>
              <w:rPr>
                <w:rFonts w:ascii="宋体" w:hAnsi="宋体" w:eastAsia="宋体"/>
                <w:sz w:val="16"/>
              </w:rPr>
              <w:t>2024年自治区农业生产发展资金</w:t>
            </w:r>
          </w:p>
        </w:tc>
      </w:tr>
      <w:tr w14:paraId="2EF4F0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AFA4">
            <w:pPr>
              <w:jc w:val="center"/>
            </w:pPr>
            <w:r>
              <w:rPr>
                <w:rFonts w:ascii="宋体" w:hAnsi="宋体" w:eastAsia="宋体"/>
                <w:sz w:val="16"/>
              </w:rPr>
              <w:t>主管部门</w:t>
            </w:r>
          </w:p>
        </w:tc>
        <w:tc>
          <w:tcPr>
            <w:tcW w:w="339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03AB27">
            <w:pPr>
              <w:jc w:val="center"/>
            </w:pPr>
            <w:r>
              <w:rPr>
                <w:rFonts w:ascii="宋体" w:hAnsi="宋体" w:eastAsia="宋体"/>
                <w:sz w:val="16"/>
              </w:rPr>
              <w:t>洛浦县农村合作经济发展中心</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28D81E83">
            <w:pPr>
              <w:jc w:val="center"/>
            </w:pPr>
            <w:r>
              <w:rPr>
                <w:rFonts w:ascii="宋体" w:hAnsi="宋体" w:eastAsia="宋体"/>
                <w:sz w:val="16"/>
              </w:rPr>
              <w:t>实施单位</w:t>
            </w:r>
          </w:p>
        </w:tc>
        <w:tc>
          <w:tcPr>
            <w:tcW w:w="335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F9242C">
            <w:pPr>
              <w:jc w:val="center"/>
            </w:pPr>
            <w:r>
              <w:rPr>
                <w:rFonts w:ascii="宋体" w:hAnsi="宋体" w:eastAsia="宋体"/>
                <w:sz w:val="16"/>
              </w:rPr>
              <w:t>洛浦县农村合作经济发展中心</w:t>
            </w:r>
          </w:p>
        </w:tc>
      </w:tr>
      <w:tr w14:paraId="6BAB7F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84A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9B3D7">
            <w:pPr>
              <w:jc w:val="center"/>
            </w:pP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4F858963">
            <w:pPr>
              <w:jc w:val="center"/>
            </w:pPr>
            <w:r>
              <w:rPr>
                <w:rFonts w:ascii="宋体" w:hAnsi="宋体" w:eastAsia="宋体"/>
                <w:sz w:val="16"/>
              </w:rPr>
              <w:t>年初预算数</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313C28CA">
            <w:pPr>
              <w:jc w:val="center"/>
            </w:pPr>
            <w:r>
              <w:rPr>
                <w:rFonts w:ascii="宋体" w:hAnsi="宋体" w:eastAsia="宋体"/>
                <w:sz w:val="16"/>
              </w:rPr>
              <w:t>全年预算数</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7EF82D88">
            <w:pPr>
              <w:jc w:val="center"/>
            </w:pPr>
            <w:r>
              <w:rPr>
                <w:rFonts w:ascii="宋体" w:hAnsi="宋体" w:eastAsia="宋体"/>
                <w:sz w:val="16"/>
              </w:rPr>
              <w:t>全年执行数</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25DD8E9C">
            <w:pPr>
              <w:jc w:val="center"/>
            </w:pPr>
            <w:r>
              <w:rPr>
                <w:rFonts w:ascii="宋体" w:hAnsi="宋体" w:eastAsia="宋体"/>
                <w:sz w:val="16"/>
              </w:rPr>
              <w:t>分值</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5E76970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9A1FD">
            <w:pPr>
              <w:jc w:val="center"/>
            </w:pPr>
            <w:r>
              <w:rPr>
                <w:rFonts w:ascii="宋体" w:hAnsi="宋体" w:eastAsia="宋体"/>
                <w:sz w:val="16"/>
              </w:rPr>
              <w:t>得分</w:t>
            </w:r>
          </w:p>
        </w:tc>
      </w:tr>
      <w:tr w14:paraId="152F48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4E8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31D7">
            <w:pPr>
              <w:jc w:val="center"/>
            </w:pPr>
            <w:r>
              <w:rPr>
                <w:rFonts w:ascii="宋体" w:hAnsi="宋体" w:eastAsia="宋体"/>
                <w:sz w:val="16"/>
              </w:rPr>
              <w:t>年度资金总额</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3A698FFF">
            <w:pPr>
              <w:jc w:val="center"/>
            </w:pPr>
            <w:r>
              <w:rPr>
                <w:rFonts w:ascii="宋体" w:hAnsi="宋体" w:eastAsia="宋体"/>
                <w:sz w:val="16"/>
              </w:rPr>
              <w:t>231.00</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2E0FC256">
            <w:pPr>
              <w:jc w:val="center"/>
            </w:pPr>
            <w:r>
              <w:rPr>
                <w:rFonts w:ascii="宋体" w:hAnsi="宋体" w:eastAsia="宋体"/>
                <w:sz w:val="16"/>
              </w:rPr>
              <w:t>231.00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68371C2">
            <w:pPr>
              <w:jc w:val="center"/>
            </w:pPr>
            <w:r>
              <w:rPr>
                <w:rFonts w:ascii="宋体" w:hAnsi="宋体" w:eastAsia="宋体"/>
                <w:sz w:val="16"/>
              </w:rPr>
              <w:t>231.00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5A60D0F4">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5FA141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33450">
            <w:pPr>
              <w:jc w:val="center"/>
            </w:pPr>
            <w:r>
              <w:rPr>
                <w:rFonts w:ascii="宋体" w:hAnsi="宋体" w:eastAsia="宋体"/>
                <w:sz w:val="16"/>
              </w:rPr>
              <w:t>10.00分</w:t>
            </w:r>
          </w:p>
        </w:tc>
      </w:tr>
      <w:tr w14:paraId="25F0A5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724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68038">
            <w:pPr>
              <w:jc w:val="center"/>
            </w:pPr>
            <w:r>
              <w:rPr>
                <w:rFonts w:ascii="宋体" w:hAnsi="宋体" w:eastAsia="宋体"/>
                <w:sz w:val="16"/>
              </w:rPr>
              <w:t>其中：当年财政拨款</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77466085">
            <w:pPr>
              <w:jc w:val="center"/>
            </w:pPr>
            <w:r>
              <w:rPr>
                <w:rFonts w:ascii="宋体" w:hAnsi="宋体" w:eastAsia="宋体"/>
                <w:sz w:val="16"/>
              </w:rPr>
              <w:t>231.00</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4A335D38">
            <w:pPr>
              <w:jc w:val="center"/>
            </w:pPr>
            <w:r>
              <w:rPr>
                <w:rFonts w:ascii="宋体" w:hAnsi="宋体" w:eastAsia="宋体"/>
                <w:sz w:val="16"/>
              </w:rPr>
              <w:t>231.00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C813E7C">
            <w:pPr>
              <w:jc w:val="center"/>
            </w:pPr>
            <w:r>
              <w:rPr>
                <w:rFonts w:ascii="宋体" w:hAnsi="宋体" w:eastAsia="宋体"/>
                <w:sz w:val="16"/>
              </w:rPr>
              <w:t>231.00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7CDC9A7">
            <w:pPr>
              <w:jc w:val="center"/>
            </w:pPr>
            <w:r>
              <w:rPr>
                <w:rFonts w:ascii="宋体" w:hAnsi="宋体" w:eastAsia="宋体"/>
                <w:sz w:val="16"/>
              </w:rPr>
              <w:t>—</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3D95A7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C25E">
            <w:pPr>
              <w:jc w:val="center"/>
            </w:pPr>
            <w:r>
              <w:rPr>
                <w:rFonts w:ascii="宋体" w:hAnsi="宋体" w:eastAsia="宋体"/>
                <w:sz w:val="16"/>
              </w:rPr>
              <w:t>—</w:t>
            </w:r>
          </w:p>
        </w:tc>
      </w:tr>
      <w:tr w14:paraId="084E52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7EF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C51F">
            <w:pPr>
              <w:jc w:val="center"/>
            </w:pPr>
            <w:r>
              <w:rPr>
                <w:rFonts w:ascii="宋体" w:hAnsi="宋体" w:eastAsia="宋体"/>
                <w:sz w:val="16"/>
              </w:rPr>
              <w:t xml:space="preserve">      上年结转资金</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11516697">
            <w:pPr>
              <w:jc w:val="center"/>
            </w:pPr>
            <w:r>
              <w:rPr>
                <w:rFonts w:ascii="宋体" w:hAnsi="宋体" w:eastAsia="宋体"/>
                <w:sz w:val="16"/>
              </w:rPr>
              <w:t>0.00</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7DEE4A4F">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35951917">
            <w:pPr>
              <w:jc w:val="center"/>
            </w:pPr>
            <w:r>
              <w:rPr>
                <w:rFonts w:ascii="宋体" w:hAnsi="宋体" w:eastAsia="宋体"/>
                <w:sz w:val="16"/>
              </w:rPr>
              <w:t>0.00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A1E9EF9">
            <w:pPr>
              <w:jc w:val="center"/>
            </w:pPr>
            <w:r>
              <w:rPr>
                <w:rFonts w:ascii="宋体" w:hAnsi="宋体" w:eastAsia="宋体"/>
                <w:sz w:val="16"/>
              </w:rPr>
              <w:t>—</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17B85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F125">
            <w:pPr>
              <w:jc w:val="center"/>
            </w:pPr>
            <w:r>
              <w:rPr>
                <w:rFonts w:ascii="宋体" w:hAnsi="宋体" w:eastAsia="宋体"/>
                <w:sz w:val="16"/>
              </w:rPr>
              <w:t>—</w:t>
            </w:r>
          </w:p>
        </w:tc>
      </w:tr>
      <w:tr w14:paraId="60216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4D1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14B1D">
            <w:pPr>
              <w:jc w:val="center"/>
            </w:pPr>
            <w:r>
              <w:rPr>
                <w:rFonts w:ascii="宋体" w:hAnsi="宋体" w:eastAsia="宋体"/>
                <w:sz w:val="16"/>
              </w:rPr>
              <w:t xml:space="preserve">  其他资金</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60FA2C86">
            <w:pPr>
              <w:jc w:val="center"/>
            </w:pPr>
            <w:r>
              <w:rPr>
                <w:rFonts w:ascii="宋体" w:hAnsi="宋体" w:eastAsia="宋体"/>
                <w:sz w:val="16"/>
              </w:rPr>
              <w:t>0.00</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6A44F521">
            <w:pPr>
              <w:jc w:val="center"/>
            </w:pPr>
            <w:r>
              <w:rPr>
                <w:rFonts w:ascii="宋体" w:hAnsi="宋体" w:eastAsia="宋体"/>
                <w:sz w:val="16"/>
              </w:rPr>
              <w:t>0.00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0ADC9A3">
            <w:pPr>
              <w:jc w:val="center"/>
            </w:pPr>
            <w:r>
              <w:rPr>
                <w:rFonts w:ascii="宋体" w:hAnsi="宋体" w:eastAsia="宋体"/>
                <w:sz w:val="16"/>
              </w:rPr>
              <w:t>0.00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37C29C7">
            <w:pPr>
              <w:jc w:val="center"/>
            </w:pPr>
            <w:r>
              <w:rPr>
                <w:rFonts w:ascii="宋体" w:hAnsi="宋体" w:eastAsia="宋体"/>
                <w:sz w:val="16"/>
              </w:rPr>
              <w:t>—</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13B96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D2DE">
            <w:pPr>
              <w:jc w:val="center"/>
            </w:pPr>
            <w:r>
              <w:rPr>
                <w:rFonts w:ascii="宋体" w:hAnsi="宋体" w:eastAsia="宋体"/>
                <w:sz w:val="16"/>
              </w:rPr>
              <w:t>—</w:t>
            </w:r>
          </w:p>
        </w:tc>
      </w:tr>
      <w:tr w14:paraId="16B524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8708D">
            <w:pPr>
              <w:jc w:val="center"/>
            </w:pPr>
            <w:r>
              <w:rPr>
                <w:rFonts w:ascii="宋体" w:hAnsi="宋体" w:eastAsia="宋体"/>
                <w:sz w:val="16"/>
              </w:rPr>
              <w:t>年度总体目标</w:t>
            </w:r>
          </w:p>
        </w:tc>
        <w:tc>
          <w:tcPr>
            <w:tcW w:w="339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ED322C">
            <w:pPr>
              <w:jc w:val="center"/>
            </w:pPr>
            <w:r>
              <w:rPr>
                <w:rFonts w:ascii="宋体" w:hAnsi="宋体" w:eastAsia="宋体"/>
                <w:sz w:val="16"/>
              </w:rPr>
              <w:t>预期目标</w:t>
            </w:r>
          </w:p>
        </w:tc>
        <w:tc>
          <w:tcPr>
            <w:tcW w:w="44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A4301">
            <w:pPr>
              <w:jc w:val="center"/>
            </w:pPr>
            <w:r>
              <w:rPr>
                <w:rFonts w:ascii="宋体" w:hAnsi="宋体" w:eastAsia="宋体"/>
                <w:sz w:val="16"/>
              </w:rPr>
              <w:t>实际完成情况</w:t>
            </w:r>
          </w:p>
        </w:tc>
      </w:tr>
      <w:tr w14:paraId="0A9659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BE60E"/>
        </w:tc>
        <w:tc>
          <w:tcPr>
            <w:tcW w:w="339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33CDD0">
            <w:pPr>
              <w:jc w:val="both"/>
            </w:pPr>
            <w:r>
              <w:rPr>
                <w:rFonts w:ascii="宋体" w:hAnsi="宋体" w:eastAsia="宋体"/>
                <w:sz w:val="16"/>
              </w:rPr>
              <w:t>根据关于下达2024年自治区农业生产发展资金，洛财农</w:t>
            </w:r>
            <w:r>
              <w:rPr>
                <w:rFonts w:hint="eastAsia" w:ascii="宋体" w:hAnsi="宋体"/>
                <w:sz w:val="16"/>
                <w:lang w:eastAsia="zh-CN"/>
              </w:rPr>
              <w:t>〔2024〕17号</w:t>
            </w:r>
            <w:r>
              <w:rPr>
                <w:rFonts w:ascii="宋体" w:hAnsi="宋体" w:eastAsia="宋体"/>
                <w:sz w:val="16"/>
              </w:rPr>
              <w:t>，和地财农</w:t>
            </w:r>
            <w:r>
              <w:rPr>
                <w:rFonts w:hint="eastAsia" w:ascii="宋体" w:hAnsi="宋体"/>
                <w:sz w:val="16"/>
                <w:lang w:eastAsia="zh-CN"/>
              </w:rPr>
              <w:t>〔2023〕69号</w:t>
            </w:r>
            <w:r>
              <w:rPr>
                <w:rFonts w:ascii="宋体" w:hAnsi="宋体" w:eastAsia="宋体"/>
                <w:sz w:val="16"/>
              </w:rPr>
              <w:t>文件实施此项目，主要实施内容为：支持畜牧养殖合作社开展标准化生产和养殖；改善养殖基础设施，实现规模经营；支持新品种引进和推广，建造或改建圈舍等，购买农业生产固定资产。</w:t>
            </w:r>
          </w:p>
        </w:tc>
        <w:tc>
          <w:tcPr>
            <w:tcW w:w="44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46668">
            <w:pPr>
              <w:jc w:val="both"/>
            </w:pPr>
            <w:r>
              <w:rPr>
                <w:rFonts w:hint="eastAsia" w:ascii="宋体" w:hAnsi="宋体"/>
                <w:sz w:val="16"/>
                <w:lang w:eastAsia="zh-CN"/>
              </w:rPr>
              <w:t>截至2024</w:t>
            </w:r>
            <w:r>
              <w:rPr>
                <w:rFonts w:ascii="宋体" w:hAnsi="宋体" w:eastAsia="宋体"/>
                <w:sz w:val="16"/>
              </w:rPr>
              <w:t>年12月31日，该项目支出合计资金231万元，该项目实施支持畜牧养殖合作社开展标准化生产和养殖；改善养殖基础设施，实现规模经营；支持新品种引进和推广，建造或改建圈舍等，购买农业生产固定资产。</w:t>
            </w:r>
          </w:p>
        </w:tc>
      </w:tr>
      <w:tr w14:paraId="6C6F54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2685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213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01E2">
            <w:pPr>
              <w:jc w:val="center"/>
            </w:pPr>
            <w:r>
              <w:rPr>
                <w:rFonts w:ascii="宋体" w:hAnsi="宋体" w:eastAsia="宋体"/>
                <w:sz w:val="16"/>
              </w:rPr>
              <w:t>二级指标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7400B8D0">
            <w:pPr>
              <w:jc w:val="center"/>
            </w:pPr>
            <w:r>
              <w:rPr>
                <w:rFonts w:ascii="宋体" w:hAnsi="宋体" w:eastAsia="宋体"/>
                <w:sz w:val="16"/>
              </w:rPr>
              <w:t>三级指标</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7EAE62E6">
            <w:pPr>
              <w:jc w:val="center"/>
            </w:pPr>
            <w:r>
              <w:rPr>
                <w:rFonts w:ascii="宋体" w:hAnsi="宋体" w:eastAsia="宋体"/>
                <w:sz w:val="16"/>
              </w:rPr>
              <w:t>年度指标值</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01476D6">
            <w:pPr>
              <w:jc w:val="center"/>
            </w:pPr>
            <w:r>
              <w:rPr>
                <w:rFonts w:ascii="宋体" w:hAnsi="宋体" w:eastAsia="宋体"/>
                <w:sz w:val="16"/>
              </w:rPr>
              <w:t>实际完成值</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41416AA6">
            <w:pPr>
              <w:jc w:val="center"/>
            </w:pPr>
            <w:r>
              <w:rPr>
                <w:rFonts w:ascii="宋体" w:hAnsi="宋体" w:eastAsia="宋体"/>
                <w:sz w:val="16"/>
              </w:rPr>
              <w:t>分值</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19FB2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4AEC">
            <w:pPr>
              <w:jc w:val="center"/>
            </w:pPr>
            <w:r>
              <w:rPr>
                <w:rFonts w:ascii="宋体" w:hAnsi="宋体" w:eastAsia="宋体"/>
                <w:sz w:val="16"/>
              </w:rPr>
              <w:t>偏差原因分析及改进措施</w:t>
            </w:r>
          </w:p>
        </w:tc>
      </w:tr>
      <w:tr w14:paraId="111C4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8FA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9032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1F163">
            <w:pPr>
              <w:jc w:val="center"/>
            </w:pPr>
            <w:r>
              <w:rPr>
                <w:rFonts w:ascii="宋体" w:hAnsi="宋体" w:eastAsia="宋体"/>
                <w:sz w:val="16"/>
              </w:rPr>
              <w:t>数量指标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061E45E5">
            <w:pPr>
              <w:jc w:val="center"/>
            </w:pPr>
            <w:r>
              <w:rPr>
                <w:rFonts w:ascii="宋体" w:hAnsi="宋体" w:eastAsia="宋体"/>
                <w:sz w:val="16"/>
              </w:rPr>
              <w:t>自治区示范社数量</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77EA5CE2">
            <w:pPr>
              <w:jc w:val="center"/>
            </w:pPr>
            <w:r>
              <w:rPr>
                <w:rFonts w:ascii="宋体" w:hAnsi="宋体" w:eastAsia="宋体"/>
                <w:sz w:val="16"/>
              </w:rPr>
              <w:t>&gt;=11家</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F9F76C2">
            <w:pPr>
              <w:jc w:val="center"/>
            </w:pPr>
            <w:r>
              <w:rPr>
                <w:rFonts w:ascii="宋体" w:hAnsi="宋体" w:eastAsia="宋体"/>
                <w:sz w:val="16"/>
              </w:rPr>
              <w:t>=11家</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71231EF5">
            <w:pPr>
              <w:jc w:val="center"/>
            </w:pPr>
            <w:r>
              <w:rPr>
                <w:rFonts w:ascii="宋体" w:hAnsi="宋体" w:eastAsia="宋体"/>
                <w:sz w:val="16"/>
              </w:rPr>
              <w:t>5</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3F6152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5B26">
            <w:pPr>
              <w:jc w:val="center"/>
            </w:pPr>
          </w:p>
        </w:tc>
      </w:tr>
      <w:tr w14:paraId="28946F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3BB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3B9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0A3D2"/>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2D29A8CE">
            <w:pPr>
              <w:jc w:val="center"/>
            </w:pPr>
            <w:r>
              <w:rPr>
                <w:rFonts w:ascii="宋体" w:hAnsi="宋体" w:eastAsia="宋体"/>
                <w:sz w:val="16"/>
              </w:rPr>
              <w:t>参训人员数量</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6660C1EF">
            <w:pPr>
              <w:jc w:val="center"/>
            </w:pPr>
            <w:r>
              <w:rPr>
                <w:rFonts w:ascii="宋体" w:hAnsi="宋体" w:eastAsia="宋体"/>
                <w:sz w:val="16"/>
              </w:rPr>
              <w:t>&gt;=45人</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9C6E1BD">
            <w:pPr>
              <w:jc w:val="center"/>
            </w:pPr>
            <w:r>
              <w:rPr>
                <w:rFonts w:ascii="宋体" w:hAnsi="宋体" w:eastAsia="宋体"/>
                <w:sz w:val="16"/>
              </w:rPr>
              <w:t>=45人</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7320D7B">
            <w:pPr>
              <w:jc w:val="center"/>
            </w:pPr>
            <w:r>
              <w:rPr>
                <w:rFonts w:ascii="宋体" w:hAnsi="宋体" w:eastAsia="宋体"/>
                <w:sz w:val="16"/>
              </w:rPr>
              <w:t>5</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27F8B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9139C">
            <w:pPr>
              <w:jc w:val="center"/>
            </w:pPr>
          </w:p>
        </w:tc>
      </w:tr>
      <w:tr w14:paraId="5D5CB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6A9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B80B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39D91">
            <w:pPr>
              <w:jc w:val="center"/>
            </w:pPr>
            <w:r>
              <w:rPr>
                <w:rFonts w:ascii="宋体" w:hAnsi="宋体" w:eastAsia="宋体"/>
                <w:sz w:val="16"/>
              </w:rPr>
              <w:t>质量指标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109CBC38">
            <w:pPr>
              <w:jc w:val="center"/>
            </w:pPr>
            <w:r>
              <w:rPr>
                <w:rFonts w:ascii="宋体" w:hAnsi="宋体" w:eastAsia="宋体"/>
                <w:sz w:val="16"/>
              </w:rPr>
              <w:t>培训人员出勤率</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76471B74">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5BE6FF52">
            <w:pPr>
              <w:jc w:val="center"/>
            </w:pPr>
            <w:r>
              <w:rPr>
                <w:rFonts w:ascii="宋体" w:hAnsi="宋体" w:eastAsia="宋体"/>
                <w:sz w:val="16"/>
              </w:rPr>
              <w:t>=100%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9001B31">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6BC6B7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94E1B">
            <w:pPr>
              <w:jc w:val="center"/>
            </w:pPr>
          </w:p>
        </w:tc>
      </w:tr>
      <w:tr w14:paraId="5681CC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601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4C9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67541"/>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692748DB">
            <w:pPr>
              <w:jc w:val="center"/>
            </w:pPr>
            <w:r>
              <w:rPr>
                <w:rFonts w:ascii="宋体" w:hAnsi="宋体" w:eastAsia="宋体"/>
                <w:sz w:val="16"/>
              </w:rPr>
              <w:t>资金使用合规率</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7689CE01">
            <w:pPr>
              <w:jc w:val="center"/>
            </w:pPr>
            <w:r>
              <w:rPr>
                <w:rFonts w:ascii="宋体" w:hAnsi="宋体" w:eastAsia="宋体"/>
                <w:sz w:val="16"/>
              </w:rPr>
              <w:t>=100%</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B46E63D">
            <w:pPr>
              <w:jc w:val="center"/>
            </w:pPr>
            <w:r>
              <w:rPr>
                <w:rFonts w:ascii="宋体" w:hAnsi="宋体" w:eastAsia="宋体"/>
                <w:sz w:val="16"/>
              </w:rPr>
              <w:t>=100%</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535414DA">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1E1257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9D971">
            <w:pPr>
              <w:jc w:val="center"/>
            </w:pPr>
          </w:p>
        </w:tc>
      </w:tr>
      <w:tr w14:paraId="2C109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F68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E2F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95AE">
            <w:pPr>
              <w:jc w:val="center"/>
            </w:pPr>
            <w:r>
              <w:rPr>
                <w:rFonts w:ascii="宋体" w:hAnsi="宋体" w:eastAsia="宋体"/>
                <w:sz w:val="16"/>
              </w:rPr>
              <w:t>时效指标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64D8AB98">
            <w:pPr>
              <w:jc w:val="center"/>
            </w:pPr>
            <w:r>
              <w:rPr>
                <w:rFonts w:ascii="宋体" w:hAnsi="宋体" w:eastAsia="宋体"/>
                <w:sz w:val="16"/>
              </w:rPr>
              <w:t>项目完成时间</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38F47003">
            <w:pPr>
              <w:jc w:val="center"/>
            </w:pPr>
            <w:r>
              <w:rPr>
                <w:rFonts w:ascii="宋体" w:hAnsi="宋体" w:eastAsia="宋体"/>
                <w:sz w:val="16"/>
              </w:rPr>
              <w:t>2024年12月</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4B218F91">
            <w:pPr>
              <w:jc w:val="center"/>
            </w:pPr>
            <w:r>
              <w:rPr>
                <w:rFonts w:ascii="宋体" w:hAnsi="宋体" w:eastAsia="宋体"/>
                <w:sz w:val="16"/>
              </w:rPr>
              <w:t>=2024年12月</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6441E635">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0EF805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96A2">
            <w:pPr>
              <w:jc w:val="center"/>
            </w:pPr>
          </w:p>
        </w:tc>
      </w:tr>
      <w:tr w14:paraId="60FFA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EB7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09BE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10F5">
            <w:pPr>
              <w:jc w:val="center"/>
            </w:pPr>
            <w:r>
              <w:rPr>
                <w:rFonts w:ascii="宋体" w:hAnsi="宋体" w:eastAsia="宋体"/>
                <w:sz w:val="16"/>
              </w:rPr>
              <w:t>经济成本指标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64B46B36">
            <w:pPr>
              <w:jc w:val="center"/>
            </w:pPr>
            <w:r>
              <w:rPr>
                <w:rFonts w:ascii="宋体" w:hAnsi="宋体" w:eastAsia="宋体"/>
                <w:sz w:val="16"/>
              </w:rPr>
              <w:t>项目投入资金</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32167C03">
            <w:pPr>
              <w:jc w:val="center"/>
            </w:pPr>
            <w:r>
              <w:rPr>
                <w:rFonts w:ascii="宋体" w:hAnsi="宋体" w:eastAsia="宋体"/>
                <w:sz w:val="16"/>
              </w:rPr>
              <w:t>&lt;=231万元</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64D5F59F">
            <w:pPr>
              <w:jc w:val="center"/>
            </w:pPr>
            <w:r>
              <w:rPr>
                <w:rFonts w:ascii="宋体" w:hAnsi="宋体" w:eastAsia="宋体"/>
                <w:sz w:val="16"/>
              </w:rPr>
              <w:t>=231万元</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90DB7E3">
            <w:pPr>
              <w:jc w:val="center"/>
            </w:pPr>
            <w:r>
              <w:rPr>
                <w:rFonts w:ascii="宋体" w:hAnsi="宋体" w:eastAsia="宋体"/>
                <w:sz w:val="16"/>
              </w:rPr>
              <w:t>20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2EC685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AEB0">
            <w:pPr>
              <w:jc w:val="center"/>
            </w:pPr>
          </w:p>
        </w:tc>
      </w:tr>
      <w:tr w14:paraId="31337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C1A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FB5D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22178">
            <w:pPr>
              <w:jc w:val="center"/>
            </w:pPr>
            <w:r>
              <w:rPr>
                <w:rFonts w:ascii="宋体" w:hAnsi="宋体" w:eastAsia="宋体"/>
                <w:sz w:val="16"/>
              </w:rPr>
              <w:t>社会效益指标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46D407A4">
            <w:pPr>
              <w:jc w:val="center"/>
            </w:pPr>
            <w:r>
              <w:rPr>
                <w:rFonts w:ascii="宋体" w:hAnsi="宋体" w:eastAsia="宋体"/>
                <w:sz w:val="16"/>
              </w:rPr>
              <w:t>改善养殖基础设施，实现规模经营</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303F83A2">
            <w:pPr>
              <w:jc w:val="center"/>
            </w:pPr>
            <w:r>
              <w:rPr>
                <w:rFonts w:ascii="宋体" w:hAnsi="宋体" w:eastAsia="宋体"/>
                <w:sz w:val="16"/>
              </w:rPr>
              <w:t>有效改善</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1DB954B9">
            <w:pPr>
              <w:jc w:val="center"/>
            </w:pPr>
            <w:r>
              <w:rPr>
                <w:rFonts w:ascii="宋体" w:hAnsi="宋体" w:eastAsia="宋体"/>
                <w:sz w:val="16"/>
              </w:rPr>
              <w:t>有效改善</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489AD7A3">
            <w:pPr>
              <w:jc w:val="center"/>
            </w:pPr>
            <w:r>
              <w:rPr>
                <w:rFonts w:ascii="宋体" w:hAnsi="宋体" w:eastAsia="宋体"/>
                <w:sz w:val="16"/>
              </w:rPr>
              <w:t>20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1B7877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ED05C">
            <w:pPr>
              <w:jc w:val="center"/>
            </w:pPr>
          </w:p>
        </w:tc>
      </w:tr>
      <w:tr w14:paraId="061B8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EBF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6E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319A">
            <w:pPr>
              <w:jc w:val="center"/>
            </w:pPr>
            <w:r>
              <w:rPr>
                <w:rFonts w:ascii="宋体" w:hAnsi="宋体" w:eastAsia="宋体"/>
                <w:sz w:val="16"/>
              </w:rPr>
              <w:t>满意度指标</w:t>
            </w:r>
          </w:p>
        </w:tc>
        <w:tc>
          <w:tcPr>
            <w:tcW w:w="1431" w:type="dxa"/>
            <w:tcBorders>
              <w:top w:val="single" w:color="auto" w:sz="10" w:space="0"/>
              <w:left w:val="single" w:color="auto" w:sz="10" w:space="0"/>
              <w:bottom w:val="single" w:color="auto" w:sz="10" w:space="0"/>
              <w:right w:val="single" w:color="auto" w:sz="10" w:space="0"/>
              <w:insideV w:val="single" w:sz="10" w:space="0"/>
            </w:tcBorders>
            <w:vAlign w:val="center"/>
          </w:tcPr>
          <w:p w14:paraId="18FBAA0A">
            <w:pPr>
              <w:jc w:val="center"/>
            </w:pPr>
            <w:r>
              <w:rPr>
                <w:rFonts w:ascii="宋体" w:hAnsi="宋体" w:eastAsia="宋体"/>
                <w:sz w:val="16"/>
              </w:rPr>
              <w:t>养殖场（户）满意度</w:t>
            </w:r>
          </w:p>
        </w:tc>
        <w:tc>
          <w:tcPr>
            <w:tcW w:w="1111" w:type="dxa"/>
            <w:tcBorders>
              <w:top w:val="single" w:color="auto" w:sz="10" w:space="0"/>
              <w:left w:val="single" w:color="auto" w:sz="10" w:space="0"/>
              <w:bottom w:val="single" w:color="auto" w:sz="10" w:space="0"/>
              <w:right w:val="single" w:color="auto" w:sz="10" w:space="0"/>
              <w:insideV w:val="single" w:sz="10" w:space="0"/>
            </w:tcBorders>
            <w:vAlign w:val="center"/>
          </w:tcPr>
          <w:p w14:paraId="0342F3A3">
            <w:pPr>
              <w:jc w:val="center"/>
            </w:pPr>
            <w:r>
              <w:rPr>
                <w:rFonts w:ascii="宋体" w:hAnsi="宋体" w:eastAsia="宋体"/>
                <w:sz w:val="16"/>
              </w:rPr>
              <w:t>&gt;=95%</w:t>
            </w:r>
          </w:p>
        </w:tc>
        <w:tc>
          <w:tcPr>
            <w:tcW w:w="1032" w:type="dxa"/>
            <w:tcBorders>
              <w:top w:val="single" w:color="auto" w:sz="10" w:space="0"/>
              <w:left w:val="single" w:color="auto" w:sz="10" w:space="0"/>
              <w:bottom w:val="single" w:color="auto" w:sz="10" w:space="0"/>
              <w:right w:val="single" w:color="auto" w:sz="10" w:space="0"/>
              <w:insideV w:val="single" w:sz="10" w:space="0"/>
            </w:tcBorders>
            <w:vAlign w:val="center"/>
          </w:tcPr>
          <w:p w14:paraId="2E60D2E4">
            <w:pPr>
              <w:jc w:val="center"/>
            </w:pPr>
            <w:r>
              <w:rPr>
                <w:rFonts w:ascii="宋体" w:hAnsi="宋体" w:eastAsia="宋体"/>
                <w:sz w:val="16"/>
              </w:rPr>
              <w:t>=95%</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43BDF6F">
            <w:pPr>
              <w:jc w:val="center"/>
            </w:pPr>
            <w:r>
              <w:rPr>
                <w:rFonts w:ascii="宋体" w:hAnsi="宋体" w:eastAsia="宋体"/>
                <w:sz w:val="16"/>
              </w:rPr>
              <w:t>10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4C87D5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47305">
            <w:pPr>
              <w:jc w:val="center"/>
            </w:pPr>
          </w:p>
        </w:tc>
      </w:tr>
      <w:tr w14:paraId="0CDD5D31">
        <w:tblPrEx>
          <w:tblCellMar>
            <w:top w:w="0" w:type="dxa"/>
            <w:left w:w="108" w:type="dxa"/>
            <w:bottom w:w="0" w:type="dxa"/>
            <w:right w:w="108" w:type="dxa"/>
          </w:tblCellMar>
        </w:tblPrEx>
        <w:tc>
          <w:tcPr>
            <w:tcW w:w="549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0CF0FF">
            <w:pPr>
              <w:jc w:val="center"/>
            </w:pPr>
            <w:r>
              <w:rPr>
                <w:rFonts w:ascii="宋体" w:hAnsi="宋体" w:eastAsia="宋体"/>
                <w:sz w:val="16"/>
              </w:rPr>
              <w:t>总分</w:t>
            </w:r>
          </w:p>
        </w:tc>
        <w:tc>
          <w:tcPr>
            <w:tcW w:w="1032" w:type="dxa"/>
            <w:tcBorders>
              <w:top w:val="single" w:color="auto" w:sz="10" w:space="0"/>
              <w:left w:val="single" w:color="auto" w:sz="10" w:space="0"/>
              <w:bottom w:val="single" w:color="auto" w:sz="10" w:space="0"/>
              <w:right w:val="single" w:color="auto" w:sz="10" w:space="0"/>
              <w:insideV w:val="single" w:sz="10" w:space="0"/>
            </w:tcBorders>
          </w:tcPr>
          <w:p w14:paraId="680DCCC4"/>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1337CD49">
            <w:pPr>
              <w:jc w:val="center"/>
            </w:pPr>
            <w:r>
              <w:rPr>
                <w:rFonts w:ascii="宋体" w:hAnsi="宋体" w:eastAsia="宋体"/>
                <w:sz w:val="16"/>
              </w:rPr>
              <w:t>100</w:t>
            </w:r>
          </w:p>
        </w:tc>
        <w:tc>
          <w:tcPr>
            <w:tcW w:w="801" w:type="dxa"/>
            <w:tcBorders>
              <w:top w:val="single" w:color="auto" w:sz="10" w:space="0"/>
              <w:left w:val="single" w:color="auto" w:sz="10" w:space="0"/>
              <w:bottom w:val="single" w:color="auto" w:sz="10" w:space="0"/>
              <w:right w:val="single" w:color="auto" w:sz="10" w:space="0"/>
              <w:insideV w:val="single" w:sz="10" w:space="0"/>
            </w:tcBorders>
            <w:vAlign w:val="center"/>
          </w:tcPr>
          <w:p w14:paraId="1F48101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BC140F"/>
        </w:tc>
      </w:tr>
    </w:tbl>
    <w:p w14:paraId="0E2A173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1AD1A9">
        <w:tblPrEx>
          <w:tblCellMar>
            <w:top w:w="0" w:type="dxa"/>
            <w:left w:w="108" w:type="dxa"/>
            <w:bottom w:w="0" w:type="dxa"/>
            <w:right w:w="108" w:type="dxa"/>
          </w:tblCellMar>
        </w:tblPrEx>
        <w:tc>
          <w:tcPr>
            <w:tcW w:w="8847" w:type="dxa"/>
            <w:gridSpan w:val="9"/>
            <w:vAlign w:val="center"/>
          </w:tcPr>
          <w:p w14:paraId="3FBF6509">
            <w:pPr>
              <w:jc w:val="center"/>
            </w:pPr>
            <w:r>
              <w:rPr>
                <w:rFonts w:ascii="宋体" w:hAnsi="宋体" w:eastAsia="宋体"/>
                <w:sz w:val="24"/>
              </w:rPr>
              <w:t>项目支出绩效自评表</w:t>
            </w:r>
          </w:p>
        </w:tc>
      </w:tr>
      <w:tr w14:paraId="3E155C96">
        <w:tblPrEx>
          <w:tblCellMar>
            <w:top w:w="0" w:type="dxa"/>
            <w:left w:w="108" w:type="dxa"/>
            <w:bottom w:w="0" w:type="dxa"/>
            <w:right w:w="108" w:type="dxa"/>
          </w:tblCellMar>
        </w:tblPrEx>
        <w:tc>
          <w:tcPr>
            <w:tcW w:w="8847" w:type="dxa"/>
            <w:gridSpan w:val="9"/>
            <w:vAlign w:val="center"/>
          </w:tcPr>
          <w:p w14:paraId="6DA385B3">
            <w:pPr>
              <w:jc w:val="center"/>
            </w:pPr>
            <w:r>
              <w:rPr>
                <w:rFonts w:ascii="宋体" w:hAnsi="宋体" w:eastAsia="宋体"/>
                <w:sz w:val="24"/>
              </w:rPr>
              <w:t>(2024年度)</w:t>
            </w:r>
          </w:p>
        </w:tc>
      </w:tr>
      <w:tr w14:paraId="03BB6E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89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99CEBC">
            <w:pPr>
              <w:jc w:val="center"/>
            </w:pPr>
            <w:r>
              <w:rPr>
                <w:rFonts w:ascii="宋体" w:hAnsi="宋体" w:eastAsia="宋体"/>
                <w:sz w:val="16"/>
              </w:rPr>
              <w:t>机动地调查项目</w:t>
            </w:r>
          </w:p>
        </w:tc>
      </w:tr>
      <w:tr w14:paraId="64E6F8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8615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B0224D">
            <w:pPr>
              <w:jc w:val="center"/>
            </w:pPr>
            <w:r>
              <w:rPr>
                <w:rFonts w:ascii="宋体" w:hAnsi="宋体" w:eastAsia="宋体"/>
                <w:sz w:val="16"/>
              </w:rPr>
              <w:t>洛浦县农村合作经济发展中心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A0FA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ED865B">
            <w:pPr>
              <w:jc w:val="center"/>
            </w:pPr>
            <w:r>
              <w:rPr>
                <w:rFonts w:ascii="宋体" w:hAnsi="宋体" w:eastAsia="宋体"/>
                <w:sz w:val="16"/>
              </w:rPr>
              <w:t>洛浦县农村合作经济发展中心</w:t>
            </w:r>
          </w:p>
        </w:tc>
      </w:tr>
      <w:tr w14:paraId="684A07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9A00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3B6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D42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2EC0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CC74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10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8F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FC97">
            <w:pPr>
              <w:jc w:val="center"/>
            </w:pPr>
            <w:r>
              <w:rPr>
                <w:rFonts w:ascii="宋体" w:hAnsi="宋体" w:eastAsia="宋体"/>
                <w:sz w:val="16"/>
              </w:rPr>
              <w:t>得分</w:t>
            </w:r>
          </w:p>
        </w:tc>
      </w:tr>
      <w:tr w14:paraId="1B6DC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755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5CB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D00F">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462A5">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F9D5F">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07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08C8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B764">
            <w:pPr>
              <w:jc w:val="center"/>
            </w:pPr>
            <w:r>
              <w:rPr>
                <w:rFonts w:ascii="宋体" w:hAnsi="宋体" w:eastAsia="宋体"/>
                <w:sz w:val="16"/>
              </w:rPr>
              <w:t>10.00分</w:t>
            </w:r>
          </w:p>
        </w:tc>
      </w:tr>
      <w:tr w14:paraId="4A7C54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2B1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F78C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4A9D6">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1C53">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CFE2A">
            <w:pPr>
              <w:jc w:val="center"/>
            </w:pPr>
            <w:r>
              <w:rPr>
                <w:rFonts w:ascii="宋体" w:hAnsi="宋体" w:eastAsia="宋体"/>
                <w:sz w:val="16"/>
              </w:rPr>
              <w:t>27.84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7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33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FBB8F">
            <w:pPr>
              <w:jc w:val="center"/>
            </w:pPr>
            <w:r>
              <w:rPr>
                <w:rFonts w:ascii="宋体" w:hAnsi="宋体" w:eastAsia="宋体"/>
                <w:sz w:val="16"/>
              </w:rPr>
              <w:t>—</w:t>
            </w:r>
          </w:p>
        </w:tc>
      </w:tr>
      <w:tr w14:paraId="59FD0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936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5A9F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BF1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0ED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B61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55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04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88CF">
            <w:pPr>
              <w:jc w:val="center"/>
            </w:pPr>
            <w:r>
              <w:rPr>
                <w:rFonts w:ascii="宋体" w:hAnsi="宋体" w:eastAsia="宋体"/>
                <w:sz w:val="16"/>
              </w:rPr>
              <w:t>—</w:t>
            </w:r>
          </w:p>
        </w:tc>
      </w:tr>
      <w:tr w14:paraId="59AE3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381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EB99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4A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73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27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4F3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739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B3E49">
            <w:pPr>
              <w:jc w:val="center"/>
            </w:pPr>
            <w:r>
              <w:rPr>
                <w:rFonts w:ascii="宋体" w:hAnsi="宋体" w:eastAsia="宋体"/>
                <w:sz w:val="16"/>
              </w:rPr>
              <w:t>—</w:t>
            </w:r>
          </w:p>
        </w:tc>
      </w:tr>
      <w:tr w14:paraId="416C78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B8B6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07DAB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CCCF1B">
            <w:pPr>
              <w:jc w:val="center"/>
            </w:pPr>
            <w:r>
              <w:rPr>
                <w:rFonts w:ascii="宋体" w:hAnsi="宋体" w:eastAsia="宋体"/>
                <w:sz w:val="16"/>
              </w:rPr>
              <w:t>实际完成情况</w:t>
            </w:r>
          </w:p>
        </w:tc>
      </w:tr>
      <w:tr w14:paraId="1DDDF9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A7A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99A99E">
            <w:pPr>
              <w:jc w:val="both"/>
            </w:pPr>
            <w:r>
              <w:rPr>
                <w:rFonts w:ascii="宋体" w:hAnsi="宋体" w:eastAsia="宋体"/>
                <w:sz w:val="16"/>
              </w:rPr>
              <w:t>新疆维吾尔自治区农业农村厅办公室《关于印发2021年自治区农村承包经营权登记颁证延续工作方案的通知》（新农办政改</w:t>
            </w:r>
            <w:r>
              <w:rPr>
                <w:rFonts w:hint="eastAsia" w:ascii="宋体" w:hAnsi="宋体"/>
                <w:sz w:val="16"/>
                <w:lang w:eastAsia="zh-CN"/>
              </w:rPr>
              <w:t>〔2021〕18号</w:t>
            </w:r>
            <w:r>
              <w:rPr>
                <w:rFonts w:ascii="宋体" w:hAnsi="宋体" w:eastAsia="宋体"/>
                <w:sz w:val="16"/>
              </w:rPr>
              <w:t>），《关于印发2021年自治区土地承包经营权确权登记颁证工作实施方案的通知》（新农办政改</w:t>
            </w:r>
            <w:r>
              <w:rPr>
                <w:rFonts w:hint="eastAsia" w:ascii="宋体" w:hAnsi="宋体"/>
                <w:sz w:val="16"/>
                <w:lang w:eastAsia="zh-CN"/>
              </w:rPr>
              <w:t>〔2021〕93号</w:t>
            </w:r>
            <w:r>
              <w:rPr>
                <w:rFonts w:ascii="宋体" w:hAnsi="宋体" w:eastAsia="宋体"/>
                <w:sz w:val="16"/>
              </w:rPr>
              <w:t>）以及和田地区行署《关于印发和田地区关于进一步引导和规范农村土地经营流转的实施方案的通知》和行办发</w:t>
            </w:r>
            <w:r>
              <w:rPr>
                <w:rFonts w:hint="eastAsia" w:ascii="宋体" w:hAnsi="宋体"/>
                <w:sz w:val="16"/>
                <w:lang w:eastAsia="zh-CN"/>
              </w:rPr>
              <w:t>〔2021〕60号</w:t>
            </w:r>
            <w:r>
              <w:rPr>
                <w:rFonts w:ascii="宋体" w:hAnsi="宋体" w:eastAsia="宋体"/>
                <w:sz w:val="16"/>
              </w:rPr>
              <w:t>文件精神要求，结合本地实际，全县各村开展村集体机动地调查整理工作。实施调查整理全县的230个行政村的农村集体机动地调查。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B9B875">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已完成实施调查整理全县的230个行政村的农村集体机动地调查。通过项目的实施，有效保护村集体</w:t>
            </w:r>
            <w:r>
              <w:rPr>
                <w:rFonts w:hint="eastAsia" w:ascii="宋体" w:hAnsi="宋体"/>
                <w:sz w:val="16"/>
                <w:lang w:eastAsia="zh-CN"/>
              </w:rPr>
              <w:t>合法</w:t>
            </w:r>
            <w:r>
              <w:rPr>
                <w:rFonts w:ascii="宋体" w:hAnsi="宋体" w:eastAsia="宋体"/>
                <w:sz w:val="16"/>
              </w:rPr>
              <w:t>权益。</w:t>
            </w:r>
          </w:p>
        </w:tc>
      </w:tr>
      <w:tr w14:paraId="51621F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4020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587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9ADE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85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80E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8EC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488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103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53F73">
            <w:pPr>
              <w:jc w:val="center"/>
            </w:pPr>
            <w:r>
              <w:rPr>
                <w:rFonts w:ascii="宋体" w:hAnsi="宋体" w:eastAsia="宋体"/>
                <w:sz w:val="16"/>
              </w:rPr>
              <w:t>偏差原因分析及改进措施</w:t>
            </w:r>
          </w:p>
        </w:tc>
      </w:tr>
      <w:tr w14:paraId="12D697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F770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3046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85C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A4CA">
            <w:pPr>
              <w:jc w:val="center"/>
            </w:pPr>
            <w:r>
              <w:rPr>
                <w:rFonts w:ascii="宋体" w:hAnsi="宋体" w:eastAsia="宋体"/>
                <w:sz w:val="16"/>
              </w:rPr>
              <w:t>行政村数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29ED">
            <w:pPr>
              <w:jc w:val="center"/>
            </w:pPr>
            <w:r>
              <w:rPr>
                <w:rFonts w:ascii="宋体" w:hAnsi="宋体" w:eastAsia="宋体"/>
                <w:sz w:val="16"/>
              </w:rPr>
              <w:t>&gt;=230个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269D">
            <w:pPr>
              <w:jc w:val="center"/>
            </w:pPr>
            <w:r>
              <w:rPr>
                <w:rFonts w:ascii="宋体" w:hAnsi="宋体" w:eastAsia="宋体"/>
                <w:sz w:val="16"/>
              </w:rPr>
              <w: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8D5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D4B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FA0C">
            <w:pPr>
              <w:jc w:val="center"/>
            </w:pPr>
          </w:p>
        </w:tc>
      </w:tr>
      <w:tr w14:paraId="681CF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D3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9C1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32E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6CAF">
            <w:pPr>
              <w:jc w:val="center"/>
            </w:pPr>
            <w:r>
              <w:rPr>
                <w:rFonts w:ascii="宋体" w:hAnsi="宋体" w:eastAsia="宋体"/>
                <w:sz w:val="16"/>
              </w:rPr>
              <w:t>调查面积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FF4C1">
            <w:pPr>
              <w:jc w:val="center"/>
            </w:pPr>
            <w:r>
              <w:rPr>
                <w:rFonts w:ascii="宋体" w:hAnsi="宋体" w:eastAsia="宋体"/>
                <w:sz w:val="16"/>
              </w:rPr>
              <w:t>=16万亩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2EA9C">
            <w:pPr>
              <w:jc w:val="center"/>
            </w:pPr>
            <w:r>
              <w:rPr>
                <w:rFonts w:ascii="宋体" w:hAnsi="宋体" w:eastAsia="宋体"/>
                <w:sz w:val="16"/>
              </w:rPr>
              <w:t>=16万亩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430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4C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F0D9B">
            <w:pPr>
              <w:jc w:val="center"/>
            </w:pPr>
          </w:p>
        </w:tc>
      </w:tr>
      <w:tr w14:paraId="2D182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77D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60B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AA05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64FE3">
            <w:pPr>
              <w:jc w:val="center"/>
            </w:pPr>
            <w:r>
              <w:rPr>
                <w:rFonts w:ascii="宋体" w:hAnsi="宋体" w:eastAsia="宋体"/>
                <w:sz w:val="16"/>
              </w:rPr>
              <w:t>项目调查覆盖率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B7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86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80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0B7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31A42">
            <w:pPr>
              <w:jc w:val="center"/>
            </w:pPr>
          </w:p>
        </w:tc>
      </w:tr>
      <w:tr w14:paraId="720F9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403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A85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42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496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DC0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AA6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F5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65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7A1BA">
            <w:pPr>
              <w:jc w:val="center"/>
            </w:pPr>
          </w:p>
        </w:tc>
      </w:tr>
      <w:tr w14:paraId="3ABF0E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A9C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256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AA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F33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EE4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4A8A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3B5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64C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7764D">
            <w:pPr>
              <w:jc w:val="center"/>
            </w:pPr>
          </w:p>
        </w:tc>
      </w:tr>
      <w:tr w14:paraId="1E930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189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5CCC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2BE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107C">
            <w:pPr>
              <w:jc w:val="center"/>
            </w:pPr>
            <w:r>
              <w:rPr>
                <w:rFonts w:ascii="宋体" w:hAnsi="宋体" w:eastAsia="宋体"/>
                <w:sz w:val="16"/>
              </w:rPr>
              <w:t>机动地调查费用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F6D08">
            <w:pPr>
              <w:jc w:val="center"/>
            </w:pPr>
            <w:r>
              <w:rPr>
                <w:rFonts w:ascii="宋体" w:hAnsi="宋体" w:eastAsia="宋体"/>
                <w:sz w:val="16"/>
              </w:rPr>
              <w:t>&lt;=3元/亩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E526">
            <w:pPr>
              <w:jc w:val="center"/>
            </w:pPr>
            <w:r>
              <w:rPr>
                <w:rFonts w:ascii="宋体" w:hAnsi="宋体" w:eastAsia="宋体"/>
                <w:sz w:val="16"/>
              </w:rPr>
              <w:t>=3元/亩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FAD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A7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BF8A">
            <w:pPr>
              <w:jc w:val="center"/>
            </w:pPr>
          </w:p>
        </w:tc>
      </w:tr>
      <w:tr w14:paraId="03DF4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DF9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624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0ED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C57CD">
            <w:pPr>
              <w:jc w:val="center"/>
            </w:pPr>
            <w:r>
              <w:rPr>
                <w:rFonts w:ascii="宋体" w:hAnsi="宋体" w:eastAsia="宋体"/>
                <w:sz w:val="16"/>
              </w:rPr>
              <w:t>成图及入库费用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5595">
            <w:pPr>
              <w:jc w:val="center"/>
            </w:pPr>
            <w:r>
              <w:rPr>
                <w:rFonts w:ascii="宋体" w:hAnsi="宋体" w:eastAsia="宋体"/>
                <w:sz w:val="16"/>
              </w:rPr>
              <w:t>&lt;=2元/亩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65B2">
            <w:pPr>
              <w:jc w:val="center"/>
            </w:pPr>
            <w:r>
              <w:rPr>
                <w:rFonts w:ascii="宋体" w:hAnsi="宋体" w:eastAsia="宋体"/>
                <w:sz w:val="16"/>
              </w:rPr>
              <w:t>=2元/亩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9F37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2B1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367C">
            <w:pPr>
              <w:jc w:val="center"/>
            </w:pPr>
          </w:p>
        </w:tc>
      </w:tr>
      <w:tr w14:paraId="7207A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30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E43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EBB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FDD3">
            <w:pPr>
              <w:jc w:val="center"/>
            </w:pPr>
            <w:r>
              <w:rPr>
                <w:rFonts w:ascii="宋体" w:hAnsi="宋体" w:eastAsia="宋体"/>
                <w:sz w:val="16"/>
              </w:rPr>
              <w:t>资料整理费用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C816">
            <w:pPr>
              <w:jc w:val="center"/>
            </w:pPr>
            <w:r>
              <w:rPr>
                <w:rFonts w:ascii="宋体" w:hAnsi="宋体" w:eastAsia="宋体"/>
                <w:sz w:val="16"/>
              </w:rPr>
              <w:t>&lt;=1.65元/亩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AABE4">
            <w:pPr>
              <w:jc w:val="center"/>
            </w:pPr>
            <w:r>
              <w:rPr>
                <w:rFonts w:ascii="宋体" w:hAnsi="宋体" w:eastAsia="宋体"/>
                <w:sz w:val="16"/>
              </w:rPr>
              <w:t>=1.65元/亩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C91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D90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62D1C">
            <w:pPr>
              <w:jc w:val="center"/>
            </w:pPr>
          </w:p>
        </w:tc>
      </w:tr>
      <w:tr w14:paraId="02CC9F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56F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BF12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4381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18064">
            <w:pPr>
              <w:jc w:val="center"/>
            </w:pPr>
            <w:r>
              <w:rPr>
                <w:rFonts w:ascii="宋体" w:hAnsi="宋体" w:eastAsia="宋体"/>
                <w:sz w:val="16"/>
              </w:rPr>
              <w:t>保护村集体</w:t>
            </w:r>
            <w:bookmarkStart w:id="0" w:name="_GoBack"/>
            <w:r>
              <w:rPr>
                <w:rFonts w:hint="eastAsia" w:ascii="宋体" w:hAnsi="宋体"/>
                <w:sz w:val="16"/>
                <w:lang w:eastAsia="zh-CN"/>
              </w:rPr>
              <w:t>合法</w:t>
            </w:r>
            <w:bookmarkEnd w:id="0"/>
            <w:r>
              <w:rPr>
                <w:rFonts w:ascii="宋体" w:hAnsi="宋体" w:eastAsia="宋体"/>
                <w:sz w:val="16"/>
              </w:rPr>
              <w:t>权益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9300">
            <w:pPr>
              <w:jc w:val="center"/>
            </w:pPr>
            <w:r>
              <w:rPr>
                <w:rFonts w:ascii="宋体" w:hAnsi="宋体" w:eastAsia="宋体"/>
                <w:sz w:val="16"/>
              </w:rPr>
              <w:t>有效保护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A032">
            <w:pPr>
              <w:jc w:val="center"/>
            </w:pPr>
            <w:r>
              <w:rPr>
                <w:rFonts w:ascii="宋体" w:hAnsi="宋体" w:eastAsia="宋体"/>
                <w:sz w:val="16"/>
              </w:rPr>
              <w:t>有效保护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3C4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8F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434B1">
            <w:pPr>
              <w:jc w:val="center"/>
            </w:pPr>
          </w:p>
        </w:tc>
      </w:tr>
      <w:tr w14:paraId="31308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2CD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F88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99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6C51">
            <w:pPr>
              <w:jc w:val="center"/>
            </w:pPr>
            <w:r>
              <w:rPr>
                <w:rFonts w:ascii="宋体" w:hAnsi="宋体" w:eastAsia="宋体"/>
                <w:sz w:val="16"/>
              </w:rPr>
              <w:t>受益村满意度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38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817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646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56E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6F19F">
            <w:pPr>
              <w:jc w:val="center"/>
            </w:pPr>
          </w:p>
        </w:tc>
      </w:tr>
      <w:tr w14:paraId="585EE85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C6F6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112A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AE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6C5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AC5B18"/>
        </w:tc>
      </w:tr>
    </w:tbl>
    <w:p w14:paraId="7E6051C1">
      <w:r>
        <w:br w:type="page"/>
      </w:r>
    </w:p>
    <w:p w14:paraId="205A70AB">
      <w:pPr>
        <w:spacing w:line="640" w:lineRule="exact"/>
        <w:ind w:firstLine="640"/>
        <w:jc w:val="both"/>
        <w:outlineLvl w:val="2"/>
      </w:pPr>
      <w:r>
        <w:rPr>
          <w:rFonts w:ascii="黑体" w:hAnsi="黑体" w:eastAsia="黑体"/>
          <w:sz w:val="32"/>
        </w:rPr>
        <w:t>十二、其他需说明的事项</w:t>
      </w:r>
    </w:p>
    <w:p w14:paraId="7D624B6C">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A64B5D0">
      <w:pPr>
        <w:spacing w:line="580" w:lineRule="exact"/>
        <w:ind w:firstLine="640"/>
        <w:jc w:val="both"/>
      </w:pPr>
      <w:r>
        <w:rPr>
          <w:rFonts w:ascii="仿宋_GB2312" w:hAnsi="仿宋_GB2312" w:eastAsia="仿宋_GB2312"/>
          <w:b w:val="0"/>
          <w:sz w:val="32"/>
        </w:rPr>
        <w:t>本年本单位SM项目1个，全年预算数13.44万元，全年执行数13.44万元。</w:t>
      </w:r>
    </w:p>
    <w:p w14:paraId="716D750B">
      <w:r>
        <w:br w:type="page"/>
      </w:r>
    </w:p>
    <w:p w14:paraId="35CF2F72">
      <w:pPr>
        <w:spacing w:line="240" w:lineRule="auto"/>
        <w:jc w:val="center"/>
        <w:outlineLvl w:val="1"/>
      </w:pPr>
      <w:r>
        <w:rPr>
          <w:rFonts w:ascii="黑体" w:hAnsi="黑体" w:eastAsia="黑体"/>
          <w:sz w:val="32"/>
        </w:rPr>
        <w:t>第三部分 专业名词解释</w:t>
      </w:r>
    </w:p>
    <w:p w14:paraId="3905FFE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D389B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1E6031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6CA85D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A0499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3CE19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9144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581E9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BE8E0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D8BB1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5EA8A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9B2BA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F08A1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993A0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582CBE8">
      <w:r>
        <w:br w:type="page"/>
      </w:r>
    </w:p>
    <w:p w14:paraId="2C18907A">
      <w:pPr>
        <w:spacing w:line="240" w:lineRule="auto"/>
        <w:jc w:val="center"/>
        <w:outlineLvl w:val="1"/>
      </w:pPr>
      <w:r>
        <w:rPr>
          <w:rFonts w:ascii="黑体" w:hAnsi="黑体" w:eastAsia="黑体"/>
          <w:sz w:val="32"/>
        </w:rPr>
        <w:t>第四部分 部门决算报表（见附表）</w:t>
      </w:r>
    </w:p>
    <w:p w14:paraId="774960B1">
      <w:pPr>
        <w:spacing w:line="240" w:lineRule="auto"/>
        <w:ind w:firstLine="640"/>
        <w:jc w:val="both"/>
      </w:pPr>
      <w:r>
        <w:rPr>
          <w:rFonts w:ascii="仿宋_GB2312" w:hAnsi="仿宋_GB2312" w:eastAsia="仿宋_GB2312"/>
          <w:b w:val="0"/>
          <w:sz w:val="32"/>
        </w:rPr>
        <w:t>一、《收入支出决算总表》</w:t>
      </w:r>
    </w:p>
    <w:p w14:paraId="31CAB746">
      <w:pPr>
        <w:spacing w:line="240" w:lineRule="auto"/>
        <w:ind w:firstLine="640"/>
        <w:jc w:val="both"/>
      </w:pPr>
      <w:r>
        <w:rPr>
          <w:rFonts w:ascii="仿宋_GB2312" w:hAnsi="仿宋_GB2312" w:eastAsia="仿宋_GB2312"/>
          <w:b w:val="0"/>
          <w:sz w:val="32"/>
        </w:rPr>
        <w:t>二、《收入决算表》</w:t>
      </w:r>
    </w:p>
    <w:p w14:paraId="50BEC082">
      <w:pPr>
        <w:spacing w:line="240" w:lineRule="auto"/>
        <w:ind w:firstLine="640"/>
        <w:jc w:val="both"/>
      </w:pPr>
      <w:r>
        <w:rPr>
          <w:rFonts w:ascii="仿宋_GB2312" w:hAnsi="仿宋_GB2312" w:eastAsia="仿宋_GB2312"/>
          <w:b w:val="0"/>
          <w:sz w:val="32"/>
        </w:rPr>
        <w:t>三、《支出决算表》</w:t>
      </w:r>
    </w:p>
    <w:p w14:paraId="30717AF2">
      <w:pPr>
        <w:spacing w:line="240" w:lineRule="auto"/>
        <w:ind w:firstLine="640"/>
        <w:jc w:val="both"/>
      </w:pPr>
      <w:r>
        <w:rPr>
          <w:rFonts w:ascii="仿宋_GB2312" w:hAnsi="仿宋_GB2312" w:eastAsia="仿宋_GB2312"/>
          <w:b w:val="0"/>
          <w:sz w:val="32"/>
        </w:rPr>
        <w:t>四、《财政拨款收入支出决算总表》</w:t>
      </w:r>
    </w:p>
    <w:p w14:paraId="7EB36F3C">
      <w:pPr>
        <w:spacing w:line="240" w:lineRule="auto"/>
        <w:ind w:firstLine="640"/>
        <w:jc w:val="both"/>
      </w:pPr>
      <w:r>
        <w:rPr>
          <w:rFonts w:ascii="仿宋_GB2312" w:hAnsi="仿宋_GB2312" w:eastAsia="仿宋_GB2312"/>
          <w:b w:val="0"/>
          <w:sz w:val="32"/>
        </w:rPr>
        <w:t>五、《一般公共预算财政拨款支出决算表》</w:t>
      </w:r>
    </w:p>
    <w:p w14:paraId="00F5C383">
      <w:pPr>
        <w:spacing w:line="240" w:lineRule="auto"/>
        <w:ind w:firstLine="640"/>
        <w:jc w:val="both"/>
      </w:pPr>
      <w:r>
        <w:rPr>
          <w:rFonts w:ascii="仿宋_GB2312" w:hAnsi="仿宋_GB2312" w:eastAsia="仿宋_GB2312"/>
          <w:b w:val="0"/>
          <w:sz w:val="32"/>
        </w:rPr>
        <w:t>六、《一般公共预算财政拨款基本支出决算表》</w:t>
      </w:r>
    </w:p>
    <w:p w14:paraId="42180A25">
      <w:pPr>
        <w:spacing w:line="240" w:lineRule="auto"/>
        <w:ind w:firstLine="640"/>
        <w:jc w:val="both"/>
      </w:pPr>
      <w:r>
        <w:rPr>
          <w:rFonts w:ascii="仿宋_GB2312" w:hAnsi="仿宋_GB2312" w:eastAsia="仿宋_GB2312"/>
          <w:b w:val="0"/>
          <w:sz w:val="32"/>
        </w:rPr>
        <w:t>七、《政府性基金预算财政拨款收入支出决算表》</w:t>
      </w:r>
    </w:p>
    <w:p w14:paraId="3B0C2FC8">
      <w:pPr>
        <w:spacing w:line="240" w:lineRule="auto"/>
        <w:ind w:firstLine="640"/>
        <w:jc w:val="both"/>
      </w:pPr>
      <w:r>
        <w:rPr>
          <w:rFonts w:ascii="仿宋_GB2312" w:hAnsi="仿宋_GB2312" w:eastAsia="仿宋_GB2312"/>
          <w:b w:val="0"/>
          <w:sz w:val="32"/>
        </w:rPr>
        <w:t>八、《国有资本经营预算财政拨款收入支出决算表》</w:t>
      </w:r>
    </w:p>
    <w:p w14:paraId="72BF8913">
      <w:pPr>
        <w:spacing w:line="240" w:lineRule="auto"/>
        <w:ind w:firstLine="640"/>
        <w:jc w:val="both"/>
      </w:pPr>
      <w:r>
        <w:rPr>
          <w:rFonts w:ascii="仿宋_GB2312" w:hAnsi="仿宋_GB2312" w:eastAsia="仿宋_GB2312"/>
          <w:b w:val="0"/>
          <w:sz w:val="32"/>
        </w:rPr>
        <w:t>九、《财政拨款“三公”经费支出决算表》</w:t>
      </w:r>
    </w:p>
    <w:p w14:paraId="1424ABFB">
      <w:pPr>
        <w:spacing w:line="240" w:lineRule="auto"/>
        <w:ind w:firstLine="640"/>
        <w:jc w:val="both"/>
      </w:pPr>
    </w:p>
    <w:p w14:paraId="3B719DCB">
      <w:pPr>
        <w:spacing w:line="240" w:lineRule="auto"/>
        <w:ind w:firstLine="640"/>
        <w:jc w:val="both"/>
      </w:pPr>
    </w:p>
    <w:p w14:paraId="4C0DE08D">
      <w:pPr>
        <w:spacing w:line="240" w:lineRule="auto"/>
        <w:ind w:firstLine="640"/>
        <w:jc w:val="both"/>
      </w:pPr>
    </w:p>
    <w:p w14:paraId="66E07580">
      <w:pPr>
        <w:spacing w:line="240" w:lineRule="auto"/>
        <w:ind w:firstLine="640"/>
        <w:jc w:val="both"/>
      </w:pPr>
    </w:p>
    <w:p w14:paraId="210727D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CF295D-E36F-454B-B71C-695D12E92D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ED1B221-8A91-4598-B388-72D8C1A5D571}"/>
  </w:font>
  <w:font w:name="仿宋_GB2312">
    <w:panose1 w:val="02010609030101010101"/>
    <w:charset w:val="86"/>
    <w:family w:val="modern"/>
    <w:pitch w:val="default"/>
    <w:sig w:usb0="00000001" w:usb1="080E0000" w:usb2="00000000" w:usb3="00000000" w:csb0="00040000" w:csb1="00000000"/>
    <w:embedRegular r:id="rId3" w:fontKey="{0DC21017-037B-49FD-BED7-FA1106F6638B}"/>
  </w:font>
  <w:font w:name="楷体_GB2312">
    <w:panose1 w:val="02010609030101010101"/>
    <w:charset w:val="86"/>
    <w:family w:val="auto"/>
    <w:pitch w:val="default"/>
    <w:sig w:usb0="00000001" w:usb1="080E0000" w:usb2="00000000" w:usb3="00000000" w:csb0="00040000" w:csb1="00000000"/>
    <w:embedRegular r:id="rId4" w:fontKey="{3DFFB2CB-C914-4517-AD49-16655796A7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4457E5"/>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E73B75"/>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0579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4876</Words>
  <Characters>5605</Characters>
  <Lines>0</Lines>
  <Paragraphs>0</Paragraphs>
  <TotalTime>8</TotalTime>
  <ScaleCrop>false</ScaleCrop>
  <LinksUpToDate>false</LinksUpToDate>
  <CharactersWithSpaces>5613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2025-09-18T03:55:08Z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