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洛浦县人民政府办公室2024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B8E02B6">
      <w:r>
        <w:br w:type="page"/>
      </w:r>
    </w:p>
    <w:p w14:paraId="2473BCAF">
      <w:pPr>
        <w:spacing w:line="640" w:lineRule="exact"/>
        <w:jc w:val="center"/>
        <w:outlineLvl w:val="1"/>
      </w:pPr>
      <w:r>
        <w:rPr>
          <w:rFonts w:ascii="黑体" w:hAnsi="黑体" w:eastAsia="黑体"/>
          <w:sz w:val="32"/>
        </w:rPr>
        <w:t>第一部分 单位概况</w:t>
      </w:r>
    </w:p>
    <w:p w14:paraId="197177D4">
      <w:pPr>
        <w:spacing w:line="640" w:lineRule="exact"/>
        <w:ind w:firstLine="640"/>
        <w:jc w:val="both"/>
        <w:outlineLvl w:val="2"/>
      </w:pPr>
      <w:r>
        <w:rPr>
          <w:rFonts w:ascii="黑体" w:hAnsi="黑体" w:eastAsia="黑体"/>
          <w:sz w:val="32"/>
        </w:rPr>
        <w:t>一、主要职能</w:t>
      </w:r>
    </w:p>
    <w:p w14:paraId="452BEE37">
      <w:pPr>
        <w:spacing w:line="580" w:lineRule="exact"/>
        <w:ind w:firstLine="640"/>
        <w:jc w:val="both"/>
      </w:pPr>
      <w:r>
        <w:rPr>
          <w:rFonts w:ascii="仿宋_GB2312" w:hAnsi="仿宋_GB2312" w:eastAsia="仿宋_GB2312"/>
          <w:sz w:val="32"/>
        </w:rPr>
        <w:t>（1）围绕党的中心工作，按照上级政府的工作部署以及县人民政府领导的要求开展工作，负责协调指导和检查督促全县政府系统对党的路线、方针、政策和上级</w:t>
      </w:r>
      <w:r>
        <w:rPr>
          <w:rFonts w:hint="eastAsia" w:ascii="仿宋_GB2312" w:hAnsi="仿宋_GB2312" w:eastAsia="仿宋_GB2312"/>
          <w:sz w:val="32"/>
          <w:lang w:eastAsia="zh-CN"/>
        </w:rPr>
        <w:t>党委、政府</w:t>
      </w:r>
      <w:r>
        <w:rPr>
          <w:rFonts w:ascii="仿宋_GB2312" w:hAnsi="仿宋_GB2312" w:eastAsia="仿宋_GB2312"/>
          <w:sz w:val="32"/>
        </w:rPr>
        <w:t>及县委、县人民政府的决策、决定、规定、工作部署的贯彻落实，组织开展调查研究、搜集反馈信息、综合重要情况等工作。</w:t>
      </w:r>
    </w:p>
    <w:p w14:paraId="4B025D79">
      <w:pPr>
        <w:spacing w:line="580" w:lineRule="exact"/>
        <w:ind w:firstLine="640"/>
        <w:jc w:val="both"/>
      </w:pPr>
      <w:r>
        <w:rPr>
          <w:rFonts w:ascii="仿宋_GB2312" w:hAnsi="仿宋_GB2312" w:eastAsia="仿宋_GB2312"/>
          <w:sz w:val="32"/>
        </w:rPr>
        <w:t>（2）为县人民政府依法行政提供决策依据和各类政务服务。</w:t>
      </w:r>
    </w:p>
    <w:p w14:paraId="34378BDC">
      <w:pPr>
        <w:spacing w:line="580" w:lineRule="exact"/>
        <w:ind w:firstLine="640"/>
        <w:jc w:val="both"/>
      </w:pPr>
      <w:r>
        <w:rPr>
          <w:rFonts w:ascii="仿宋_GB2312" w:hAnsi="仿宋_GB2312" w:eastAsia="仿宋_GB2312"/>
          <w:sz w:val="32"/>
        </w:rPr>
        <w:t>（3）承办转发国务院、自治区人民政府和行署文件、指示的行文工作，承办县人民政府向行署报告、请示的拟稿和审核工作，承办自治区人民政府及其组成部门和自治区党委及县委批转办理的事项。</w:t>
      </w:r>
    </w:p>
    <w:p w14:paraId="55CA68DD">
      <w:pPr>
        <w:spacing w:line="580" w:lineRule="exact"/>
        <w:ind w:firstLine="640"/>
        <w:jc w:val="both"/>
      </w:pPr>
      <w:r>
        <w:rPr>
          <w:rFonts w:ascii="仿宋_GB2312" w:hAnsi="仿宋_GB2312" w:eastAsia="仿宋_GB2312"/>
          <w:sz w:val="32"/>
        </w:rPr>
        <w:t>（4）负责县人民政府及县人民政府办公室各种会议的筹备、组织工作，协助县人民政府领导组织会议事项的实施、督促、落实工作。</w:t>
      </w:r>
    </w:p>
    <w:p w14:paraId="4A3EC180">
      <w:pPr>
        <w:spacing w:line="580" w:lineRule="exact"/>
        <w:ind w:firstLine="640"/>
        <w:jc w:val="both"/>
      </w:pPr>
      <w:r>
        <w:rPr>
          <w:rFonts w:ascii="仿宋_GB2312" w:hAnsi="仿宋_GB2312" w:eastAsia="仿宋_GB2312"/>
          <w:sz w:val="32"/>
        </w:rPr>
        <w:t>（5）协助县人民政府领导组织起草和审核县人民政府、县人民政府办公室印发的公文。负责县人民政府文件、电报、信函的日常处理及文件的校核、印制、分发、清退、归档工作。做好文字综合和公文处理工作。</w:t>
      </w:r>
    </w:p>
    <w:p w14:paraId="51F2DFA5">
      <w:pPr>
        <w:spacing w:line="580" w:lineRule="exact"/>
        <w:ind w:firstLine="640"/>
        <w:jc w:val="both"/>
      </w:pPr>
      <w:r>
        <w:rPr>
          <w:rFonts w:ascii="仿宋_GB2312" w:hAnsi="仿宋_GB2312" w:eastAsia="仿宋_GB2312"/>
          <w:sz w:val="32"/>
        </w:rPr>
        <w:t>（6）负责办理县人民政府组成部门向县人民政府请示的相关问题。</w:t>
      </w:r>
    </w:p>
    <w:p w14:paraId="195F0BB9">
      <w:pPr>
        <w:spacing w:line="580" w:lineRule="exact"/>
        <w:ind w:firstLine="640"/>
        <w:jc w:val="both"/>
      </w:pPr>
      <w:r>
        <w:rPr>
          <w:rFonts w:ascii="仿宋_GB2312" w:hAnsi="仿宋_GB2312" w:eastAsia="仿宋_GB2312"/>
          <w:sz w:val="32"/>
        </w:rPr>
        <w:t>（7）协调各乡镇人民政府、县人民政府组成部门的工作。对各乡镇人民政府、县人民政府组成部门间出现的争议问题提出处理意见，报县人民政府决定。</w:t>
      </w:r>
    </w:p>
    <w:p w14:paraId="10D72FDC">
      <w:pPr>
        <w:spacing w:line="580" w:lineRule="exact"/>
        <w:ind w:firstLine="640"/>
        <w:jc w:val="both"/>
      </w:pPr>
      <w:r>
        <w:rPr>
          <w:rFonts w:ascii="仿宋_GB2312" w:hAnsi="仿宋_GB2312" w:eastAsia="仿宋_GB2312"/>
          <w:sz w:val="32"/>
        </w:rPr>
        <w:t>（8）检查指导和督促落实各乡镇人民政府、县人民政府组成部门对县人民政府公文、会议决定事项及县人民政府领导有关指示的执行情况。</w:t>
      </w:r>
    </w:p>
    <w:p w14:paraId="7C1A9128">
      <w:pPr>
        <w:spacing w:line="580" w:lineRule="exact"/>
        <w:ind w:firstLine="640"/>
        <w:jc w:val="both"/>
      </w:pPr>
      <w:r>
        <w:rPr>
          <w:rFonts w:ascii="仿宋_GB2312" w:hAnsi="仿宋_GB2312" w:eastAsia="仿宋_GB2312"/>
          <w:sz w:val="32"/>
        </w:rPr>
        <w:t>（9）协助县人民政府领导处理需由县人民政府直接处理的各类突发事件。</w:t>
      </w:r>
    </w:p>
    <w:p w14:paraId="3447EBFA">
      <w:pPr>
        <w:spacing w:line="580" w:lineRule="exact"/>
        <w:ind w:firstLine="640"/>
        <w:jc w:val="both"/>
      </w:pPr>
      <w:r>
        <w:rPr>
          <w:rFonts w:ascii="仿宋_GB2312" w:hAnsi="仿宋_GB2312" w:eastAsia="仿宋_GB2312"/>
          <w:sz w:val="32"/>
        </w:rPr>
        <w:t>（10）根据县人民政府领导的指示，组织专题调查研究，及时反映情况，提出建议。</w:t>
      </w:r>
    </w:p>
    <w:p w14:paraId="32B5C711">
      <w:pPr>
        <w:spacing w:line="580" w:lineRule="exact"/>
        <w:ind w:firstLine="640"/>
        <w:jc w:val="both"/>
      </w:pPr>
      <w:r>
        <w:rPr>
          <w:rFonts w:ascii="仿宋_GB2312" w:hAnsi="仿宋_GB2312" w:eastAsia="仿宋_GB2312"/>
          <w:sz w:val="32"/>
        </w:rPr>
        <w:t>（11）负责由县人民政府或县人民政府办公室办理的</w:t>
      </w:r>
      <w:r>
        <w:rPr>
          <w:rFonts w:hint="eastAsia" w:ascii="仿宋_GB2312" w:hAnsi="仿宋_GB2312" w:eastAsia="仿宋_GB2312"/>
          <w:sz w:val="32"/>
          <w:lang w:eastAsia="zh-CN"/>
        </w:rPr>
        <w:t>人大代表建议</w:t>
      </w:r>
      <w:r>
        <w:rPr>
          <w:rFonts w:ascii="仿宋_GB2312" w:hAnsi="仿宋_GB2312" w:eastAsia="仿宋_GB2312"/>
          <w:sz w:val="32"/>
        </w:rPr>
        <w:t>、政协委员提案办理工作。</w:t>
      </w:r>
    </w:p>
    <w:p w14:paraId="283F6E5C">
      <w:pPr>
        <w:spacing w:line="580" w:lineRule="exact"/>
        <w:ind w:firstLine="640"/>
        <w:jc w:val="both"/>
      </w:pPr>
      <w:r>
        <w:rPr>
          <w:rFonts w:ascii="仿宋_GB2312" w:hAnsi="仿宋_GB2312" w:eastAsia="仿宋_GB2312"/>
          <w:sz w:val="32"/>
        </w:rPr>
        <w:t>（12）负责处理群众来信，接待群众来访，及时向县委、县人民政府领导报告来信来访中提出的重要建议和反映的重要问题，办理县委、县人民政府交办的有关信访事项。</w:t>
      </w:r>
    </w:p>
    <w:p w14:paraId="1605E72F">
      <w:pPr>
        <w:spacing w:line="580" w:lineRule="exact"/>
        <w:ind w:firstLine="640"/>
        <w:jc w:val="both"/>
      </w:pPr>
      <w:r>
        <w:rPr>
          <w:rFonts w:ascii="仿宋_GB2312" w:hAnsi="仿宋_GB2312" w:eastAsia="仿宋_GB2312"/>
          <w:sz w:val="32"/>
        </w:rPr>
        <w:t>（13）负责县人民政府办公室党风廉政建设和职工的思想政治工作。</w:t>
      </w:r>
    </w:p>
    <w:p w14:paraId="404F7E48">
      <w:pPr>
        <w:spacing w:line="580" w:lineRule="exact"/>
        <w:ind w:firstLine="640"/>
        <w:jc w:val="both"/>
      </w:pPr>
      <w:r>
        <w:rPr>
          <w:rFonts w:ascii="仿宋_GB2312" w:hAnsi="仿宋_GB2312" w:eastAsia="仿宋_GB2312"/>
          <w:sz w:val="32"/>
        </w:rPr>
        <w:t>（14）按有关规定管理县人民政府及县人民政府办公室各类文电、资料的整理归档工作。</w:t>
      </w:r>
    </w:p>
    <w:p w14:paraId="34EC0035">
      <w:pPr>
        <w:spacing w:line="640" w:lineRule="exact"/>
        <w:ind w:firstLine="640"/>
        <w:jc w:val="both"/>
        <w:outlineLvl w:val="2"/>
      </w:pPr>
      <w:r>
        <w:rPr>
          <w:rFonts w:ascii="黑体" w:hAnsi="黑体" w:eastAsia="黑体"/>
          <w:sz w:val="32"/>
        </w:rPr>
        <w:t>二、机构设置及人员情况</w:t>
      </w:r>
    </w:p>
    <w:p w14:paraId="144109E1">
      <w:pPr>
        <w:spacing w:line="580" w:lineRule="exact"/>
        <w:ind w:firstLine="640"/>
        <w:jc w:val="both"/>
      </w:pPr>
      <w:r>
        <w:rPr>
          <w:rFonts w:ascii="仿宋_GB2312" w:hAnsi="仿宋_GB2312" w:eastAsia="仿宋_GB2312"/>
          <w:sz w:val="32"/>
        </w:rPr>
        <w:t>洛浦县人民政府办公室2024年度，实有人数76人，其中：在职人员45人，减少4人；离休人员0人，增加0人；退休人员31人,增加0人。</w:t>
      </w:r>
    </w:p>
    <w:p w14:paraId="1BC62F1E">
      <w:pPr>
        <w:spacing w:line="580" w:lineRule="exact"/>
        <w:ind w:firstLine="640"/>
        <w:jc w:val="both"/>
      </w:pPr>
      <w:r>
        <w:rPr>
          <w:rFonts w:ascii="仿宋_GB2312" w:hAnsi="仿宋_GB2312" w:eastAsia="仿宋_GB2312"/>
          <w:sz w:val="32"/>
        </w:rPr>
        <w:t>洛浦县人民政府办公室无下属预算单位，下设9个科室，分别是：机关事务服务中心、电子政务服务中心、政务服务和公共资源交易中心、大数据发展中心、信访室、办公室、财务室、保密室、督查室。</w:t>
      </w:r>
    </w:p>
    <w:p w14:paraId="6B10B35A">
      <w:r>
        <w:br w:type="page"/>
      </w:r>
    </w:p>
    <w:p w14:paraId="1858E40B">
      <w:pPr>
        <w:spacing w:line="240" w:lineRule="auto"/>
        <w:jc w:val="center"/>
        <w:outlineLvl w:val="1"/>
      </w:pPr>
      <w:r>
        <w:rPr>
          <w:rFonts w:ascii="黑体" w:hAnsi="黑体" w:eastAsia="黑体"/>
          <w:sz w:val="32"/>
        </w:rPr>
        <w:t>第二部分 部门决算情况说明</w:t>
      </w:r>
    </w:p>
    <w:p w14:paraId="1C8847BC">
      <w:pPr>
        <w:spacing w:line="640" w:lineRule="exact"/>
        <w:ind w:firstLine="640"/>
        <w:jc w:val="both"/>
        <w:outlineLvl w:val="2"/>
      </w:pPr>
      <w:r>
        <w:rPr>
          <w:rFonts w:ascii="黑体" w:hAnsi="黑体" w:eastAsia="黑体"/>
          <w:sz w:val="32"/>
        </w:rPr>
        <w:t>一、收入支出决算总体情况说明</w:t>
      </w:r>
    </w:p>
    <w:p w14:paraId="44395B53">
      <w:pPr>
        <w:spacing w:line="580" w:lineRule="exact"/>
        <w:ind w:firstLine="640"/>
        <w:jc w:val="both"/>
      </w:pPr>
      <w:r>
        <w:rPr>
          <w:rFonts w:ascii="仿宋_GB2312" w:hAnsi="仿宋_GB2312" w:eastAsia="仿宋_GB2312"/>
          <w:b/>
          <w:sz w:val="32"/>
        </w:rPr>
        <w:t>2024年度收入总计1,306.05万元，</w:t>
      </w:r>
      <w:r>
        <w:rPr>
          <w:rFonts w:ascii="仿宋_GB2312" w:hAnsi="仿宋_GB2312" w:eastAsia="仿宋_GB2312"/>
          <w:b w:val="0"/>
          <w:sz w:val="32"/>
        </w:rPr>
        <w:t>其中：本年收入合计1,297.52万元，使用非财政拨款结余（含专用结余）0.00万元，年初结转和结余8.52万元。</w:t>
      </w:r>
    </w:p>
    <w:p w14:paraId="3B6E031B">
      <w:pPr>
        <w:spacing w:line="580" w:lineRule="exact"/>
        <w:ind w:firstLine="640"/>
        <w:jc w:val="both"/>
      </w:pPr>
      <w:r>
        <w:rPr>
          <w:rFonts w:ascii="仿宋_GB2312" w:hAnsi="仿宋_GB2312" w:eastAsia="仿宋_GB2312"/>
          <w:b/>
          <w:sz w:val="32"/>
        </w:rPr>
        <w:t>2024年度支出总计1,306.05万元，</w:t>
      </w:r>
      <w:r>
        <w:rPr>
          <w:rFonts w:ascii="仿宋_GB2312" w:hAnsi="仿宋_GB2312" w:eastAsia="仿宋_GB2312"/>
          <w:b w:val="0"/>
          <w:sz w:val="32"/>
        </w:rPr>
        <w:t>其中：本年支出合计1,275.74万元，结余分配0.00万元，年末结转和结余30.31万元。</w:t>
      </w:r>
    </w:p>
    <w:p w14:paraId="40AF4DD2">
      <w:pPr>
        <w:spacing w:line="580" w:lineRule="exact"/>
        <w:ind w:firstLine="640"/>
        <w:jc w:val="both"/>
      </w:pPr>
      <w:r>
        <w:rPr>
          <w:rFonts w:ascii="仿宋_GB2312" w:hAnsi="仿宋_GB2312" w:eastAsia="仿宋_GB2312"/>
          <w:b w:val="0"/>
          <w:sz w:val="32"/>
        </w:rPr>
        <w:t>收入支出总体与上年相比，减少93.86万元，下降6.70%，主要原因是：本年减少电子政务网站服务费；本年减少招商引资差旅费、办公费、工会费和县人社局拨付公益性岗位工资、生育津贴支出；本年大数据中心、政务服务中心和信访室因机构改革，人员转至其他单位，人员调入调出，人员职级不同，缴费基数不同，导致相关人员经费减少。</w:t>
      </w:r>
    </w:p>
    <w:p w14:paraId="59F46D9E">
      <w:pPr>
        <w:spacing w:line="640" w:lineRule="exact"/>
        <w:ind w:firstLine="640"/>
        <w:jc w:val="both"/>
        <w:outlineLvl w:val="2"/>
      </w:pPr>
      <w:r>
        <w:rPr>
          <w:rFonts w:ascii="黑体" w:hAnsi="黑体" w:eastAsia="黑体"/>
          <w:sz w:val="32"/>
        </w:rPr>
        <w:t>二、收入决算情况说明</w:t>
      </w:r>
    </w:p>
    <w:p w14:paraId="6BC53348">
      <w:pPr>
        <w:spacing w:line="580" w:lineRule="exact"/>
        <w:ind w:firstLine="640"/>
        <w:jc w:val="both"/>
      </w:pPr>
      <w:r>
        <w:rPr>
          <w:rFonts w:ascii="仿宋_GB2312" w:hAnsi="仿宋_GB2312" w:eastAsia="仿宋_GB2312"/>
          <w:b/>
          <w:sz w:val="32"/>
        </w:rPr>
        <w:t>本年收入1,297.52万元，</w:t>
      </w:r>
      <w:r>
        <w:rPr>
          <w:rFonts w:ascii="仿宋_GB2312" w:hAnsi="仿宋_GB2312" w:eastAsia="仿宋_GB2312"/>
          <w:b w:val="0"/>
          <w:sz w:val="32"/>
        </w:rPr>
        <w:t>其中：财政拨款收入1,265.21万元，占97.51%；上级补助收入0.00万元，占0.00%；事业收入0.00万元，占0.00%；经营收入0.00万元，占0.00%；附属单位上缴收入0.00万元，占0.00%；其他收入32.31万元，占2.49%。</w:t>
      </w:r>
    </w:p>
    <w:p w14:paraId="0B7E116D">
      <w:pPr>
        <w:spacing w:line="640" w:lineRule="exact"/>
        <w:ind w:firstLine="640"/>
        <w:jc w:val="both"/>
        <w:outlineLvl w:val="2"/>
      </w:pPr>
      <w:r>
        <w:rPr>
          <w:rFonts w:ascii="黑体" w:hAnsi="黑体" w:eastAsia="黑体"/>
          <w:sz w:val="32"/>
        </w:rPr>
        <w:t>三、支出决算情况说明</w:t>
      </w:r>
    </w:p>
    <w:p w14:paraId="1A2F1337">
      <w:pPr>
        <w:spacing w:line="580" w:lineRule="exact"/>
        <w:ind w:firstLine="640"/>
        <w:jc w:val="both"/>
      </w:pPr>
      <w:r>
        <w:rPr>
          <w:rFonts w:ascii="仿宋_GB2312" w:hAnsi="仿宋_GB2312" w:eastAsia="仿宋_GB2312"/>
          <w:b/>
          <w:sz w:val="32"/>
        </w:rPr>
        <w:t>本年支出1,275.74万元，</w:t>
      </w:r>
      <w:r>
        <w:rPr>
          <w:rFonts w:ascii="仿宋_GB2312" w:hAnsi="仿宋_GB2312" w:eastAsia="仿宋_GB2312"/>
          <w:b w:val="0"/>
          <w:sz w:val="32"/>
        </w:rPr>
        <w:t>其中：基本支出1,255.30万元，占98.40%；项目支出20.44万元，占1.60%；上缴上级支出0.00万元，占0.00%；经营支出0.00万元，占0.00%；对附属单位补助支出0.00万元，占0.00%。</w:t>
      </w:r>
    </w:p>
    <w:p w14:paraId="532498BF">
      <w:pPr>
        <w:spacing w:line="640" w:lineRule="exact"/>
        <w:ind w:firstLine="640"/>
        <w:jc w:val="both"/>
        <w:outlineLvl w:val="2"/>
      </w:pPr>
      <w:r>
        <w:rPr>
          <w:rFonts w:ascii="黑体" w:hAnsi="黑体" w:eastAsia="黑体"/>
          <w:sz w:val="32"/>
        </w:rPr>
        <w:t>四、财政拨款收入支出决算总体情况说明</w:t>
      </w:r>
    </w:p>
    <w:p w14:paraId="32042026">
      <w:pPr>
        <w:spacing w:line="580" w:lineRule="exact"/>
        <w:ind w:firstLine="640"/>
        <w:jc w:val="both"/>
      </w:pPr>
      <w:r>
        <w:rPr>
          <w:rFonts w:ascii="仿宋_GB2312" w:hAnsi="仿宋_GB2312" w:eastAsia="仿宋_GB2312"/>
          <w:b/>
          <w:sz w:val="32"/>
        </w:rPr>
        <w:t>2024年度财政拨款收入总计1,265.21万元，</w:t>
      </w:r>
      <w:r>
        <w:rPr>
          <w:rFonts w:ascii="仿宋_GB2312" w:hAnsi="仿宋_GB2312" w:eastAsia="仿宋_GB2312"/>
          <w:b w:val="0"/>
          <w:sz w:val="32"/>
        </w:rPr>
        <w:t>其中：年初财政拨款结转和结余0.00万元，本年财政拨款收入1,265.21万元。</w:t>
      </w:r>
      <w:r>
        <w:rPr>
          <w:rFonts w:ascii="仿宋_GB2312" w:hAnsi="仿宋_GB2312" w:eastAsia="仿宋_GB2312"/>
          <w:b/>
          <w:sz w:val="32"/>
        </w:rPr>
        <w:t>财政拨款支出总计1,265.21万元，</w:t>
      </w:r>
      <w:r>
        <w:rPr>
          <w:rFonts w:ascii="仿宋_GB2312" w:hAnsi="仿宋_GB2312" w:eastAsia="仿宋_GB2312"/>
          <w:b w:val="0"/>
          <w:sz w:val="32"/>
        </w:rPr>
        <w:t>其中：年末财政拨款结转和结余0.00万元，本年财政拨款支出1,265.21万元。</w:t>
      </w:r>
    </w:p>
    <w:p w14:paraId="40C41AC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减少58.75万元，下降4.44%，主要原因是：本年大数据中心、政务服务中心和信访室因机构改革，人员转至其他单位，人员调入调出，人员职级不同，缴费基数不同，导致相关人员经费减少。</w:t>
      </w:r>
      <w:r>
        <w:rPr>
          <w:rFonts w:ascii="仿宋_GB2312" w:hAnsi="仿宋_GB2312" w:eastAsia="仿宋_GB2312"/>
          <w:b/>
          <w:sz w:val="32"/>
        </w:rPr>
        <w:t>与年初预算相比，</w:t>
      </w:r>
      <w:r>
        <w:rPr>
          <w:rFonts w:ascii="仿宋_GB2312" w:hAnsi="仿宋_GB2312" w:eastAsia="仿宋_GB2312"/>
          <w:b w:val="0"/>
          <w:sz w:val="32"/>
        </w:rPr>
        <w:t>年初预算数1,140.06万元，决算数1,265.21万元，预决算差异率10.98%，主要原因是：年中追加人员工资、社保、公积金基数调增部分资金及解决疑难信访问题项目和法律顾问服务费，导致预决算存在差异。</w:t>
      </w:r>
    </w:p>
    <w:p w14:paraId="7F7E9FBF">
      <w:pPr>
        <w:spacing w:line="640" w:lineRule="exact"/>
        <w:ind w:firstLine="640"/>
        <w:jc w:val="both"/>
        <w:outlineLvl w:val="2"/>
      </w:pPr>
      <w:r>
        <w:rPr>
          <w:rFonts w:ascii="黑体" w:hAnsi="黑体" w:eastAsia="黑体"/>
          <w:sz w:val="32"/>
        </w:rPr>
        <w:t>五、一般公共预算财政拨款支出决算情况说明</w:t>
      </w:r>
    </w:p>
    <w:p w14:paraId="6115DAD7">
      <w:pPr>
        <w:spacing w:line="640" w:lineRule="exact"/>
        <w:ind w:firstLine="640"/>
        <w:jc w:val="both"/>
        <w:outlineLvl w:val="3"/>
      </w:pPr>
      <w:r>
        <w:rPr>
          <w:rFonts w:ascii="楷体_GB2312" w:hAnsi="楷体_GB2312" w:eastAsia="楷体_GB2312"/>
          <w:b/>
          <w:sz w:val="32"/>
        </w:rPr>
        <w:t>（一）一般公共预算财政拨款支出决算总体情况</w:t>
      </w:r>
    </w:p>
    <w:p w14:paraId="4506C533">
      <w:pPr>
        <w:spacing w:line="580" w:lineRule="exact"/>
        <w:ind w:firstLine="640"/>
        <w:jc w:val="both"/>
      </w:pPr>
      <w:r>
        <w:rPr>
          <w:rFonts w:ascii="仿宋_GB2312" w:hAnsi="仿宋_GB2312" w:eastAsia="仿宋_GB2312"/>
          <w:b/>
          <w:sz w:val="32"/>
        </w:rPr>
        <w:t>2024年度一般公共预算财政拨款支出1,265.21万元，</w:t>
      </w:r>
      <w:r>
        <w:rPr>
          <w:rFonts w:ascii="仿宋_GB2312" w:hAnsi="仿宋_GB2312" w:eastAsia="仿宋_GB2312"/>
          <w:b w:val="0"/>
          <w:sz w:val="32"/>
        </w:rPr>
        <w:t>占本年支出合计的99.17%。</w:t>
      </w:r>
      <w:r>
        <w:rPr>
          <w:rFonts w:ascii="仿宋_GB2312" w:hAnsi="仿宋_GB2312" w:eastAsia="仿宋_GB2312"/>
          <w:b/>
          <w:sz w:val="32"/>
        </w:rPr>
        <w:t>与上年相比，</w:t>
      </w:r>
      <w:r>
        <w:rPr>
          <w:rFonts w:ascii="仿宋_GB2312" w:hAnsi="仿宋_GB2312" w:eastAsia="仿宋_GB2312"/>
          <w:b w:val="0"/>
          <w:sz w:val="32"/>
        </w:rPr>
        <w:t>减少58.75万元，下降4.44%，主要原因是：本年大数据中心、政务服务中心和信访室因机构改革，人员转至其他单位，人员调入调出，人员职级不同，缴费基数不同，导致相关人员经费减少。</w:t>
      </w:r>
      <w:r>
        <w:rPr>
          <w:rFonts w:ascii="仿宋_GB2312" w:hAnsi="仿宋_GB2312" w:eastAsia="仿宋_GB2312"/>
          <w:b/>
          <w:sz w:val="32"/>
        </w:rPr>
        <w:t>与年初预算相比,</w:t>
      </w:r>
      <w:r>
        <w:rPr>
          <w:rFonts w:ascii="仿宋_GB2312" w:hAnsi="仿宋_GB2312" w:eastAsia="仿宋_GB2312"/>
          <w:b w:val="0"/>
          <w:sz w:val="32"/>
        </w:rPr>
        <w:t>年初预算数1,140.06万元，决算数1,265.21万元，预决算差异率10.98%，主要原因是：年中追加人员工资、社保、公积金基数调增部分资金及解决疑难信访问题项目和法律顾问服务费，导致预决算存在差异。</w:t>
      </w:r>
    </w:p>
    <w:p w14:paraId="424B9399">
      <w:pPr>
        <w:spacing w:line="640" w:lineRule="exact"/>
        <w:ind w:firstLine="640"/>
        <w:jc w:val="both"/>
        <w:outlineLvl w:val="3"/>
      </w:pPr>
      <w:r>
        <w:rPr>
          <w:rFonts w:ascii="楷体_GB2312" w:hAnsi="楷体_GB2312" w:eastAsia="楷体_GB2312"/>
          <w:b/>
          <w:sz w:val="32"/>
        </w:rPr>
        <w:t>（二）一般公共预算财政拨款支出决算结构情况</w:t>
      </w:r>
    </w:p>
    <w:p w14:paraId="420371C0">
      <w:pPr>
        <w:spacing w:line="580" w:lineRule="exact"/>
        <w:ind w:firstLine="640"/>
        <w:jc w:val="both"/>
      </w:pPr>
      <w:r>
        <w:rPr>
          <w:rFonts w:ascii="仿宋_GB2312" w:hAnsi="仿宋_GB2312" w:eastAsia="仿宋_GB2312"/>
          <w:b w:val="0"/>
          <w:sz w:val="32"/>
        </w:rPr>
        <w:t>1.一般公共服务支出(类)952.65万元,占75.30%。</w:t>
      </w:r>
    </w:p>
    <w:p w14:paraId="22445ECD">
      <w:pPr>
        <w:spacing w:line="580" w:lineRule="exact"/>
        <w:ind w:firstLine="640"/>
        <w:jc w:val="both"/>
      </w:pPr>
      <w:r>
        <w:rPr>
          <w:rFonts w:ascii="仿宋_GB2312" w:hAnsi="仿宋_GB2312" w:eastAsia="仿宋_GB2312"/>
          <w:b w:val="0"/>
          <w:sz w:val="32"/>
        </w:rPr>
        <w:t>2.社会保障和就业支出(类)162.66万元,占12.86%。</w:t>
      </w:r>
    </w:p>
    <w:p w14:paraId="08535BC3">
      <w:pPr>
        <w:spacing w:line="580" w:lineRule="exact"/>
        <w:ind w:firstLine="640"/>
        <w:jc w:val="both"/>
      </w:pPr>
      <w:r>
        <w:rPr>
          <w:rFonts w:ascii="仿宋_GB2312" w:hAnsi="仿宋_GB2312" w:eastAsia="仿宋_GB2312"/>
          <w:b w:val="0"/>
          <w:sz w:val="32"/>
        </w:rPr>
        <w:t>3.卫生健康支出(类)54.03万元,占4.27%。</w:t>
      </w:r>
    </w:p>
    <w:p w14:paraId="46E50338">
      <w:pPr>
        <w:spacing w:line="580" w:lineRule="exact"/>
        <w:ind w:firstLine="640"/>
        <w:jc w:val="both"/>
      </w:pPr>
      <w:r>
        <w:rPr>
          <w:rFonts w:ascii="仿宋_GB2312" w:hAnsi="仿宋_GB2312" w:eastAsia="仿宋_GB2312"/>
          <w:b w:val="0"/>
          <w:sz w:val="32"/>
        </w:rPr>
        <w:t>4.住房保障支出(类)81.43万元,占6.44%。</w:t>
      </w:r>
    </w:p>
    <w:p w14:paraId="7E9376B2">
      <w:pPr>
        <w:spacing w:line="580" w:lineRule="exact"/>
        <w:ind w:firstLine="640"/>
        <w:jc w:val="both"/>
      </w:pPr>
      <w:r>
        <w:rPr>
          <w:rFonts w:ascii="仿宋_GB2312" w:hAnsi="仿宋_GB2312" w:eastAsia="仿宋_GB2312"/>
          <w:b w:val="0"/>
          <w:sz w:val="32"/>
        </w:rPr>
        <w:t>5.其他支出(类)14.44万元,占1.14%。</w:t>
      </w:r>
    </w:p>
    <w:p w14:paraId="567A17D7">
      <w:pPr>
        <w:spacing w:line="640" w:lineRule="exact"/>
        <w:ind w:firstLine="640"/>
        <w:jc w:val="both"/>
        <w:outlineLvl w:val="3"/>
      </w:pPr>
      <w:r>
        <w:rPr>
          <w:rFonts w:ascii="楷体_GB2312" w:hAnsi="楷体_GB2312" w:eastAsia="楷体_GB2312"/>
          <w:b/>
          <w:sz w:val="32"/>
        </w:rPr>
        <w:t>（三）一般公共预算财政拨款支出决算具体情况</w:t>
      </w:r>
    </w:p>
    <w:p w14:paraId="3F250724">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946.65万元，比上年决算减少237.65万元，下降20.07%,主要原因是：本年在职人员调入调出，人员职级不同，缴费基数不同，导致相关人员经费减少；本年功能科目调整，行政单位离退休经费、行政单位医疗、公务员医疗补助、住房公积金上年度在主科目列支，本年单独列支，导致经费较上年减少。</w:t>
      </w:r>
    </w:p>
    <w:p w14:paraId="3D19A0CE">
      <w:pPr>
        <w:spacing w:line="580" w:lineRule="exact"/>
        <w:ind w:firstLine="640"/>
        <w:jc w:val="both"/>
      </w:pPr>
      <w:r>
        <w:rPr>
          <w:rFonts w:ascii="仿宋_GB2312" w:hAnsi="仿宋_GB2312" w:eastAsia="仿宋_GB2312"/>
          <w:b w:val="0"/>
          <w:sz w:val="32"/>
        </w:rPr>
        <w:t>2.一般公共服务支出(类)信访事务(款)信访业务(项):支出决算数为6.00万元，比上年决算增加6.00万元，增长100.00%,主要原因是：本年增加信访项目，解决疑难信访问题资金。</w:t>
      </w:r>
    </w:p>
    <w:p w14:paraId="27E474B7">
      <w:pPr>
        <w:spacing w:line="580" w:lineRule="exact"/>
        <w:ind w:firstLine="640"/>
        <w:jc w:val="both"/>
      </w:pPr>
      <w:r>
        <w:rPr>
          <w:rFonts w:ascii="仿宋_GB2312" w:hAnsi="仿宋_GB2312" w:eastAsia="仿宋_GB2312"/>
          <w:b w:val="0"/>
          <w:sz w:val="32"/>
        </w:rPr>
        <w:t>3.科学技术支出(类)技术研究与开发(款)其他技术研究与开发支出(项):支出决算数为0.00万元，比上年决算减少3.40万元，下降100.00%,主要原因是：本年减少电子政务网站服务费。</w:t>
      </w:r>
    </w:p>
    <w:p w14:paraId="3E8C1ED1">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42.34万元，比上年决算增加42.34万元，增长100.00%,主要原因是：本年功能科目调整，行政单位离退休上年度在主科目列支，本年单独列支，导致经费较上年增加。</w:t>
      </w:r>
    </w:p>
    <w:p w14:paraId="09409BF7">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106.59万元，比上年决算增加17.57万元，增长19.74%,主要原因是：本年在职人员工资基数调增，养老缴费基数上涨，相应支出增加。</w:t>
      </w:r>
    </w:p>
    <w:p w14:paraId="15275DF9">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13.73万元，比上年决算减少21.79万元，下降61.35%,主要原因是：本年新增调出人员较上年减少，职业年金缴费较上年减少。</w:t>
      </w:r>
    </w:p>
    <w:p w14:paraId="0AD0C119">
      <w:pPr>
        <w:spacing w:line="580" w:lineRule="exact"/>
        <w:ind w:firstLine="640"/>
        <w:jc w:val="both"/>
      </w:pPr>
      <w:r>
        <w:rPr>
          <w:rFonts w:ascii="仿宋_GB2312" w:hAnsi="仿宋_GB2312" w:eastAsia="仿宋_GB2312"/>
          <w:b w:val="0"/>
          <w:sz w:val="32"/>
        </w:rPr>
        <w:t>7.卫生健康支出(类)行政事业单位医疗(款)行政单位医疗(项):支出决算数为43.30万元，比上年决算增加43.30万元，增长100.00%,主要原因是：本年功能科目调整，行政单位医疗支出上年度在主科目列支，本年单独列支，导致经费较上年增加。</w:t>
      </w:r>
    </w:p>
    <w:p w14:paraId="2BD2B29A">
      <w:pPr>
        <w:spacing w:line="580" w:lineRule="exact"/>
        <w:ind w:firstLine="640"/>
        <w:jc w:val="both"/>
      </w:pPr>
      <w:r>
        <w:rPr>
          <w:rFonts w:ascii="仿宋_GB2312" w:hAnsi="仿宋_GB2312" w:eastAsia="仿宋_GB2312"/>
          <w:b w:val="0"/>
          <w:sz w:val="32"/>
        </w:rPr>
        <w:t>8.卫生健康支出(类)行政事业单位医疗(款)公务员医疗补助(项):支出决算数为10.73万元，比上年决算增加10.73万元，增长100.00%,主要原因是：本年功能科目调整，公务员医疗补助上年度在主科目列支，本年单独列支，导致经费较上年增加。</w:t>
      </w:r>
    </w:p>
    <w:p w14:paraId="7F32D667">
      <w:pPr>
        <w:spacing w:line="580" w:lineRule="exact"/>
        <w:ind w:firstLine="640"/>
        <w:jc w:val="both"/>
      </w:pPr>
      <w:r>
        <w:rPr>
          <w:rFonts w:ascii="仿宋_GB2312" w:hAnsi="仿宋_GB2312" w:eastAsia="仿宋_GB2312"/>
          <w:b w:val="0"/>
          <w:sz w:val="32"/>
        </w:rPr>
        <w:t>9.住房保障支出(类)住房改革支出(款)住房公积金(项):支出决算数为81.43万元，比上年决算增加81.43万元，增长100.00%,主要原因是：本年功能科目调整，住房公积金上年度在主科目列支，本年单独列支，导致经费较上年增加。</w:t>
      </w:r>
    </w:p>
    <w:p w14:paraId="57FAAD5E">
      <w:pPr>
        <w:spacing w:line="580" w:lineRule="exact"/>
        <w:ind w:firstLine="640"/>
        <w:jc w:val="both"/>
      </w:pPr>
      <w:r>
        <w:rPr>
          <w:rFonts w:ascii="仿宋_GB2312" w:hAnsi="仿宋_GB2312" w:eastAsia="仿宋_GB2312"/>
          <w:b w:val="0"/>
          <w:sz w:val="32"/>
        </w:rPr>
        <w:t>10.其他支出(类)其他支出(款)其他支出(项):支出决算数为14.44万元，比上年决算增加2.73万元，增长23.31%,主要原因是：本年增加为民办实事项目资金。</w:t>
      </w:r>
    </w:p>
    <w:p w14:paraId="2D980396">
      <w:pPr>
        <w:spacing w:line="640" w:lineRule="exact"/>
        <w:ind w:firstLine="640"/>
        <w:jc w:val="both"/>
        <w:outlineLvl w:val="2"/>
      </w:pPr>
      <w:r>
        <w:rPr>
          <w:rFonts w:ascii="黑体" w:hAnsi="黑体" w:eastAsia="黑体"/>
          <w:sz w:val="32"/>
        </w:rPr>
        <w:t>六、一般公共预算财政拨款基本支出决算情况说明</w:t>
      </w:r>
    </w:p>
    <w:p w14:paraId="1B916E61">
      <w:pPr>
        <w:spacing w:line="580" w:lineRule="exact"/>
        <w:ind w:firstLine="640"/>
        <w:jc w:val="both"/>
      </w:pPr>
      <w:r>
        <w:rPr>
          <w:rFonts w:ascii="仿宋_GB2312" w:hAnsi="仿宋_GB2312" w:eastAsia="仿宋_GB2312"/>
          <w:b w:val="0"/>
          <w:sz w:val="32"/>
        </w:rPr>
        <w:t>2024年度一般公共预算财政拨款基本支出1,244.77万元，其中：</w:t>
      </w:r>
      <w:r>
        <w:rPr>
          <w:rFonts w:ascii="仿宋_GB2312" w:hAnsi="仿宋_GB2312" w:eastAsia="仿宋_GB2312"/>
          <w:b/>
          <w:sz w:val="32"/>
        </w:rPr>
        <w:t>人员经费1,135.80万元，</w:t>
      </w:r>
      <w:r>
        <w:rPr>
          <w:rFonts w:ascii="仿宋_GB2312" w:hAnsi="仿宋_GB2312" w:eastAsia="仿宋_GB2312"/>
          <w:b w:val="0"/>
          <w:sz w:val="32"/>
        </w:rPr>
        <w:t>包括：基本工资、津贴补贴、奖金、机关事业单位基本养老保险缴费、职业年金缴费、职工基本医疗保险缴费、公务员医疗补助缴费、住房公积金、退休费、抚恤金、奖励金。</w:t>
      </w:r>
    </w:p>
    <w:p w14:paraId="4AF33016">
      <w:pPr>
        <w:spacing w:line="580" w:lineRule="exact"/>
        <w:ind w:firstLine="640"/>
        <w:jc w:val="both"/>
      </w:pPr>
      <w:r>
        <w:rPr>
          <w:rFonts w:ascii="仿宋_GB2312" w:hAnsi="仿宋_GB2312" w:eastAsia="仿宋_GB2312"/>
          <w:b/>
          <w:sz w:val="32"/>
        </w:rPr>
        <w:t>公用经费108.97万元，</w:t>
      </w:r>
      <w:r>
        <w:rPr>
          <w:rFonts w:ascii="仿宋_GB2312" w:hAnsi="仿宋_GB2312" w:eastAsia="仿宋_GB2312"/>
          <w:b w:val="0"/>
          <w:sz w:val="32"/>
        </w:rPr>
        <w:t>包括：办公费、印刷费、电费、邮电费、差旅费、委托业务费、公务用车运行维护费、其他交通费用。</w:t>
      </w:r>
    </w:p>
    <w:p w14:paraId="45CCF14B">
      <w:pPr>
        <w:spacing w:line="640" w:lineRule="exact"/>
        <w:ind w:firstLine="640"/>
        <w:jc w:val="both"/>
        <w:outlineLvl w:val="2"/>
      </w:pPr>
      <w:r>
        <w:rPr>
          <w:rFonts w:ascii="黑体" w:hAnsi="黑体" w:eastAsia="黑体"/>
          <w:sz w:val="32"/>
        </w:rPr>
        <w:t>七、政府性基金预算财政拨款收入支出决算情况说明</w:t>
      </w:r>
    </w:p>
    <w:p w14:paraId="23DB7500">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DFE7D7C">
      <w:pPr>
        <w:spacing w:line="640" w:lineRule="exact"/>
        <w:ind w:firstLine="640"/>
        <w:jc w:val="both"/>
        <w:outlineLvl w:val="2"/>
      </w:pPr>
      <w:r>
        <w:rPr>
          <w:rFonts w:ascii="黑体" w:hAnsi="黑体" w:eastAsia="黑体"/>
          <w:sz w:val="32"/>
        </w:rPr>
        <w:t>八、国有资本经营预算财政拨款收入支出决算情况说明</w:t>
      </w:r>
    </w:p>
    <w:p w14:paraId="367133C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6C9A6DD">
      <w:pPr>
        <w:spacing w:line="640" w:lineRule="exact"/>
        <w:ind w:firstLine="640"/>
        <w:jc w:val="both"/>
        <w:outlineLvl w:val="2"/>
      </w:pPr>
      <w:r>
        <w:rPr>
          <w:rFonts w:ascii="黑体" w:hAnsi="黑体" w:eastAsia="黑体"/>
          <w:sz w:val="32"/>
        </w:rPr>
        <w:t>九、财政拨款“三公”经费支出决算情况说明</w:t>
      </w:r>
    </w:p>
    <w:p w14:paraId="3E1B2B73">
      <w:pPr>
        <w:spacing w:line="580" w:lineRule="exact"/>
        <w:ind w:firstLine="640"/>
        <w:jc w:val="both"/>
      </w:pPr>
      <w:r>
        <w:rPr>
          <w:rFonts w:ascii="仿宋_GB2312" w:hAnsi="仿宋_GB2312" w:eastAsia="仿宋_GB2312"/>
          <w:b/>
          <w:sz w:val="32"/>
        </w:rPr>
        <w:t>2024年度财政拨款“三公”经费支出17.92万元，</w:t>
      </w:r>
      <w:r>
        <w:rPr>
          <w:rFonts w:ascii="仿宋_GB2312" w:hAnsi="仿宋_GB2312" w:eastAsia="仿宋_GB2312"/>
          <w:b w:val="0"/>
          <w:sz w:val="32"/>
        </w:rPr>
        <w:t>比上年减少4.91万元，下降21.51%，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17.92万元，占100.00%，比上年减少4.91万元，下降21.51%，主要原因是：严格落实中央八项规定精神，厉行节约，减少公务用车运行维护费。公务接待费支出0.00万元，占0.00%，比上年增加0.00万元，增长0.00%，主要原因是：2023年与2024年均未安排公务接待费支出。</w:t>
      </w:r>
    </w:p>
    <w:p w14:paraId="2C594335">
      <w:pPr>
        <w:spacing w:line="580" w:lineRule="exact"/>
        <w:ind w:firstLine="640"/>
        <w:jc w:val="both"/>
      </w:pPr>
      <w:r>
        <w:rPr>
          <w:rFonts w:ascii="仿宋_GB2312" w:hAnsi="仿宋_GB2312" w:eastAsia="仿宋_GB2312"/>
          <w:b/>
          <w:sz w:val="32"/>
        </w:rPr>
        <w:t>具体情况如下：</w:t>
      </w:r>
    </w:p>
    <w:p w14:paraId="0046285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81D23A9">
      <w:pPr>
        <w:spacing w:line="580" w:lineRule="exact"/>
        <w:ind w:firstLine="640"/>
        <w:jc w:val="both"/>
      </w:pPr>
      <w:r>
        <w:rPr>
          <w:rFonts w:ascii="仿宋_GB2312" w:hAnsi="仿宋_GB2312" w:eastAsia="仿宋_GB2312"/>
          <w:b w:val="0"/>
          <w:sz w:val="32"/>
        </w:rPr>
        <w:t>公务用车购置及运行维护费17.92万元，其中：公务用车购置费0.00万元，公务用车运行维护费17.92万元。公务用车运行维护费开支内容包括车辆加油费、维修费、保险费。公务用车购置数0辆，公务用车保有量13辆。国有资产占用情况中固定资产车辆4辆，与公务用车保有量差异原因是：借用其他单位车辆，车辆费用由本单位支付。</w:t>
      </w:r>
    </w:p>
    <w:p w14:paraId="35704691">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F9F37D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17.92万元，决算数17.92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17.92万元，决算数17.92万元，预决算差异率0.00%，主要原因是：严格按照预算执行，预决算无差异。公务接待费全年预算数0.00万元，决算数0.00万元，预决算差异率0.00%，主要原因是：本单位无公务接待费。</w:t>
      </w:r>
    </w:p>
    <w:p w14:paraId="2F7CE19F">
      <w:pPr>
        <w:spacing w:line="640" w:lineRule="exact"/>
        <w:ind w:firstLine="640"/>
        <w:jc w:val="both"/>
        <w:outlineLvl w:val="2"/>
      </w:pPr>
      <w:r>
        <w:rPr>
          <w:rFonts w:ascii="黑体" w:hAnsi="黑体" w:eastAsia="黑体"/>
          <w:sz w:val="32"/>
        </w:rPr>
        <w:t>十、其他重要事项的情况说明</w:t>
      </w:r>
    </w:p>
    <w:p w14:paraId="1D850AB6">
      <w:pPr>
        <w:spacing w:line="640" w:lineRule="exact"/>
        <w:ind w:firstLine="640"/>
        <w:jc w:val="both"/>
        <w:outlineLvl w:val="3"/>
      </w:pPr>
      <w:r>
        <w:rPr>
          <w:rFonts w:ascii="楷体_GB2312" w:hAnsi="楷体_GB2312" w:eastAsia="楷体_GB2312"/>
          <w:b/>
          <w:sz w:val="32"/>
        </w:rPr>
        <w:t>（一）机关运行经费及公用经费支出情况</w:t>
      </w:r>
    </w:p>
    <w:p w14:paraId="7B26960B">
      <w:pPr>
        <w:spacing w:line="580" w:lineRule="exact"/>
        <w:ind w:firstLine="640"/>
        <w:jc w:val="both"/>
      </w:pPr>
      <w:r>
        <w:rPr>
          <w:rFonts w:ascii="仿宋_GB2312" w:hAnsi="仿宋_GB2312" w:eastAsia="仿宋_GB2312"/>
          <w:b w:val="0"/>
          <w:sz w:val="32"/>
        </w:rPr>
        <w:t>2024年度洛浦县人民政府办公室（行政单位和参照公务员法管理事业单位）机关运行经费支出108.97万元，比上年减少83.85万元，下降43.49%，主要原因是：本年减少委托业务费、公务用车运行维护费，导致机关运行经费减少。</w:t>
      </w:r>
    </w:p>
    <w:p w14:paraId="27FE2FF3">
      <w:pPr>
        <w:spacing w:line="640" w:lineRule="exact"/>
        <w:ind w:firstLine="640"/>
        <w:jc w:val="both"/>
        <w:outlineLvl w:val="3"/>
      </w:pPr>
      <w:r>
        <w:rPr>
          <w:rFonts w:ascii="楷体_GB2312" w:hAnsi="楷体_GB2312" w:eastAsia="楷体_GB2312"/>
          <w:b/>
          <w:sz w:val="32"/>
        </w:rPr>
        <w:t>（二）政府采购情况</w:t>
      </w:r>
    </w:p>
    <w:p w14:paraId="700F6AD1">
      <w:pPr>
        <w:spacing w:line="580" w:lineRule="exact"/>
        <w:ind w:firstLine="640"/>
        <w:jc w:val="both"/>
      </w:pPr>
      <w:r>
        <w:rPr>
          <w:rFonts w:ascii="仿宋_GB2312" w:hAnsi="仿宋_GB2312" w:eastAsia="仿宋_GB2312"/>
          <w:b w:val="0"/>
          <w:sz w:val="32"/>
        </w:rPr>
        <w:t>2024年度政府采购支出总额476.98万元，其中：政府采购货物支出0.00万元、政府采购工程支出0.00万元、政府采购服务支出476.98万元。</w:t>
      </w:r>
    </w:p>
    <w:p w14:paraId="75469C83">
      <w:pPr>
        <w:spacing w:line="580" w:lineRule="exact"/>
        <w:ind w:firstLine="640"/>
        <w:jc w:val="both"/>
      </w:pPr>
      <w:r>
        <w:rPr>
          <w:rFonts w:ascii="仿宋_GB2312" w:hAnsi="仿宋_GB2312" w:eastAsia="仿宋_GB2312"/>
          <w:b w:val="0"/>
          <w:sz w:val="32"/>
        </w:rPr>
        <w:t>授予中小企业合同金额1.42万元，占政府采购支出总额的0.30%，其中：授予小微企业合同金额0.00万元，占政府采购支出总额的0.00%。</w:t>
      </w:r>
    </w:p>
    <w:p w14:paraId="173C4191">
      <w:pPr>
        <w:spacing w:line="640" w:lineRule="exact"/>
        <w:ind w:firstLine="640"/>
        <w:jc w:val="both"/>
        <w:outlineLvl w:val="3"/>
      </w:pPr>
      <w:r>
        <w:rPr>
          <w:rFonts w:ascii="楷体_GB2312" w:hAnsi="楷体_GB2312" w:eastAsia="楷体_GB2312"/>
          <w:b/>
          <w:sz w:val="32"/>
        </w:rPr>
        <w:t>（三）国有资产占用情况说明</w:t>
      </w:r>
    </w:p>
    <w:p w14:paraId="6B8ADE8E">
      <w:pPr>
        <w:spacing w:line="580" w:lineRule="exact"/>
        <w:ind w:firstLine="640"/>
        <w:jc w:val="both"/>
      </w:pPr>
      <w:r>
        <w:rPr>
          <w:rFonts w:ascii="仿宋_GB2312" w:hAnsi="仿宋_GB2312" w:eastAsia="仿宋_GB2312"/>
          <w:b w:val="0"/>
          <w:sz w:val="32"/>
        </w:rPr>
        <w:t>截至2024年12月31日，房屋27,404.71平方米，价值6,248.27万元。车辆4辆，价值147.49万元，其中：副部（省）级及以上领导用车0辆、主要负责人用车0辆、机要通信用车0辆、应急保障用车0辆、执法执勤用车0辆、特种专业技术用车0辆、离退休干部服务用车0辆、其他用车4辆，其他用车主要是：一般公务用车。单价100万元（含）以上设备（不含车辆）1台（套）。</w:t>
      </w:r>
    </w:p>
    <w:p w14:paraId="64EF0B87">
      <w:pPr>
        <w:spacing w:line="640" w:lineRule="exact"/>
        <w:ind w:firstLine="640"/>
        <w:jc w:val="both"/>
        <w:outlineLvl w:val="2"/>
      </w:pPr>
      <w:r>
        <w:rPr>
          <w:rFonts w:ascii="黑体" w:hAnsi="黑体" w:eastAsia="黑体"/>
          <w:sz w:val="32"/>
        </w:rPr>
        <w:t>十一、预算绩效的情况说明</w:t>
      </w:r>
    </w:p>
    <w:p w14:paraId="38B3C1D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根据预算绩效管理要求，本单位2024年度预算绩效管理形成整体支出绩效自评表1个，全年预算总额1,279.04万元，实际执行总额1,275.74万元；预算绩效评价项目</w:t>
      </w:r>
      <w:r>
        <w:rPr>
          <w:rFonts w:hint="eastAsia" w:ascii="仿宋_GB2312" w:hAnsi="仿宋_GB2312" w:eastAsia="仿宋_GB2312"/>
          <w:b w:val="0"/>
          <w:sz w:val="32"/>
          <w:lang w:val="en-US" w:eastAsia="zh-CN"/>
        </w:rPr>
        <w:t>6</w:t>
      </w:r>
      <w:r>
        <w:rPr>
          <w:rFonts w:ascii="仿宋_GB2312" w:hAnsi="仿宋_GB2312" w:eastAsia="仿宋_GB2312"/>
          <w:b w:val="0"/>
          <w:sz w:val="32"/>
        </w:rPr>
        <w:t>个，全年预算数</w:t>
      </w:r>
      <w:r>
        <w:rPr>
          <w:rFonts w:hint="eastAsia" w:ascii="仿宋_GB2312" w:hAnsi="仿宋_GB2312" w:eastAsia="仿宋_GB2312"/>
          <w:b w:val="0"/>
          <w:sz w:val="32"/>
        </w:rPr>
        <w:t>70.34</w:t>
      </w:r>
      <w:r>
        <w:rPr>
          <w:rFonts w:ascii="仿宋_GB2312" w:hAnsi="仿宋_GB2312" w:eastAsia="仿宋_GB2312"/>
          <w:b w:val="0"/>
          <w:sz w:val="32"/>
        </w:rPr>
        <w:t>万元，全年执行数</w:t>
      </w:r>
      <w:r>
        <w:rPr>
          <w:rFonts w:hint="eastAsia" w:ascii="仿宋_GB2312" w:hAnsi="仿宋_GB2312" w:eastAsia="仿宋_GB2312"/>
          <w:b w:val="0"/>
          <w:sz w:val="32"/>
        </w:rPr>
        <w:t>70.34</w:t>
      </w:r>
      <w:r>
        <w:rPr>
          <w:rFonts w:ascii="仿宋_GB2312" w:hAnsi="仿宋_GB2312" w:eastAsia="仿宋_GB2312"/>
          <w:b w:val="0"/>
          <w:sz w:val="32"/>
        </w:rPr>
        <w:t>万元。预算绩效管理取得的成效：加快政府服务能力建设、绿色政府服务体系建立指标，预期指标是进一步加快，实际完成值是进一步加快，指标完成率是100%，达到单位履职能力对社会带来的影响预期目标；业务保障能力指标，预期指标有效保障，实际完成值是有效保障，指标完成率是100%，达到单位履职能力对社会带来的影响预期目标。发现的问题及原因：预算编制工作有待细化，预算编制不够明确和细化，预算编制的合理性需要提高，预算执行力度还要进一步加强；由于个别项目指标到第四季度下达，在预算执行中造成个别预算子项调剂现象；对个别项目资金使用方面预算不够细致，出现实际支出数超出了预算申报数或出现项目资金结余数额多的情况，导致调剂频繁，缺乏预算编制的科学性。下一步改进措施：强化支出预算约束，进一步提高年初预算编制的科学性和准确性，完善预算执行动态约束机制，加强财政预算资金管理，统筹协调推进项目执行，提高财政资金效益和效果，强化内部控制管理；严格按规定做好绩效目标申报、自评、公开等相关工作，提高财政资金使用绩效；加强实物资产管理，健全资产管理制度，规范资产清查和核算。具体附整体支出绩效自评表，项目支出绩效自评表和评价报告。</w:t>
      </w:r>
    </w:p>
    <w:p w14:paraId="622199C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3DDF21D">
        <w:tblPrEx>
          <w:tblCellMar>
            <w:top w:w="0" w:type="dxa"/>
            <w:left w:w="108" w:type="dxa"/>
            <w:bottom w:w="0" w:type="dxa"/>
            <w:right w:w="108" w:type="dxa"/>
          </w:tblCellMar>
        </w:tblPrEx>
        <w:tc>
          <w:tcPr>
            <w:tcW w:w="8847" w:type="dxa"/>
            <w:gridSpan w:val="9"/>
            <w:vAlign w:val="center"/>
          </w:tcPr>
          <w:p w14:paraId="5CEB2AD8">
            <w:pPr>
              <w:jc w:val="center"/>
            </w:pPr>
            <w:r>
              <w:rPr>
                <w:rFonts w:ascii="宋体" w:hAnsi="宋体" w:eastAsia="宋体"/>
                <w:sz w:val="24"/>
              </w:rPr>
              <w:t>单位整体支出绩效自评表</w:t>
            </w:r>
          </w:p>
        </w:tc>
      </w:tr>
      <w:tr w14:paraId="594B4D3C">
        <w:tblPrEx>
          <w:tblCellMar>
            <w:top w:w="0" w:type="dxa"/>
            <w:left w:w="108" w:type="dxa"/>
            <w:bottom w:w="0" w:type="dxa"/>
            <w:right w:w="108" w:type="dxa"/>
          </w:tblCellMar>
        </w:tblPrEx>
        <w:tc>
          <w:tcPr>
            <w:tcW w:w="8847" w:type="dxa"/>
            <w:gridSpan w:val="9"/>
            <w:vAlign w:val="center"/>
          </w:tcPr>
          <w:p w14:paraId="32D40B03">
            <w:pPr>
              <w:jc w:val="center"/>
            </w:pPr>
            <w:r>
              <w:rPr>
                <w:rFonts w:ascii="宋体" w:hAnsi="宋体" w:eastAsia="宋体"/>
                <w:sz w:val="24"/>
              </w:rPr>
              <w:t>（2024年度）</w:t>
            </w:r>
          </w:p>
        </w:tc>
      </w:tr>
      <w:tr w14:paraId="4BEB45D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8A06F">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948D07A">
            <w:pPr>
              <w:jc w:val="center"/>
            </w:pPr>
            <w:r>
              <w:rPr>
                <w:rFonts w:ascii="宋体" w:hAnsi="宋体" w:eastAsia="宋体"/>
                <w:sz w:val="16"/>
              </w:rPr>
              <w:t>洛浦县人民政府办公室</w:t>
            </w:r>
          </w:p>
        </w:tc>
      </w:tr>
      <w:tr w14:paraId="5E2414B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938F6F">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0C3C8">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94B3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3E06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527A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E964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9E51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BF7BF">
            <w:pPr>
              <w:jc w:val="center"/>
            </w:pPr>
            <w:r>
              <w:rPr>
                <w:rFonts w:ascii="宋体" w:hAnsi="宋体" w:eastAsia="宋体"/>
                <w:sz w:val="16"/>
              </w:rPr>
              <w:t>得分</w:t>
            </w:r>
          </w:p>
        </w:tc>
      </w:tr>
      <w:tr w14:paraId="3634E3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83227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2B5AEF">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0957F">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3D6D0">
            <w:pPr>
              <w:jc w:val="center"/>
            </w:pPr>
            <w:r>
              <w:rPr>
                <w:rFonts w:ascii="宋体" w:hAnsi="宋体" w:eastAsia="宋体"/>
                <w:sz w:val="16"/>
              </w:rPr>
              <w:t>24.65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5B4A9">
            <w:pPr>
              <w:jc w:val="center"/>
            </w:pPr>
            <w:r>
              <w:rPr>
                <w:rFonts w:ascii="宋体" w:hAnsi="宋体" w:eastAsia="宋体"/>
                <w:sz w:val="16"/>
              </w:rPr>
              <w:t>20.44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36E02">
            <w:pPr>
              <w:jc w:val="center"/>
            </w:pPr>
            <w:r>
              <w:rPr>
                <w:rFonts w:ascii="宋体" w:hAnsi="宋体" w:eastAsia="宋体"/>
                <w:sz w:val="16"/>
              </w:rPr>
              <w:t>20.44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8801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6E2D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66E78">
            <w:pPr>
              <w:jc w:val="center"/>
            </w:pPr>
            <w:r>
              <w:rPr>
                <w:rFonts w:ascii="宋体" w:hAnsi="宋体" w:eastAsia="宋体"/>
                <w:sz w:val="16"/>
              </w:rPr>
              <w:t>-</w:t>
            </w:r>
          </w:p>
        </w:tc>
      </w:tr>
      <w:tr w14:paraId="5A69A6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B905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EFBCC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E8DE1">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D48CB">
            <w:pPr>
              <w:jc w:val="center"/>
            </w:pPr>
            <w:r>
              <w:rPr>
                <w:rFonts w:ascii="宋体" w:hAnsi="宋体" w:eastAsia="宋体"/>
                <w:sz w:val="16"/>
              </w:rPr>
              <w:t>1,115.41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FAA57">
            <w:pPr>
              <w:jc w:val="center"/>
            </w:pPr>
            <w:r>
              <w:rPr>
                <w:rFonts w:ascii="宋体" w:hAnsi="宋体" w:eastAsia="宋体"/>
                <w:sz w:val="16"/>
              </w:rPr>
              <w:t>1,258.60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84320">
            <w:pPr>
              <w:jc w:val="center"/>
            </w:pPr>
            <w:r>
              <w:rPr>
                <w:rFonts w:ascii="宋体" w:hAnsi="宋体" w:eastAsia="宋体"/>
                <w:sz w:val="16"/>
              </w:rPr>
              <w:t>1,255.30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0D61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C478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18A1B">
            <w:pPr>
              <w:jc w:val="center"/>
            </w:pPr>
            <w:r>
              <w:rPr>
                <w:rFonts w:ascii="宋体" w:hAnsi="宋体" w:eastAsia="宋体"/>
                <w:sz w:val="16"/>
              </w:rPr>
              <w:t>-</w:t>
            </w:r>
          </w:p>
        </w:tc>
      </w:tr>
      <w:tr w14:paraId="4A327A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A0965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279ED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0D6FB">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487D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2F64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C815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C49E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D971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EC822">
            <w:pPr>
              <w:jc w:val="center"/>
            </w:pPr>
            <w:r>
              <w:rPr>
                <w:rFonts w:ascii="宋体" w:hAnsi="宋体" w:eastAsia="宋体"/>
                <w:sz w:val="16"/>
              </w:rPr>
              <w:t>-</w:t>
            </w:r>
          </w:p>
        </w:tc>
      </w:tr>
      <w:tr w14:paraId="16AA87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7AD44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8E069">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A937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48468">
            <w:pPr>
              <w:jc w:val="center"/>
            </w:pPr>
            <w:r>
              <w:rPr>
                <w:rFonts w:ascii="宋体" w:hAnsi="宋体" w:eastAsia="宋体"/>
                <w:sz w:val="16"/>
              </w:rPr>
              <w:t>1,140.06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5998C">
            <w:pPr>
              <w:jc w:val="center"/>
            </w:pPr>
            <w:r>
              <w:rPr>
                <w:rFonts w:ascii="宋体" w:hAnsi="宋体" w:eastAsia="宋体"/>
                <w:sz w:val="16"/>
              </w:rPr>
              <w:t>1,279.04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1CA55">
            <w:pPr>
              <w:jc w:val="center"/>
            </w:pPr>
            <w:r>
              <w:rPr>
                <w:rFonts w:ascii="宋体" w:hAnsi="宋体" w:eastAsia="宋体"/>
                <w:sz w:val="16"/>
              </w:rPr>
              <w:t>1,275.74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7A94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759BE">
            <w:pPr>
              <w:jc w:val="center"/>
            </w:pPr>
            <w:r>
              <w:rPr>
                <w:rFonts w:ascii="宋体" w:hAnsi="宋体" w:eastAsia="宋体"/>
                <w:sz w:val="16"/>
              </w:rPr>
              <w:t>99.74%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2C65E">
            <w:pPr>
              <w:jc w:val="center"/>
            </w:pPr>
            <w:r>
              <w:rPr>
                <w:rFonts w:ascii="宋体" w:hAnsi="宋体" w:eastAsia="宋体"/>
                <w:sz w:val="16"/>
              </w:rPr>
              <w:t>9.</w:t>
            </w:r>
            <w:r>
              <w:rPr>
                <w:rFonts w:hint="eastAsia" w:ascii="宋体" w:hAnsi="宋体"/>
                <w:sz w:val="16"/>
                <w:lang w:val="en-US" w:eastAsia="zh-CN"/>
              </w:rPr>
              <w:t>9</w:t>
            </w:r>
            <w:r>
              <w:rPr>
                <w:rFonts w:ascii="宋体" w:hAnsi="宋体" w:eastAsia="宋体"/>
                <w:sz w:val="16"/>
              </w:rPr>
              <w:t>7</w:t>
            </w:r>
          </w:p>
        </w:tc>
      </w:tr>
      <w:tr w14:paraId="1714DC0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55A6E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DBC8E1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C57502">
            <w:pPr>
              <w:jc w:val="center"/>
            </w:pPr>
            <w:r>
              <w:rPr>
                <w:rFonts w:ascii="宋体" w:hAnsi="宋体" w:eastAsia="宋体"/>
                <w:sz w:val="16"/>
              </w:rPr>
              <w:t>实际完成情况</w:t>
            </w:r>
          </w:p>
        </w:tc>
      </w:tr>
      <w:tr w14:paraId="7CA4E2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C843E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4F64AEE">
            <w:pPr>
              <w:jc w:val="both"/>
            </w:pPr>
            <w:r>
              <w:rPr>
                <w:rFonts w:ascii="宋体" w:hAnsi="宋体" w:eastAsia="宋体"/>
                <w:sz w:val="16"/>
              </w:rPr>
              <w:t>1.认真梳理总结2023年政府工作，起草完成政府工作报告。根据地委扩大会议精神、政府工作报告要求，认真分解工作任务，逐项督促抓好落实；2.对地委、行署重大事项、领导批示建立档案，做到及时转办、督办、催办和督查。及时即办工作做到日结日清；重点工作每3日内跟踪问效；常规工作每周督促进展；3.规范化做好公文收发、流转和存储等工作，按周收集政府常务会议议题，及时提请政府常务会议研究解决相关重大问题，做好政府党组会议、工作会议、专题会议、重大活动等的统筹协调组织；4.组织开展干部各项学习。每月组织不少于4次政治理论学习，提高政府办公室干部的政治思想。每月开展不少于1次法治思想学习，提高干部法治思想。5</w:t>
            </w:r>
            <w:r>
              <w:rPr>
                <w:rFonts w:hint="eastAsia" w:ascii="宋体" w:hAnsi="宋体"/>
                <w:sz w:val="16"/>
                <w:lang w:eastAsia="zh-CN"/>
              </w:rPr>
              <w:t>.</w:t>
            </w:r>
            <w:r>
              <w:rPr>
                <w:rFonts w:ascii="宋体" w:hAnsi="宋体" w:eastAsia="宋体"/>
                <w:sz w:val="16"/>
              </w:rPr>
              <w:t>推进双拥共建，重点节假日开展不少于2次拥军优属、拥政爱民活动。</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DDD9B3">
            <w:pPr>
              <w:jc w:val="both"/>
            </w:pPr>
            <w:r>
              <w:rPr>
                <w:rFonts w:hint="eastAsia" w:ascii="宋体" w:hAnsi="宋体"/>
                <w:sz w:val="16"/>
                <w:lang w:eastAsia="zh-CN"/>
              </w:rPr>
              <w:t>截至</w:t>
            </w:r>
            <w:r>
              <w:rPr>
                <w:rFonts w:ascii="宋体" w:hAnsi="宋体" w:eastAsia="宋体"/>
                <w:sz w:val="16"/>
              </w:rPr>
              <w:t>2024年12月31日，我单位已完成组织召开政治理论学习次数48次，开展法治思想学习培训场次12次，开展双拥活动2次，发放各级各类文件数量60份，组织筹备各类会议次数25次。部门整体资金已支出1306.05万元。通过这些任务的实施，有效提升政府工作人员思想认识，增强工作能力；有效提高民众的国防观念和爱国热情。</w:t>
            </w:r>
          </w:p>
        </w:tc>
      </w:tr>
      <w:tr w14:paraId="16B6D9A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492F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F595C">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0631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D593A">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406D7">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68CA0">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E0AF2">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5E06B">
            <w:pPr>
              <w:jc w:val="center"/>
            </w:pPr>
            <w:r>
              <w:rPr>
                <w:rFonts w:ascii="宋体" w:hAnsi="宋体" w:eastAsia="宋体"/>
                <w:sz w:val="16"/>
              </w:rPr>
              <w:t>得分</w:t>
            </w:r>
          </w:p>
        </w:tc>
      </w:tr>
      <w:tr w14:paraId="0BE08D0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C17AA8">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C15C78">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6DB10">
            <w:pPr>
              <w:jc w:val="center"/>
            </w:pPr>
            <w:r>
              <w:rPr>
                <w:rFonts w:ascii="宋体" w:hAnsi="宋体" w:eastAsia="宋体"/>
                <w:sz w:val="16"/>
              </w:rPr>
              <w:t>组织召开政治理论学习次数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2EED8">
            <w:pPr>
              <w:jc w:val="center"/>
            </w:pPr>
            <w:r>
              <w:rPr>
                <w:rFonts w:ascii="宋体" w:hAnsi="宋体" w:eastAsia="宋体"/>
                <w:sz w:val="16"/>
              </w:rPr>
              <w:t>&gt;=48次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D782F">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A045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A9092">
            <w:pPr>
              <w:jc w:val="center"/>
            </w:pPr>
            <w:r>
              <w:rPr>
                <w:rFonts w:ascii="宋体" w:hAnsi="宋体" w:eastAsia="宋体"/>
                <w:sz w:val="16"/>
              </w:rPr>
              <w:t>48次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CAA95">
            <w:pPr>
              <w:jc w:val="center"/>
            </w:pPr>
            <w:r>
              <w:rPr>
                <w:rFonts w:ascii="宋体" w:hAnsi="宋体" w:eastAsia="宋体"/>
                <w:sz w:val="16"/>
              </w:rPr>
              <w:t>10</w:t>
            </w:r>
          </w:p>
        </w:tc>
      </w:tr>
      <w:tr w14:paraId="48BC75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757CE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EFE28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4E3C5">
            <w:pPr>
              <w:jc w:val="center"/>
            </w:pPr>
            <w:r>
              <w:rPr>
                <w:rFonts w:ascii="宋体" w:hAnsi="宋体" w:eastAsia="宋体"/>
                <w:sz w:val="16"/>
              </w:rPr>
              <w:t>开展法治思想学习培训场次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90D74">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7845E">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78BD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39F28">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32734">
            <w:pPr>
              <w:jc w:val="center"/>
            </w:pPr>
            <w:r>
              <w:rPr>
                <w:rFonts w:ascii="宋体" w:hAnsi="宋体" w:eastAsia="宋体"/>
                <w:sz w:val="16"/>
              </w:rPr>
              <w:t>15</w:t>
            </w:r>
          </w:p>
        </w:tc>
      </w:tr>
      <w:tr w14:paraId="3FC348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58BE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14BCD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0D8F9">
            <w:pPr>
              <w:jc w:val="center"/>
            </w:pPr>
            <w:r>
              <w:rPr>
                <w:rFonts w:ascii="宋体" w:hAnsi="宋体" w:eastAsia="宋体"/>
                <w:sz w:val="16"/>
              </w:rPr>
              <w:t>开展双拥活动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DA23A">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630D1">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2C4F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AB919">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B53CD">
            <w:pPr>
              <w:jc w:val="center"/>
            </w:pPr>
            <w:r>
              <w:rPr>
                <w:rFonts w:ascii="宋体" w:hAnsi="宋体" w:eastAsia="宋体"/>
                <w:sz w:val="16"/>
              </w:rPr>
              <w:t>15</w:t>
            </w:r>
          </w:p>
        </w:tc>
      </w:tr>
      <w:tr w14:paraId="2A06B9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DD89F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3B84B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C33BD">
            <w:pPr>
              <w:jc w:val="center"/>
            </w:pPr>
            <w:r>
              <w:rPr>
                <w:rFonts w:ascii="宋体" w:hAnsi="宋体" w:eastAsia="宋体"/>
                <w:sz w:val="16"/>
              </w:rPr>
              <w:t>发放各级各类文件数量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9DBF0">
            <w:pPr>
              <w:jc w:val="center"/>
            </w:pPr>
            <w:r>
              <w:rPr>
                <w:rFonts w:ascii="宋体" w:hAnsi="宋体" w:eastAsia="宋体"/>
                <w:sz w:val="16"/>
              </w:rPr>
              <w:t>&gt;=60份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921D8">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0213A">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9DDAC">
            <w:pPr>
              <w:jc w:val="center"/>
            </w:pPr>
            <w:r>
              <w:rPr>
                <w:rFonts w:ascii="宋体" w:hAnsi="宋体" w:eastAsia="宋体"/>
                <w:sz w:val="16"/>
              </w:rPr>
              <w:t>60份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F3349">
            <w:pPr>
              <w:jc w:val="center"/>
            </w:pPr>
            <w:r>
              <w:rPr>
                <w:rFonts w:ascii="宋体" w:hAnsi="宋体" w:eastAsia="宋体"/>
                <w:sz w:val="16"/>
              </w:rPr>
              <w:t>25</w:t>
            </w:r>
          </w:p>
        </w:tc>
      </w:tr>
      <w:tr w14:paraId="77B1D7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6F703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4AA97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F5D87">
            <w:pPr>
              <w:jc w:val="center"/>
            </w:pPr>
            <w:r>
              <w:rPr>
                <w:rFonts w:ascii="宋体" w:hAnsi="宋体" w:eastAsia="宋体"/>
                <w:sz w:val="16"/>
              </w:rPr>
              <w:t>组织筹备各类会议次数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33C2F">
            <w:pPr>
              <w:jc w:val="center"/>
            </w:pPr>
            <w:r>
              <w:rPr>
                <w:rFonts w:ascii="宋体" w:hAnsi="宋体" w:eastAsia="宋体"/>
                <w:sz w:val="16"/>
              </w:rPr>
              <w:t>&gt;=25次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2F0EB">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AD1D1">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5336E">
            <w:pPr>
              <w:jc w:val="center"/>
            </w:pPr>
            <w:r>
              <w:rPr>
                <w:rFonts w:ascii="宋体" w:hAnsi="宋体" w:eastAsia="宋体"/>
                <w:sz w:val="16"/>
              </w:rPr>
              <w:t>25次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2139A">
            <w:pPr>
              <w:jc w:val="center"/>
            </w:pPr>
            <w:r>
              <w:rPr>
                <w:rFonts w:ascii="宋体" w:hAnsi="宋体" w:eastAsia="宋体"/>
                <w:sz w:val="16"/>
              </w:rPr>
              <w:t>25</w:t>
            </w:r>
          </w:p>
        </w:tc>
      </w:tr>
    </w:tbl>
    <w:p w14:paraId="6510FB6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1016"/>
        <w:gridCol w:w="983"/>
        <w:gridCol w:w="983"/>
        <w:gridCol w:w="983"/>
        <w:gridCol w:w="983"/>
      </w:tblGrid>
      <w:tr w14:paraId="3F5D0C3D">
        <w:tblPrEx>
          <w:tblCellMar>
            <w:top w:w="0" w:type="dxa"/>
            <w:left w:w="108" w:type="dxa"/>
            <w:bottom w:w="0" w:type="dxa"/>
            <w:right w:w="108" w:type="dxa"/>
          </w:tblCellMar>
        </w:tblPrEx>
        <w:tc>
          <w:tcPr>
            <w:tcW w:w="8847" w:type="dxa"/>
            <w:gridSpan w:val="9"/>
            <w:vAlign w:val="center"/>
          </w:tcPr>
          <w:p w14:paraId="3800EB18">
            <w:pPr>
              <w:jc w:val="center"/>
            </w:pPr>
            <w:r>
              <w:rPr>
                <w:rFonts w:ascii="宋体" w:hAnsi="宋体" w:eastAsia="宋体"/>
                <w:sz w:val="24"/>
              </w:rPr>
              <w:t>项目支出绩效自评表</w:t>
            </w:r>
          </w:p>
        </w:tc>
      </w:tr>
      <w:tr w14:paraId="6F57FBD2">
        <w:tblPrEx>
          <w:tblCellMar>
            <w:top w:w="0" w:type="dxa"/>
            <w:left w:w="108" w:type="dxa"/>
            <w:bottom w:w="0" w:type="dxa"/>
            <w:right w:w="108" w:type="dxa"/>
          </w:tblCellMar>
        </w:tblPrEx>
        <w:tc>
          <w:tcPr>
            <w:tcW w:w="8847" w:type="dxa"/>
            <w:gridSpan w:val="9"/>
            <w:vAlign w:val="center"/>
          </w:tcPr>
          <w:p w14:paraId="58859DD0">
            <w:pPr>
              <w:jc w:val="center"/>
            </w:pPr>
            <w:r>
              <w:rPr>
                <w:rFonts w:ascii="宋体" w:hAnsi="宋体" w:eastAsia="宋体"/>
                <w:sz w:val="24"/>
              </w:rPr>
              <w:t>(2024年度)</w:t>
            </w:r>
          </w:p>
        </w:tc>
      </w:tr>
      <w:tr w14:paraId="499FA76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9667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1589BDB">
            <w:pPr>
              <w:jc w:val="center"/>
            </w:pPr>
            <w:r>
              <w:rPr>
                <w:rFonts w:ascii="宋体" w:hAnsi="宋体" w:eastAsia="宋体"/>
                <w:sz w:val="16"/>
              </w:rPr>
              <w:t>2024年行政服务中心水电费项目</w:t>
            </w:r>
          </w:p>
        </w:tc>
      </w:tr>
      <w:tr w14:paraId="6505DE6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E57B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4F4F4FE">
            <w:pPr>
              <w:jc w:val="center"/>
            </w:pPr>
            <w:r>
              <w:rPr>
                <w:rFonts w:ascii="宋体" w:hAnsi="宋体" w:eastAsia="宋体"/>
                <w:sz w:val="16"/>
              </w:rPr>
              <w:t>洛浦县人民政府办公室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BF0E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B6EF80E">
            <w:pPr>
              <w:jc w:val="center"/>
            </w:pPr>
            <w:r>
              <w:rPr>
                <w:rFonts w:ascii="宋体" w:hAnsi="宋体" w:eastAsia="宋体"/>
                <w:sz w:val="16"/>
              </w:rPr>
              <w:t>洛浦县人民政府办公室</w:t>
            </w:r>
          </w:p>
        </w:tc>
      </w:tr>
      <w:tr w14:paraId="3CE92FE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19A1F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F3A4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9B30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7E19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99E6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EC49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2420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71EC5">
            <w:pPr>
              <w:jc w:val="center"/>
            </w:pPr>
            <w:r>
              <w:rPr>
                <w:rFonts w:ascii="宋体" w:hAnsi="宋体" w:eastAsia="宋体"/>
                <w:sz w:val="16"/>
              </w:rPr>
              <w:t>得分</w:t>
            </w:r>
          </w:p>
        </w:tc>
      </w:tr>
      <w:tr w14:paraId="6C2098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DE13B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A0EB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1A4BF">
            <w:pPr>
              <w:jc w:val="center"/>
            </w:pPr>
            <w:r>
              <w:rPr>
                <w:rFonts w:ascii="宋体" w:hAnsi="宋体" w:eastAsia="宋体"/>
                <w:sz w:val="16"/>
              </w:rPr>
              <w:t>10.90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0EA2C">
            <w:pPr>
              <w:jc w:val="center"/>
            </w:pPr>
            <w:r>
              <w:rPr>
                <w:rFonts w:ascii="宋体" w:hAnsi="宋体" w:eastAsia="宋体"/>
                <w:sz w:val="16"/>
              </w:rPr>
              <w:t>10.90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258A1">
            <w:pPr>
              <w:jc w:val="center"/>
            </w:pPr>
            <w:r>
              <w:rPr>
                <w:rFonts w:ascii="宋体" w:hAnsi="宋体" w:eastAsia="宋体"/>
                <w:sz w:val="16"/>
              </w:rPr>
              <w:t>10.90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44B0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E275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C46BC">
            <w:pPr>
              <w:jc w:val="center"/>
            </w:pPr>
            <w:r>
              <w:rPr>
                <w:rFonts w:ascii="宋体" w:hAnsi="宋体" w:eastAsia="宋体"/>
                <w:sz w:val="16"/>
              </w:rPr>
              <w:t>10.00分</w:t>
            </w:r>
          </w:p>
        </w:tc>
      </w:tr>
      <w:tr w14:paraId="3A6D7E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445F1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8DE8B">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34F3A">
            <w:pPr>
              <w:jc w:val="center"/>
            </w:pPr>
            <w:r>
              <w:rPr>
                <w:rFonts w:ascii="宋体" w:hAnsi="宋体" w:eastAsia="宋体"/>
                <w:sz w:val="16"/>
              </w:rPr>
              <w:t>10.90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691A1">
            <w:pPr>
              <w:jc w:val="center"/>
            </w:pPr>
            <w:r>
              <w:rPr>
                <w:rFonts w:ascii="宋体" w:hAnsi="宋体" w:eastAsia="宋体"/>
                <w:sz w:val="16"/>
              </w:rPr>
              <w:t>10.90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5ABB6">
            <w:pPr>
              <w:jc w:val="center"/>
            </w:pPr>
            <w:r>
              <w:rPr>
                <w:rFonts w:ascii="宋体" w:hAnsi="宋体" w:eastAsia="宋体"/>
                <w:sz w:val="16"/>
              </w:rPr>
              <w:t>10.90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779A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BE54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E3BE6">
            <w:pPr>
              <w:jc w:val="center"/>
            </w:pPr>
            <w:r>
              <w:rPr>
                <w:rFonts w:ascii="宋体" w:hAnsi="宋体" w:eastAsia="宋体"/>
                <w:sz w:val="16"/>
              </w:rPr>
              <w:t>—</w:t>
            </w:r>
          </w:p>
        </w:tc>
      </w:tr>
      <w:tr w14:paraId="544DDE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D5E1D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AC0B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299B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49E1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ACDB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94E0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BD5D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9B09A">
            <w:pPr>
              <w:jc w:val="center"/>
            </w:pPr>
            <w:r>
              <w:rPr>
                <w:rFonts w:ascii="宋体" w:hAnsi="宋体" w:eastAsia="宋体"/>
                <w:sz w:val="16"/>
              </w:rPr>
              <w:t>—</w:t>
            </w:r>
          </w:p>
        </w:tc>
      </w:tr>
      <w:tr w14:paraId="17A24C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B5DFB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97CD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1D3F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FBF0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417E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3644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C782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80F5E">
            <w:pPr>
              <w:jc w:val="center"/>
            </w:pPr>
            <w:r>
              <w:rPr>
                <w:rFonts w:ascii="宋体" w:hAnsi="宋体" w:eastAsia="宋体"/>
                <w:sz w:val="16"/>
              </w:rPr>
              <w:t>—</w:t>
            </w:r>
          </w:p>
        </w:tc>
      </w:tr>
      <w:tr w14:paraId="0A85BBA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53714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DDE60E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8E7D1D">
            <w:pPr>
              <w:jc w:val="center"/>
            </w:pPr>
            <w:r>
              <w:rPr>
                <w:rFonts w:ascii="宋体" w:hAnsi="宋体" w:eastAsia="宋体"/>
                <w:sz w:val="16"/>
              </w:rPr>
              <w:t>实际完成情况</w:t>
            </w:r>
          </w:p>
        </w:tc>
      </w:tr>
      <w:tr w14:paraId="68B169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8FD24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FF49C46">
            <w:pPr>
              <w:jc w:val="both"/>
            </w:pPr>
            <w:r>
              <w:rPr>
                <w:rFonts w:ascii="宋体" w:hAnsi="宋体" w:eastAsia="宋体"/>
                <w:sz w:val="16"/>
              </w:rPr>
              <w:t>保障行政服务中心正常运转，总成本为9万元。通过实施本项目，有效提升了公共服务能力，持续保障了单位正常运转，有效提高了工作人员的工作积极性。</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390D97">
            <w:pPr>
              <w:jc w:val="both"/>
            </w:pPr>
            <w:r>
              <w:rPr>
                <w:rFonts w:ascii="宋体" w:hAnsi="宋体" w:eastAsia="宋体"/>
                <w:sz w:val="16"/>
              </w:rPr>
              <w:t>保障行政服务中心正常运转个数1个</w:t>
            </w:r>
          </w:p>
        </w:tc>
      </w:tr>
      <w:tr w14:paraId="0E3C6BC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34533D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39D9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1FDF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5087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A42A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7BA6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3BCA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9C7A7">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B75DB">
            <w:pPr>
              <w:jc w:val="center"/>
            </w:pPr>
            <w:r>
              <w:rPr>
                <w:rFonts w:ascii="宋体" w:hAnsi="宋体" w:eastAsia="宋体"/>
                <w:sz w:val="16"/>
              </w:rPr>
              <w:t>偏差原因分析及改进措施</w:t>
            </w:r>
          </w:p>
        </w:tc>
      </w:tr>
      <w:tr w14:paraId="0F7CA8E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DEF19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C4D13E">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6C94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A7E58">
            <w:pPr>
              <w:jc w:val="center"/>
            </w:pPr>
            <w:r>
              <w:rPr>
                <w:rFonts w:ascii="宋体" w:hAnsi="宋体" w:eastAsia="宋体"/>
                <w:sz w:val="16"/>
              </w:rPr>
              <w:t>保障行政服务中心正常运转个数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C4F83">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B0791">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2CF8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812F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1B61C">
            <w:pPr>
              <w:jc w:val="center"/>
            </w:pPr>
          </w:p>
        </w:tc>
      </w:tr>
      <w:tr w14:paraId="080C79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1880C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B7B5A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AFD83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F4361">
            <w:pPr>
              <w:jc w:val="center"/>
            </w:pPr>
            <w:r>
              <w:rPr>
                <w:rFonts w:ascii="宋体" w:hAnsi="宋体" w:eastAsia="宋体"/>
                <w:sz w:val="16"/>
              </w:rPr>
              <w:t>资金使用覆盖率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093B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69FE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F720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8F50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51200">
            <w:pPr>
              <w:jc w:val="center"/>
            </w:pPr>
          </w:p>
        </w:tc>
      </w:tr>
      <w:tr w14:paraId="75C225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3EDE2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9095A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8EE6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7D611">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7A87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0ACF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2C85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F2D9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F3CE1">
            <w:pPr>
              <w:jc w:val="center"/>
            </w:pPr>
          </w:p>
        </w:tc>
      </w:tr>
      <w:tr w14:paraId="12E243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8CEC6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353E2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0FEA9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7A498">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40B3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E603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92D1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ACC7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4502E">
            <w:pPr>
              <w:jc w:val="center"/>
            </w:pPr>
          </w:p>
        </w:tc>
      </w:tr>
      <w:tr w14:paraId="1B477B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EE973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509E0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CAAC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BD465">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F3CA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6196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A796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4F08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06128">
            <w:pPr>
              <w:jc w:val="center"/>
            </w:pPr>
          </w:p>
        </w:tc>
      </w:tr>
      <w:tr w14:paraId="561F4E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B2B93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F4E400">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F3929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52F0E">
            <w:pPr>
              <w:jc w:val="center"/>
            </w:pPr>
            <w:r>
              <w:rPr>
                <w:rFonts w:ascii="宋体" w:hAnsi="宋体" w:eastAsia="宋体"/>
                <w:sz w:val="16"/>
              </w:rPr>
              <w:t>行政服务中心电费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51999">
            <w:pPr>
              <w:jc w:val="center"/>
            </w:pPr>
            <w:r>
              <w:rPr>
                <w:rFonts w:ascii="宋体" w:hAnsi="宋体" w:eastAsia="宋体"/>
                <w:sz w:val="16"/>
              </w:rPr>
              <w:t>&lt;=7.806115万元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53934">
            <w:pPr>
              <w:jc w:val="center"/>
            </w:pPr>
            <w:r>
              <w:rPr>
                <w:rFonts w:ascii="宋体" w:hAnsi="宋体" w:eastAsia="宋体"/>
                <w:sz w:val="16"/>
              </w:rPr>
              <w:t>=7.8万元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AF83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BCD5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F57C7">
            <w:pPr>
              <w:jc w:val="center"/>
            </w:pPr>
          </w:p>
        </w:tc>
      </w:tr>
      <w:tr w14:paraId="7C56AF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3E93A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38C44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4375B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994B7">
            <w:pPr>
              <w:jc w:val="center"/>
            </w:pPr>
            <w:r>
              <w:rPr>
                <w:rFonts w:ascii="宋体" w:hAnsi="宋体" w:eastAsia="宋体"/>
                <w:sz w:val="16"/>
              </w:rPr>
              <w:t>行政服务中心水费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A7AE0">
            <w:pPr>
              <w:jc w:val="center"/>
            </w:pPr>
            <w:r>
              <w:rPr>
                <w:rFonts w:ascii="宋体" w:hAnsi="宋体" w:eastAsia="宋体"/>
                <w:sz w:val="16"/>
              </w:rPr>
              <w:t>&lt;=3.094784万元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24598">
            <w:pPr>
              <w:jc w:val="center"/>
            </w:pPr>
            <w:r>
              <w:rPr>
                <w:rFonts w:ascii="宋体" w:hAnsi="宋体" w:eastAsia="宋体"/>
                <w:sz w:val="16"/>
              </w:rPr>
              <w:t>=3.09万元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58AA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69E0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63B8E">
            <w:pPr>
              <w:jc w:val="center"/>
            </w:pPr>
          </w:p>
        </w:tc>
      </w:tr>
      <w:tr w14:paraId="586484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83AB0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3440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F278F">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72DBF">
            <w:pPr>
              <w:jc w:val="center"/>
            </w:pPr>
            <w:r>
              <w:rPr>
                <w:rFonts w:ascii="宋体" w:hAnsi="宋体" w:eastAsia="宋体"/>
                <w:sz w:val="16"/>
              </w:rPr>
              <w:t>提升公共服务能力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E8F77">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76EBA">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FCE4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58E6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571FA">
            <w:pPr>
              <w:jc w:val="center"/>
            </w:pPr>
          </w:p>
        </w:tc>
      </w:tr>
      <w:tr w14:paraId="4E4ACF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81435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FF1E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8792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66E40">
            <w:pPr>
              <w:jc w:val="center"/>
            </w:pPr>
            <w:r>
              <w:rPr>
                <w:rFonts w:ascii="宋体" w:hAnsi="宋体" w:eastAsia="宋体"/>
                <w:sz w:val="16"/>
              </w:rPr>
              <w:t>受益群众和工作人员满意度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D224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422C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E365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5A76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50C12">
            <w:pPr>
              <w:jc w:val="center"/>
            </w:pPr>
          </w:p>
        </w:tc>
      </w:tr>
      <w:tr w14:paraId="26380006">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04049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7D9286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ECAF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BADA1">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8E5A750"/>
        </w:tc>
      </w:tr>
    </w:tbl>
    <w:p w14:paraId="4A96738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D7B6E81">
        <w:tblPrEx>
          <w:tblCellMar>
            <w:top w:w="0" w:type="dxa"/>
            <w:left w:w="108" w:type="dxa"/>
            <w:bottom w:w="0" w:type="dxa"/>
            <w:right w:w="108" w:type="dxa"/>
          </w:tblCellMar>
        </w:tblPrEx>
        <w:tc>
          <w:tcPr>
            <w:tcW w:w="8847" w:type="dxa"/>
            <w:gridSpan w:val="9"/>
            <w:vAlign w:val="center"/>
          </w:tcPr>
          <w:p w14:paraId="682F4D53">
            <w:pPr>
              <w:jc w:val="center"/>
            </w:pPr>
            <w:r>
              <w:rPr>
                <w:rFonts w:ascii="宋体" w:hAnsi="宋体" w:eastAsia="宋体"/>
                <w:sz w:val="24"/>
              </w:rPr>
              <w:t>项目支出绩效自评表</w:t>
            </w:r>
          </w:p>
        </w:tc>
      </w:tr>
      <w:tr w14:paraId="576E71AF">
        <w:tblPrEx>
          <w:tblCellMar>
            <w:top w:w="0" w:type="dxa"/>
            <w:left w:w="108" w:type="dxa"/>
            <w:bottom w:w="0" w:type="dxa"/>
            <w:right w:w="108" w:type="dxa"/>
          </w:tblCellMar>
        </w:tblPrEx>
        <w:tc>
          <w:tcPr>
            <w:tcW w:w="8847" w:type="dxa"/>
            <w:gridSpan w:val="9"/>
            <w:vAlign w:val="center"/>
          </w:tcPr>
          <w:p w14:paraId="4C970074">
            <w:pPr>
              <w:jc w:val="center"/>
            </w:pPr>
            <w:r>
              <w:rPr>
                <w:rFonts w:ascii="宋体" w:hAnsi="宋体" w:eastAsia="宋体"/>
                <w:sz w:val="24"/>
              </w:rPr>
              <w:t>(2024年度)</w:t>
            </w:r>
          </w:p>
        </w:tc>
      </w:tr>
      <w:tr w14:paraId="2EB6AC0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A377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DCAD3B7">
            <w:pPr>
              <w:jc w:val="center"/>
            </w:pPr>
            <w:r>
              <w:rPr>
                <w:rFonts w:ascii="宋体" w:hAnsi="宋体" w:eastAsia="宋体"/>
                <w:sz w:val="16"/>
              </w:rPr>
              <w:t>大厅智能化设备资金项目</w:t>
            </w:r>
          </w:p>
        </w:tc>
      </w:tr>
      <w:tr w14:paraId="6F12252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FFD2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519CB28">
            <w:pPr>
              <w:jc w:val="center"/>
            </w:pPr>
            <w:r>
              <w:rPr>
                <w:rFonts w:ascii="宋体" w:hAnsi="宋体" w:eastAsia="宋体"/>
                <w:sz w:val="16"/>
              </w:rPr>
              <w:t>洛浦县人民政府办公室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740E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7559FD8">
            <w:pPr>
              <w:jc w:val="center"/>
            </w:pPr>
            <w:r>
              <w:rPr>
                <w:rFonts w:ascii="宋体" w:hAnsi="宋体" w:eastAsia="宋体"/>
                <w:sz w:val="16"/>
              </w:rPr>
              <w:t>洛浦县人民政府办公室</w:t>
            </w:r>
          </w:p>
        </w:tc>
      </w:tr>
      <w:tr w14:paraId="5F605B4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93AF3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938C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81AD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DD19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FACA2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BF08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2DCD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CA1CF">
            <w:pPr>
              <w:jc w:val="center"/>
            </w:pPr>
            <w:r>
              <w:rPr>
                <w:rFonts w:ascii="宋体" w:hAnsi="宋体" w:eastAsia="宋体"/>
                <w:sz w:val="16"/>
              </w:rPr>
              <w:t>得分</w:t>
            </w:r>
          </w:p>
        </w:tc>
      </w:tr>
      <w:tr w14:paraId="1E2AF7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C8AB3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C912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03231">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BA118">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03F0A">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6777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0C5FD">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B43E3">
            <w:pPr>
              <w:jc w:val="center"/>
            </w:pPr>
            <w:r>
              <w:rPr>
                <w:rFonts w:ascii="宋体" w:hAnsi="宋体" w:eastAsia="宋体"/>
                <w:sz w:val="16"/>
              </w:rPr>
              <w:t>10.00分</w:t>
            </w:r>
          </w:p>
        </w:tc>
      </w:tr>
      <w:tr w14:paraId="7680F5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6FD94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1CF6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95E81">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1A33A">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E18C6">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B173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6466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89B41">
            <w:pPr>
              <w:jc w:val="center"/>
            </w:pPr>
            <w:r>
              <w:rPr>
                <w:rFonts w:ascii="宋体" w:hAnsi="宋体" w:eastAsia="宋体"/>
                <w:sz w:val="16"/>
              </w:rPr>
              <w:t>—</w:t>
            </w:r>
          </w:p>
        </w:tc>
      </w:tr>
      <w:tr w14:paraId="64AAB7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30BEA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1C82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D5D3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ADAD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5678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20D9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3B48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28451">
            <w:pPr>
              <w:jc w:val="center"/>
            </w:pPr>
            <w:r>
              <w:rPr>
                <w:rFonts w:ascii="宋体" w:hAnsi="宋体" w:eastAsia="宋体"/>
                <w:sz w:val="16"/>
              </w:rPr>
              <w:t>—</w:t>
            </w:r>
          </w:p>
        </w:tc>
      </w:tr>
      <w:tr w14:paraId="4375C8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513F0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1597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A03F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F5CD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81EC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7CE9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3114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86860">
            <w:pPr>
              <w:jc w:val="center"/>
            </w:pPr>
            <w:r>
              <w:rPr>
                <w:rFonts w:ascii="宋体" w:hAnsi="宋体" w:eastAsia="宋体"/>
                <w:sz w:val="16"/>
              </w:rPr>
              <w:t>—</w:t>
            </w:r>
          </w:p>
        </w:tc>
      </w:tr>
      <w:tr w14:paraId="2791317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D25A5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BDB2E4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2725C2">
            <w:pPr>
              <w:jc w:val="center"/>
            </w:pPr>
            <w:r>
              <w:rPr>
                <w:rFonts w:ascii="宋体" w:hAnsi="宋体" w:eastAsia="宋体"/>
                <w:sz w:val="16"/>
              </w:rPr>
              <w:t>实际完成情况</w:t>
            </w:r>
          </w:p>
        </w:tc>
      </w:tr>
      <w:tr w14:paraId="5F5D17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0766C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16B99A">
            <w:pPr>
              <w:jc w:val="both"/>
            </w:pPr>
            <w:r>
              <w:rPr>
                <w:rFonts w:ascii="宋体" w:hAnsi="宋体" w:eastAsia="宋体"/>
                <w:sz w:val="16"/>
              </w:rPr>
              <w:t>购置智能化设备，总成本10万元。通过项目实施，有效提升了公共服务能力，持续保障了单位正常运转，有效提高了工作人员的工作积极性。</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A1CDB3">
            <w:pPr>
              <w:jc w:val="both"/>
            </w:pPr>
            <w:r>
              <w:rPr>
                <w:rFonts w:ascii="宋体" w:hAnsi="宋体" w:eastAsia="宋体"/>
                <w:sz w:val="16"/>
              </w:rPr>
              <w:t>保障行政服务中心正常运转1个</w:t>
            </w:r>
          </w:p>
        </w:tc>
      </w:tr>
      <w:tr w14:paraId="3F3A0D4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C98C87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226E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D5EA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B20F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7B96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9D6B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72E0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EEC3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DE0BB">
            <w:pPr>
              <w:jc w:val="center"/>
            </w:pPr>
            <w:r>
              <w:rPr>
                <w:rFonts w:ascii="宋体" w:hAnsi="宋体" w:eastAsia="宋体"/>
                <w:sz w:val="16"/>
              </w:rPr>
              <w:t>偏差原因分析及改进措施</w:t>
            </w:r>
          </w:p>
        </w:tc>
      </w:tr>
      <w:tr w14:paraId="572D8C5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B9076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5B6C97">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E4CB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AD70B">
            <w:pPr>
              <w:jc w:val="center"/>
            </w:pPr>
            <w:r>
              <w:rPr>
                <w:rFonts w:ascii="宋体" w:hAnsi="宋体" w:eastAsia="宋体"/>
                <w:sz w:val="16"/>
              </w:rPr>
              <w:t>保障行政服务中心正常运转个数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539BA">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AB082">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3506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3C9D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C8965">
            <w:pPr>
              <w:jc w:val="center"/>
            </w:pPr>
          </w:p>
        </w:tc>
      </w:tr>
      <w:tr w14:paraId="23EE8A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3AC98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E3DA6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AB6B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23409">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60F9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5B70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D7A6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6512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12C45">
            <w:pPr>
              <w:jc w:val="center"/>
            </w:pPr>
          </w:p>
        </w:tc>
      </w:tr>
      <w:tr w14:paraId="3665A3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6A917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019B8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AA7ED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8F45D">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3722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B647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D8B0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51FD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4CFAE">
            <w:pPr>
              <w:jc w:val="center"/>
            </w:pPr>
          </w:p>
        </w:tc>
      </w:tr>
      <w:tr w14:paraId="2D6E49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07D88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BC8D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B1056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151D1">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3196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CA24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42CE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9EEF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69E23">
            <w:pPr>
              <w:jc w:val="center"/>
            </w:pPr>
          </w:p>
        </w:tc>
      </w:tr>
      <w:tr w14:paraId="752539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3E943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E9E94">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0A83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A9F0F">
            <w:pPr>
              <w:jc w:val="center"/>
            </w:pPr>
            <w:r>
              <w:rPr>
                <w:rFonts w:ascii="宋体" w:hAnsi="宋体" w:eastAsia="宋体"/>
                <w:sz w:val="16"/>
              </w:rPr>
              <w:t>智能化设备资金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C74F3">
            <w:pPr>
              <w:jc w:val="center"/>
            </w:pPr>
            <w:r>
              <w:rPr>
                <w:rFonts w:ascii="宋体" w:hAnsi="宋体" w:eastAsia="宋体"/>
                <w:sz w:val="16"/>
              </w:rPr>
              <w:t>&lt;=10万元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BD6EB">
            <w:pPr>
              <w:jc w:val="center"/>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377F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3754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9C3CF">
            <w:pPr>
              <w:jc w:val="center"/>
            </w:pPr>
          </w:p>
        </w:tc>
      </w:tr>
      <w:tr w14:paraId="5BBA0D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24F2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AF21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79DDF">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B78C6">
            <w:pPr>
              <w:jc w:val="center"/>
            </w:pPr>
            <w:r>
              <w:rPr>
                <w:rFonts w:ascii="宋体" w:hAnsi="宋体" w:eastAsia="宋体"/>
                <w:sz w:val="16"/>
              </w:rPr>
              <w:t>提升公共服务能力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02646">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8FA1D">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F611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B10F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2A4E4">
            <w:pPr>
              <w:jc w:val="center"/>
            </w:pPr>
          </w:p>
        </w:tc>
      </w:tr>
      <w:tr w14:paraId="26A20E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4C138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6967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1407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15995">
            <w:pPr>
              <w:jc w:val="center"/>
            </w:pPr>
            <w:r>
              <w:rPr>
                <w:rFonts w:ascii="宋体" w:hAnsi="宋体" w:eastAsia="宋体"/>
                <w:sz w:val="16"/>
              </w:rPr>
              <w:t>受益群众和工作人员满意度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2CA6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51C4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EAEB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FC50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46F1E">
            <w:pPr>
              <w:jc w:val="center"/>
            </w:pPr>
          </w:p>
        </w:tc>
      </w:tr>
      <w:tr w14:paraId="6F802CC5">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78946B">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B1719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FE4D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9F0D6">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66F8004"/>
        </w:tc>
      </w:tr>
    </w:tbl>
    <w:p w14:paraId="6EC8B57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6FA749C">
        <w:tblPrEx>
          <w:tblCellMar>
            <w:top w:w="0" w:type="dxa"/>
            <w:left w:w="108" w:type="dxa"/>
            <w:bottom w:w="0" w:type="dxa"/>
            <w:right w:w="108" w:type="dxa"/>
          </w:tblCellMar>
        </w:tblPrEx>
        <w:tc>
          <w:tcPr>
            <w:tcW w:w="8847" w:type="dxa"/>
            <w:gridSpan w:val="9"/>
            <w:vAlign w:val="center"/>
          </w:tcPr>
          <w:p w14:paraId="433FEABD">
            <w:pPr>
              <w:jc w:val="center"/>
            </w:pPr>
            <w:r>
              <w:rPr>
                <w:rFonts w:ascii="宋体" w:hAnsi="宋体" w:eastAsia="宋体"/>
                <w:sz w:val="24"/>
              </w:rPr>
              <w:t>项目支出绩效自评表</w:t>
            </w:r>
          </w:p>
        </w:tc>
      </w:tr>
      <w:tr w14:paraId="48BC8EDA">
        <w:tblPrEx>
          <w:tblCellMar>
            <w:top w:w="0" w:type="dxa"/>
            <w:left w:w="108" w:type="dxa"/>
            <w:bottom w:w="0" w:type="dxa"/>
            <w:right w:w="108" w:type="dxa"/>
          </w:tblCellMar>
        </w:tblPrEx>
        <w:tc>
          <w:tcPr>
            <w:tcW w:w="8847" w:type="dxa"/>
            <w:gridSpan w:val="9"/>
            <w:vAlign w:val="center"/>
          </w:tcPr>
          <w:p w14:paraId="623D7E47">
            <w:pPr>
              <w:jc w:val="center"/>
            </w:pPr>
            <w:r>
              <w:rPr>
                <w:rFonts w:ascii="宋体" w:hAnsi="宋体" w:eastAsia="宋体"/>
                <w:sz w:val="24"/>
              </w:rPr>
              <w:t>(2024年度)</w:t>
            </w:r>
          </w:p>
        </w:tc>
      </w:tr>
      <w:tr w14:paraId="52EF7F7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D140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50134D9">
            <w:pPr>
              <w:jc w:val="center"/>
            </w:pPr>
            <w:r>
              <w:rPr>
                <w:rFonts w:ascii="宋体" w:hAnsi="宋体" w:eastAsia="宋体"/>
                <w:sz w:val="16"/>
              </w:rPr>
              <w:t>聘请法律顾问服务费用</w:t>
            </w:r>
          </w:p>
        </w:tc>
      </w:tr>
      <w:tr w14:paraId="71479E1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74D8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B81C358">
            <w:pPr>
              <w:jc w:val="center"/>
            </w:pPr>
            <w:r>
              <w:rPr>
                <w:rFonts w:ascii="宋体" w:hAnsi="宋体" w:eastAsia="宋体"/>
                <w:sz w:val="16"/>
              </w:rPr>
              <w:t>洛浦县人民政府办公室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1841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46CCBEA">
            <w:pPr>
              <w:jc w:val="center"/>
            </w:pPr>
            <w:r>
              <w:rPr>
                <w:rFonts w:ascii="宋体" w:hAnsi="宋体" w:eastAsia="宋体"/>
                <w:sz w:val="16"/>
              </w:rPr>
              <w:t>洛浦县人民政府办公室</w:t>
            </w:r>
          </w:p>
        </w:tc>
      </w:tr>
      <w:tr w14:paraId="1791FFD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30CB4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E6F7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F641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33C7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7035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5E9C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51A9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460E8">
            <w:pPr>
              <w:jc w:val="center"/>
            </w:pPr>
            <w:r>
              <w:rPr>
                <w:rFonts w:ascii="宋体" w:hAnsi="宋体" w:eastAsia="宋体"/>
                <w:sz w:val="16"/>
              </w:rPr>
              <w:t>得分</w:t>
            </w:r>
          </w:p>
        </w:tc>
      </w:tr>
      <w:tr w14:paraId="5A180B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CE93B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FE9B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C3E71">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879B0">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0CF74">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C1EA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B3365">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9AFA0">
            <w:pPr>
              <w:jc w:val="center"/>
            </w:pPr>
            <w:r>
              <w:rPr>
                <w:rFonts w:ascii="宋体" w:hAnsi="宋体" w:eastAsia="宋体"/>
                <w:sz w:val="16"/>
              </w:rPr>
              <w:t>10.00分</w:t>
            </w:r>
          </w:p>
        </w:tc>
      </w:tr>
      <w:tr w14:paraId="733858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6E09B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7975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B7F9E">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FC6C2">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136C3">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080B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5C84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B08AA">
            <w:pPr>
              <w:jc w:val="center"/>
            </w:pPr>
            <w:r>
              <w:rPr>
                <w:rFonts w:ascii="宋体" w:hAnsi="宋体" w:eastAsia="宋体"/>
                <w:sz w:val="16"/>
              </w:rPr>
              <w:t>—</w:t>
            </w:r>
          </w:p>
        </w:tc>
      </w:tr>
      <w:tr w14:paraId="7BACFE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75FFD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F26B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26B9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8ADE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A74E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D324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8D82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79061">
            <w:pPr>
              <w:jc w:val="center"/>
            </w:pPr>
            <w:r>
              <w:rPr>
                <w:rFonts w:ascii="宋体" w:hAnsi="宋体" w:eastAsia="宋体"/>
                <w:sz w:val="16"/>
              </w:rPr>
              <w:t>—</w:t>
            </w:r>
          </w:p>
        </w:tc>
      </w:tr>
      <w:tr w14:paraId="65F9CA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D8E7B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9C5E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5A65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1FF6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4B18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58DF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6F7D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63B64">
            <w:pPr>
              <w:jc w:val="center"/>
            </w:pPr>
            <w:r>
              <w:rPr>
                <w:rFonts w:ascii="宋体" w:hAnsi="宋体" w:eastAsia="宋体"/>
                <w:sz w:val="16"/>
              </w:rPr>
              <w:t>—</w:t>
            </w:r>
          </w:p>
        </w:tc>
      </w:tr>
      <w:tr w14:paraId="08F6B20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D186E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CE4540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2CAC93">
            <w:pPr>
              <w:jc w:val="center"/>
            </w:pPr>
            <w:r>
              <w:rPr>
                <w:rFonts w:ascii="宋体" w:hAnsi="宋体" w:eastAsia="宋体"/>
                <w:sz w:val="16"/>
              </w:rPr>
              <w:t>实际完成情况</w:t>
            </w:r>
          </w:p>
        </w:tc>
      </w:tr>
      <w:tr w14:paraId="2E109C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B4EA4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C8778C">
            <w:pPr>
              <w:jc w:val="both"/>
            </w:pPr>
            <w:r>
              <w:rPr>
                <w:rFonts w:ascii="宋体" w:hAnsi="宋体" w:eastAsia="宋体"/>
                <w:sz w:val="16"/>
              </w:rPr>
              <w:t>聘请1家第三方法律服务机构，通过实施该项目，保障全县法律咨询服务。</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87240D">
            <w:pPr>
              <w:jc w:val="both"/>
            </w:pPr>
            <w:r>
              <w:rPr>
                <w:rFonts w:hint="eastAsia" w:ascii="宋体" w:hAnsi="宋体"/>
                <w:sz w:val="16"/>
                <w:lang w:eastAsia="zh-CN"/>
              </w:rPr>
              <w:t>截至</w:t>
            </w:r>
            <w:r>
              <w:rPr>
                <w:rFonts w:ascii="宋体" w:hAnsi="宋体" w:eastAsia="宋体"/>
                <w:sz w:val="16"/>
              </w:rPr>
              <w:t>2024年12月31日，我单位已完成聘请第三方法律服务机构数量1家，资金已使用20万元。通过实施该项目，保障全县法律咨询服务。</w:t>
            </w:r>
          </w:p>
        </w:tc>
      </w:tr>
      <w:tr w14:paraId="10B321E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355035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E9BD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1527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7492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AD46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AE0D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F595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D997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7E33B">
            <w:pPr>
              <w:jc w:val="center"/>
            </w:pPr>
            <w:r>
              <w:rPr>
                <w:rFonts w:ascii="宋体" w:hAnsi="宋体" w:eastAsia="宋体"/>
                <w:sz w:val="16"/>
              </w:rPr>
              <w:t>偏差原因分析及改进措施</w:t>
            </w:r>
          </w:p>
        </w:tc>
      </w:tr>
      <w:tr w14:paraId="34CE821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BA105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3180D2">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845B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374AB">
            <w:pPr>
              <w:jc w:val="center"/>
            </w:pPr>
            <w:r>
              <w:rPr>
                <w:rFonts w:ascii="宋体" w:hAnsi="宋体" w:eastAsia="宋体"/>
                <w:sz w:val="16"/>
              </w:rPr>
              <w:t>聘请第三方法律服务机构数量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CC387">
            <w:pPr>
              <w:jc w:val="center"/>
            </w:pPr>
            <w:r>
              <w:rPr>
                <w:rFonts w:ascii="宋体" w:hAnsi="宋体" w:eastAsia="宋体"/>
                <w:sz w:val="16"/>
              </w:rPr>
              <w:t>=1家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9CD5A">
            <w:pPr>
              <w:jc w:val="center"/>
            </w:pPr>
            <w:r>
              <w:rPr>
                <w:rFonts w:ascii="宋体" w:hAnsi="宋体" w:eastAsia="宋体"/>
                <w:sz w:val="16"/>
              </w:rPr>
              <w:t>=1家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BF31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3198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66391">
            <w:pPr>
              <w:jc w:val="center"/>
            </w:pPr>
          </w:p>
        </w:tc>
      </w:tr>
      <w:tr w14:paraId="4EC0AE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B2930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5D138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ED74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D1935">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8542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0286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9682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99FB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E00C6">
            <w:pPr>
              <w:jc w:val="center"/>
            </w:pPr>
          </w:p>
        </w:tc>
      </w:tr>
      <w:tr w14:paraId="7FA187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DD640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74015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2303C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2FF8E">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FBD3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477F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F043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99BA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3DBFE">
            <w:pPr>
              <w:jc w:val="center"/>
            </w:pPr>
          </w:p>
        </w:tc>
      </w:tr>
      <w:tr w14:paraId="78849D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32105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97724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6BCE6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73471">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B5CA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6813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57C8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0D5A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BF0F4">
            <w:pPr>
              <w:jc w:val="center"/>
            </w:pPr>
          </w:p>
        </w:tc>
      </w:tr>
      <w:tr w14:paraId="0775C3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6CC6E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5EC6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5E96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04FE8">
            <w:pPr>
              <w:jc w:val="center"/>
            </w:pPr>
            <w:r>
              <w:rPr>
                <w:rFonts w:ascii="宋体" w:hAnsi="宋体" w:eastAsia="宋体"/>
                <w:sz w:val="16"/>
              </w:rPr>
              <w:t>法律咨询服务费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2274D">
            <w:pPr>
              <w:jc w:val="center"/>
            </w:pPr>
            <w:r>
              <w:rPr>
                <w:rFonts w:ascii="宋体" w:hAnsi="宋体" w:eastAsia="宋体"/>
                <w:sz w:val="16"/>
              </w:rPr>
              <w:t>&lt;=20万元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0FEBA">
            <w:pPr>
              <w:jc w:val="center"/>
            </w:pPr>
            <w:r>
              <w:rPr>
                <w:rFonts w:ascii="宋体" w:hAnsi="宋体" w:eastAsia="宋体"/>
                <w:sz w:val="16"/>
              </w:rPr>
              <w:t>=20万元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BCDC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A546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BC3E2">
            <w:pPr>
              <w:jc w:val="center"/>
            </w:pPr>
          </w:p>
        </w:tc>
      </w:tr>
      <w:tr w14:paraId="275EC9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677DB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23E5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17C4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B7F2A">
            <w:pPr>
              <w:jc w:val="center"/>
            </w:pPr>
            <w:r>
              <w:rPr>
                <w:rFonts w:ascii="宋体" w:hAnsi="宋体" w:eastAsia="宋体"/>
                <w:sz w:val="16"/>
              </w:rPr>
              <w:t>保障全县法律咨询服务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17169">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F4625">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9181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752E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7D07D">
            <w:pPr>
              <w:jc w:val="center"/>
            </w:pPr>
          </w:p>
        </w:tc>
      </w:tr>
      <w:tr w14:paraId="5D6B09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510B5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B4F3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E185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84587">
            <w:pPr>
              <w:jc w:val="center"/>
            </w:pPr>
            <w:r>
              <w:rPr>
                <w:rFonts w:ascii="宋体" w:hAnsi="宋体" w:eastAsia="宋体"/>
                <w:sz w:val="16"/>
              </w:rPr>
              <w:t>受益单位满意度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4B4EB">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69FB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FEF6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BF86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49AFC">
            <w:pPr>
              <w:jc w:val="center"/>
            </w:pPr>
          </w:p>
        </w:tc>
      </w:tr>
      <w:tr w14:paraId="15D9A51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0FF4F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4FE81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08C1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C67D0">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1E62399"/>
        </w:tc>
      </w:tr>
    </w:tbl>
    <w:p w14:paraId="1CD5E7CA">
      <w:r>
        <w:br w:type="page"/>
      </w:r>
    </w:p>
    <w:p w14:paraId="0DE875B6">
      <w:pPr>
        <w:spacing w:line="640" w:lineRule="exact"/>
        <w:ind w:firstLine="640"/>
        <w:jc w:val="both"/>
        <w:outlineLvl w:val="2"/>
      </w:pPr>
      <w:r>
        <w:rPr>
          <w:rFonts w:ascii="黑体" w:hAnsi="黑体" w:eastAsia="黑体"/>
          <w:sz w:val="32"/>
        </w:rPr>
        <w:t>十二、其他需说明的事项</w:t>
      </w:r>
    </w:p>
    <w:p w14:paraId="61CD95D2">
      <w:pPr>
        <w:spacing w:line="580" w:lineRule="exact"/>
        <w:ind w:firstLine="640"/>
        <w:jc w:val="both"/>
      </w:pPr>
      <w:r>
        <w:rPr>
          <w:rFonts w:ascii="仿宋_GB2312" w:hAnsi="仿宋_GB2312" w:eastAsia="仿宋_GB2312"/>
          <w:b w:val="0"/>
          <w:sz w:val="32"/>
        </w:rPr>
        <w:t>本年度本单位政府采购为大中型企业采购，故授予小微企业合同金额为0.00万元。</w:t>
      </w:r>
    </w:p>
    <w:p w14:paraId="2EC79AEA">
      <w:pPr>
        <w:spacing w:line="580" w:lineRule="exact"/>
        <w:ind w:firstLine="640"/>
        <w:jc w:val="both"/>
      </w:pPr>
      <w:r>
        <w:rPr>
          <w:rFonts w:ascii="仿宋_GB2312" w:hAnsi="仿宋_GB2312" w:eastAsia="仿宋_GB2312"/>
          <w:b w:val="0"/>
          <w:sz w:val="32"/>
        </w:rPr>
        <w:t>本年本单位SM项目3个，全年预算数29.44万元，全年执行数29.44万元。</w:t>
      </w:r>
    </w:p>
    <w:p w14:paraId="38927D35">
      <w:r>
        <w:br w:type="page"/>
      </w:r>
    </w:p>
    <w:p w14:paraId="5CC66E06">
      <w:pPr>
        <w:spacing w:line="240" w:lineRule="auto"/>
        <w:jc w:val="center"/>
        <w:outlineLvl w:val="1"/>
      </w:pPr>
      <w:r>
        <w:rPr>
          <w:rFonts w:ascii="黑体" w:hAnsi="黑体" w:eastAsia="黑体"/>
          <w:sz w:val="32"/>
        </w:rPr>
        <w:t>第三部分 专业名词解释</w:t>
      </w:r>
    </w:p>
    <w:p w14:paraId="3A66193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38E847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092260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C6FFC3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A8EF11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A7934B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80DC4F0">
      <w:pPr>
        <w:spacing w:line="240" w:lineRule="auto"/>
        <w:ind w:firstLine="640"/>
        <w:jc w:val="both"/>
      </w:pPr>
      <w:r>
        <w:rPr>
          <w:rFonts w:ascii="仿宋_GB2312" w:hAnsi="仿宋_GB2312" w:eastAsia="仿宋_GB2312"/>
          <w:b/>
          <w:sz w:val="32"/>
        </w:rPr>
        <w:t>七、年初结转和</w:t>
      </w:r>
      <w:bookmarkStart w:id="0" w:name="_GoBack"/>
      <w:r>
        <w:rPr>
          <w:rFonts w:ascii="仿宋_GB2312" w:hAnsi="仿宋_GB2312" w:eastAsia="仿宋_GB2312"/>
          <w:b/>
          <w:sz w:val="32"/>
        </w:rPr>
        <w:t>结余</w:t>
      </w:r>
      <w:bookmarkEnd w:id="0"/>
      <w:r>
        <w:rPr>
          <w:rFonts w:ascii="仿宋_GB2312" w:hAnsi="仿宋_GB2312" w:eastAsia="仿宋_GB2312"/>
          <w:b/>
          <w:sz w:val="32"/>
        </w:rPr>
        <w:t>：</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D7B6F5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6E586E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4D9918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B093FE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B78681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10D3BD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5C7A4C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680AD69">
      <w:r>
        <w:br w:type="page"/>
      </w:r>
    </w:p>
    <w:p w14:paraId="0D2A956C">
      <w:pPr>
        <w:spacing w:line="240" w:lineRule="auto"/>
        <w:jc w:val="center"/>
        <w:outlineLvl w:val="1"/>
      </w:pPr>
      <w:r>
        <w:rPr>
          <w:rFonts w:ascii="黑体" w:hAnsi="黑体" w:eastAsia="黑体"/>
          <w:sz w:val="32"/>
        </w:rPr>
        <w:t>第四部分 部门决算报表（见附表）</w:t>
      </w:r>
    </w:p>
    <w:p w14:paraId="784F61D7">
      <w:pPr>
        <w:spacing w:line="240" w:lineRule="auto"/>
        <w:ind w:firstLine="640"/>
        <w:jc w:val="both"/>
      </w:pPr>
      <w:r>
        <w:rPr>
          <w:rFonts w:ascii="仿宋_GB2312" w:hAnsi="仿宋_GB2312" w:eastAsia="仿宋_GB2312"/>
          <w:b w:val="0"/>
          <w:sz w:val="32"/>
        </w:rPr>
        <w:t>一、《收入支出决算总表》</w:t>
      </w:r>
    </w:p>
    <w:p w14:paraId="0C5A4357">
      <w:pPr>
        <w:spacing w:line="240" w:lineRule="auto"/>
        <w:ind w:firstLine="640"/>
        <w:jc w:val="both"/>
      </w:pPr>
      <w:r>
        <w:rPr>
          <w:rFonts w:ascii="仿宋_GB2312" w:hAnsi="仿宋_GB2312" w:eastAsia="仿宋_GB2312"/>
          <w:b w:val="0"/>
          <w:sz w:val="32"/>
        </w:rPr>
        <w:t>二、《收入决算表》</w:t>
      </w:r>
    </w:p>
    <w:p w14:paraId="1494A53B">
      <w:pPr>
        <w:spacing w:line="240" w:lineRule="auto"/>
        <w:ind w:firstLine="640"/>
        <w:jc w:val="both"/>
      </w:pPr>
      <w:r>
        <w:rPr>
          <w:rFonts w:ascii="仿宋_GB2312" w:hAnsi="仿宋_GB2312" w:eastAsia="仿宋_GB2312"/>
          <w:b w:val="0"/>
          <w:sz w:val="32"/>
        </w:rPr>
        <w:t>三、《支出决算表》</w:t>
      </w:r>
    </w:p>
    <w:p w14:paraId="1ECD8C56">
      <w:pPr>
        <w:spacing w:line="240" w:lineRule="auto"/>
        <w:ind w:firstLine="640"/>
        <w:jc w:val="both"/>
      </w:pPr>
      <w:r>
        <w:rPr>
          <w:rFonts w:ascii="仿宋_GB2312" w:hAnsi="仿宋_GB2312" w:eastAsia="仿宋_GB2312"/>
          <w:b w:val="0"/>
          <w:sz w:val="32"/>
        </w:rPr>
        <w:t>四、《财政拨款收入支出决算总表》</w:t>
      </w:r>
    </w:p>
    <w:p w14:paraId="6E98D490">
      <w:pPr>
        <w:spacing w:line="240" w:lineRule="auto"/>
        <w:ind w:firstLine="640"/>
        <w:jc w:val="both"/>
      </w:pPr>
      <w:r>
        <w:rPr>
          <w:rFonts w:ascii="仿宋_GB2312" w:hAnsi="仿宋_GB2312" w:eastAsia="仿宋_GB2312"/>
          <w:b w:val="0"/>
          <w:sz w:val="32"/>
        </w:rPr>
        <w:t>五、《一般公共预算财政拨款支出决算表》</w:t>
      </w:r>
    </w:p>
    <w:p w14:paraId="056092EE">
      <w:pPr>
        <w:spacing w:line="240" w:lineRule="auto"/>
        <w:ind w:firstLine="640"/>
        <w:jc w:val="both"/>
      </w:pPr>
      <w:r>
        <w:rPr>
          <w:rFonts w:ascii="仿宋_GB2312" w:hAnsi="仿宋_GB2312" w:eastAsia="仿宋_GB2312"/>
          <w:b w:val="0"/>
          <w:sz w:val="32"/>
        </w:rPr>
        <w:t>六、《一般公共预算财政拨款基本支出决算表》</w:t>
      </w:r>
    </w:p>
    <w:p w14:paraId="459227B7">
      <w:pPr>
        <w:spacing w:line="240" w:lineRule="auto"/>
        <w:ind w:firstLine="640"/>
        <w:jc w:val="both"/>
      </w:pPr>
      <w:r>
        <w:rPr>
          <w:rFonts w:ascii="仿宋_GB2312" w:hAnsi="仿宋_GB2312" w:eastAsia="仿宋_GB2312"/>
          <w:b w:val="0"/>
          <w:sz w:val="32"/>
        </w:rPr>
        <w:t>七、《政府性基金预算财政拨款收入支出决算表》</w:t>
      </w:r>
    </w:p>
    <w:p w14:paraId="5889FDC7">
      <w:pPr>
        <w:spacing w:line="240" w:lineRule="auto"/>
        <w:ind w:firstLine="640"/>
        <w:jc w:val="both"/>
      </w:pPr>
      <w:r>
        <w:rPr>
          <w:rFonts w:ascii="仿宋_GB2312" w:hAnsi="仿宋_GB2312" w:eastAsia="仿宋_GB2312"/>
          <w:b w:val="0"/>
          <w:sz w:val="32"/>
        </w:rPr>
        <w:t>八、《国有资本经营预算财政拨款收入支出决算表》</w:t>
      </w:r>
    </w:p>
    <w:p w14:paraId="75FF1334">
      <w:pPr>
        <w:spacing w:line="240" w:lineRule="auto"/>
        <w:ind w:firstLine="640"/>
        <w:jc w:val="both"/>
      </w:pPr>
      <w:r>
        <w:rPr>
          <w:rFonts w:ascii="仿宋_GB2312" w:hAnsi="仿宋_GB2312" w:eastAsia="仿宋_GB2312"/>
          <w:b w:val="0"/>
          <w:sz w:val="32"/>
        </w:rPr>
        <w:t>九、《财政拨款“三公”经费支出决算表》</w:t>
      </w:r>
    </w:p>
    <w:p w14:paraId="75741772">
      <w:pPr>
        <w:spacing w:line="240" w:lineRule="auto"/>
        <w:ind w:firstLine="640"/>
        <w:jc w:val="both"/>
      </w:pPr>
    </w:p>
    <w:p w14:paraId="0F4DE208">
      <w:pPr>
        <w:spacing w:line="240" w:lineRule="auto"/>
        <w:ind w:firstLine="640"/>
        <w:jc w:val="both"/>
      </w:pPr>
    </w:p>
    <w:p w14:paraId="0DB1258B">
      <w:pPr>
        <w:spacing w:line="240" w:lineRule="auto"/>
        <w:ind w:firstLine="640"/>
        <w:jc w:val="both"/>
      </w:pPr>
    </w:p>
    <w:p w14:paraId="5D0A2E6E">
      <w:pPr>
        <w:spacing w:line="240" w:lineRule="auto"/>
        <w:ind w:firstLine="640"/>
        <w:jc w:val="both"/>
      </w:pPr>
    </w:p>
    <w:p w14:paraId="0375094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6A7936"/>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5798</Words>
  <Characters>6573</Characters>
  <Lines>0</Lines>
  <Paragraphs>0</Paragraphs>
  <TotalTime>3</TotalTime>
  <ScaleCrop>false</ScaleCrop>
  <LinksUpToDate>false</LinksUpToDate>
  <CharactersWithSpaces>6583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2025-09-17T05:09:20Z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eyJoZGlkIjoiYmMxZDY5OGZlYzU4ZGEwZmUyZWNkMmU5NzBiZTFjZWEiLCJ1c2VySWQiOiI0MzE2NzY3NzkifQ==</vt:lpwstr>
  </property>
</Properties>
</file>