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84292A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洛浦县人民代表大会常务委员会办公室</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A67734">
      <w:r>
        <w:br w:type="page"/>
      </w:r>
    </w:p>
    <w:p w14:paraId="4BBEEA89">
      <w:pPr>
        <w:spacing w:line="640" w:lineRule="exact"/>
        <w:jc w:val="center"/>
        <w:outlineLvl w:val="1"/>
      </w:pPr>
      <w:r>
        <w:rPr>
          <w:rFonts w:ascii="黑体" w:hAnsi="黑体" w:eastAsia="黑体"/>
          <w:sz w:val="32"/>
        </w:rPr>
        <w:t>第一部分 单位概况</w:t>
      </w:r>
    </w:p>
    <w:p w14:paraId="563E6F03">
      <w:pPr>
        <w:spacing w:line="640" w:lineRule="exact"/>
        <w:ind w:firstLine="640"/>
        <w:jc w:val="both"/>
        <w:outlineLvl w:val="2"/>
      </w:pPr>
      <w:r>
        <w:rPr>
          <w:rFonts w:ascii="黑体" w:hAnsi="黑体" w:eastAsia="黑体"/>
          <w:sz w:val="32"/>
        </w:rPr>
        <w:t>一、主要职能</w:t>
      </w:r>
    </w:p>
    <w:p w14:paraId="75FB325C">
      <w:pPr>
        <w:spacing w:line="580" w:lineRule="exact"/>
        <w:ind w:firstLine="640"/>
        <w:jc w:val="both"/>
      </w:pPr>
      <w:r>
        <w:rPr>
          <w:rFonts w:ascii="仿宋_GB2312" w:hAnsi="仿宋_GB2312" w:eastAsia="仿宋_GB2312"/>
          <w:sz w:val="32"/>
        </w:rPr>
        <w:t>（一）在本行政区域内，保证宪法、法律、行政法规和上级人民代表大会及其常务委员会决议的遵守和执行。</w:t>
      </w:r>
    </w:p>
    <w:p w14:paraId="1ECFE766">
      <w:pPr>
        <w:spacing w:line="580" w:lineRule="exact"/>
        <w:ind w:firstLine="640"/>
        <w:jc w:val="both"/>
      </w:pPr>
      <w:r>
        <w:rPr>
          <w:rFonts w:ascii="仿宋_GB2312" w:hAnsi="仿宋_GB2312" w:eastAsia="仿宋_GB2312"/>
          <w:sz w:val="32"/>
        </w:rPr>
        <w:t>（二）领导、主持本级人民代表大会代表的选举。</w:t>
      </w:r>
    </w:p>
    <w:p w14:paraId="1EBB0902">
      <w:pPr>
        <w:spacing w:line="580" w:lineRule="exact"/>
        <w:ind w:firstLine="640"/>
        <w:jc w:val="both"/>
      </w:pPr>
      <w:r>
        <w:rPr>
          <w:rFonts w:ascii="仿宋_GB2312" w:hAnsi="仿宋_GB2312" w:eastAsia="仿宋_GB2312"/>
          <w:sz w:val="32"/>
        </w:rPr>
        <w:t>（三）召集本级人民代表大会会议。</w:t>
      </w:r>
    </w:p>
    <w:p w14:paraId="48B38914">
      <w:pPr>
        <w:spacing w:line="580" w:lineRule="exact"/>
        <w:ind w:firstLine="640"/>
        <w:jc w:val="both"/>
      </w:pPr>
      <w:r>
        <w:rPr>
          <w:rFonts w:ascii="仿宋_GB2312" w:hAnsi="仿宋_GB2312" w:eastAsia="仿宋_GB2312"/>
          <w:sz w:val="32"/>
        </w:rPr>
        <w:t>（四）决定本行政区域的政治、经济、教育、科学、文化、卫生、环境和资源保护、民政、民族工作的重大事项。</w:t>
      </w:r>
    </w:p>
    <w:p w14:paraId="20A77C36">
      <w:pPr>
        <w:spacing w:line="580" w:lineRule="exact"/>
        <w:ind w:firstLine="640"/>
        <w:jc w:val="both"/>
      </w:pPr>
      <w:r>
        <w:rPr>
          <w:rFonts w:ascii="仿宋_GB2312" w:hAnsi="仿宋_GB2312" w:eastAsia="仿宋_GB2312"/>
          <w:sz w:val="32"/>
        </w:rPr>
        <w:t>（五）根据县人民政府的建议，决定对本行政区域内的国民经济和社会发展计划、预算的部分变更；审查和批准本级财政决算。</w:t>
      </w:r>
    </w:p>
    <w:p w14:paraId="5FF225A7">
      <w:pPr>
        <w:spacing w:line="580" w:lineRule="exact"/>
        <w:ind w:firstLine="640"/>
        <w:jc w:val="both"/>
      </w:pPr>
      <w:r>
        <w:rPr>
          <w:rFonts w:ascii="仿宋_GB2312" w:hAnsi="仿宋_GB2312" w:eastAsia="仿宋_GB2312"/>
          <w:sz w:val="32"/>
        </w:rPr>
        <w:t>（六）监督本级人民政府、人民法院和人民检察院的工作，联系本级人民代表大会代表，受理人民群众对上述机关和国家工作人员的申诉和意见。</w:t>
      </w:r>
    </w:p>
    <w:p w14:paraId="3B699FAB">
      <w:pPr>
        <w:spacing w:line="580" w:lineRule="exact"/>
        <w:ind w:firstLine="640"/>
        <w:jc w:val="both"/>
      </w:pPr>
      <w:r>
        <w:rPr>
          <w:rFonts w:ascii="仿宋_GB2312" w:hAnsi="仿宋_GB2312" w:eastAsia="仿宋_GB2312"/>
          <w:sz w:val="32"/>
        </w:rPr>
        <w:t>（七）闭会期间，决定副县长的个别任免；在县长和县人民法院院长、人民检察院检察长因故不能担任职务的时候，从县人民政府、人民法院、人民检察院副职领导成员中决定代理的人选；决定代理检察长，须报上一级人民检察院和人民代表大会常务委员会备案。</w:t>
      </w:r>
    </w:p>
    <w:p w14:paraId="5C82DB8D">
      <w:pPr>
        <w:spacing w:line="580" w:lineRule="exact"/>
        <w:ind w:firstLine="640"/>
        <w:jc w:val="both"/>
      </w:pPr>
      <w:r>
        <w:rPr>
          <w:rFonts w:ascii="仿宋_GB2312" w:hAnsi="仿宋_GB2312" w:eastAsia="仿宋_GB2312"/>
          <w:sz w:val="32"/>
        </w:rPr>
        <w:t>（八）根据县长的提名，决定县人民政府组成部门负责人的任免,报上一级人民政府备案。</w:t>
      </w:r>
    </w:p>
    <w:p w14:paraId="6EECD60D">
      <w:pPr>
        <w:spacing w:line="580" w:lineRule="exact"/>
        <w:ind w:firstLine="640"/>
        <w:jc w:val="both"/>
      </w:pPr>
      <w:r>
        <w:rPr>
          <w:rFonts w:ascii="仿宋_GB2312" w:hAnsi="仿宋_GB2312" w:eastAsia="仿宋_GB2312"/>
          <w:sz w:val="32"/>
        </w:rPr>
        <w:t>（九）按照人民法院组织法和人民检察院组织法的规定,任免县人民法院副院长、庭长、副庭长、审判委员会</w:t>
      </w:r>
      <w:r>
        <w:rPr>
          <w:rFonts w:hint="eastAsia" w:ascii="仿宋_GB2312" w:hAnsi="仿宋_GB2312" w:eastAsia="仿宋_GB2312"/>
          <w:sz w:val="32"/>
          <w:lang w:eastAsia="zh-CN"/>
        </w:rPr>
        <w:t>委员</w:t>
      </w:r>
      <w:r>
        <w:rPr>
          <w:rFonts w:ascii="仿宋_GB2312" w:hAnsi="仿宋_GB2312" w:eastAsia="仿宋_GB2312"/>
          <w:sz w:val="32"/>
        </w:rPr>
        <w:t>。</w:t>
      </w:r>
    </w:p>
    <w:p w14:paraId="7796C3C3">
      <w:pPr>
        <w:spacing w:line="580" w:lineRule="exact"/>
        <w:ind w:firstLine="640"/>
        <w:jc w:val="both"/>
      </w:pPr>
      <w:r>
        <w:rPr>
          <w:rFonts w:ascii="仿宋_GB2312" w:hAnsi="仿宋_GB2312" w:eastAsia="仿宋_GB2312"/>
          <w:sz w:val="32"/>
        </w:rPr>
        <w:t>员、审判员，任免县人民检察院副检察长、检察委员会委员、检察员。</w:t>
      </w:r>
    </w:p>
    <w:p w14:paraId="145ABFF8">
      <w:pPr>
        <w:spacing w:line="580" w:lineRule="exact"/>
        <w:ind w:firstLine="640"/>
        <w:jc w:val="both"/>
      </w:pPr>
      <w:r>
        <w:rPr>
          <w:rFonts w:ascii="仿宋_GB2312" w:hAnsi="仿宋_GB2312" w:eastAsia="仿宋_GB2312"/>
          <w:sz w:val="32"/>
        </w:rPr>
        <w:t>（十）闭会期间，决定撤销个别副县长的职务；决定撤销由它任命的县人民政府其他组成人员和县人民法院副院长、庭长、副庭长、审判委员会委员、审判员，县人民检察院副检察长、检察委员会委员、检察员的职务。</w:t>
      </w:r>
    </w:p>
    <w:p w14:paraId="74C6A3F3">
      <w:pPr>
        <w:spacing w:line="580" w:lineRule="exact"/>
        <w:ind w:firstLine="640"/>
        <w:jc w:val="both"/>
      </w:pPr>
      <w:r>
        <w:rPr>
          <w:rFonts w:ascii="仿宋_GB2312" w:hAnsi="仿宋_GB2312" w:eastAsia="仿宋_GB2312"/>
          <w:sz w:val="32"/>
        </w:rPr>
        <w:t>（十一）闭会期间，补选出席自治区人民代表大会出缺的代表和罢免个别代表。</w:t>
      </w:r>
    </w:p>
    <w:p w14:paraId="7044151B">
      <w:pPr>
        <w:spacing w:line="580" w:lineRule="exact"/>
        <w:ind w:firstLine="640"/>
        <w:jc w:val="both"/>
      </w:pPr>
      <w:r>
        <w:rPr>
          <w:rFonts w:ascii="仿宋_GB2312" w:hAnsi="仿宋_GB2312" w:eastAsia="仿宋_GB2312"/>
          <w:sz w:val="32"/>
        </w:rPr>
        <w:t>（十二）承办县委、县人民政府及上级业务部门交办的其他事项。</w:t>
      </w:r>
    </w:p>
    <w:p w14:paraId="133F4555">
      <w:pPr>
        <w:spacing w:line="640" w:lineRule="exact"/>
        <w:ind w:firstLine="640"/>
        <w:jc w:val="both"/>
        <w:outlineLvl w:val="2"/>
      </w:pPr>
      <w:r>
        <w:rPr>
          <w:rFonts w:ascii="黑体" w:hAnsi="黑体" w:eastAsia="黑体"/>
          <w:sz w:val="32"/>
        </w:rPr>
        <w:t>二、机构设置及人员情况</w:t>
      </w:r>
    </w:p>
    <w:p w14:paraId="1E83A965">
      <w:pPr>
        <w:spacing w:line="580" w:lineRule="exact"/>
        <w:ind w:firstLine="640"/>
        <w:jc w:val="both"/>
      </w:pPr>
      <w:r>
        <w:rPr>
          <w:rFonts w:ascii="仿宋_GB2312" w:hAnsi="仿宋_GB2312" w:eastAsia="仿宋_GB2312"/>
          <w:sz w:val="32"/>
        </w:rPr>
        <w:t>洛浦县人民代表大会常务委员会办公室2024年度，实有人数49人，其中：在职人员18人，增加0人；离休人员0人，增加0人；退休人员31人,增加1人。</w:t>
      </w:r>
    </w:p>
    <w:p w14:paraId="6D1BEC72">
      <w:pPr>
        <w:spacing w:line="580" w:lineRule="exact"/>
        <w:ind w:firstLine="640"/>
        <w:jc w:val="both"/>
      </w:pPr>
      <w:r>
        <w:rPr>
          <w:rFonts w:ascii="仿宋_GB2312" w:hAnsi="仿宋_GB2312" w:eastAsia="仿宋_GB2312"/>
          <w:sz w:val="32"/>
        </w:rPr>
        <w:t>洛浦县人民代表大会常务委员会办公室无下属预算单位，下设6个科室，分别是：综合办公室、代表人事委、法治工委、财经工委、教科文卫、预算联网监督中心。</w:t>
      </w:r>
    </w:p>
    <w:p w14:paraId="043FCB7A">
      <w:r>
        <w:br w:type="page"/>
      </w:r>
    </w:p>
    <w:p w14:paraId="5791A217">
      <w:pPr>
        <w:spacing w:line="240" w:lineRule="auto"/>
        <w:jc w:val="center"/>
        <w:outlineLvl w:val="1"/>
      </w:pPr>
      <w:r>
        <w:rPr>
          <w:rFonts w:ascii="黑体" w:hAnsi="黑体" w:eastAsia="黑体"/>
          <w:sz w:val="32"/>
        </w:rPr>
        <w:t>第二部分 部门决算情况说明</w:t>
      </w:r>
    </w:p>
    <w:p w14:paraId="4F1771D0">
      <w:pPr>
        <w:spacing w:line="640" w:lineRule="exact"/>
        <w:ind w:firstLine="640"/>
        <w:jc w:val="both"/>
        <w:outlineLvl w:val="2"/>
      </w:pPr>
      <w:r>
        <w:rPr>
          <w:rFonts w:ascii="黑体" w:hAnsi="黑体" w:eastAsia="黑体"/>
          <w:sz w:val="32"/>
        </w:rPr>
        <w:t>一、收入支出决算总体情况说明</w:t>
      </w:r>
    </w:p>
    <w:p w14:paraId="2F01B76F">
      <w:pPr>
        <w:spacing w:line="580" w:lineRule="exact"/>
        <w:ind w:firstLine="640"/>
        <w:jc w:val="both"/>
      </w:pPr>
      <w:r>
        <w:rPr>
          <w:rFonts w:ascii="仿宋_GB2312" w:hAnsi="仿宋_GB2312" w:eastAsia="仿宋_GB2312"/>
          <w:b/>
          <w:sz w:val="32"/>
        </w:rPr>
        <w:t>2024年度收入总计600.80万元，</w:t>
      </w:r>
      <w:r>
        <w:rPr>
          <w:rFonts w:ascii="仿宋_GB2312" w:hAnsi="仿宋_GB2312" w:eastAsia="仿宋_GB2312"/>
          <w:b w:val="0"/>
          <w:sz w:val="32"/>
        </w:rPr>
        <w:t>其中：本年收入合计600.80万元，使用非财政拨款结余（含专用结余）0.00万元，年初结转和结余0.00万元。</w:t>
      </w:r>
    </w:p>
    <w:p w14:paraId="031C5242">
      <w:pPr>
        <w:spacing w:line="580" w:lineRule="exact"/>
        <w:ind w:firstLine="640"/>
        <w:jc w:val="both"/>
      </w:pPr>
      <w:r>
        <w:rPr>
          <w:rFonts w:ascii="仿宋_GB2312" w:hAnsi="仿宋_GB2312" w:eastAsia="仿宋_GB2312"/>
          <w:b/>
          <w:sz w:val="32"/>
        </w:rPr>
        <w:t>2024年度支出总计600.80万元，</w:t>
      </w:r>
      <w:r>
        <w:rPr>
          <w:rFonts w:ascii="仿宋_GB2312" w:hAnsi="仿宋_GB2312" w:eastAsia="仿宋_GB2312"/>
          <w:b w:val="0"/>
          <w:sz w:val="32"/>
        </w:rPr>
        <w:t>其中：本年支出合计600.80万元，结余分配0.00万元，年末结转和结余0.00万元。</w:t>
      </w:r>
    </w:p>
    <w:p w14:paraId="6B662DE6">
      <w:pPr>
        <w:spacing w:line="580" w:lineRule="exact"/>
        <w:ind w:firstLine="640"/>
        <w:jc w:val="both"/>
      </w:pPr>
      <w:r>
        <w:rPr>
          <w:rFonts w:ascii="仿宋_GB2312" w:hAnsi="仿宋_GB2312" w:eastAsia="仿宋_GB2312"/>
          <w:b w:val="0"/>
          <w:sz w:val="32"/>
        </w:rPr>
        <w:t>收入支出总体与上年相比，增加37.70万元，增长6.70%，主要原因是：本年在职人员工资调增，社保、公积金基数调增，人员经费增加，增加洛浦县十八届人民代表大会第一次会议经费项目经费，导致相关经费增加。</w:t>
      </w:r>
    </w:p>
    <w:p w14:paraId="275860BC">
      <w:pPr>
        <w:spacing w:line="640" w:lineRule="exact"/>
        <w:ind w:firstLine="640"/>
        <w:jc w:val="both"/>
        <w:outlineLvl w:val="2"/>
      </w:pPr>
      <w:r>
        <w:rPr>
          <w:rFonts w:ascii="黑体" w:hAnsi="黑体" w:eastAsia="黑体"/>
          <w:sz w:val="32"/>
        </w:rPr>
        <w:t>二、收入决算情况说明</w:t>
      </w:r>
    </w:p>
    <w:p w14:paraId="236F8120">
      <w:pPr>
        <w:spacing w:line="580" w:lineRule="exact"/>
        <w:ind w:firstLine="640"/>
        <w:jc w:val="both"/>
      </w:pPr>
      <w:r>
        <w:rPr>
          <w:rFonts w:ascii="仿宋_GB2312" w:hAnsi="仿宋_GB2312" w:eastAsia="仿宋_GB2312"/>
          <w:b/>
          <w:sz w:val="32"/>
        </w:rPr>
        <w:t>本年收入600.80万元，</w:t>
      </w:r>
      <w:r>
        <w:rPr>
          <w:rFonts w:ascii="仿宋_GB2312" w:hAnsi="仿宋_GB2312" w:eastAsia="仿宋_GB2312"/>
          <w:b w:val="0"/>
          <w:sz w:val="32"/>
        </w:rPr>
        <w:t>其中：财政拨款收入600.80万元，占100.00%；上级补助收入0.00万元，占0.00%；事业收入0.00万元，占0.00%；经营收入0.00万元，占0.00%；附属单位上缴收入0.00万元，占0.00%；其他收入0.00万元，占0.00%。</w:t>
      </w:r>
    </w:p>
    <w:p w14:paraId="380C6D0C">
      <w:pPr>
        <w:spacing w:line="640" w:lineRule="exact"/>
        <w:ind w:firstLine="640"/>
        <w:jc w:val="both"/>
        <w:outlineLvl w:val="2"/>
      </w:pPr>
      <w:r>
        <w:rPr>
          <w:rFonts w:ascii="黑体" w:hAnsi="黑体" w:eastAsia="黑体"/>
          <w:sz w:val="32"/>
        </w:rPr>
        <w:t>三、支出决算情况说明</w:t>
      </w:r>
    </w:p>
    <w:p w14:paraId="02D5E233">
      <w:pPr>
        <w:spacing w:line="580" w:lineRule="exact"/>
        <w:ind w:firstLine="640"/>
        <w:jc w:val="both"/>
      </w:pPr>
      <w:r>
        <w:rPr>
          <w:rFonts w:ascii="仿宋_GB2312" w:hAnsi="仿宋_GB2312" w:eastAsia="仿宋_GB2312"/>
          <w:b/>
          <w:sz w:val="32"/>
        </w:rPr>
        <w:t>本年支出600.80万元，</w:t>
      </w:r>
      <w:r>
        <w:rPr>
          <w:rFonts w:ascii="仿宋_GB2312" w:hAnsi="仿宋_GB2312" w:eastAsia="仿宋_GB2312"/>
          <w:b w:val="0"/>
          <w:sz w:val="32"/>
        </w:rPr>
        <w:t>其中：基本支出543.00万元，占90.38%；项目支出57.80万元，占9.62%；上缴上级支出0.00万元，占0.00%；经营支出0.00万元，占0.00%；对附属单位补助支出0.00万元，占0.00%。</w:t>
      </w:r>
    </w:p>
    <w:p w14:paraId="3DF30098">
      <w:pPr>
        <w:spacing w:line="640" w:lineRule="exact"/>
        <w:ind w:firstLine="640"/>
        <w:jc w:val="both"/>
        <w:outlineLvl w:val="2"/>
      </w:pPr>
      <w:r>
        <w:rPr>
          <w:rFonts w:ascii="黑体" w:hAnsi="黑体" w:eastAsia="黑体"/>
          <w:sz w:val="32"/>
        </w:rPr>
        <w:t>四、财政拨款收入支出决算总体情况说明</w:t>
      </w:r>
    </w:p>
    <w:p w14:paraId="46459EE6">
      <w:pPr>
        <w:spacing w:line="580" w:lineRule="exact"/>
        <w:ind w:firstLine="640"/>
        <w:jc w:val="both"/>
      </w:pPr>
      <w:r>
        <w:rPr>
          <w:rFonts w:ascii="仿宋_GB2312" w:hAnsi="仿宋_GB2312" w:eastAsia="仿宋_GB2312"/>
          <w:b/>
          <w:sz w:val="32"/>
        </w:rPr>
        <w:t>2024年度财政拨款收入总计600.80万元，</w:t>
      </w:r>
      <w:r>
        <w:rPr>
          <w:rFonts w:ascii="仿宋_GB2312" w:hAnsi="仿宋_GB2312" w:eastAsia="仿宋_GB2312"/>
          <w:b w:val="0"/>
          <w:sz w:val="32"/>
        </w:rPr>
        <w:t>其中：年初财政拨款结转和结余0.00万元，本年财政拨款收入600.80万元。</w:t>
      </w:r>
      <w:r>
        <w:rPr>
          <w:rFonts w:ascii="仿宋_GB2312" w:hAnsi="仿宋_GB2312" w:eastAsia="仿宋_GB2312"/>
          <w:b/>
          <w:sz w:val="32"/>
        </w:rPr>
        <w:t>财政拨款支出总计600.80万元，</w:t>
      </w:r>
      <w:r>
        <w:rPr>
          <w:rFonts w:ascii="仿宋_GB2312" w:hAnsi="仿宋_GB2312" w:eastAsia="仿宋_GB2312"/>
          <w:b w:val="0"/>
          <w:sz w:val="32"/>
        </w:rPr>
        <w:t>其中：年末财政拨款结转和结余0.00万元，本年财政拨款支出600.80万元。</w:t>
      </w:r>
    </w:p>
    <w:p w14:paraId="6075722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增加46.67万元，增长8.42%，主要原因是：本年在职人员工资调增，社保、公积金基数调增，人员经费增加，增加洛浦县十八届人民代表大会第一次会议等项目经费，导致相关经费增加。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495.74万元，决算数600.80万元，预决算差异率21.19%，主要原因是：年中追加人员工资、社保、公积金基数调增部分资金，年中追加洛浦县十八届人民代表大会第一次会议等项目经费，导致预决算存在差异。</w:t>
      </w:r>
    </w:p>
    <w:p w14:paraId="21433F9E">
      <w:pPr>
        <w:spacing w:line="640" w:lineRule="exact"/>
        <w:ind w:firstLine="640"/>
        <w:jc w:val="both"/>
        <w:outlineLvl w:val="2"/>
      </w:pPr>
      <w:r>
        <w:rPr>
          <w:rFonts w:ascii="黑体" w:hAnsi="黑体" w:eastAsia="黑体"/>
          <w:sz w:val="32"/>
        </w:rPr>
        <w:t>五、一般公共预算财政拨款支出决算情况说明</w:t>
      </w:r>
    </w:p>
    <w:p w14:paraId="760E7181">
      <w:pPr>
        <w:spacing w:line="640" w:lineRule="exact"/>
        <w:ind w:firstLine="640"/>
        <w:jc w:val="both"/>
        <w:outlineLvl w:val="3"/>
      </w:pPr>
      <w:r>
        <w:rPr>
          <w:rFonts w:ascii="楷体_GB2312" w:hAnsi="楷体_GB2312" w:eastAsia="楷体_GB2312"/>
          <w:b/>
          <w:sz w:val="32"/>
        </w:rPr>
        <w:t>（一）一般公共预算财政拨款支出决算总体情况</w:t>
      </w:r>
    </w:p>
    <w:p w14:paraId="5D6A8548">
      <w:pPr>
        <w:spacing w:line="580" w:lineRule="exact"/>
        <w:ind w:firstLine="640"/>
        <w:jc w:val="both"/>
      </w:pPr>
      <w:r>
        <w:rPr>
          <w:rFonts w:ascii="仿宋_GB2312" w:hAnsi="仿宋_GB2312" w:eastAsia="仿宋_GB2312"/>
          <w:b/>
          <w:sz w:val="32"/>
        </w:rPr>
        <w:t>2024年度一般公共预算财政拨款支出600.80万元，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增加46.67万元，增长8.42%，主要原因是：本年在职人员工资调增，社保、公积金基数调增，人员经费增加，增加洛浦县十八届人民代表大会第一次会议经费项目经费，导致相关经费增加。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年初预算数495.74万元，决算数600.80万元，预决算差异率21.19%，主要原因是：年中追加人员工资、社保、公积金基数调增部分资金，年中追加人代会项目经费，导致预决算存在差异。</w:t>
      </w:r>
    </w:p>
    <w:p w14:paraId="5097F74E">
      <w:pPr>
        <w:spacing w:line="640" w:lineRule="exact"/>
        <w:ind w:firstLine="640"/>
        <w:jc w:val="both"/>
        <w:outlineLvl w:val="3"/>
      </w:pPr>
      <w:r>
        <w:rPr>
          <w:rFonts w:ascii="楷体_GB2312" w:hAnsi="楷体_GB2312" w:eastAsia="楷体_GB2312"/>
          <w:b/>
          <w:sz w:val="32"/>
        </w:rPr>
        <w:t>（二）一般公共预算财政拨款支出决算结构情况</w:t>
      </w:r>
    </w:p>
    <w:p w14:paraId="0D9B853B">
      <w:pPr>
        <w:spacing w:line="580" w:lineRule="exact"/>
        <w:ind w:firstLine="640"/>
        <w:jc w:val="both"/>
      </w:pPr>
      <w:r>
        <w:rPr>
          <w:rFonts w:ascii="仿宋_GB2312" w:hAnsi="仿宋_GB2312" w:eastAsia="仿宋_GB2312"/>
          <w:b w:val="0"/>
          <w:sz w:val="32"/>
        </w:rPr>
        <w:t>1.一般公共服务支出(类)442.48万元,占73.65%。</w:t>
      </w:r>
    </w:p>
    <w:p w14:paraId="56F1F372">
      <w:pPr>
        <w:spacing w:line="580" w:lineRule="exact"/>
        <w:ind w:firstLine="640"/>
        <w:jc w:val="both"/>
      </w:pPr>
      <w:r>
        <w:rPr>
          <w:rFonts w:ascii="仿宋_GB2312" w:hAnsi="仿宋_GB2312" w:eastAsia="仿宋_GB2312"/>
          <w:b w:val="0"/>
          <w:sz w:val="32"/>
        </w:rPr>
        <w:t>2.社会保障和就业支出(类)90.77万元,占15.11%。</w:t>
      </w:r>
    </w:p>
    <w:p w14:paraId="56DA7404">
      <w:pPr>
        <w:spacing w:line="580" w:lineRule="exact"/>
        <w:ind w:firstLine="640"/>
        <w:jc w:val="both"/>
      </w:pPr>
      <w:r>
        <w:rPr>
          <w:rFonts w:ascii="仿宋_GB2312" w:hAnsi="仿宋_GB2312" w:eastAsia="仿宋_GB2312"/>
          <w:b w:val="0"/>
          <w:sz w:val="32"/>
        </w:rPr>
        <w:t>3.卫生健康支出(类)26.13万元,占4.35%。</w:t>
      </w:r>
    </w:p>
    <w:p w14:paraId="447D3510">
      <w:pPr>
        <w:spacing w:line="580" w:lineRule="exact"/>
        <w:ind w:firstLine="640"/>
        <w:jc w:val="both"/>
      </w:pPr>
      <w:r>
        <w:rPr>
          <w:rFonts w:ascii="仿宋_GB2312" w:hAnsi="仿宋_GB2312" w:eastAsia="仿宋_GB2312"/>
          <w:b w:val="0"/>
          <w:sz w:val="32"/>
        </w:rPr>
        <w:t>4.住房保障支出(类)33.51万元,占5.58%。</w:t>
      </w:r>
    </w:p>
    <w:p w14:paraId="3530801E">
      <w:pPr>
        <w:spacing w:line="580" w:lineRule="exact"/>
        <w:ind w:firstLine="640"/>
        <w:jc w:val="both"/>
      </w:pPr>
      <w:r>
        <w:rPr>
          <w:rFonts w:ascii="仿宋_GB2312" w:hAnsi="仿宋_GB2312" w:eastAsia="仿宋_GB2312"/>
          <w:b w:val="0"/>
          <w:sz w:val="32"/>
        </w:rPr>
        <w:t>5.其他支出(类)7.92万元,占1.32%。</w:t>
      </w:r>
    </w:p>
    <w:p w14:paraId="436225AC">
      <w:pPr>
        <w:spacing w:line="640" w:lineRule="exact"/>
        <w:ind w:firstLine="640"/>
        <w:jc w:val="both"/>
        <w:outlineLvl w:val="3"/>
      </w:pPr>
      <w:r>
        <w:rPr>
          <w:rFonts w:ascii="楷体_GB2312" w:hAnsi="楷体_GB2312" w:eastAsia="楷体_GB2312"/>
          <w:b/>
          <w:sz w:val="32"/>
        </w:rPr>
        <w:t>（三）一般公共预算财政拨款支出决算具体情况</w:t>
      </w:r>
    </w:p>
    <w:p w14:paraId="3C783495">
      <w:pPr>
        <w:spacing w:line="580" w:lineRule="exact"/>
        <w:ind w:firstLine="640"/>
        <w:jc w:val="both"/>
      </w:pPr>
      <w:r>
        <w:rPr>
          <w:rFonts w:ascii="仿宋_GB2312" w:hAnsi="仿宋_GB2312" w:eastAsia="仿宋_GB2312"/>
          <w:b w:val="0"/>
          <w:sz w:val="32"/>
        </w:rPr>
        <w:t>1.一般公共服务支出(类)人大事务(款)行政运行(项):支出决算数为392.59万元，比上年决算减少43.41万元，下降9.96%,主要原因是：本年科目调整，退休人员经费、在职人员医疗缴费、公务员医疗补助、住房公积金上年度在主科目列支，本年单独列支，导致相关经费减少。</w:t>
      </w:r>
    </w:p>
    <w:p w14:paraId="7AEAFF75">
      <w:pPr>
        <w:spacing w:line="580" w:lineRule="exact"/>
        <w:ind w:firstLine="640"/>
        <w:jc w:val="both"/>
      </w:pPr>
      <w:r>
        <w:rPr>
          <w:rFonts w:ascii="仿宋_GB2312" w:hAnsi="仿宋_GB2312" w:eastAsia="仿宋_GB2312"/>
          <w:b w:val="0"/>
          <w:sz w:val="32"/>
        </w:rPr>
        <w:t>2.一般公共服务支出(类)人大事务(款)人大会议(项):支出决算数为37.29万元，比上年决算增加16.89万元，增长82.79%,主要原因是：本年增加洛浦县十八届人民代表大会第一次会议经费项目经费，导致相关经费增加。</w:t>
      </w:r>
    </w:p>
    <w:p w14:paraId="79C8A88E">
      <w:pPr>
        <w:spacing w:line="580" w:lineRule="exact"/>
        <w:ind w:firstLine="640"/>
        <w:jc w:val="both"/>
      </w:pPr>
      <w:r>
        <w:rPr>
          <w:rFonts w:ascii="仿宋_GB2312" w:hAnsi="仿宋_GB2312" w:eastAsia="仿宋_GB2312"/>
          <w:b w:val="0"/>
          <w:sz w:val="32"/>
        </w:rPr>
        <w:t>3.一般公共服务支出(类)人大事务(款)代表工作(项):支出决算数为5.10万元，比上年决算减少6.10万元，下降54.46%,主要原因是：本年减少自治区人大代表活动经费，导致相关经费减少。</w:t>
      </w:r>
    </w:p>
    <w:p w14:paraId="463EE815">
      <w:pPr>
        <w:spacing w:line="580" w:lineRule="exact"/>
        <w:ind w:firstLine="640"/>
        <w:jc w:val="both"/>
      </w:pPr>
      <w:r>
        <w:rPr>
          <w:rFonts w:ascii="仿宋_GB2312" w:hAnsi="仿宋_GB2312" w:eastAsia="仿宋_GB2312"/>
          <w:b w:val="0"/>
          <w:sz w:val="32"/>
        </w:rPr>
        <w:t>4.一般公共服务支出(类)人大事务(款)其他人大事务支出(项):支出决算数为7.50万元，比上年决算减少8.28万元，下降52.47%,主要原因是：本年减少自治区基层人大补助经费，导致相关经费减少。</w:t>
      </w:r>
    </w:p>
    <w:p w14:paraId="4DFB8688">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46.34万元，比上年决算增加46.34万元，增长100.00%,主要原因是：本年功能科目调整，行政单位离退休上年度在主科目列支，本年单独列支，导致经费较上年增加。</w:t>
      </w:r>
    </w:p>
    <w:p w14:paraId="1C2EEC70">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44.43万元，比上年决算增加6.40万元，增长16.83%,主要原因是：本年在职人员工资基数调增，养老缴费基数上涨，相应支出增加。</w:t>
      </w:r>
    </w:p>
    <w:p w14:paraId="17AEDC38">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7.社会保障和就业支出(类)行政事业单位养老支出(款)机关事业单位职业年金缴费支出(项):支出决算数为0.00万元，比上年决算减少28.25万元，下降100.00%,主要原因是：本年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未安排机关事业单位职业年金缴费。</w:t>
      </w:r>
    </w:p>
    <w:p w14:paraId="1EC6D52C">
      <w:pPr>
        <w:spacing w:line="580" w:lineRule="exact"/>
        <w:ind w:firstLine="640"/>
        <w:jc w:val="both"/>
      </w:pPr>
      <w:r>
        <w:rPr>
          <w:rFonts w:ascii="仿宋_GB2312" w:hAnsi="仿宋_GB2312" w:eastAsia="仿宋_GB2312"/>
          <w:b w:val="0"/>
          <w:sz w:val="32"/>
        </w:rPr>
        <w:t>8.卫生健康支出(类)行政事业单位医疗(款)行政单位医疗(项):支出决算数为18.05万元，比上年决算增加18.05万元，增长100.00%,主要原因是：本年功能科目调整，行政单位医疗上年度在主科目列支，本年单独列支，导致经费较上年增加。</w:t>
      </w:r>
    </w:p>
    <w:p w14:paraId="1143A54D">
      <w:pPr>
        <w:spacing w:line="580" w:lineRule="exact"/>
        <w:ind w:firstLine="640"/>
        <w:jc w:val="both"/>
      </w:pPr>
      <w:r>
        <w:rPr>
          <w:rFonts w:ascii="仿宋_GB2312" w:hAnsi="仿宋_GB2312" w:eastAsia="仿宋_GB2312"/>
          <w:b w:val="0"/>
          <w:sz w:val="32"/>
        </w:rPr>
        <w:t>9.卫生健康支出(类)行政事业单位医疗(款)公务员医疗补助(项):支出决算数为8.08万元，比上年决算增加8.08万元，增长100.00%,主要原因是：本年功能科目调整，公务员医疗补助上年度在主科目列支，本年单独列支，导致经费较上年增加。</w:t>
      </w:r>
    </w:p>
    <w:p w14:paraId="59D8B61F">
      <w:pPr>
        <w:spacing w:line="580" w:lineRule="exact"/>
        <w:ind w:firstLine="640"/>
        <w:jc w:val="both"/>
      </w:pPr>
      <w:r>
        <w:rPr>
          <w:rFonts w:ascii="仿宋_GB2312" w:hAnsi="仿宋_GB2312" w:eastAsia="仿宋_GB2312"/>
          <w:b w:val="0"/>
          <w:sz w:val="32"/>
        </w:rPr>
        <w:t>10.住房保障支出(类)住房改革支出(款)住房公积金(项):支出决算数为33.51万元，比上年决算增加33.51万元，增长100.00%,主要原因是：本年功能科目调整，住房公积金上年度在主科目列支，本年单独列支，导致经费较上年增加。</w:t>
      </w:r>
    </w:p>
    <w:p w14:paraId="06899818">
      <w:pPr>
        <w:spacing w:line="580" w:lineRule="exact"/>
        <w:ind w:firstLine="640"/>
        <w:jc w:val="both"/>
      </w:pPr>
      <w:r>
        <w:rPr>
          <w:rFonts w:ascii="仿宋_GB2312" w:hAnsi="仿宋_GB2312" w:eastAsia="仿宋_GB2312"/>
          <w:b w:val="0"/>
          <w:sz w:val="32"/>
        </w:rPr>
        <w:t>11.其他支出(类)其他支出(款)其他支出(项):支出决算数为7.92万元，比上年决算增加3.45万元，增长77.18%,主要原因是：本年增加2024年自治区为民办实事工作经费，导致相关经费增加。</w:t>
      </w:r>
    </w:p>
    <w:p w14:paraId="4102BC3F">
      <w:pPr>
        <w:spacing w:line="640" w:lineRule="exact"/>
        <w:ind w:firstLine="640"/>
        <w:jc w:val="both"/>
        <w:outlineLvl w:val="2"/>
      </w:pPr>
      <w:r>
        <w:rPr>
          <w:rFonts w:ascii="黑体" w:hAnsi="黑体" w:eastAsia="黑体"/>
          <w:sz w:val="32"/>
        </w:rPr>
        <w:t>六、一般公共预算财政拨款基本支出决算情况说明</w:t>
      </w:r>
    </w:p>
    <w:p w14:paraId="3B2AEE11">
      <w:pPr>
        <w:spacing w:line="580" w:lineRule="exact"/>
        <w:ind w:firstLine="640"/>
        <w:jc w:val="both"/>
      </w:pPr>
      <w:r>
        <w:rPr>
          <w:rFonts w:ascii="仿宋_GB2312" w:hAnsi="仿宋_GB2312" w:eastAsia="仿宋_GB2312"/>
          <w:b w:val="0"/>
          <w:sz w:val="32"/>
        </w:rPr>
        <w:t>2024年度一般公共预算财政拨款基本支出543.00万元，其中：</w:t>
      </w:r>
      <w:r>
        <w:rPr>
          <w:rFonts w:ascii="仿宋_GB2312" w:hAnsi="仿宋_GB2312" w:eastAsia="仿宋_GB2312"/>
          <w:b/>
          <w:sz w:val="32"/>
        </w:rPr>
        <w:t>人员经费510.16万元，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包括：基本工资、津贴补贴、奖金、机关事业单位基本养老保险缴费、职工基本医疗保险缴费、公务员医疗补助缴费、其他社会保障缴费、住房公积金、退休费、抚恤金、生活补助。</w:t>
      </w:r>
    </w:p>
    <w:p w14:paraId="422ACBBC">
      <w:pPr>
        <w:spacing w:line="580" w:lineRule="exact"/>
        <w:ind w:firstLine="640"/>
        <w:jc w:val="both"/>
      </w:pPr>
      <w:r>
        <w:rPr>
          <w:rFonts w:ascii="仿宋_GB2312" w:hAnsi="仿宋_GB2312" w:eastAsia="仿宋_GB2312"/>
          <w:b/>
          <w:sz w:val="32"/>
        </w:rPr>
        <w:t>公用经费32.84万元，</w:t>
      </w:r>
      <w:r>
        <w:rPr>
          <w:rFonts w:ascii="仿宋_GB2312" w:hAnsi="仿宋_GB2312" w:eastAsia="仿宋_GB2312"/>
          <w:b w:val="0"/>
          <w:sz w:val="32"/>
        </w:rPr>
        <w:t>包括：办公费、印刷费、邮电费、差旅费、工会经费、公务用车运行维护费、其他交通费用。</w:t>
      </w:r>
    </w:p>
    <w:p w14:paraId="58B812C7">
      <w:pPr>
        <w:spacing w:line="640" w:lineRule="exact"/>
        <w:ind w:firstLine="640"/>
        <w:jc w:val="both"/>
        <w:outlineLvl w:val="2"/>
      </w:pPr>
      <w:r>
        <w:rPr>
          <w:rFonts w:ascii="黑体" w:hAnsi="黑体" w:eastAsia="黑体"/>
          <w:sz w:val="32"/>
        </w:rPr>
        <w:t>七、政府性基金预算财政拨款收入支出决算情况说明</w:t>
      </w:r>
    </w:p>
    <w:p w14:paraId="0B989AA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EDAAAD3">
      <w:pPr>
        <w:spacing w:line="640" w:lineRule="exact"/>
        <w:ind w:firstLine="640"/>
        <w:jc w:val="both"/>
        <w:outlineLvl w:val="2"/>
      </w:pPr>
      <w:r>
        <w:rPr>
          <w:rFonts w:ascii="黑体" w:hAnsi="黑体" w:eastAsia="黑体"/>
          <w:sz w:val="32"/>
        </w:rPr>
        <w:t>八、国有资本经营预算财政拨款收入支出决算情况说明</w:t>
      </w:r>
    </w:p>
    <w:p w14:paraId="2B4DF27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BDD9B6">
      <w:pPr>
        <w:spacing w:line="640" w:lineRule="exact"/>
        <w:ind w:firstLine="640"/>
        <w:jc w:val="both"/>
        <w:outlineLvl w:val="2"/>
      </w:pPr>
      <w:r>
        <w:rPr>
          <w:rFonts w:ascii="黑体" w:hAnsi="黑体" w:eastAsia="黑体"/>
          <w:sz w:val="32"/>
        </w:rPr>
        <w:t>九、财政拨款“三公”经费支出决算情况说明</w:t>
      </w:r>
    </w:p>
    <w:p w14:paraId="6A50A70B">
      <w:pPr>
        <w:spacing w:line="580" w:lineRule="exact"/>
        <w:ind w:firstLine="640"/>
        <w:jc w:val="both"/>
      </w:pPr>
      <w:r>
        <w:rPr>
          <w:rFonts w:ascii="仿宋_GB2312" w:hAnsi="仿宋_GB2312" w:eastAsia="仿宋_GB2312"/>
          <w:b/>
          <w:sz w:val="32"/>
        </w:rPr>
        <w:t>2024年度财政拨款“三公”经费支出15.00万元，</w:t>
      </w:r>
      <w:r>
        <w:rPr>
          <w:rFonts w:ascii="仿宋_GB2312" w:hAnsi="仿宋_GB2312" w:eastAsia="仿宋_GB2312"/>
          <w:b w:val="0"/>
          <w:sz w:val="32"/>
        </w:rPr>
        <w:t>比上年增加8.46万元，增长129.36%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15.00万元，占100.00%，比上年增加8.46万元，增长129.36%，主要原因是：本年因业务需求，用车次数增加，燃油费增加，导致公务用车运行维护费较上年增加。公务接待费支出0.00万元，占0.00%，比上年增加0.00万元，增长0.00%，主要原因是：2023年与2024年均未安排公务接待费支出。</w:t>
      </w:r>
    </w:p>
    <w:p w14:paraId="0DBB6659">
      <w:pPr>
        <w:spacing w:line="580" w:lineRule="exact"/>
        <w:ind w:firstLine="640"/>
        <w:jc w:val="both"/>
      </w:pPr>
      <w:r>
        <w:rPr>
          <w:rFonts w:ascii="仿宋_GB2312" w:hAnsi="仿宋_GB2312" w:eastAsia="仿宋_GB2312"/>
          <w:b/>
          <w:sz w:val="32"/>
        </w:rPr>
        <w:t>具体情况如下：</w:t>
      </w:r>
    </w:p>
    <w:p w14:paraId="44683D3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6F32D4">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维修费、保险费、审车费、过路费。公务用车购置数0辆，公务用车保有量6辆。国有资产占用情况中固定资产车辆1辆，与公务用车保有量差异原因是：借用其他单位车辆，车辆费用由本单位支付。</w:t>
      </w:r>
    </w:p>
    <w:p w14:paraId="5B39D56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F4008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15.00万元，决算数15.00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0.00万元，决算数0.00万元，预决算差异率0.00%，主要原因是：本单位无公务接待费。</w:t>
      </w:r>
    </w:p>
    <w:p w14:paraId="60927495">
      <w:pPr>
        <w:spacing w:line="640" w:lineRule="exact"/>
        <w:ind w:firstLine="640"/>
        <w:jc w:val="both"/>
        <w:outlineLvl w:val="2"/>
      </w:pPr>
      <w:r>
        <w:rPr>
          <w:rFonts w:ascii="黑体" w:hAnsi="黑体" w:eastAsia="黑体"/>
          <w:sz w:val="32"/>
        </w:rPr>
        <w:t>十、其他重要事项的情况说明</w:t>
      </w:r>
    </w:p>
    <w:p w14:paraId="2D033F7F">
      <w:pPr>
        <w:spacing w:line="640" w:lineRule="exact"/>
        <w:ind w:firstLine="640"/>
        <w:jc w:val="both"/>
        <w:outlineLvl w:val="3"/>
      </w:pPr>
      <w:r>
        <w:rPr>
          <w:rFonts w:ascii="楷体_GB2312" w:hAnsi="楷体_GB2312" w:eastAsia="楷体_GB2312"/>
          <w:b/>
          <w:sz w:val="32"/>
        </w:rPr>
        <w:t>（一）机关运行经费及公用经费支出情况</w:t>
      </w:r>
    </w:p>
    <w:p w14:paraId="671344FD">
      <w:pPr>
        <w:spacing w:line="580" w:lineRule="exact"/>
        <w:ind w:firstLine="640"/>
        <w:jc w:val="both"/>
      </w:pPr>
      <w:r>
        <w:rPr>
          <w:rFonts w:ascii="仿宋_GB2312" w:hAnsi="仿宋_GB2312" w:eastAsia="仿宋_GB2312"/>
          <w:b w:val="0"/>
          <w:sz w:val="32"/>
        </w:rPr>
        <w:t>2024年度洛浦县人民代表大会常务委员会办公室（行政单位和参照公务员法管理事业单位）机关运行经费支出32.84万元，比上年增加23.25万元，增长242.44%，主要原因是：本年增加其他交通费用、公务用车运行维护费等经费，导致机关运行经费增加。</w:t>
      </w:r>
    </w:p>
    <w:p w14:paraId="1D86C08D">
      <w:pPr>
        <w:spacing w:line="640" w:lineRule="exact"/>
        <w:ind w:firstLine="640"/>
        <w:jc w:val="both"/>
        <w:outlineLvl w:val="3"/>
      </w:pPr>
      <w:r>
        <w:rPr>
          <w:rFonts w:ascii="楷体_GB2312" w:hAnsi="楷体_GB2312" w:eastAsia="楷体_GB2312"/>
          <w:b/>
          <w:sz w:val="32"/>
        </w:rPr>
        <w:t>（二）政府采购情况</w:t>
      </w:r>
    </w:p>
    <w:p w14:paraId="4AAEC8BB">
      <w:pPr>
        <w:spacing w:line="580" w:lineRule="exact"/>
        <w:ind w:firstLine="640"/>
        <w:jc w:val="both"/>
      </w:pPr>
      <w:r>
        <w:rPr>
          <w:rFonts w:ascii="仿宋_GB2312" w:hAnsi="仿宋_GB2312" w:eastAsia="仿宋_GB2312"/>
          <w:b w:val="0"/>
          <w:sz w:val="32"/>
        </w:rPr>
        <w:t>2024年度政府采购支出总额10.29万元，其中：政府采购货物支出2.44万元、政府采购工程支出0.00万元、政府采购服务支出7.85万元。</w:t>
      </w:r>
    </w:p>
    <w:p w14:paraId="6E4FD298">
      <w:pPr>
        <w:spacing w:line="580" w:lineRule="exact"/>
        <w:ind w:firstLine="640"/>
        <w:jc w:val="both"/>
      </w:pPr>
      <w:r>
        <w:rPr>
          <w:rFonts w:ascii="仿宋_GB2312" w:hAnsi="仿宋_GB2312" w:eastAsia="仿宋_GB2312"/>
          <w:b w:val="0"/>
          <w:sz w:val="32"/>
        </w:rPr>
        <w:t>授予中小企业合同金额10.12万元，占政府采购支出总额的98.35%，其中：授予小微企业合同金额9.36万元，占政府采购支出总额的90.96%。</w:t>
      </w:r>
    </w:p>
    <w:p w14:paraId="1B578F49">
      <w:pPr>
        <w:spacing w:line="640" w:lineRule="exact"/>
        <w:ind w:firstLine="640"/>
        <w:jc w:val="both"/>
        <w:outlineLvl w:val="3"/>
      </w:pPr>
      <w:r>
        <w:rPr>
          <w:rFonts w:ascii="楷体_GB2312" w:hAnsi="楷体_GB2312" w:eastAsia="楷体_GB2312"/>
          <w:b/>
          <w:sz w:val="32"/>
        </w:rPr>
        <w:t>（三）国有资产占用情况说明</w:t>
      </w:r>
    </w:p>
    <w:p w14:paraId="5197F28F">
      <w:pPr>
        <w:spacing w:line="580" w:lineRule="exact"/>
        <w:ind w:firstLine="640"/>
        <w:jc w:val="both"/>
      </w:pPr>
      <w:r>
        <w:rPr>
          <w:rFonts w:ascii="仿宋_GB2312" w:hAnsi="仿宋_GB2312" w:eastAsia="仿宋_GB2312"/>
          <w:b w:val="0"/>
          <w:sz w:val="32"/>
        </w:rPr>
        <w:t>截至2024年12月31日，房屋0.00平方米，价值0.00万元。车辆1辆，价值33.25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35428FBF">
      <w:pPr>
        <w:spacing w:line="640" w:lineRule="exact"/>
        <w:ind w:firstLine="640"/>
        <w:jc w:val="both"/>
        <w:outlineLvl w:val="2"/>
      </w:pPr>
      <w:r>
        <w:rPr>
          <w:rFonts w:ascii="黑体" w:hAnsi="黑体" w:eastAsia="黑体"/>
          <w:sz w:val="32"/>
        </w:rPr>
        <w:t>十一、预算绩效的情况说明</w:t>
      </w:r>
    </w:p>
    <w:p w14:paraId="3583B9A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根据预算绩效管理要求，本单位2024年度预算绩效管理形成整体支出绩效自评表1个，全年预算总额600.80万元，实际执行总额600.80万元；预算绩效评价项目</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59.3</w:t>
      </w:r>
      <w:r>
        <w:rPr>
          <w:rFonts w:hint="eastAsia" w:ascii="仿宋_GB2312" w:hAnsi="仿宋_GB2312" w:eastAsia="仿宋_GB2312"/>
          <w:b w:val="0"/>
          <w:sz w:val="32"/>
          <w:lang w:val="en-US" w:eastAsia="zh-CN"/>
        </w:rPr>
        <w:t>0</w:t>
      </w:r>
      <w:r>
        <w:rPr>
          <w:rFonts w:ascii="仿宋_GB2312" w:hAnsi="仿宋_GB2312" w:eastAsia="仿宋_GB2312"/>
          <w:b w:val="0"/>
          <w:sz w:val="32"/>
        </w:rPr>
        <w:t>万元，全年执行数</w:t>
      </w:r>
      <w:r>
        <w:rPr>
          <w:rFonts w:hint="eastAsia" w:ascii="仿宋_GB2312" w:hAnsi="仿宋_GB2312" w:eastAsia="仿宋_GB2312"/>
          <w:b w:val="0"/>
          <w:sz w:val="32"/>
        </w:rPr>
        <w:t>57.8</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一是预算编制精准性提升，结合人大履职需求细化指标，资金投向更贴合监督、调研、代表服务等工作重点，执法检查、议案办理等核心任务保障有力。二是绩效监控机制完善，通过定期跟踪预算执行进度与绩效目标匹配度，及时发现并纠偏资金使用偏差，全年预算执行率达95%以上。发现的问题及原因：一是部分绩效指标设置不够细化，如“数据质量提升”等指标缺乏量化标准，导致考核评价针对性不足，原因是对绩效指标的科学性论证不够充分。二是绩效评价结果应用范围较窄，未完全与下年度预算编制深度挂钩，主要因评价结果反馈与预算调整机制衔接不够紧密。下一步改进措施：一是优化绩效指标体系，结合人大工作特点，将笼统指标拆解为可量化、可衡量的具体标准，强化指标与履职实效的关联性。二是健全绩效评价结果应用机制，建立评价结果与预算分配、工作安排的联动机制，将结果作为下年度预算安排的重要依据，提升资金使用效益。具体附整体支出绩效自评表，项目支出绩效自评表和评价报告。</w:t>
      </w:r>
    </w:p>
    <w:p w14:paraId="5455DD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7CF768">
        <w:tblPrEx>
          <w:tblCellMar>
            <w:top w:w="0" w:type="dxa"/>
            <w:left w:w="108" w:type="dxa"/>
            <w:bottom w:w="0" w:type="dxa"/>
            <w:right w:w="108" w:type="dxa"/>
          </w:tblCellMar>
        </w:tblPrEx>
        <w:tc>
          <w:tcPr>
            <w:tcW w:w="8847" w:type="dxa"/>
            <w:gridSpan w:val="9"/>
            <w:vAlign w:val="center"/>
          </w:tcPr>
          <w:p w14:paraId="2EB8632B">
            <w:pPr>
              <w:jc w:val="center"/>
            </w:pPr>
            <w:r>
              <w:rPr>
                <w:rFonts w:ascii="宋体" w:hAnsi="宋体" w:eastAsia="宋体"/>
                <w:sz w:val="24"/>
              </w:rPr>
              <w:t>单位整体支出绩效自评表</w:t>
            </w:r>
          </w:p>
        </w:tc>
      </w:tr>
      <w:tr w14:paraId="4534B019">
        <w:tblPrEx>
          <w:tblCellMar>
            <w:top w:w="0" w:type="dxa"/>
            <w:left w:w="108" w:type="dxa"/>
            <w:bottom w:w="0" w:type="dxa"/>
            <w:right w:w="108" w:type="dxa"/>
          </w:tblCellMar>
        </w:tblPrEx>
        <w:tc>
          <w:tcPr>
            <w:tcW w:w="8847" w:type="dxa"/>
            <w:gridSpan w:val="9"/>
            <w:vAlign w:val="center"/>
          </w:tcPr>
          <w:p w14:paraId="306CB546">
            <w:pPr>
              <w:jc w:val="center"/>
            </w:pPr>
            <w:r>
              <w:rPr>
                <w:rFonts w:ascii="宋体" w:hAnsi="宋体" w:eastAsia="宋体"/>
                <w:sz w:val="24"/>
              </w:rPr>
              <w:t>（2024年度）</w:t>
            </w:r>
          </w:p>
        </w:tc>
      </w:tr>
      <w:tr w14:paraId="0FF41B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AF76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FED7CA">
            <w:pPr>
              <w:jc w:val="center"/>
            </w:pPr>
            <w:r>
              <w:rPr>
                <w:rFonts w:ascii="宋体" w:hAnsi="宋体" w:eastAsia="宋体"/>
                <w:sz w:val="16"/>
              </w:rPr>
              <w:t>洛浦县人民代表大会常务委员会办公室</w:t>
            </w:r>
          </w:p>
        </w:tc>
      </w:tr>
      <w:tr w14:paraId="6D4EE0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196C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C97C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FF8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87B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9E06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041E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81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99266">
            <w:pPr>
              <w:jc w:val="center"/>
            </w:pPr>
            <w:r>
              <w:rPr>
                <w:rFonts w:ascii="宋体" w:hAnsi="宋体" w:eastAsia="宋体"/>
                <w:sz w:val="16"/>
              </w:rPr>
              <w:t>得分</w:t>
            </w:r>
          </w:p>
        </w:tc>
      </w:tr>
      <w:tr w14:paraId="203F1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BF0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6F4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476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23E2C">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F6842">
            <w:pPr>
              <w:jc w:val="center"/>
            </w:pPr>
            <w:r>
              <w:rPr>
                <w:rFonts w:ascii="宋体" w:hAnsi="宋体" w:eastAsia="宋体"/>
                <w:sz w:val="16"/>
              </w:rPr>
              <w:t>20.52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6DFF5">
            <w:pPr>
              <w:jc w:val="center"/>
            </w:pPr>
            <w:r>
              <w:rPr>
                <w:rFonts w:ascii="宋体" w:hAnsi="宋体" w:eastAsia="宋体"/>
                <w:sz w:val="16"/>
              </w:rPr>
              <w:t>20.52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E4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EAB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222E8">
            <w:pPr>
              <w:jc w:val="center"/>
            </w:pPr>
            <w:r>
              <w:rPr>
                <w:rFonts w:ascii="宋体" w:hAnsi="宋体" w:eastAsia="宋体"/>
                <w:sz w:val="16"/>
              </w:rPr>
              <w:t>-</w:t>
            </w:r>
          </w:p>
        </w:tc>
      </w:tr>
      <w:tr w14:paraId="28EAF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1ED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E4A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53E8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33CB5">
            <w:pPr>
              <w:jc w:val="center"/>
            </w:pPr>
            <w:r>
              <w:rPr>
                <w:rFonts w:ascii="宋体" w:hAnsi="宋体" w:eastAsia="宋体"/>
                <w:sz w:val="16"/>
              </w:rPr>
              <w:t>486.74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5E772">
            <w:pPr>
              <w:jc w:val="center"/>
            </w:pPr>
            <w:r>
              <w:rPr>
                <w:rFonts w:ascii="宋体" w:hAnsi="宋体" w:eastAsia="宋体"/>
                <w:sz w:val="16"/>
              </w:rPr>
              <w:t>580.28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A270">
            <w:pPr>
              <w:jc w:val="center"/>
            </w:pPr>
            <w:r>
              <w:rPr>
                <w:rFonts w:ascii="宋体" w:hAnsi="宋体" w:eastAsia="宋体"/>
                <w:sz w:val="16"/>
              </w:rPr>
              <w:t>580.28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918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B2D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1061">
            <w:pPr>
              <w:jc w:val="center"/>
            </w:pPr>
            <w:r>
              <w:rPr>
                <w:rFonts w:ascii="宋体" w:hAnsi="宋体" w:eastAsia="宋体"/>
                <w:sz w:val="16"/>
              </w:rPr>
              <w:t>-</w:t>
            </w:r>
          </w:p>
        </w:tc>
      </w:tr>
      <w:tr w14:paraId="48FA52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12B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1C2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165D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094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4C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F7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EAA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E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35F49">
            <w:pPr>
              <w:jc w:val="center"/>
            </w:pPr>
            <w:r>
              <w:rPr>
                <w:rFonts w:ascii="宋体" w:hAnsi="宋体" w:eastAsia="宋体"/>
                <w:sz w:val="16"/>
              </w:rPr>
              <w:t>-</w:t>
            </w:r>
          </w:p>
        </w:tc>
      </w:tr>
      <w:tr w14:paraId="62460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A4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C728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24F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C840">
            <w:pPr>
              <w:jc w:val="center"/>
            </w:pPr>
            <w:r>
              <w:rPr>
                <w:rFonts w:ascii="宋体" w:hAnsi="宋体" w:eastAsia="宋体"/>
                <w:sz w:val="16"/>
              </w:rPr>
              <w:t>495.74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C8D3">
            <w:pPr>
              <w:jc w:val="center"/>
            </w:pPr>
            <w:r>
              <w:rPr>
                <w:rFonts w:ascii="宋体" w:hAnsi="宋体" w:eastAsia="宋体"/>
                <w:sz w:val="16"/>
              </w:rPr>
              <w:t>600.80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DA7D">
            <w:pPr>
              <w:jc w:val="center"/>
            </w:pPr>
            <w:r>
              <w:rPr>
                <w:rFonts w:ascii="宋体" w:hAnsi="宋体" w:eastAsia="宋体"/>
                <w:sz w:val="16"/>
              </w:rPr>
              <w:t>600.80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C3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A9DA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4086">
            <w:pPr>
              <w:jc w:val="center"/>
            </w:pPr>
            <w:r>
              <w:rPr>
                <w:rFonts w:ascii="宋体" w:hAnsi="宋体" w:eastAsia="宋体"/>
                <w:sz w:val="16"/>
              </w:rPr>
              <w:t>10</w:t>
            </w:r>
          </w:p>
        </w:tc>
      </w:tr>
      <w:tr w14:paraId="5127051E">
        <w:tblPrEx>
          <w:tblCellMar>
            <w:top w:w="0" w:type="dxa"/>
            <w:left w:w="108" w:type="dxa"/>
            <w:bottom w:w="0" w:type="dxa"/>
            <w:right w:w="108" w:type="dxa"/>
          </w:tblCellMar>
        </w:tblPrEx>
        <w:trPr>
          <w:trHeight w:val="32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661E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6B0A1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D6377C">
            <w:pPr>
              <w:jc w:val="center"/>
            </w:pPr>
            <w:r>
              <w:rPr>
                <w:rFonts w:ascii="宋体" w:hAnsi="宋体" w:eastAsia="宋体"/>
                <w:sz w:val="16"/>
              </w:rPr>
              <w:t>实际完成情况</w:t>
            </w:r>
          </w:p>
        </w:tc>
      </w:tr>
      <w:tr w14:paraId="02A59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43F9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44BD10">
            <w:pPr>
              <w:jc w:val="both"/>
            </w:pPr>
            <w:r>
              <w:rPr>
                <w:rFonts w:ascii="宋体" w:hAnsi="宋体" w:eastAsia="宋体"/>
                <w:sz w:val="16"/>
              </w:rPr>
              <w:t>单位基本职能：在本行政区域内，保证宪法、法律、行政法规和上级 人民代表大会及其常务委员会决议的遵守和执行；领导、主持本级人民代表大会代表的选举；召集本级人民代表大会会议；决定本行政区域的政治、经济、教育、科学、文化 、卫生、环境和资源保护、民政、民族工作的重大事项；根据县人民政府的建议，决定对本行政区域内的</w:t>
            </w:r>
            <w:r>
              <w:rPr>
                <w:rFonts w:hint="eastAsia" w:ascii="宋体" w:hAnsi="宋体"/>
                <w:sz w:val="16"/>
                <w:lang w:eastAsia="zh-CN"/>
              </w:rPr>
              <w:t>国民经济和社会发展计划</w:t>
            </w:r>
            <w:r>
              <w:rPr>
                <w:rFonts w:ascii="宋体" w:hAnsi="宋体" w:eastAsia="宋体"/>
                <w:sz w:val="16"/>
              </w:rPr>
              <w:t xml:space="preserve">、预算的部分变更；审查和批准 本级财政决算；监督本级人民政府、人民法院和人民检察院的工作 ，联系本级人民代表大会代表，受理人民群众对上述机 关和国家工作人员的申诉和意见；闭会期间，决定副县长的个别任免；在县长和县人 民法院院长、人民检察院检察长因故不能担任职务的时 候，从县人民政府、人民法院、人民检察院副职领导成 员中决定代理的人选；决定代理检察长，须报上一级人民检察院和人民代表大会常务委员会备案；根据县长的提名，决定县人民政府组成部门负责 人的任免,报上一级人民政府备案；按照人民法院组织法和人民检察院组织法的规定 ,任免县人民法院副院长、庭长、副庭长、审判委员会委员、审判员，任免县人民检察院副检察长、检察委员会 委员、检察员；闭会期间，决定撤销个别副县长的职务；决定撤 销由它任命的县人民政府其他组成人员和县人民法院副 院长、庭长、副庭长、审判委员会委员、审判员，县人 民检察院副检察长、检察委员会委员、检察员的职务。闭会期间，补选出席自治区人民代表大会出缺的 代表和罢免个别代表。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机构设置及人员配置：无下属预算单位，1个办公室，4个委员会，1个预算联网监督中心，编制数20名，其中：行政编制14人，工勤编制4人、事业编制2人。实有人数48人，在职19人，退休29人。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中长期规划：我县三级人大代表培训、视察、专题调研、执法检查等</w:t>
            </w:r>
            <w:r>
              <w:rPr>
                <w:rFonts w:hint="eastAsia" w:ascii="宋体" w:hAnsi="宋体"/>
                <w:sz w:val="16"/>
                <w:lang w:eastAsia="zh-CN"/>
              </w:rPr>
              <w:t>。</w:t>
            </w:r>
            <w:r>
              <w:rPr>
                <w:rFonts w:ascii="宋体" w:hAnsi="宋体" w:eastAsia="宋体"/>
                <w:sz w:val="16"/>
              </w:rPr>
              <w:t>有效提升人民代表参政议政水平，持续提高人大代表素质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目标1：保障单位在职19人，退休29人的工资福利及各项补助正常发放及部门正常运转；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目标2：保障单位预算项目按计划实施，通过本项目的实施，有效提升人民代表参政议政水平，持续提高人大代表素质，争取使受益参会人员及受益群众满意度达到95%以上。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47E5CC">
            <w:pPr>
              <w:jc w:val="both"/>
            </w:pPr>
            <w:r>
              <w:rPr>
                <w:rFonts w:ascii="宋体" w:hAnsi="宋体" w:eastAsia="宋体"/>
                <w:sz w:val="16"/>
              </w:rPr>
              <w:t>已完成我县三级人大代表培训、视察、专题调研、执法检查等</w:t>
            </w:r>
            <w:r>
              <w:rPr>
                <w:rFonts w:hint="eastAsia" w:ascii="宋体" w:hAnsi="宋体"/>
                <w:sz w:val="16"/>
                <w:lang w:eastAsia="zh-CN"/>
              </w:rPr>
              <w:t>。</w:t>
            </w:r>
            <w:r>
              <w:rPr>
                <w:rFonts w:ascii="宋体" w:hAnsi="宋体" w:eastAsia="宋体"/>
                <w:sz w:val="16"/>
              </w:rPr>
              <w:t>有效提升人民代表参政议政水平，持续提高人大代表素质，保障单位在职21人，退休30人的工资福利及各项补助正常发放及部门正常运转；单位预算项目按计划实施，组织代表培训11次，听取和审议专项工作报告次数27次，召开洛浦县十八届人民代表大会第五次会议。有效提升人民代表参政议政水平，持续提高人大代表素质。</w:t>
            </w:r>
          </w:p>
        </w:tc>
      </w:tr>
      <w:tr w14:paraId="4F53E2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A2B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835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6A95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3F7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8A6F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2C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712B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3911B">
            <w:pPr>
              <w:jc w:val="center"/>
            </w:pPr>
            <w:r>
              <w:rPr>
                <w:rFonts w:ascii="宋体" w:hAnsi="宋体" w:eastAsia="宋体"/>
                <w:sz w:val="16"/>
              </w:rPr>
              <w:t>得分</w:t>
            </w:r>
          </w:p>
        </w:tc>
      </w:tr>
      <w:tr w14:paraId="3D99CC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8B73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62EF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C1A20">
            <w:pPr>
              <w:jc w:val="center"/>
            </w:pPr>
            <w:r>
              <w:rPr>
                <w:rFonts w:ascii="宋体" w:hAnsi="宋体" w:eastAsia="宋体"/>
                <w:sz w:val="16"/>
              </w:rPr>
              <w:t>组织代表培训次数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23689">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B4F5">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59D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81498">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AEC51">
            <w:pPr>
              <w:jc w:val="center"/>
            </w:pPr>
            <w:r>
              <w:rPr>
                <w:rFonts w:ascii="宋体" w:hAnsi="宋体" w:eastAsia="宋体"/>
                <w:sz w:val="16"/>
              </w:rPr>
              <w:t>30</w:t>
            </w:r>
          </w:p>
        </w:tc>
      </w:tr>
      <w:tr w14:paraId="11F3FE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BFD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AFD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3C22">
            <w:pPr>
              <w:jc w:val="center"/>
            </w:pPr>
            <w:r>
              <w:rPr>
                <w:rFonts w:ascii="宋体" w:hAnsi="宋体" w:eastAsia="宋体"/>
                <w:sz w:val="16"/>
              </w:rPr>
              <w:t>听取和审议专项工作报告次数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6F3ED">
            <w:pPr>
              <w:jc w:val="center"/>
            </w:pPr>
            <w:r>
              <w:rPr>
                <w:rFonts w:ascii="宋体" w:hAnsi="宋体" w:eastAsia="宋体"/>
                <w:sz w:val="16"/>
              </w:rPr>
              <w:t>&gt;=25次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9938">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0235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B4EE8">
            <w:pPr>
              <w:jc w:val="center"/>
            </w:pPr>
            <w:r>
              <w:rPr>
                <w:rFonts w:ascii="宋体" w:hAnsi="宋体" w:eastAsia="宋体"/>
                <w:sz w:val="16"/>
              </w:rPr>
              <w:t>27次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A7DD0">
            <w:pPr>
              <w:jc w:val="center"/>
            </w:pPr>
            <w:r>
              <w:rPr>
                <w:rFonts w:ascii="宋体" w:hAnsi="宋体" w:eastAsia="宋体"/>
                <w:sz w:val="16"/>
              </w:rPr>
              <w:t>30</w:t>
            </w:r>
          </w:p>
        </w:tc>
      </w:tr>
      <w:tr w14:paraId="50DBFF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4D9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65A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71198">
            <w:pPr>
              <w:jc w:val="center"/>
            </w:pPr>
            <w:r>
              <w:rPr>
                <w:rFonts w:ascii="宋体" w:hAnsi="宋体" w:eastAsia="宋体"/>
                <w:sz w:val="16"/>
              </w:rPr>
              <w:t>召开洛浦县十八届人大五次会议次数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9A4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319B">
            <w:pPr>
              <w:jc w:val="center"/>
            </w:pPr>
            <w:r>
              <w:rPr>
                <w:rFonts w:ascii="宋体" w:hAnsi="宋体" w:eastAsia="宋体"/>
                <w:sz w:val="16"/>
              </w:rPr>
              <w:t>2024年工作要点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1683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60A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6B99C">
            <w:pPr>
              <w:jc w:val="center"/>
            </w:pPr>
            <w:r>
              <w:rPr>
                <w:rFonts w:ascii="宋体" w:hAnsi="宋体" w:eastAsia="宋体"/>
                <w:sz w:val="16"/>
              </w:rPr>
              <w:t>30</w:t>
            </w:r>
          </w:p>
        </w:tc>
      </w:tr>
    </w:tbl>
    <w:p w14:paraId="6E9FB97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17E8C2">
        <w:tblPrEx>
          <w:tblCellMar>
            <w:top w:w="0" w:type="dxa"/>
            <w:left w:w="108" w:type="dxa"/>
            <w:bottom w:w="0" w:type="dxa"/>
            <w:right w:w="108" w:type="dxa"/>
          </w:tblCellMar>
        </w:tblPrEx>
        <w:tc>
          <w:tcPr>
            <w:tcW w:w="8847" w:type="dxa"/>
            <w:gridSpan w:val="9"/>
            <w:vAlign w:val="center"/>
          </w:tcPr>
          <w:p w14:paraId="45355D1A">
            <w:pPr>
              <w:jc w:val="center"/>
            </w:pPr>
            <w:r>
              <w:rPr>
                <w:rFonts w:ascii="宋体" w:hAnsi="宋体" w:eastAsia="宋体"/>
                <w:sz w:val="24"/>
              </w:rPr>
              <w:t>项目支出绩效自评表</w:t>
            </w:r>
          </w:p>
        </w:tc>
      </w:tr>
      <w:tr w14:paraId="1D2E2822">
        <w:tblPrEx>
          <w:tblCellMar>
            <w:top w:w="0" w:type="dxa"/>
            <w:left w:w="108" w:type="dxa"/>
            <w:bottom w:w="0" w:type="dxa"/>
            <w:right w:w="108" w:type="dxa"/>
          </w:tblCellMar>
        </w:tblPrEx>
        <w:tc>
          <w:tcPr>
            <w:tcW w:w="8847" w:type="dxa"/>
            <w:gridSpan w:val="9"/>
            <w:vAlign w:val="center"/>
          </w:tcPr>
          <w:p w14:paraId="3C563C22">
            <w:pPr>
              <w:jc w:val="center"/>
            </w:pPr>
            <w:r>
              <w:rPr>
                <w:rFonts w:ascii="宋体" w:hAnsi="宋体" w:eastAsia="宋体"/>
                <w:sz w:val="24"/>
              </w:rPr>
              <w:t>(2024年度)</w:t>
            </w:r>
          </w:p>
        </w:tc>
      </w:tr>
      <w:tr w14:paraId="528CD6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86F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ABD4AB">
            <w:pPr>
              <w:jc w:val="center"/>
            </w:pPr>
            <w:r>
              <w:rPr>
                <w:rFonts w:ascii="宋体" w:hAnsi="宋体" w:eastAsia="宋体"/>
                <w:sz w:val="16"/>
              </w:rPr>
              <w:t>2024年度自治区基层人大补助经费</w:t>
            </w:r>
          </w:p>
        </w:tc>
      </w:tr>
      <w:tr w14:paraId="08D7A7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A0D5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A143AA">
            <w:pPr>
              <w:jc w:val="center"/>
            </w:pPr>
            <w:r>
              <w:rPr>
                <w:rFonts w:ascii="宋体" w:hAnsi="宋体" w:eastAsia="宋体"/>
                <w:sz w:val="16"/>
              </w:rPr>
              <w:t>洛浦县人民代表大会常务委员会办公室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365D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1FB19F">
            <w:pPr>
              <w:jc w:val="center"/>
            </w:pPr>
            <w:r>
              <w:rPr>
                <w:rFonts w:ascii="宋体" w:hAnsi="宋体" w:eastAsia="宋体"/>
                <w:sz w:val="16"/>
              </w:rPr>
              <w:t>洛浦县人民代表大会常务委员会办公室</w:t>
            </w:r>
          </w:p>
        </w:tc>
      </w:tr>
      <w:tr w14:paraId="4C0A06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613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D39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696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1A0F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5C05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795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50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63208">
            <w:pPr>
              <w:jc w:val="center"/>
            </w:pPr>
            <w:r>
              <w:rPr>
                <w:rFonts w:ascii="宋体" w:hAnsi="宋体" w:eastAsia="宋体"/>
                <w:sz w:val="16"/>
              </w:rPr>
              <w:t>得分</w:t>
            </w:r>
          </w:p>
        </w:tc>
      </w:tr>
      <w:tr w14:paraId="6FF181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99BC1">
            <w:bookmarkStart w:id="0" w:name="_GoBack" w:colFirst="4" w:colLast="5"/>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E3F4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3F7A">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DFDE">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B3F72">
            <w:pPr>
              <w:jc w:val="center"/>
            </w:pPr>
            <w:r>
              <w:rPr>
                <w:rFonts w:ascii="宋体" w:hAnsi="宋体" w:eastAsia="宋体"/>
                <w:sz w:val="16"/>
              </w:rPr>
              <w:t>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CEF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619CD">
            <w:pPr>
              <w:jc w:val="center"/>
            </w:pPr>
            <w:r>
              <w:rPr>
                <w:rFonts w:ascii="宋体" w:hAnsi="宋体" w:eastAsia="宋体"/>
                <w:sz w:val="16"/>
              </w:rPr>
              <w:t xml:space="preserve">83.33%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9B557">
            <w:pPr>
              <w:jc w:val="center"/>
            </w:pPr>
            <w:r>
              <w:rPr>
                <w:rFonts w:ascii="宋体" w:hAnsi="宋体" w:eastAsia="宋体"/>
                <w:sz w:val="16"/>
              </w:rPr>
              <w:t>5.83分</w:t>
            </w:r>
          </w:p>
        </w:tc>
      </w:tr>
      <w:bookmarkEnd w:id="0"/>
      <w:tr w14:paraId="2D02C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65F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740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66D4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34F87">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F211">
            <w:pPr>
              <w:jc w:val="center"/>
            </w:pPr>
            <w:r>
              <w:rPr>
                <w:rFonts w:ascii="宋体" w:hAnsi="宋体" w:eastAsia="宋体"/>
                <w:sz w:val="16"/>
              </w:rPr>
              <w:t>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64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E0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C52F">
            <w:pPr>
              <w:jc w:val="center"/>
            </w:pPr>
            <w:r>
              <w:rPr>
                <w:rFonts w:ascii="宋体" w:hAnsi="宋体" w:eastAsia="宋体"/>
                <w:sz w:val="16"/>
              </w:rPr>
              <w:t>—</w:t>
            </w:r>
          </w:p>
        </w:tc>
      </w:tr>
      <w:tr w14:paraId="0D6316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11A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00FD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F0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0E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475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FF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3F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3E5C6">
            <w:pPr>
              <w:jc w:val="center"/>
            </w:pPr>
            <w:r>
              <w:rPr>
                <w:rFonts w:ascii="宋体" w:hAnsi="宋体" w:eastAsia="宋体"/>
                <w:sz w:val="16"/>
              </w:rPr>
              <w:t>—</w:t>
            </w:r>
          </w:p>
        </w:tc>
      </w:tr>
      <w:tr w14:paraId="5FAE9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F0B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CEDC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741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5A1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981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1E2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B2E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188B">
            <w:pPr>
              <w:jc w:val="center"/>
            </w:pPr>
            <w:r>
              <w:rPr>
                <w:rFonts w:ascii="宋体" w:hAnsi="宋体" w:eastAsia="宋体"/>
                <w:sz w:val="16"/>
              </w:rPr>
              <w:t>—</w:t>
            </w:r>
          </w:p>
        </w:tc>
      </w:tr>
      <w:tr w14:paraId="391BB0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22E6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66F6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613B29">
            <w:pPr>
              <w:jc w:val="center"/>
            </w:pPr>
            <w:r>
              <w:rPr>
                <w:rFonts w:ascii="宋体" w:hAnsi="宋体" w:eastAsia="宋体"/>
                <w:sz w:val="16"/>
              </w:rPr>
              <w:t>实际完成情况</w:t>
            </w:r>
          </w:p>
        </w:tc>
      </w:tr>
      <w:tr w14:paraId="61B52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27B2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6B450">
            <w:pPr>
              <w:jc w:val="both"/>
            </w:pPr>
            <w:r>
              <w:rPr>
                <w:rFonts w:ascii="宋体" w:hAnsi="宋体" w:eastAsia="宋体"/>
                <w:sz w:val="16"/>
              </w:rPr>
              <w:t>根据和地财行</w:t>
            </w:r>
            <w:r>
              <w:rPr>
                <w:rFonts w:hint="eastAsia" w:ascii="宋体" w:hAnsi="宋体"/>
                <w:sz w:val="16"/>
                <w:lang w:eastAsia="zh-CN"/>
              </w:rPr>
              <w:t>〔2023〕40号</w:t>
            </w:r>
            <w:r>
              <w:rPr>
                <w:rFonts w:ascii="宋体" w:hAnsi="宋体" w:eastAsia="宋体"/>
                <w:sz w:val="16"/>
              </w:rPr>
              <w:t>文件实施此项目，主要内容为：补助县代表“室”1个，补助乡镇（街道）代表“站”10个，补助村代表联络站34个。通过项目实施，贯彻落实中央人大工作会议精神和自治区党委实施意见，体现自治区党委对基层人大工作的重视和关心，通过自治区给予经费补助，弥补基层人大建设中经费不足，全面加强基层人大建设，</w:t>
            </w:r>
            <w:r>
              <w:rPr>
                <w:rFonts w:hint="eastAsia" w:ascii="宋体" w:hAnsi="宋体"/>
                <w:sz w:val="16"/>
                <w:lang w:eastAsia="zh-CN"/>
              </w:rPr>
              <w:t>保障</w:t>
            </w:r>
            <w:r>
              <w:rPr>
                <w:rFonts w:ascii="宋体" w:hAnsi="宋体" w:eastAsia="宋体"/>
                <w:sz w:val="16"/>
              </w:rPr>
              <w:t>基层人大建设代表“家室站”建设，开展立法监督等工作，改善办公条件等，更好支持基层国家权力机关发挥作用。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789809">
            <w:pPr>
              <w:jc w:val="both"/>
            </w:pPr>
            <w:r>
              <w:rPr>
                <w:rFonts w:ascii="宋体" w:hAnsi="宋体" w:eastAsia="宋体"/>
                <w:sz w:val="16"/>
              </w:rPr>
              <w:t>补助县代表“室”1个，补助乡镇（街道）代表“站”10个，补助村代表联络站34个。通过项目实施，贯彻落实中央人大工作会议精神和自治区党委实施意见，体现</w:t>
            </w:r>
            <w:r>
              <w:rPr>
                <w:rFonts w:hint="eastAsia" w:ascii="宋体" w:hAnsi="宋体"/>
                <w:sz w:val="16"/>
                <w:lang w:eastAsia="zh-CN"/>
              </w:rPr>
              <w:t>截至</w:t>
            </w:r>
            <w:r>
              <w:rPr>
                <w:rFonts w:ascii="宋体" w:hAnsi="宋体" w:eastAsia="宋体"/>
                <w:sz w:val="16"/>
              </w:rPr>
              <w:t>2024年12月31日，该项目支出7.5万元，剩余资金结转至2025年使用。自治区党委对基层人大工作的重视和关心，通过自治区给予经费补助，弥补基层人大建设中经费不足，全面加强基层人大建设，保险基层人大建设代表“家室站”建设，开展立法监督等工作，改善办公条件等，更好支持基层国家权力机关发挥作用。</w:t>
            </w:r>
          </w:p>
        </w:tc>
      </w:tr>
      <w:tr w14:paraId="5AA24F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E997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C04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F6FC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CE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9E5F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61E1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85A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450D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CDD7E">
            <w:pPr>
              <w:jc w:val="center"/>
            </w:pPr>
            <w:r>
              <w:rPr>
                <w:rFonts w:ascii="宋体" w:hAnsi="宋体" w:eastAsia="宋体"/>
                <w:sz w:val="16"/>
              </w:rPr>
              <w:t>偏差原因分析及改进措施</w:t>
            </w:r>
          </w:p>
        </w:tc>
      </w:tr>
      <w:tr w14:paraId="270E57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F14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EA68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C13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4516C">
            <w:pPr>
              <w:jc w:val="center"/>
            </w:pPr>
            <w:r>
              <w:rPr>
                <w:rFonts w:ascii="宋体" w:hAnsi="宋体" w:eastAsia="宋体"/>
                <w:sz w:val="16"/>
              </w:rPr>
              <w:t>县代表“室”数量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1110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7159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AD8F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51A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8A32">
            <w:pPr>
              <w:jc w:val="center"/>
            </w:pPr>
          </w:p>
        </w:tc>
      </w:tr>
      <w:tr w14:paraId="0524D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B8F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C22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A19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B7F44">
            <w:pPr>
              <w:jc w:val="center"/>
            </w:pPr>
            <w:r>
              <w:rPr>
                <w:rFonts w:ascii="宋体" w:hAnsi="宋体" w:eastAsia="宋体"/>
                <w:sz w:val="16"/>
              </w:rPr>
              <w:t>乡镇（街道）代表“站”数量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2C78">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37E0C">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2DB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AC28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06443">
            <w:pPr>
              <w:jc w:val="center"/>
            </w:pPr>
          </w:p>
        </w:tc>
      </w:tr>
      <w:tr w14:paraId="441A1A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86A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A5C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177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27817">
            <w:pPr>
              <w:jc w:val="center"/>
            </w:pPr>
            <w:r>
              <w:rPr>
                <w:rFonts w:ascii="宋体" w:hAnsi="宋体" w:eastAsia="宋体"/>
                <w:sz w:val="16"/>
              </w:rPr>
              <w:t>村代表联络站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6D78">
            <w:pPr>
              <w:jc w:val="center"/>
            </w:pPr>
            <w:r>
              <w:rPr>
                <w:rFonts w:ascii="宋体" w:hAnsi="宋体" w:eastAsia="宋体"/>
                <w:sz w:val="16"/>
              </w:rPr>
              <w:t>&gt;=34个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973F3">
            <w:pPr>
              <w:jc w:val="center"/>
            </w:pPr>
            <w:r>
              <w:rPr>
                <w:rFonts w:ascii="宋体" w:hAnsi="宋体" w:eastAsia="宋体"/>
                <w:sz w:val="16"/>
              </w:rPr>
              <w:t>=34个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8A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6B3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008A">
            <w:pPr>
              <w:jc w:val="center"/>
            </w:pPr>
          </w:p>
        </w:tc>
      </w:tr>
      <w:tr w14:paraId="2F6A5C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71A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D4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0F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5FB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A84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7E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13C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29AA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4A6F">
            <w:pPr>
              <w:jc w:val="center"/>
            </w:pPr>
          </w:p>
        </w:tc>
      </w:tr>
      <w:tr w14:paraId="29424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DC2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76DA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363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A734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E31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D192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49E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11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9F69">
            <w:pPr>
              <w:jc w:val="center"/>
            </w:pPr>
          </w:p>
        </w:tc>
      </w:tr>
      <w:tr w14:paraId="138E0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AE3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93B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237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F34C1">
            <w:pPr>
              <w:jc w:val="center"/>
            </w:pPr>
            <w:r>
              <w:rPr>
                <w:rFonts w:ascii="宋体" w:hAnsi="宋体" w:eastAsia="宋体"/>
                <w:sz w:val="16"/>
              </w:rPr>
              <w:t>补助经费拨付完成率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3CD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FE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3E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786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EEC4">
            <w:pPr>
              <w:jc w:val="center"/>
            </w:pPr>
          </w:p>
        </w:tc>
      </w:tr>
      <w:tr w14:paraId="174D65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7BF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E1B8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FC4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0B532">
            <w:pPr>
              <w:jc w:val="center"/>
            </w:pPr>
            <w:r>
              <w:rPr>
                <w:rFonts w:ascii="宋体" w:hAnsi="宋体" w:eastAsia="宋体"/>
                <w:sz w:val="16"/>
              </w:rPr>
              <w:t>家室站建设费用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7CA77">
            <w:pPr>
              <w:jc w:val="center"/>
            </w:pPr>
            <w:r>
              <w:rPr>
                <w:rFonts w:ascii="宋体" w:hAnsi="宋体" w:eastAsia="宋体"/>
                <w:sz w:val="16"/>
              </w:rPr>
              <w:t>&lt;=1.42万元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7E165">
            <w:pPr>
              <w:jc w:val="center"/>
            </w:pPr>
            <w:r>
              <w:rPr>
                <w:rFonts w:ascii="宋体" w:hAnsi="宋体" w:eastAsia="宋体"/>
                <w:sz w:val="16"/>
              </w:rPr>
              <w:t>=1.15万元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EBA1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1BB2">
            <w:pPr>
              <w:jc w:val="center"/>
            </w:pPr>
            <w:r>
              <w:rPr>
                <w:rFonts w:ascii="宋体" w:hAnsi="宋体" w:eastAsia="宋体"/>
                <w:sz w:val="16"/>
              </w:rPr>
              <w:t>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49327">
            <w:pPr>
              <w:jc w:val="center"/>
            </w:pPr>
          </w:p>
        </w:tc>
      </w:tr>
      <w:tr w14:paraId="5F7DF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423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3FF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1DF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BD970">
            <w:pPr>
              <w:jc w:val="center"/>
            </w:pPr>
            <w:r>
              <w:rPr>
                <w:rFonts w:ascii="宋体" w:hAnsi="宋体" w:eastAsia="宋体"/>
                <w:sz w:val="16"/>
              </w:rPr>
              <w:t>弥补办公经费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7D407">
            <w:pPr>
              <w:jc w:val="center"/>
            </w:pPr>
            <w:r>
              <w:rPr>
                <w:rFonts w:ascii="宋体" w:hAnsi="宋体" w:eastAsia="宋体"/>
                <w:sz w:val="16"/>
              </w:rPr>
              <w:t>&lt;=5.58万元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4D482">
            <w:pPr>
              <w:jc w:val="center"/>
            </w:pPr>
            <w:r>
              <w:rPr>
                <w:rFonts w:ascii="宋体" w:hAnsi="宋体" w:eastAsia="宋体"/>
                <w:sz w:val="16"/>
              </w:rPr>
              <w:t>=5.23万元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C1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351B1">
            <w:pPr>
              <w:jc w:val="center"/>
            </w:pPr>
            <w:r>
              <w:rPr>
                <w:rFonts w:ascii="宋体" w:hAnsi="宋体" w:eastAsia="宋体"/>
                <w:sz w:val="16"/>
              </w:rPr>
              <w:t>6.74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0CF9">
            <w:pPr>
              <w:jc w:val="center"/>
            </w:pPr>
          </w:p>
        </w:tc>
      </w:tr>
      <w:tr w14:paraId="63945D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C2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9D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52A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53EE">
            <w:pPr>
              <w:jc w:val="center"/>
            </w:pPr>
            <w:r>
              <w:rPr>
                <w:rFonts w:ascii="宋体" w:hAnsi="宋体" w:eastAsia="宋体"/>
                <w:sz w:val="16"/>
              </w:rPr>
              <w:t>保障车辆运行费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AC22">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3FF21">
            <w:pPr>
              <w:jc w:val="center"/>
            </w:pPr>
            <w:r>
              <w:rPr>
                <w:rFonts w:ascii="宋体" w:hAnsi="宋体" w:eastAsia="宋体"/>
                <w:sz w:val="16"/>
              </w:rPr>
              <w:t>=1.12万元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338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8CE9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EA67">
            <w:pPr>
              <w:jc w:val="center"/>
            </w:pPr>
          </w:p>
        </w:tc>
      </w:tr>
      <w:tr w14:paraId="1833D1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9A4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534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5887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BED1">
            <w:pPr>
              <w:jc w:val="center"/>
            </w:pPr>
            <w:r>
              <w:rPr>
                <w:rFonts w:ascii="宋体" w:hAnsi="宋体" w:eastAsia="宋体"/>
                <w:sz w:val="16"/>
              </w:rPr>
              <w:t>改善基层人大和家室站办公环境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7221D">
            <w:pPr>
              <w:jc w:val="center"/>
            </w:pPr>
            <w:r>
              <w:rPr>
                <w:rFonts w:ascii="宋体" w:hAnsi="宋体" w:eastAsia="宋体"/>
                <w:sz w:val="16"/>
              </w:rPr>
              <w:t>有所改善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83FE">
            <w:pPr>
              <w:jc w:val="center"/>
            </w:pPr>
            <w:r>
              <w:rPr>
                <w:rFonts w:ascii="宋体" w:hAnsi="宋体" w:eastAsia="宋体"/>
                <w:sz w:val="16"/>
              </w:rPr>
              <w:t>有所改善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7F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900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17D3">
            <w:pPr>
              <w:jc w:val="center"/>
            </w:pPr>
          </w:p>
        </w:tc>
      </w:tr>
      <w:tr w14:paraId="04CF60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8FE9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16255">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2AC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C443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16A0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13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57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4C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D80EE">
            <w:pPr>
              <w:jc w:val="center"/>
            </w:pPr>
          </w:p>
        </w:tc>
      </w:tr>
      <w:tr w14:paraId="356FD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AB2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BD0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E21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DDD51">
            <w:pPr>
              <w:jc w:val="center"/>
            </w:pPr>
            <w:r>
              <w:rPr>
                <w:rFonts w:ascii="宋体" w:hAnsi="宋体" w:eastAsia="宋体"/>
                <w:sz w:val="16"/>
              </w:rPr>
              <w:t>受益干部职工满意度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818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BEB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E4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575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491BB">
            <w:pPr>
              <w:jc w:val="center"/>
            </w:pPr>
          </w:p>
        </w:tc>
      </w:tr>
      <w:tr w14:paraId="4FB8925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7305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C635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442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65856">
            <w:pPr>
              <w:jc w:val="center"/>
            </w:pPr>
            <w:r>
              <w:rPr>
                <w:rFonts w:ascii="宋体" w:hAnsi="宋体" w:eastAsia="宋体"/>
                <w:sz w:val="16"/>
              </w:rPr>
              <w:t>85.71分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5D2EC0"/>
        </w:tc>
      </w:tr>
    </w:tbl>
    <w:p w14:paraId="2CFEAD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CDED60">
        <w:tblPrEx>
          <w:tblCellMar>
            <w:top w:w="0" w:type="dxa"/>
            <w:left w:w="108" w:type="dxa"/>
            <w:bottom w:w="0" w:type="dxa"/>
            <w:right w:w="108" w:type="dxa"/>
          </w:tblCellMar>
        </w:tblPrEx>
        <w:tc>
          <w:tcPr>
            <w:tcW w:w="8847" w:type="dxa"/>
            <w:gridSpan w:val="9"/>
            <w:vAlign w:val="center"/>
          </w:tcPr>
          <w:p w14:paraId="12FA1C48">
            <w:pPr>
              <w:jc w:val="center"/>
            </w:pPr>
            <w:r>
              <w:rPr>
                <w:rFonts w:ascii="宋体" w:hAnsi="宋体" w:eastAsia="宋体"/>
                <w:sz w:val="24"/>
              </w:rPr>
              <w:t>项目支出绩效自评表</w:t>
            </w:r>
          </w:p>
        </w:tc>
      </w:tr>
      <w:tr w14:paraId="1F65DD98">
        <w:tblPrEx>
          <w:tblCellMar>
            <w:top w:w="0" w:type="dxa"/>
            <w:left w:w="108" w:type="dxa"/>
            <w:bottom w:w="0" w:type="dxa"/>
            <w:right w:w="108" w:type="dxa"/>
          </w:tblCellMar>
        </w:tblPrEx>
        <w:tc>
          <w:tcPr>
            <w:tcW w:w="8847" w:type="dxa"/>
            <w:gridSpan w:val="9"/>
            <w:vAlign w:val="center"/>
          </w:tcPr>
          <w:p w14:paraId="60D27E05">
            <w:pPr>
              <w:jc w:val="center"/>
            </w:pPr>
            <w:r>
              <w:rPr>
                <w:rFonts w:ascii="宋体" w:hAnsi="宋体" w:eastAsia="宋体"/>
                <w:sz w:val="24"/>
              </w:rPr>
              <w:t>(2024年度)</w:t>
            </w:r>
          </w:p>
        </w:tc>
      </w:tr>
      <w:tr w14:paraId="67A064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6DB8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3FCC6C">
            <w:pPr>
              <w:jc w:val="center"/>
            </w:pPr>
            <w:r>
              <w:rPr>
                <w:rFonts w:ascii="宋体" w:hAnsi="宋体" w:eastAsia="宋体"/>
                <w:sz w:val="16"/>
              </w:rPr>
              <w:t>洛浦县十八届人民代表大会第五次会议经费</w:t>
            </w:r>
          </w:p>
        </w:tc>
      </w:tr>
      <w:tr w14:paraId="390242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66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AF0835">
            <w:pPr>
              <w:jc w:val="center"/>
            </w:pPr>
            <w:r>
              <w:rPr>
                <w:rFonts w:ascii="宋体" w:hAnsi="宋体" w:eastAsia="宋体"/>
                <w:sz w:val="16"/>
              </w:rPr>
              <w:t>洛浦县人民代表大会常务委员会办公室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407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993A3E">
            <w:pPr>
              <w:jc w:val="center"/>
            </w:pPr>
            <w:r>
              <w:rPr>
                <w:rFonts w:ascii="宋体" w:hAnsi="宋体" w:eastAsia="宋体"/>
                <w:sz w:val="16"/>
              </w:rPr>
              <w:t>洛浦县人民代表大会常务委员会办公室</w:t>
            </w:r>
          </w:p>
        </w:tc>
      </w:tr>
      <w:tr w14:paraId="3379C2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B449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A0BC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0BE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C38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F9F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BE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534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F0D0B">
            <w:pPr>
              <w:jc w:val="center"/>
            </w:pPr>
            <w:r>
              <w:rPr>
                <w:rFonts w:ascii="宋体" w:hAnsi="宋体" w:eastAsia="宋体"/>
                <w:sz w:val="16"/>
              </w:rPr>
              <w:t>得分</w:t>
            </w:r>
          </w:p>
        </w:tc>
      </w:tr>
      <w:tr w14:paraId="2A087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243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3C38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9AE8">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9AF39">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ACAD9">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440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5CB4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CFAB5">
            <w:pPr>
              <w:jc w:val="center"/>
            </w:pPr>
            <w:r>
              <w:rPr>
                <w:rFonts w:ascii="宋体" w:hAnsi="宋体" w:eastAsia="宋体"/>
                <w:sz w:val="16"/>
              </w:rPr>
              <w:t>10.00分</w:t>
            </w:r>
          </w:p>
        </w:tc>
      </w:tr>
      <w:tr w14:paraId="68FD1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892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998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7780">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03FB7">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1B031">
            <w:pPr>
              <w:jc w:val="center"/>
            </w:pPr>
            <w:r>
              <w:rPr>
                <w:rFonts w:ascii="宋体" w:hAnsi="宋体" w:eastAsia="宋体"/>
                <w:sz w:val="16"/>
              </w:rPr>
              <w:t>37.28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074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C29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EB554">
            <w:pPr>
              <w:jc w:val="center"/>
            </w:pPr>
            <w:r>
              <w:rPr>
                <w:rFonts w:ascii="宋体" w:hAnsi="宋体" w:eastAsia="宋体"/>
                <w:sz w:val="16"/>
              </w:rPr>
              <w:t>—</w:t>
            </w:r>
          </w:p>
        </w:tc>
      </w:tr>
      <w:tr w14:paraId="70FFF7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1AA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87F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DC9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5C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0E1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72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E2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AFD4">
            <w:pPr>
              <w:jc w:val="center"/>
            </w:pPr>
            <w:r>
              <w:rPr>
                <w:rFonts w:ascii="宋体" w:hAnsi="宋体" w:eastAsia="宋体"/>
                <w:sz w:val="16"/>
              </w:rPr>
              <w:t>—</w:t>
            </w:r>
          </w:p>
        </w:tc>
      </w:tr>
      <w:tr w14:paraId="61439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A87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BD6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D1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168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97B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605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004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B448">
            <w:pPr>
              <w:jc w:val="center"/>
            </w:pPr>
            <w:r>
              <w:rPr>
                <w:rFonts w:ascii="宋体" w:hAnsi="宋体" w:eastAsia="宋体"/>
                <w:sz w:val="16"/>
              </w:rPr>
              <w:t>—</w:t>
            </w:r>
          </w:p>
        </w:tc>
      </w:tr>
      <w:tr w14:paraId="41E235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5C25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8164B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9352E">
            <w:pPr>
              <w:jc w:val="center"/>
            </w:pPr>
            <w:r>
              <w:rPr>
                <w:rFonts w:ascii="宋体" w:hAnsi="宋体" w:eastAsia="宋体"/>
                <w:sz w:val="16"/>
              </w:rPr>
              <w:t>实际完成情况</w:t>
            </w:r>
          </w:p>
        </w:tc>
      </w:tr>
      <w:tr w14:paraId="163A3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5AB1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29A26E">
            <w:pPr>
              <w:jc w:val="both"/>
            </w:pPr>
            <w:r>
              <w:rPr>
                <w:rFonts w:ascii="宋体" w:hAnsi="宋体" w:eastAsia="宋体"/>
                <w:sz w:val="16"/>
              </w:rPr>
              <w:t>根据洛财纪字</w:t>
            </w:r>
            <w:r>
              <w:rPr>
                <w:rFonts w:hint="eastAsia" w:ascii="宋体" w:hAnsi="宋体"/>
                <w:sz w:val="16"/>
                <w:lang w:eastAsia="zh-CN"/>
              </w:rPr>
              <w:t>〔2024〕1号</w:t>
            </w:r>
            <w:r>
              <w:rPr>
                <w:rFonts w:ascii="宋体" w:hAnsi="宋体" w:eastAsia="宋体"/>
                <w:sz w:val="16"/>
              </w:rPr>
              <w:t>文件实施此项目，主要内容为：保障参会人员200人，会议举行2天半，项目总投资37.2853万元，其中2020年人大会议8.49万元，2021年人大会议17.62万元，2024年人大会议11.17万元。通过本项目的实施，有效提升人民代表参政议政水平，持续提高人大代表素质，争取使受益参会人员及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FB80C5">
            <w:pPr>
              <w:jc w:val="both"/>
            </w:pPr>
            <w:r>
              <w:rPr>
                <w:rFonts w:hint="eastAsia" w:ascii="宋体" w:hAnsi="宋体"/>
                <w:sz w:val="16"/>
                <w:lang w:eastAsia="zh-CN"/>
              </w:rPr>
              <w:t>截至</w:t>
            </w:r>
            <w:r>
              <w:rPr>
                <w:rFonts w:ascii="宋体" w:hAnsi="宋体" w:eastAsia="宋体"/>
                <w:sz w:val="16"/>
              </w:rPr>
              <w:t>2024年12月31日，该项目资金支出37.28万元。该项目实施保障参会人员200人，3年共计开展5天。项目总投资37.2853万元，其中2020年人大会议8.49万元，2021年人大会议17.62万元，2024年人大会议11.17万元。通过本项目的实施，有效提升人民代表参政议政水平，持续提高人大代表素质，争取使受益参会人员及受益群众满意度达到95%以上。</w:t>
            </w:r>
          </w:p>
        </w:tc>
      </w:tr>
      <w:tr w14:paraId="4966D9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706D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0313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62F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BC1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103B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228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FE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7175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6AD5">
            <w:pPr>
              <w:jc w:val="center"/>
            </w:pPr>
            <w:r>
              <w:rPr>
                <w:rFonts w:ascii="宋体" w:hAnsi="宋体" w:eastAsia="宋体"/>
                <w:sz w:val="16"/>
              </w:rPr>
              <w:t>偏差原因分析及改进措施</w:t>
            </w:r>
          </w:p>
        </w:tc>
      </w:tr>
      <w:tr w14:paraId="25757D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DD98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A2B22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F0C1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FEE8">
            <w:pPr>
              <w:jc w:val="center"/>
            </w:pPr>
            <w:r>
              <w:rPr>
                <w:rFonts w:ascii="宋体" w:hAnsi="宋体" w:eastAsia="宋体"/>
                <w:sz w:val="16"/>
              </w:rPr>
              <w:t>保障参会人员数量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5B2D">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FA57">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998F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2DE3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85188">
            <w:pPr>
              <w:jc w:val="center"/>
            </w:pPr>
          </w:p>
        </w:tc>
      </w:tr>
      <w:tr w14:paraId="1BD2D6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2A0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639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09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5CEC9">
            <w:pPr>
              <w:jc w:val="center"/>
            </w:pPr>
            <w:r>
              <w:rPr>
                <w:rFonts w:ascii="宋体" w:hAnsi="宋体" w:eastAsia="宋体"/>
                <w:sz w:val="16"/>
              </w:rPr>
              <w:t>会议举行天数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2E60">
            <w:pPr>
              <w:jc w:val="center"/>
            </w:pPr>
            <w:r>
              <w:rPr>
                <w:rFonts w:ascii="宋体" w:hAnsi="宋体" w:eastAsia="宋体"/>
                <w:sz w:val="16"/>
              </w:rPr>
              <w:t>&gt;=2.50天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6BB9">
            <w:pPr>
              <w:jc w:val="center"/>
            </w:pPr>
            <w:r>
              <w:rPr>
                <w:rFonts w:ascii="宋体" w:hAnsi="宋体" w:eastAsia="宋体"/>
                <w:sz w:val="16"/>
              </w:rPr>
              <w:t>=5天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7A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826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4DC93">
            <w:pPr>
              <w:jc w:val="center"/>
            </w:pPr>
          </w:p>
        </w:tc>
      </w:tr>
      <w:tr w14:paraId="517C7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FFC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91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E775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D9B4">
            <w:pPr>
              <w:jc w:val="center"/>
            </w:pPr>
            <w:r>
              <w:rPr>
                <w:rFonts w:ascii="宋体" w:hAnsi="宋体" w:eastAsia="宋体"/>
                <w:sz w:val="16"/>
              </w:rPr>
              <w:t>代表参会率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158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B435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E4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CDA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E99B">
            <w:pPr>
              <w:jc w:val="center"/>
            </w:pPr>
          </w:p>
        </w:tc>
      </w:tr>
      <w:tr w14:paraId="4823CD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F4C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306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86EC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69E6">
            <w:pPr>
              <w:jc w:val="center"/>
            </w:pPr>
            <w:r>
              <w:rPr>
                <w:rFonts w:ascii="宋体" w:hAnsi="宋体" w:eastAsia="宋体"/>
                <w:sz w:val="16"/>
              </w:rPr>
              <w:t>资金支付开始时间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BCA4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5A24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EEC0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9DB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B76C6">
            <w:pPr>
              <w:jc w:val="center"/>
            </w:pPr>
          </w:p>
        </w:tc>
      </w:tr>
      <w:tr w14:paraId="6AF56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D33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EBC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864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1177">
            <w:pPr>
              <w:jc w:val="center"/>
            </w:pPr>
            <w:r>
              <w:rPr>
                <w:rFonts w:ascii="宋体" w:hAnsi="宋体" w:eastAsia="宋体"/>
                <w:sz w:val="16"/>
              </w:rPr>
              <w:t>资金支付完成时间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635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447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89F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0663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29C25">
            <w:pPr>
              <w:jc w:val="center"/>
            </w:pPr>
          </w:p>
        </w:tc>
      </w:tr>
      <w:tr w14:paraId="236E8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E4C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4CC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542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593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FBA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57F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1235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56ED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51077">
            <w:pPr>
              <w:jc w:val="center"/>
            </w:pPr>
          </w:p>
        </w:tc>
      </w:tr>
      <w:tr w14:paraId="2BD321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BCC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8BB1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30E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11B1">
            <w:pPr>
              <w:jc w:val="center"/>
            </w:pPr>
            <w:r>
              <w:rPr>
                <w:rFonts w:ascii="宋体" w:hAnsi="宋体" w:eastAsia="宋体"/>
                <w:sz w:val="16"/>
              </w:rPr>
              <w:t>2020年人大会议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A346">
            <w:pPr>
              <w:jc w:val="center"/>
            </w:pPr>
            <w:r>
              <w:rPr>
                <w:rFonts w:ascii="宋体" w:hAnsi="宋体" w:eastAsia="宋体"/>
                <w:sz w:val="16"/>
              </w:rPr>
              <w:t>&lt;=8.49万元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A692">
            <w:pPr>
              <w:jc w:val="center"/>
            </w:pPr>
            <w:r>
              <w:rPr>
                <w:rFonts w:ascii="宋体" w:hAnsi="宋体" w:eastAsia="宋体"/>
                <w:sz w:val="16"/>
              </w:rPr>
              <w:t>=8.49万元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22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AAB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23F94">
            <w:pPr>
              <w:jc w:val="center"/>
            </w:pPr>
          </w:p>
        </w:tc>
      </w:tr>
      <w:tr w14:paraId="3A080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520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71B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0AD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9788">
            <w:pPr>
              <w:jc w:val="center"/>
            </w:pPr>
            <w:r>
              <w:rPr>
                <w:rFonts w:ascii="宋体" w:hAnsi="宋体" w:eastAsia="宋体"/>
                <w:sz w:val="16"/>
              </w:rPr>
              <w:t>2021年人大会议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8BDBE">
            <w:pPr>
              <w:jc w:val="center"/>
            </w:pPr>
            <w:r>
              <w:rPr>
                <w:rFonts w:ascii="宋体" w:hAnsi="宋体" w:eastAsia="宋体"/>
                <w:sz w:val="16"/>
              </w:rPr>
              <w:t>&lt;=17.62万元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642C">
            <w:pPr>
              <w:jc w:val="center"/>
            </w:pPr>
            <w:r>
              <w:rPr>
                <w:rFonts w:ascii="宋体" w:hAnsi="宋体" w:eastAsia="宋体"/>
                <w:sz w:val="16"/>
              </w:rPr>
              <w:t>=17.62万元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D3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670D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A264">
            <w:pPr>
              <w:jc w:val="center"/>
            </w:pPr>
          </w:p>
        </w:tc>
      </w:tr>
      <w:tr w14:paraId="76399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A5A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15F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727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14D60">
            <w:pPr>
              <w:jc w:val="center"/>
            </w:pPr>
            <w:r>
              <w:rPr>
                <w:rFonts w:ascii="宋体" w:hAnsi="宋体" w:eastAsia="宋体"/>
                <w:sz w:val="16"/>
              </w:rPr>
              <w:t>2024年人大会议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D069">
            <w:pPr>
              <w:jc w:val="center"/>
            </w:pPr>
            <w:r>
              <w:rPr>
                <w:rFonts w:ascii="宋体" w:hAnsi="宋体" w:eastAsia="宋体"/>
                <w:sz w:val="16"/>
              </w:rPr>
              <w:t>&lt;=11.17万元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6666D">
            <w:pPr>
              <w:jc w:val="center"/>
            </w:pPr>
            <w:r>
              <w:rPr>
                <w:rFonts w:ascii="宋体" w:hAnsi="宋体" w:eastAsia="宋体"/>
                <w:sz w:val="16"/>
              </w:rPr>
              <w:t>=11.17万元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CF1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CBA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F6F7">
            <w:pPr>
              <w:jc w:val="center"/>
            </w:pPr>
          </w:p>
        </w:tc>
      </w:tr>
      <w:tr w14:paraId="59E96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474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4C61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2F4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FA294">
            <w:pPr>
              <w:jc w:val="center"/>
            </w:pPr>
            <w:r>
              <w:rPr>
                <w:rFonts w:ascii="宋体" w:hAnsi="宋体" w:eastAsia="宋体"/>
                <w:sz w:val="16"/>
              </w:rPr>
              <w:t>提升人民代表参政议政水平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28D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40A0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D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DE8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04AD">
            <w:pPr>
              <w:jc w:val="center"/>
            </w:pPr>
          </w:p>
        </w:tc>
      </w:tr>
      <w:tr w14:paraId="61E26E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B3A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EF1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550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48E0">
            <w:pPr>
              <w:jc w:val="center"/>
            </w:pPr>
            <w:r>
              <w:rPr>
                <w:rFonts w:ascii="宋体" w:hAnsi="宋体" w:eastAsia="宋体"/>
                <w:sz w:val="16"/>
              </w:rPr>
              <w:t>提高人大代表素质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FF2C">
            <w:pPr>
              <w:jc w:val="center"/>
            </w:pPr>
            <w:r>
              <w:rPr>
                <w:rFonts w:ascii="宋体" w:hAnsi="宋体" w:eastAsia="宋体"/>
                <w:sz w:val="16"/>
              </w:rPr>
              <w:t>持续提高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0C8F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BC9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194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7E700">
            <w:pPr>
              <w:jc w:val="center"/>
            </w:pPr>
          </w:p>
        </w:tc>
      </w:tr>
      <w:tr w14:paraId="4A57C0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549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11292">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410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89973">
            <w:pPr>
              <w:jc w:val="center"/>
            </w:pPr>
            <w:r>
              <w:rPr>
                <w:rFonts w:ascii="宋体" w:hAnsi="宋体" w:eastAsia="宋体"/>
                <w:sz w:val="16"/>
              </w:rPr>
              <w:t>受益参会人员满意度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A0D0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78D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336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8D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E13D4">
            <w:pPr>
              <w:jc w:val="center"/>
            </w:pPr>
          </w:p>
        </w:tc>
      </w:tr>
      <w:tr w14:paraId="08F92A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41D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77D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6DD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A524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A9CD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5DDD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C2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344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8F47B">
            <w:pPr>
              <w:jc w:val="center"/>
            </w:pPr>
          </w:p>
        </w:tc>
      </w:tr>
      <w:tr w14:paraId="169C450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C0ED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83DF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CC5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E530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326F81"/>
        </w:tc>
      </w:tr>
    </w:tbl>
    <w:p w14:paraId="54F8D5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B58200">
        <w:tblPrEx>
          <w:tblCellMar>
            <w:top w:w="0" w:type="dxa"/>
            <w:left w:w="108" w:type="dxa"/>
            <w:bottom w:w="0" w:type="dxa"/>
            <w:right w:w="108" w:type="dxa"/>
          </w:tblCellMar>
        </w:tblPrEx>
        <w:tc>
          <w:tcPr>
            <w:tcW w:w="8847" w:type="dxa"/>
            <w:gridSpan w:val="9"/>
            <w:vAlign w:val="center"/>
          </w:tcPr>
          <w:p w14:paraId="02A52D6D">
            <w:pPr>
              <w:jc w:val="center"/>
            </w:pPr>
            <w:r>
              <w:rPr>
                <w:rFonts w:ascii="宋体" w:hAnsi="宋体" w:eastAsia="宋体"/>
                <w:sz w:val="24"/>
              </w:rPr>
              <w:t>项目支出绩效自评表</w:t>
            </w:r>
          </w:p>
        </w:tc>
      </w:tr>
      <w:tr w14:paraId="7DFEEE02">
        <w:tblPrEx>
          <w:tblCellMar>
            <w:top w:w="0" w:type="dxa"/>
            <w:left w:w="108" w:type="dxa"/>
            <w:bottom w:w="0" w:type="dxa"/>
            <w:right w:w="108" w:type="dxa"/>
          </w:tblCellMar>
        </w:tblPrEx>
        <w:tc>
          <w:tcPr>
            <w:tcW w:w="8847" w:type="dxa"/>
            <w:gridSpan w:val="9"/>
            <w:vAlign w:val="center"/>
          </w:tcPr>
          <w:p w14:paraId="209E214B">
            <w:pPr>
              <w:jc w:val="center"/>
            </w:pPr>
            <w:r>
              <w:rPr>
                <w:rFonts w:ascii="宋体" w:hAnsi="宋体" w:eastAsia="宋体"/>
                <w:sz w:val="24"/>
              </w:rPr>
              <w:t>(2024年度)</w:t>
            </w:r>
          </w:p>
        </w:tc>
      </w:tr>
      <w:tr w14:paraId="715FD8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E54E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A0F657">
            <w:pPr>
              <w:jc w:val="center"/>
            </w:pPr>
            <w:r>
              <w:rPr>
                <w:rFonts w:ascii="宋体" w:hAnsi="宋体" w:eastAsia="宋体"/>
                <w:sz w:val="16"/>
              </w:rPr>
              <w:t>自治区人大代表活动经费</w:t>
            </w:r>
          </w:p>
        </w:tc>
      </w:tr>
      <w:tr w14:paraId="108995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79C9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7C2FA">
            <w:pPr>
              <w:jc w:val="center"/>
            </w:pPr>
            <w:r>
              <w:rPr>
                <w:rFonts w:ascii="宋体" w:hAnsi="宋体" w:eastAsia="宋体"/>
                <w:sz w:val="16"/>
              </w:rPr>
              <w:t>洛浦县人民代表大会常务委员会办公室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829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2E1097">
            <w:pPr>
              <w:jc w:val="center"/>
            </w:pPr>
            <w:r>
              <w:rPr>
                <w:rFonts w:ascii="宋体" w:hAnsi="宋体" w:eastAsia="宋体"/>
                <w:sz w:val="16"/>
              </w:rPr>
              <w:t>洛浦县人民代表大会常务委员会办公室</w:t>
            </w:r>
          </w:p>
        </w:tc>
      </w:tr>
      <w:tr w14:paraId="0319A7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A42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B74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54E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6B6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84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883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C0F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FFCA">
            <w:pPr>
              <w:jc w:val="center"/>
            </w:pPr>
            <w:r>
              <w:rPr>
                <w:rFonts w:ascii="宋体" w:hAnsi="宋体" w:eastAsia="宋体"/>
                <w:sz w:val="16"/>
              </w:rPr>
              <w:t>得分</w:t>
            </w:r>
          </w:p>
        </w:tc>
      </w:tr>
      <w:tr w14:paraId="6DEBE4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177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2718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B8877">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6B7DF">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3EC8">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902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05BB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DD641">
            <w:pPr>
              <w:jc w:val="center"/>
            </w:pPr>
            <w:r>
              <w:rPr>
                <w:rFonts w:ascii="宋体" w:hAnsi="宋体" w:eastAsia="宋体"/>
                <w:sz w:val="16"/>
              </w:rPr>
              <w:t>10.00分</w:t>
            </w:r>
          </w:p>
        </w:tc>
      </w:tr>
      <w:tr w14:paraId="28F646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993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E21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B6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2ED8">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428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16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991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A2AEC">
            <w:pPr>
              <w:jc w:val="center"/>
            </w:pPr>
            <w:r>
              <w:rPr>
                <w:rFonts w:ascii="宋体" w:hAnsi="宋体" w:eastAsia="宋体"/>
                <w:sz w:val="16"/>
              </w:rPr>
              <w:t>—</w:t>
            </w:r>
          </w:p>
        </w:tc>
      </w:tr>
      <w:tr w14:paraId="3A9726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7D8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2972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CE7E">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94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124E">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20B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2EF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7379">
            <w:pPr>
              <w:jc w:val="center"/>
            </w:pPr>
            <w:r>
              <w:rPr>
                <w:rFonts w:ascii="宋体" w:hAnsi="宋体" w:eastAsia="宋体"/>
                <w:sz w:val="16"/>
              </w:rPr>
              <w:t>—</w:t>
            </w:r>
          </w:p>
        </w:tc>
      </w:tr>
      <w:tr w14:paraId="059CF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AE4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30F0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2C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0E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4C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8EA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F6D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F67EB">
            <w:pPr>
              <w:jc w:val="center"/>
            </w:pPr>
            <w:r>
              <w:rPr>
                <w:rFonts w:ascii="宋体" w:hAnsi="宋体" w:eastAsia="宋体"/>
                <w:sz w:val="16"/>
              </w:rPr>
              <w:t>—</w:t>
            </w:r>
          </w:p>
        </w:tc>
      </w:tr>
      <w:tr w14:paraId="301878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957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0A247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A3B194">
            <w:pPr>
              <w:jc w:val="center"/>
            </w:pPr>
            <w:r>
              <w:rPr>
                <w:rFonts w:ascii="宋体" w:hAnsi="宋体" w:eastAsia="宋体"/>
                <w:sz w:val="16"/>
              </w:rPr>
              <w:t>实际完成情况</w:t>
            </w:r>
          </w:p>
        </w:tc>
      </w:tr>
      <w:tr w14:paraId="595E40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0D27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985375">
            <w:pPr>
              <w:jc w:val="both"/>
            </w:pPr>
            <w:r>
              <w:rPr>
                <w:rFonts w:ascii="宋体" w:hAnsi="宋体" w:eastAsia="宋体"/>
                <w:sz w:val="16"/>
              </w:rPr>
              <w:t>根据和地财行</w:t>
            </w:r>
            <w:r>
              <w:rPr>
                <w:rFonts w:hint="eastAsia" w:ascii="宋体" w:hAnsi="宋体"/>
                <w:sz w:val="16"/>
                <w:lang w:eastAsia="zh-CN"/>
              </w:rPr>
              <w:t>〔2022〕37号</w:t>
            </w:r>
            <w:r>
              <w:rPr>
                <w:rFonts w:ascii="宋体" w:hAnsi="宋体" w:eastAsia="宋体"/>
                <w:sz w:val="16"/>
              </w:rPr>
              <w:t>文件实施此项目，主要内容为：保障代表活动5次及人大代表履职能力培训2次。通过本项目的实施，有效提升人民代表参政议政水平，持续提高人大代表素质，争取使受益参会人员及受益群众满意度达到95%以上。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53B99">
            <w:pPr>
              <w:jc w:val="both"/>
            </w:pPr>
            <w:r>
              <w:rPr>
                <w:rFonts w:ascii="宋体" w:hAnsi="宋体" w:eastAsia="宋体"/>
                <w:sz w:val="16"/>
              </w:rPr>
              <w:t>通过本项目的实施，有效提升人民代表参政议政水平，持续提高人大代表素质，争取使受益参会人员及受益群众满意度达到95%以上。</w:t>
            </w:r>
          </w:p>
        </w:tc>
      </w:tr>
      <w:tr w14:paraId="33A0B8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7686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0B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F9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F84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B863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89C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762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496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581F">
            <w:pPr>
              <w:jc w:val="center"/>
            </w:pPr>
            <w:r>
              <w:rPr>
                <w:rFonts w:ascii="宋体" w:hAnsi="宋体" w:eastAsia="宋体"/>
                <w:sz w:val="16"/>
              </w:rPr>
              <w:t>偏差原因分析及改进措施</w:t>
            </w:r>
          </w:p>
        </w:tc>
      </w:tr>
      <w:tr w14:paraId="254169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3F7D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F3D6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829E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52BF">
            <w:pPr>
              <w:jc w:val="center"/>
            </w:pPr>
            <w:r>
              <w:rPr>
                <w:rFonts w:ascii="宋体" w:hAnsi="宋体" w:eastAsia="宋体"/>
                <w:sz w:val="16"/>
              </w:rPr>
              <w:t>代表视察、调研活动次数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CB11">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01C68">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42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F0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15A08">
            <w:pPr>
              <w:jc w:val="center"/>
            </w:pPr>
          </w:p>
        </w:tc>
      </w:tr>
      <w:tr w14:paraId="21AAAF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049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170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FDE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853F">
            <w:pPr>
              <w:jc w:val="center"/>
            </w:pPr>
            <w:r>
              <w:rPr>
                <w:rFonts w:ascii="宋体" w:hAnsi="宋体" w:eastAsia="宋体"/>
                <w:sz w:val="16"/>
              </w:rPr>
              <w:t>代表培训次数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746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6932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510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DD6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2CCF">
            <w:pPr>
              <w:jc w:val="center"/>
            </w:pPr>
          </w:p>
        </w:tc>
      </w:tr>
      <w:tr w14:paraId="348E0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25E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EEF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5C2D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6576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7A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5F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D1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A5E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0922">
            <w:pPr>
              <w:jc w:val="center"/>
            </w:pPr>
          </w:p>
        </w:tc>
      </w:tr>
      <w:tr w14:paraId="54E0D056">
        <w:tblPrEx>
          <w:tblCellMar>
            <w:top w:w="0" w:type="dxa"/>
            <w:left w:w="108" w:type="dxa"/>
            <w:bottom w:w="0" w:type="dxa"/>
            <w:right w:w="108" w:type="dxa"/>
          </w:tblCellMar>
        </w:tblPrEx>
        <w:trPr>
          <w:trHeight w:val="8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3B7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A66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3F48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2EFE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B7E0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3EB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AE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F6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49EB2">
            <w:pPr>
              <w:jc w:val="center"/>
            </w:pPr>
          </w:p>
        </w:tc>
      </w:tr>
      <w:tr w14:paraId="288A05E2">
        <w:tblPrEx>
          <w:tblCellMar>
            <w:top w:w="0" w:type="dxa"/>
            <w:left w:w="108" w:type="dxa"/>
            <w:bottom w:w="0" w:type="dxa"/>
            <w:right w:w="108" w:type="dxa"/>
          </w:tblCellMar>
        </w:tblPrEx>
        <w:trPr>
          <w:trHeight w:val="7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6E7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B5A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2D2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1F6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9B3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1BF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F87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866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A6894">
            <w:pPr>
              <w:jc w:val="center"/>
            </w:pPr>
          </w:p>
        </w:tc>
      </w:tr>
      <w:tr w14:paraId="3A0C142D">
        <w:tblPrEx>
          <w:tblCellMar>
            <w:top w:w="0" w:type="dxa"/>
            <w:left w:w="108" w:type="dxa"/>
            <w:bottom w:w="0" w:type="dxa"/>
            <w:right w:w="108" w:type="dxa"/>
          </w:tblCellMar>
        </w:tblPrEx>
        <w:trPr>
          <w:trHeight w:val="7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BC4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4F516">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FC1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3B103">
            <w:pPr>
              <w:jc w:val="center"/>
            </w:pPr>
            <w:r>
              <w:rPr>
                <w:rFonts w:ascii="宋体" w:hAnsi="宋体" w:eastAsia="宋体"/>
                <w:sz w:val="16"/>
              </w:rPr>
              <w:t>代表活动经费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7403">
            <w:pPr>
              <w:jc w:val="center"/>
            </w:pPr>
            <w:r>
              <w:rPr>
                <w:rFonts w:ascii="宋体" w:hAnsi="宋体" w:eastAsia="宋体"/>
                <w:sz w:val="16"/>
              </w:rPr>
              <w:t>&lt;=2.60万元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50564">
            <w:pPr>
              <w:jc w:val="center"/>
            </w:pPr>
            <w:r>
              <w:rPr>
                <w:rFonts w:ascii="宋体" w:hAnsi="宋体" w:eastAsia="宋体"/>
                <w:sz w:val="16"/>
              </w:rPr>
              <w:t>=2.6万元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96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081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341C">
            <w:pPr>
              <w:jc w:val="center"/>
            </w:pPr>
          </w:p>
        </w:tc>
      </w:tr>
      <w:tr w14:paraId="69C4C8F1">
        <w:tblPrEx>
          <w:tblCellMar>
            <w:top w:w="0" w:type="dxa"/>
            <w:left w:w="108" w:type="dxa"/>
            <w:bottom w:w="0" w:type="dxa"/>
            <w:right w:w="108" w:type="dxa"/>
          </w:tblCellMar>
        </w:tblPrEx>
        <w:trPr>
          <w:trHeight w:val="8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B74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100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1C3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922F">
            <w:pPr>
              <w:jc w:val="center"/>
            </w:pPr>
            <w:r>
              <w:rPr>
                <w:rFonts w:ascii="宋体" w:hAnsi="宋体" w:eastAsia="宋体"/>
                <w:sz w:val="16"/>
              </w:rPr>
              <w:t>代表培训费用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BF3AA">
            <w:pPr>
              <w:jc w:val="center"/>
            </w:pPr>
            <w:r>
              <w:rPr>
                <w:rFonts w:ascii="宋体" w:hAnsi="宋体" w:eastAsia="宋体"/>
                <w:sz w:val="16"/>
              </w:rPr>
              <w:t>&lt;=2.50万元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98DB2">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C0D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B07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AAC2">
            <w:pPr>
              <w:jc w:val="center"/>
            </w:pPr>
          </w:p>
        </w:tc>
      </w:tr>
      <w:tr w14:paraId="01C74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AAC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D3CA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B7E6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A5BB">
            <w:pPr>
              <w:jc w:val="center"/>
            </w:pPr>
            <w:r>
              <w:rPr>
                <w:rFonts w:ascii="宋体" w:hAnsi="宋体" w:eastAsia="宋体"/>
                <w:sz w:val="16"/>
              </w:rPr>
              <w:t>提升人大代表履职能力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A890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438A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9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F7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BA8DE">
            <w:pPr>
              <w:jc w:val="center"/>
            </w:pPr>
          </w:p>
        </w:tc>
      </w:tr>
      <w:tr w14:paraId="117AE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F14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FAD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0D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231EC">
            <w:pPr>
              <w:jc w:val="center"/>
            </w:pPr>
            <w:r>
              <w:rPr>
                <w:rFonts w:ascii="宋体" w:hAnsi="宋体" w:eastAsia="宋体"/>
                <w:sz w:val="16"/>
              </w:rPr>
              <w:t>提升</w:t>
            </w:r>
            <w:r>
              <w:rPr>
                <w:rFonts w:hint="eastAsia" w:ascii="宋体" w:hAnsi="宋体"/>
                <w:sz w:val="16"/>
                <w:lang w:eastAsia="zh-CN"/>
              </w:rPr>
              <w:t>人大代表履行职责</w:t>
            </w:r>
            <w:r>
              <w:rPr>
                <w:rFonts w:ascii="宋体" w:hAnsi="宋体" w:eastAsia="宋体"/>
                <w:sz w:val="16"/>
              </w:rPr>
              <w:t>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1704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C78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885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76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D8F89">
            <w:pPr>
              <w:jc w:val="center"/>
            </w:pPr>
          </w:p>
        </w:tc>
      </w:tr>
      <w:tr w14:paraId="23028F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957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BB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CD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5978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F084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A61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4A4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572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D106">
            <w:pPr>
              <w:jc w:val="center"/>
            </w:pPr>
          </w:p>
        </w:tc>
      </w:tr>
      <w:tr w14:paraId="4F68908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6BAE2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E7DC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DE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03E5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A77D60"/>
        </w:tc>
      </w:tr>
    </w:tbl>
    <w:p w14:paraId="631FD6DA">
      <w:r>
        <w:br w:type="page"/>
      </w:r>
    </w:p>
    <w:p w14:paraId="56459388">
      <w:pPr>
        <w:spacing w:line="640" w:lineRule="exact"/>
        <w:ind w:firstLine="640"/>
        <w:jc w:val="both"/>
        <w:outlineLvl w:val="2"/>
      </w:pPr>
      <w:r>
        <w:rPr>
          <w:rFonts w:ascii="黑体" w:hAnsi="黑体" w:eastAsia="黑体"/>
          <w:sz w:val="32"/>
        </w:rPr>
        <w:t>十二、其他需说明的事项</w:t>
      </w:r>
    </w:p>
    <w:p w14:paraId="56667A51">
      <w:pPr>
        <w:spacing w:line="580" w:lineRule="exact"/>
        <w:ind w:firstLine="640"/>
        <w:jc w:val="both"/>
      </w:pPr>
      <w:r>
        <w:rPr>
          <w:rFonts w:ascii="仿宋_GB2312" w:hAnsi="仿宋_GB2312" w:eastAsia="仿宋_GB2312"/>
          <w:b w:val="0"/>
          <w:sz w:val="32"/>
        </w:rPr>
        <w:t>本年本单位SM项目1个，全年预算数7.92万元，全年执行数7.92万元。</w:t>
      </w:r>
    </w:p>
    <w:p w14:paraId="310CFC9F">
      <w:r>
        <w:br w:type="page"/>
      </w:r>
    </w:p>
    <w:p w14:paraId="579A3FB2">
      <w:pPr>
        <w:spacing w:line="240" w:lineRule="auto"/>
        <w:jc w:val="center"/>
        <w:outlineLvl w:val="1"/>
      </w:pPr>
      <w:r>
        <w:rPr>
          <w:rFonts w:ascii="黑体" w:hAnsi="黑体" w:eastAsia="黑体"/>
          <w:sz w:val="32"/>
        </w:rPr>
        <w:t>第三部分 专业名词解释</w:t>
      </w:r>
    </w:p>
    <w:p w14:paraId="544DE28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F27C1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D6E3E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CA7A9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71C68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DEF78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813FE3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0986A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E6D44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6EB0AB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17FD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E824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906DD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628B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9C3D07">
      <w:r>
        <w:br w:type="page"/>
      </w:r>
    </w:p>
    <w:p w14:paraId="092710B5">
      <w:pPr>
        <w:spacing w:line="240" w:lineRule="auto"/>
        <w:jc w:val="center"/>
        <w:outlineLvl w:val="1"/>
      </w:pPr>
      <w:r>
        <w:rPr>
          <w:rFonts w:ascii="黑体" w:hAnsi="黑体" w:eastAsia="黑体"/>
          <w:sz w:val="32"/>
        </w:rPr>
        <w:t>第四部分 部门决算报表（见附表）</w:t>
      </w:r>
    </w:p>
    <w:p w14:paraId="73561DD8">
      <w:pPr>
        <w:spacing w:line="240" w:lineRule="auto"/>
        <w:ind w:firstLine="640"/>
        <w:jc w:val="both"/>
      </w:pPr>
      <w:r>
        <w:rPr>
          <w:rFonts w:ascii="仿宋_GB2312" w:hAnsi="仿宋_GB2312" w:eastAsia="仿宋_GB2312"/>
          <w:b w:val="0"/>
          <w:sz w:val="32"/>
        </w:rPr>
        <w:t>一、《收入支出决算总表》</w:t>
      </w:r>
    </w:p>
    <w:p w14:paraId="2B9D15C0">
      <w:pPr>
        <w:spacing w:line="240" w:lineRule="auto"/>
        <w:ind w:firstLine="640"/>
        <w:jc w:val="both"/>
      </w:pPr>
      <w:r>
        <w:rPr>
          <w:rFonts w:ascii="仿宋_GB2312" w:hAnsi="仿宋_GB2312" w:eastAsia="仿宋_GB2312"/>
          <w:b w:val="0"/>
          <w:sz w:val="32"/>
        </w:rPr>
        <w:t>二、《收入决算表》</w:t>
      </w:r>
    </w:p>
    <w:p w14:paraId="68ED9FEA">
      <w:pPr>
        <w:spacing w:line="240" w:lineRule="auto"/>
        <w:ind w:firstLine="640"/>
        <w:jc w:val="both"/>
      </w:pPr>
      <w:r>
        <w:rPr>
          <w:rFonts w:ascii="仿宋_GB2312" w:hAnsi="仿宋_GB2312" w:eastAsia="仿宋_GB2312"/>
          <w:b w:val="0"/>
          <w:sz w:val="32"/>
        </w:rPr>
        <w:t>三、《支出决算表》</w:t>
      </w:r>
    </w:p>
    <w:p w14:paraId="1D2A36B9">
      <w:pPr>
        <w:spacing w:line="240" w:lineRule="auto"/>
        <w:ind w:firstLine="640"/>
        <w:jc w:val="both"/>
      </w:pPr>
      <w:r>
        <w:rPr>
          <w:rFonts w:ascii="仿宋_GB2312" w:hAnsi="仿宋_GB2312" w:eastAsia="仿宋_GB2312"/>
          <w:b w:val="0"/>
          <w:sz w:val="32"/>
        </w:rPr>
        <w:t>四、《财政拨款收入支出决算总表》</w:t>
      </w:r>
    </w:p>
    <w:p w14:paraId="2DF8A3F4">
      <w:pPr>
        <w:spacing w:line="240" w:lineRule="auto"/>
        <w:ind w:firstLine="640"/>
        <w:jc w:val="both"/>
      </w:pPr>
      <w:r>
        <w:rPr>
          <w:rFonts w:ascii="仿宋_GB2312" w:hAnsi="仿宋_GB2312" w:eastAsia="仿宋_GB2312"/>
          <w:b w:val="0"/>
          <w:sz w:val="32"/>
        </w:rPr>
        <w:t>五、《一般公共预算财政拨款支出决算表》</w:t>
      </w:r>
    </w:p>
    <w:p w14:paraId="1B3B1503">
      <w:pPr>
        <w:spacing w:line="240" w:lineRule="auto"/>
        <w:ind w:firstLine="640"/>
        <w:jc w:val="both"/>
      </w:pPr>
      <w:r>
        <w:rPr>
          <w:rFonts w:ascii="仿宋_GB2312" w:hAnsi="仿宋_GB2312" w:eastAsia="仿宋_GB2312"/>
          <w:b w:val="0"/>
          <w:sz w:val="32"/>
        </w:rPr>
        <w:t>六、《一般公共预算财政拨款基本支出决算表》</w:t>
      </w:r>
    </w:p>
    <w:p w14:paraId="3A1E69BC">
      <w:pPr>
        <w:spacing w:line="240" w:lineRule="auto"/>
        <w:ind w:firstLine="640"/>
        <w:jc w:val="both"/>
      </w:pPr>
      <w:r>
        <w:rPr>
          <w:rFonts w:ascii="仿宋_GB2312" w:hAnsi="仿宋_GB2312" w:eastAsia="仿宋_GB2312"/>
          <w:b w:val="0"/>
          <w:sz w:val="32"/>
        </w:rPr>
        <w:t>七、《政府性基金预算财政拨款收入支出决算表》</w:t>
      </w:r>
    </w:p>
    <w:p w14:paraId="4E85A1D4">
      <w:pPr>
        <w:spacing w:line="240" w:lineRule="auto"/>
        <w:ind w:firstLine="640"/>
        <w:jc w:val="both"/>
      </w:pPr>
      <w:r>
        <w:rPr>
          <w:rFonts w:ascii="仿宋_GB2312" w:hAnsi="仿宋_GB2312" w:eastAsia="仿宋_GB2312"/>
          <w:b w:val="0"/>
          <w:sz w:val="32"/>
        </w:rPr>
        <w:t>八、《国有资本经营预算财政拨款收入支出决算表》</w:t>
      </w:r>
    </w:p>
    <w:p w14:paraId="5A87A8CB">
      <w:pPr>
        <w:spacing w:line="240" w:lineRule="auto"/>
        <w:ind w:firstLine="640"/>
        <w:jc w:val="both"/>
      </w:pPr>
      <w:r>
        <w:rPr>
          <w:rFonts w:ascii="仿宋_GB2312" w:hAnsi="仿宋_GB2312" w:eastAsia="仿宋_GB2312"/>
          <w:b w:val="0"/>
          <w:sz w:val="32"/>
        </w:rPr>
        <w:t>九、《财政拨款“三公”经费支出决算表》</w:t>
      </w:r>
    </w:p>
    <w:p w14:paraId="15DCB640">
      <w:pPr>
        <w:spacing w:line="240" w:lineRule="auto"/>
        <w:ind w:firstLine="640"/>
        <w:jc w:val="both"/>
      </w:pPr>
    </w:p>
    <w:p w14:paraId="39A1419C">
      <w:pPr>
        <w:spacing w:line="240" w:lineRule="auto"/>
        <w:ind w:firstLine="640"/>
        <w:jc w:val="both"/>
      </w:pPr>
    </w:p>
    <w:p w14:paraId="56413F1F">
      <w:pPr>
        <w:spacing w:line="240" w:lineRule="auto"/>
        <w:ind w:firstLine="640"/>
        <w:jc w:val="both"/>
      </w:pPr>
    </w:p>
    <w:p w14:paraId="37F49EB8">
      <w:pPr>
        <w:spacing w:line="240" w:lineRule="auto"/>
        <w:ind w:firstLine="640"/>
        <w:jc w:val="both"/>
      </w:pPr>
    </w:p>
    <w:p w14:paraId="7A54FF9D">
      <w:pPr>
        <w:spacing w:line="240" w:lineRule="auto"/>
        <w:ind w:firstLine="640"/>
        <w:jc w:val="both"/>
      </w:pPr>
    </w:p>
    <w:sectPr>
      <w:headerReference r:id="rId3" w:type="default"/>
      <w:footerReference r:id="rId4"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65686A-66B7-462D-A5FF-6D56F9233E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06182ED-8B3A-4AFC-86AB-543CD146C6CE}"/>
  </w:font>
  <w:font w:name="仿宋_GB2312">
    <w:altName w:val="仿宋"/>
    <w:panose1 w:val="02010609030101010101"/>
    <w:charset w:val="86"/>
    <w:family w:val="modern"/>
    <w:pitch w:val="default"/>
    <w:sig w:usb0="00000000" w:usb1="00000000" w:usb2="00000000" w:usb3="00000000" w:csb0="00040000" w:csb1="00000000"/>
    <w:embedRegular r:id="rId3" w:fontKey="{3BE2C420-6F08-421A-9840-77EBD084C32D}"/>
  </w:font>
  <w:font w:name="楷体_GB2312">
    <w:altName w:val="楷体"/>
    <w:panose1 w:val="02010609030101010101"/>
    <w:charset w:val="86"/>
    <w:family w:val="auto"/>
    <w:pitch w:val="default"/>
    <w:sig w:usb0="00000000" w:usb1="00000000" w:usb2="00000000" w:usb3="00000000" w:csb0="00040000" w:csb1="00000000"/>
    <w:embedRegular r:id="rId4" w:fontKey="{3A8B2986-ED52-40AA-B33C-F19931FD5179}"/>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B4987">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354732"/>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062DF2"/>
    <w:rsid w:val="4B4C0111"/>
    <w:rsid w:val="4BB23021"/>
    <w:rsid w:val="4F3F074E"/>
    <w:rsid w:val="50DB5F45"/>
    <w:rsid w:val="52F92565"/>
    <w:rsid w:val="543D17CB"/>
    <w:rsid w:val="55DA564E"/>
    <w:rsid w:val="56E07045"/>
    <w:rsid w:val="583059FA"/>
    <w:rsid w:val="587E6212"/>
    <w:rsid w:val="5AFC6609"/>
    <w:rsid w:val="5B99518E"/>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315EFC"/>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5608</Words>
  <Characters>6331</Characters>
  <Lines>0</Lines>
  <Paragraphs>0</Paragraphs>
  <TotalTime>7</TotalTime>
  <ScaleCrop>false</ScaleCrop>
  <LinksUpToDate>false</LinksUpToDate>
  <CharactersWithSpaces>6339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2025-11-28T02:42:58Z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