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329909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洛浦县乡村振兴局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077245">
      <w:r>
        <w:br w:type="page"/>
      </w:r>
    </w:p>
    <w:p w14:paraId="33BB96C1">
      <w:pPr>
        <w:spacing w:line="640" w:lineRule="exact"/>
        <w:jc w:val="center"/>
        <w:outlineLvl w:val="1"/>
      </w:pPr>
      <w:r>
        <w:rPr>
          <w:rFonts w:ascii="黑体" w:hAnsi="黑体" w:eastAsia="黑体"/>
          <w:sz w:val="32"/>
        </w:rPr>
        <w:t>第一部分 单位概况</w:t>
      </w:r>
    </w:p>
    <w:p w14:paraId="236B7DD8">
      <w:pPr>
        <w:spacing w:line="640" w:lineRule="exact"/>
        <w:ind w:firstLine="640"/>
        <w:jc w:val="both"/>
        <w:outlineLvl w:val="2"/>
      </w:pPr>
      <w:r>
        <w:rPr>
          <w:rFonts w:ascii="黑体" w:hAnsi="黑体" w:eastAsia="黑体"/>
          <w:sz w:val="32"/>
        </w:rPr>
        <w:t>一、主要职能</w:t>
      </w:r>
    </w:p>
    <w:p w14:paraId="1F0E0EDD">
      <w:pPr>
        <w:spacing w:line="580" w:lineRule="exact"/>
        <w:ind w:firstLine="640"/>
        <w:jc w:val="both"/>
      </w:pPr>
      <w:r>
        <w:rPr>
          <w:rFonts w:ascii="仿宋_GB2312" w:hAnsi="仿宋_GB2312" w:eastAsia="仿宋_GB2312"/>
          <w:sz w:val="32"/>
        </w:rPr>
        <w:t>1.贯彻执行国家、自治区、地区、洛浦县委、人民政府扶贫工作方针政策，研究制定全县扶贫开发战略规划、政策措施和区域扶贫标准并组织实施。</w:t>
      </w:r>
    </w:p>
    <w:p w14:paraId="0DA5B8E1">
      <w:pPr>
        <w:spacing w:line="580" w:lineRule="exact"/>
        <w:ind w:firstLine="640"/>
        <w:jc w:val="both"/>
      </w:pPr>
      <w:r>
        <w:rPr>
          <w:rFonts w:ascii="仿宋_GB2312" w:hAnsi="仿宋_GB2312" w:eastAsia="仿宋_GB2312"/>
          <w:sz w:val="32"/>
        </w:rPr>
        <w:t>2.调查研究全县贫困状况、贫困原因，农村形势和农村改革，研究制定全县扶贫开发的中长期规划和越线年度计划；指导乡(镇)制定扶贫开发的中长期规划和越线年度计划，并组织实施。</w:t>
      </w:r>
    </w:p>
    <w:p w14:paraId="5D896D95">
      <w:pPr>
        <w:spacing w:line="580" w:lineRule="exact"/>
        <w:ind w:firstLine="640"/>
        <w:jc w:val="both"/>
      </w:pPr>
      <w:r>
        <w:rPr>
          <w:rFonts w:ascii="仿宋_GB2312" w:hAnsi="仿宋_GB2312" w:eastAsia="仿宋_GB2312"/>
          <w:sz w:val="32"/>
        </w:rPr>
        <w:t>3.指导乡(镇)做好各项扶贫基础工作，对贫困户实行微机网络化动态管理工作和建档立卡、定点帮扶等各项工作进行经常性督促检查，并对年度解决贫困人口越线进度进行督查、检查、验收。</w:t>
      </w:r>
    </w:p>
    <w:p w14:paraId="4754A3B7">
      <w:pPr>
        <w:spacing w:line="580" w:lineRule="exact"/>
        <w:ind w:firstLine="640"/>
        <w:jc w:val="both"/>
      </w:pPr>
      <w:r>
        <w:rPr>
          <w:rFonts w:ascii="仿宋_GB2312" w:hAnsi="仿宋_GB2312" w:eastAsia="仿宋_GB2312"/>
          <w:sz w:val="32"/>
        </w:rPr>
        <w:t>4.统筹安排国家、自治区、地区和县委、县政府用于扶贫开发的各项资金、物资，制定、完善扶贫专项资金、物资的管理办法，监督检查扶贫资金、物资的管理和使用情况。</w:t>
      </w:r>
    </w:p>
    <w:p w14:paraId="3AFD0BF2">
      <w:pPr>
        <w:spacing w:line="580" w:lineRule="exact"/>
        <w:ind w:firstLine="640"/>
        <w:jc w:val="both"/>
      </w:pPr>
      <w:r>
        <w:rPr>
          <w:rFonts w:ascii="仿宋_GB2312" w:hAnsi="仿宋_GB2312" w:eastAsia="仿宋_GB2312"/>
          <w:sz w:val="32"/>
        </w:rPr>
        <w:t>5.会同有关部门共同规划、设计、论证、筛选申报扶贫开发项目，并做好项目实施中的组织、协调等工作。</w:t>
      </w:r>
    </w:p>
    <w:p w14:paraId="64866EA8">
      <w:pPr>
        <w:spacing w:line="580" w:lineRule="exact"/>
        <w:ind w:firstLine="640"/>
        <w:jc w:val="both"/>
      </w:pPr>
      <w:r>
        <w:rPr>
          <w:rFonts w:ascii="仿宋_GB2312" w:hAnsi="仿宋_GB2312" w:eastAsia="仿宋_GB2312"/>
          <w:sz w:val="32"/>
        </w:rPr>
        <w:t>6.协调国家有关部门、自治区有关厅(局)、地区和县直各单位开展对口帮扶工作，了解掌握情况；开展扶贫宣传，动员社会各界扶贫济困，协助有关部门帮助贫困乡(镇)引进人才、技术、资金和设备。</w:t>
      </w:r>
    </w:p>
    <w:p w14:paraId="3217D1F4">
      <w:pPr>
        <w:spacing w:line="580" w:lineRule="exact"/>
        <w:ind w:firstLine="640"/>
        <w:jc w:val="both"/>
      </w:pPr>
      <w:r>
        <w:rPr>
          <w:rFonts w:ascii="仿宋_GB2312" w:hAnsi="仿宋_GB2312" w:eastAsia="仿宋_GB2312"/>
          <w:sz w:val="32"/>
        </w:rPr>
        <w:t>7.组织实施产业化扶贫计划，引导、扶持扶贫龙头企业发展；编制实施贫困劳动力培训计划，编制实施扶贫移民；研究建立自然灾害应对机制，指导乡(镇)应对自然灾害和灾后重建；协调管理信贷扶贫工作。</w:t>
      </w:r>
    </w:p>
    <w:p w14:paraId="61C0BAC1">
      <w:pPr>
        <w:spacing w:line="580" w:lineRule="exact"/>
        <w:ind w:firstLine="640"/>
        <w:jc w:val="both"/>
      </w:pPr>
      <w:r>
        <w:rPr>
          <w:rFonts w:ascii="仿宋_GB2312" w:hAnsi="仿宋_GB2312" w:eastAsia="仿宋_GB2312"/>
          <w:sz w:val="32"/>
        </w:rPr>
        <w:t>8.争取国际开发机构和金融机构对洛浦县扶贫资金援助，并做好UNDP扶贫项目和国际农发项目的各项组织、管理工作。</w:t>
      </w:r>
    </w:p>
    <w:p w14:paraId="44BD66C4">
      <w:pPr>
        <w:spacing w:line="580" w:lineRule="exact"/>
        <w:ind w:firstLine="640"/>
        <w:jc w:val="both"/>
      </w:pPr>
      <w:r>
        <w:rPr>
          <w:rFonts w:ascii="仿宋_GB2312" w:hAnsi="仿宋_GB2312" w:eastAsia="仿宋_GB2312"/>
          <w:sz w:val="32"/>
        </w:rPr>
        <w:t>9.加强健全精准扶贫、精准脱贫机制，加强扶贫开发精准度，运用科学有效程序对扶贫区域、扶贫对象实施精确识别、精确帮扶、精确管理的职责。</w:t>
      </w:r>
    </w:p>
    <w:p w14:paraId="79593B24">
      <w:pPr>
        <w:spacing w:line="580" w:lineRule="exact"/>
        <w:ind w:firstLine="640"/>
        <w:jc w:val="both"/>
      </w:pPr>
      <w:r>
        <w:rPr>
          <w:rFonts w:ascii="仿宋_GB2312" w:hAnsi="仿宋_GB2312" w:eastAsia="仿宋_GB2312"/>
          <w:sz w:val="32"/>
        </w:rPr>
        <w:t>10.组织做好扶贫工作年度统计、建立健全扶贫工作档案；做好全县扶贫工作进展情况的收集、整理、汇总上报等工作。</w:t>
      </w:r>
    </w:p>
    <w:p w14:paraId="08B99EB6">
      <w:pPr>
        <w:spacing w:line="580" w:lineRule="exact"/>
        <w:ind w:firstLine="640"/>
        <w:jc w:val="both"/>
      </w:pPr>
      <w:r>
        <w:rPr>
          <w:rFonts w:ascii="仿宋_GB2312" w:hAnsi="仿宋_GB2312" w:eastAsia="仿宋_GB2312"/>
          <w:sz w:val="32"/>
        </w:rPr>
        <w:t>11.负责库区移民政策的贯彻落实；编制区域库区移民发展规划及后扶持项目规划；负责后扶持项目年度计划的上报和下达,组织后扶持项目的实施。</w:t>
      </w:r>
    </w:p>
    <w:p w14:paraId="5DE12761">
      <w:pPr>
        <w:spacing w:line="580" w:lineRule="exact"/>
        <w:ind w:firstLine="640"/>
        <w:jc w:val="both"/>
      </w:pPr>
      <w:r>
        <w:rPr>
          <w:rFonts w:ascii="仿宋_GB2312" w:hAnsi="仿宋_GB2312" w:eastAsia="仿宋_GB2312"/>
          <w:sz w:val="32"/>
        </w:rPr>
        <w:t>12.协助乡(镇)做好库区移民项目实施、项目财务决算、竣工验收、项目建档等工作。</w:t>
      </w:r>
    </w:p>
    <w:p w14:paraId="30CD1516">
      <w:pPr>
        <w:spacing w:line="580" w:lineRule="exact"/>
        <w:ind w:firstLine="640"/>
        <w:jc w:val="both"/>
      </w:pPr>
      <w:r>
        <w:rPr>
          <w:rFonts w:ascii="仿宋_GB2312" w:hAnsi="仿宋_GB2312" w:eastAsia="仿宋_GB2312"/>
          <w:sz w:val="32"/>
        </w:rPr>
        <w:t>13.负责全县财政扶贫资金、库区移民资金使用的监督检查；负责全县扶贫开发督促检查。</w:t>
      </w:r>
    </w:p>
    <w:p w14:paraId="63038638">
      <w:pPr>
        <w:spacing w:line="580" w:lineRule="exact"/>
        <w:ind w:firstLine="640"/>
        <w:jc w:val="both"/>
      </w:pPr>
      <w:r>
        <w:rPr>
          <w:rFonts w:ascii="仿宋_GB2312" w:hAnsi="仿宋_GB2312" w:eastAsia="仿宋_GB2312"/>
          <w:sz w:val="32"/>
        </w:rPr>
        <w:t>14.加强落实国家、自治区大中型水库影响区避险解困政策，组织实施对受大中型水库影响区农牧民进行避险解困扶持政策的职责。</w:t>
      </w:r>
    </w:p>
    <w:p w14:paraId="452FA4BD">
      <w:pPr>
        <w:spacing w:line="580" w:lineRule="exact"/>
        <w:ind w:firstLine="640"/>
        <w:jc w:val="both"/>
      </w:pPr>
      <w:r>
        <w:rPr>
          <w:rFonts w:ascii="仿宋_GB2312" w:hAnsi="仿宋_GB2312" w:eastAsia="仿宋_GB2312"/>
          <w:sz w:val="32"/>
        </w:rPr>
        <w:t>15.承办县委、县人民政府及上级业务部门交办的其他事项。</w:t>
      </w:r>
    </w:p>
    <w:p w14:paraId="0A1CD9FB">
      <w:pPr>
        <w:spacing w:line="640" w:lineRule="exact"/>
        <w:ind w:firstLine="640"/>
        <w:jc w:val="both"/>
        <w:outlineLvl w:val="2"/>
      </w:pPr>
      <w:r>
        <w:rPr>
          <w:rFonts w:ascii="黑体" w:hAnsi="黑体" w:eastAsia="黑体"/>
          <w:sz w:val="32"/>
        </w:rPr>
        <w:t>二、机构设置及人员情况</w:t>
      </w:r>
    </w:p>
    <w:p w14:paraId="29248894">
      <w:pPr>
        <w:spacing w:line="580" w:lineRule="exact"/>
        <w:ind w:firstLine="640"/>
        <w:jc w:val="both"/>
      </w:pPr>
      <w:r>
        <w:rPr>
          <w:rFonts w:ascii="仿宋_GB2312" w:hAnsi="仿宋_GB2312" w:eastAsia="仿宋_GB2312"/>
          <w:sz w:val="32"/>
        </w:rPr>
        <w:t>洛浦县乡村振兴局2024年度，实有人数13人，其中：在职人员10人，减少13人；离休人员0人，增加0人；退休人员3人,减少1人。</w:t>
      </w:r>
    </w:p>
    <w:p w14:paraId="2E894C1E">
      <w:pPr>
        <w:spacing w:line="580" w:lineRule="exact"/>
        <w:ind w:firstLine="640"/>
        <w:jc w:val="both"/>
      </w:pPr>
      <w:r>
        <w:rPr>
          <w:rFonts w:ascii="仿宋_GB2312" w:hAnsi="仿宋_GB2312" w:eastAsia="仿宋_GB2312"/>
          <w:sz w:val="32"/>
        </w:rPr>
        <w:t>洛浦县乡村振兴局无下属预算单位，下设4个科室，分别是：综合室、项目办、数据办、财务室。</w:t>
      </w:r>
    </w:p>
    <w:p w14:paraId="3C06199C">
      <w:r>
        <w:br w:type="page"/>
      </w:r>
    </w:p>
    <w:p w14:paraId="4132F020">
      <w:pPr>
        <w:spacing w:line="240" w:lineRule="auto"/>
        <w:jc w:val="center"/>
        <w:outlineLvl w:val="1"/>
      </w:pPr>
      <w:r>
        <w:rPr>
          <w:rFonts w:ascii="黑体" w:hAnsi="黑体" w:eastAsia="黑体"/>
          <w:sz w:val="32"/>
        </w:rPr>
        <w:t>第二部分 部门决算情况说明</w:t>
      </w:r>
    </w:p>
    <w:p w14:paraId="6B762F63">
      <w:pPr>
        <w:spacing w:line="640" w:lineRule="exact"/>
        <w:ind w:firstLine="640"/>
        <w:jc w:val="both"/>
        <w:outlineLvl w:val="2"/>
      </w:pPr>
      <w:r>
        <w:rPr>
          <w:rFonts w:ascii="黑体" w:hAnsi="黑体" w:eastAsia="黑体"/>
          <w:sz w:val="32"/>
        </w:rPr>
        <w:t>一、收入支出决算总体情况说明</w:t>
      </w:r>
    </w:p>
    <w:p w14:paraId="68B2A3B6">
      <w:pPr>
        <w:spacing w:line="580" w:lineRule="exact"/>
        <w:ind w:firstLine="640"/>
        <w:jc w:val="both"/>
      </w:pPr>
      <w:r>
        <w:rPr>
          <w:rFonts w:ascii="仿宋_GB2312" w:hAnsi="仿宋_GB2312" w:eastAsia="仿宋_GB2312"/>
          <w:b/>
          <w:sz w:val="32"/>
        </w:rPr>
        <w:t>2024年度收入总计19,711.76万元，</w:t>
      </w:r>
      <w:r>
        <w:rPr>
          <w:rFonts w:ascii="仿宋_GB2312" w:hAnsi="仿宋_GB2312" w:eastAsia="仿宋_GB2312"/>
          <w:b w:val="0"/>
          <w:sz w:val="32"/>
        </w:rPr>
        <w:t>其中：本年收入合计9,207.10万元，使用非财政拨款结余（含专用结余）0.00万元，年初结转和结余10,504.66万元。</w:t>
      </w:r>
    </w:p>
    <w:p w14:paraId="672C4EA4">
      <w:pPr>
        <w:spacing w:line="580" w:lineRule="exact"/>
        <w:ind w:firstLine="640"/>
        <w:jc w:val="both"/>
      </w:pPr>
      <w:r>
        <w:rPr>
          <w:rFonts w:ascii="仿宋_GB2312" w:hAnsi="仿宋_GB2312" w:eastAsia="仿宋_GB2312"/>
          <w:b/>
          <w:sz w:val="32"/>
        </w:rPr>
        <w:t>2024年度支出总计19,711.76万元，</w:t>
      </w:r>
      <w:r>
        <w:rPr>
          <w:rFonts w:ascii="仿宋_GB2312" w:hAnsi="仿宋_GB2312" w:eastAsia="仿宋_GB2312"/>
          <w:b w:val="0"/>
          <w:sz w:val="32"/>
        </w:rPr>
        <w:t>其中：本年支出合计8,903.15万元，结余分配0.00万元，年末结转和结余10,808.61万元。</w:t>
      </w:r>
    </w:p>
    <w:p w14:paraId="552A805E">
      <w:pPr>
        <w:spacing w:line="580" w:lineRule="exact"/>
        <w:ind w:firstLine="640"/>
        <w:jc w:val="both"/>
      </w:pPr>
      <w:r>
        <w:rPr>
          <w:rFonts w:ascii="仿宋_GB2312" w:hAnsi="仿宋_GB2312" w:eastAsia="仿宋_GB2312"/>
          <w:b w:val="0"/>
          <w:sz w:val="32"/>
        </w:rPr>
        <w:t>收入支出总体与上年相比，减少3,905.50万元，下降16.54%，主要原因是：2024年机构改革，乡村振兴局整建制转入农业农村局，本年在职人员减少，相关人员经费较上年减少，减少洛浦县2023年小额贷款贴息、中国移动对口帮扶项目资金等项目经费，导致相关经费减少。</w:t>
      </w:r>
    </w:p>
    <w:p w14:paraId="509E951E">
      <w:pPr>
        <w:spacing w:line="640" w:lineRule="exact"/>
        <w:ind w:firstLine="640"/>
        <w:jc w:val="both"/>
        <w:outlineLvl w:val="2"/>
      </w:pPr>
      <w:r>
        <w:rPr>
          <w:rFonts w:ascii="黑体" w:hAnsi="黑体" w:eastAsia="黑体"/>
          <w:sz w:val="32"/>
        </w:rPr>
        <w:t>二、收入决算情况说明</w:t>
      </w:r>
    </w:p>
    <w:p w14:paraId="42930E1A">
      <w:pPr>
        <w:spacing w:line="580" w:lineRule="exact"/>
        <w:ind w:firstLine="640"/>
        <w:jc w:val="both"/>
      </w:pPr>
      <w:r>
        <w:rPr>
          <w:rFonts w:ascii="仿宋_GB2312" w:hAnsi="仿宋_GB2312" w:eastAsia="仿宋_GB2312"/>
          <w:b/>
          <w:sz w:val="32"/>
        </w:rPr>
        <w:t>本年收入9,207.10万元，</w:t>
      </w:r>
      <w:r>
        <w:rPr>
          <w:rFonts w:ascii="仿宋_GB2312" w:hAnsi="仿宋_GB2312" w:eastAsia="仿宋_GB2312"/>
          <w:b w:val="0"/>
          <w:sz w:val="32"/>
        </w:rPr>
        <w:t>其中：财政拨款收入3,404.88万元，占36.98%；上级补助收入0.00万元，占0.00%；事业收入0.00万元，占0.00%；经营收入0.00万元，占0.00%；附属单位上缴收入0.00万元，占0.00%；其他收入5,802.22万元，占63.02%。</w:t>
      </w:r>
    </w:p>
    <w:p w14:paraId="27DDBFF9">
      <w:pPr>
        <w:spacing w:line="640" w:lineRule="exact"/>
        <w:ind w:firstLine="640"/>
        <w:jc w:val="both"/>
        <w:outlineLvl w:val="2"/>
      </w:pPr>
      <w:r>
        <w:rPr>
          <w:rFonts w:ascii="黑体" w:hAnsi="黑体" w:eastAsia="黑体"/>
          <w:sz w:val="32"/>
        </w:rPr>
        <w:t>三、支出决算情况说明</w:t>
      </w:r>
    </w:p>
    <w:p w14:paraId="738FC3E3">
      <w:pPr>
        <w:spacing w:line="580" w:lineRule="exact"/>
        <w:ind w:firstLine="640"/>
        <w:jc w:val="both"/>
      </w:pPr>
      <w:r>
        <w:rPr>
          <w:rFonts w:ascii="仿宋_GB2312" w:hAnsi="仿宋_GB2312" w:eastAsia="仿宋_GB2312"/>
          <w:b/>
          <w:sz w:val="32"/>
        </w:rPr>
        <w:t>本年支出8,903.15万元，</w:t>
      </w:r>
      <w:r>
        <w:rPr>
          <w:rFonts w:ascii="仿宋_GB2312" w:hAnsi="仿宋_GB2312" w:eastAsia="仿宋_GB2312"/>
          <w:b w:val="0"/>
          <w:sz w:val="32"/>
        </w:rPr>
        <w:t>其中：基本支出241.97万元，占2.72%；项目支出8,661.18万元，占97.28%；上缴上级支出0.00万元，占0.00%；经营支出0.00万元，占0.00%；对附属单位补助支出0.00万元，占0.00%。</w:t>
      </w:r>
    </w:p>
    <w:p w14:paraId="5E83A3F1">
      <w:pPr>
        <w:spacing w:line="640" w:lineRule="exact"/>
        <w:ind w:firstLine="640"/>
        <w:jc w:val="both"/>
        <w:outlineLvl w:val="2"/>
      </w:pPr>
      <w:r>
        <w:rPr>
          <w:rFonts w:ascii="黑体" w:hAnsi="黑体" w:eastAsia="黑体"/>
          <w:sz w:val="32"/>
        </w:rPr>
        <w:t>四、财政拨款收入支出决算总体情况说明</w:t>
      </w:r>
    </w:p>
    <w:p w14:paraId="73206AC9">
      <w:pPr>
        <w:spacing w:line="580" w:lineRule="exact"/>
        <w:ind w:firstLine="640"/>
        <w:jc w:val="both"/>
      </w:pPr>
      <w:r>
        <w:rPr>
          <w:rFonts w:ascii="仿宋_GB2312" w:hAnsi="仿宋_GB2312" w:eastAsia="仿宋_GB2312"/>
          <w:b/>
          <w:sz w:val="32"/>
        </w:rPr>
        <w:t>2024年度财政拨款收入总计6,890.47万元，</w:t>
      </w:r>
      <w:r>
        <w:rPr>
          <w:rFonts w:ascii="仿宋_GB2312" w:hAnsi="仿宋_GB2312" w:eastAsia="仿宋_GB2312"/>
          <w:b w:val="0"/>
          <w:sz w:val="32"/>
        </w:rPr>
        <w:t>其中：年初财政拨款结转和结余3,485.59万元，本年财政拨款收入3,404.88万元。</w:t>
      </w:r>
      <w:r>
        <w:rPr>
          <w:rFonts w:ascii="仿宋_GB2312" w:hAnsi="仿宋_GB2312" w:eastAsia="仿宋_GB2312"/>
          <w:b/>
          <w:sz w:val="32"/>
        </w:rPr>
        <w:t>财政拨款支出总计6,890.47万元，</w:t>
      </w:r>
      <w:r>
        <w:rPr>
          <w:rFonts w:ascii="仿宋_GB2312" w:hAnsi="仿宋_GB2312" w:eastAsia="仿宋_GB2312"/>
          <w:b w:val="0"/>
          <w:sz w:val="32"/>
        </w:rPr>
        <w:t>其中：年末财政拨款结转和结余3,485.59万元，本年财政拨款支出3,404.88万元。</w:t>
      </w:r>
    </w:p>
    <w:p w14:paraId="5250CB3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减少918.72万元，下降11.76%，主要原因是：2024年机构改革，乡村振兴局整建制转入农业农村局，本年在职人员减少，相关人员经费较上年减少，减少洛浦县2023年小额贷款贴息项目经费，导致相关经费减少。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49,980.34万元，决算数6,890.47万元，预决算差异率-86.21%，主要原因是：2024年机构改革，乡村振兴局整建制转入农业农村局，本年在职人员减少，年中调减人员经费、公用经费等，调减洛浦县小额贷款贴息等项目经费，导致预决算存在差异。</w:t>
      </w:r>
    </w:p>
    <w:p w14:paraId="30AB6403">
      <w:pPr>
        <w:spacing w:line="640" w:lineRule="exact"/>
        <w:ind w:firstLine="640"/>
        <w:jc w:val="both"/>
        <w:outlineLvl w:val="2"/>
      </w:pPr>
      <w:r>
        <w:rPr>
          <w:rFonts w:ascii="黑体" w:hAnsi="黑体" w:eastAsia="黑体"/>
          <w:sz w:val="32"/>
        </w:rPr>
        <w:t>五、一般公共预算财政拨款支出决算情况说明</w:t>
      </w:r>
    </w:p>
    <w:p w14:paraId="33B31BE8">
      <w:pPr>
        <w:spacing w:line="640" w:lineRule="exact"/>
        <w:ind w:firstLine="640"/>
        <w:jc w:val="both"/>
        <w:outlineLvl w:val="3"/>
      </w:pPr>
      <w:r>
        <w:rPr>
          <w:rFonts w:ascii="楷体_GB2312" w:hAnsi="楷体_GB2312" w:eastAsia="楷体_GB2312"/>
          <w:b/>
          <w:sz w:val="32"/>
        </w:rPr>
        <w:t>（一）一般公共预算财政拨款支出决算总体情况</w:t>
      </w:r>
    </w:p>
    <w:p w14:paraId="5F193073">
      <w:pPr>
        <w:spacing w:line="580" w:lineRule="exact"/>
        <w:ind w:firstLine="640"/>
        <w:jc w:val="both"/>
      </w:pPr>
      <w:r>
        <w:rPr>
          <w:rFonts w:ascii="仿宋_GB2312" w:hAnsi="仿宋_GB2312" w:eastAsia="仿宋_GB2312"/>
          <w:b/>
          <w:sz w:val="32"/>
        </w:rPr>
        <w:t>2024年度一般公共预算财政拨款支出3,404.88万元，</w:t>
      </w:r>
      <w:r>
        <w:rPr>
          <w:rFonts w:ascii="仿宋_GB2312" w:hAnsi="仿宋_GB2312" w:eastAsia="仿宋_GB2312"/>
          <w:b w:val="0"/>
          <w:sz w:val="32"/>
        </w:rPr>
        <w:t>占本年支出合计的38.24%。</w:t>
      </w:r>
      <w:r>
        <w:rPr>
          <w:rFonts w:ascii="仿宋_GB2312" w:hAnsi="仿宋_GB2312" w:eastAsia="仿宋_GB2312"/>
          <w:b/>
          <w:sz w:val="32"/>
        </w:rPr>
        <w:t>与上年相比，</w:t>
      </w:r>
      <w:r>
        <w:rPr>
          <w:rFonts w:ascii="仿宋_GB2312" w:hAnsi="仿宋_GB2312" w:eastAsia="仿宋_GB2312"/>
          <w:b w:val="0"/>
          <w:sz w:val="32"/>
        </w:rPr>
        <w:t>减少918.72万元，下降21.25%，主要原因是：2024年机构改革，乡村振兴局整建制转入农业农村局，本年在职人员减少，相关人员经费较上年减少，减少洛浦县2023年小额贷款贴息项目经费，导致相关经费减少。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49,980.34万元，决算数3,404.88万元，预决算差异率-93.19%，主要原因是：2024年机构改革，乡村振兴局整建制转入农业农村局，本年在职人员减少，年中调减人员经费、公用经费等，调减洛浦县小额贷款贴息等项目经费，导致预决算存在差异。</w:t>
      </w:r>
    </w:p>
    <w:p w14:paraId="6830428C">
      <w:pPr>
        <w:spacing w:line="640" w:lineRule="exact"/>
        <w:ind w:firstLine="640"/>
        <w:jc w:val="both"/>
        <w:outlineLvl w:val="3"/>
      </w:pPr>
      <w:r>
        <w:rPr>
          <w:rFonts w:ascii="楷体_GB2312" w:hAnsi="楷体_GB2312" w:eastAsia="楷体_GB2312"/>
          <w:b/>
          <w:sz w:val="32"/>
        </w:rPr>
        <w:t>（二）一般公共预算财政拨款支出决算结构情况</w:t>
      </w:r>
    </w:p>
    <w:p w14:paraId="120342A5">
      <w:pPr>
        <w:spacing w:line="580" w:lineRule="exact"/>
        <w:ind w:firstLine="640"/>
        <w:jc w:val="both"/>
      </w:pPr>
      <w:r>
        <w:rPr>
          <w:rFonts w:ascii="仿宋_GB2312" w:hAnsi="仿宋_GB2312" w:eastAsia="仿宋_GB2312"/>
          <w:b w:val="0"/>
          <w:sz w:val="32"/>
        </w:rPr>
        <w:t>1.社会保障和就业支出(类)29.78万元,占0.87%。</w:t>
      </w:r>
    </w:p>
    <w:p w14:paraId="2D9B9FD9">
      <w:pPr>
        <w:spacing w:line="580" w:lineRule="exact"/>
        <w:ind w:firstLine="640"/>
        <w:jc w:val="both"/>
      </w:pPr>
      <w:r>
        <w:rPr>
          <w:rFonts w:ascii="仿宋_GB2312" w:hAnsi="仿宋_GB2312" w:eastAsia="仿宋_GB2312"/>
          <w:b w:val="0"/>
          <w:sz w:val="32"/>
        </w:rPr>
        <w:t>2.卫生健康支出(类)13.76万元,占0.40%。</w:t>
      </w:r>
    </w:p>
    <w:p w14:paraId="5076A65C">
      <w:pPr>
        <w:spacing w:line="580" w:lineRule="exact"/>
        <w:ind w:firstLine="640"/>
        <w:jc w:val="both"/>
      </w:pPr>
      <w:r>
        <w:rPr>
          <w:rFonts w:ascii="仿宋_GB2312" w:hAnsi="仿宋_GB2312" w:eastAsia="仿宋_GB2312"/>
          <w:b w:val="0"/>
          <w:sz w:val="32"/>
        </w:rPr>
        <w:t>3.农林水支出(类)3,343.29万元,占98.19%。</w:t>
      </w:r>
    </w:p>
    <w:p w14:paraId="6F793E05">
      <w:pPr>
        <w:spacing w:line="580" w:lineRule="exact"/>
        <w:ind w:firstLine="640"/>
        <w:jc w:val="both"/>
      </w:pPr>
      <w:r>
        <w:rPr>
          <w:rFonts w:ascii="仿宋_GB2312" w:hAnsi="仿宋_GB2312" w:eastAsia="仿宋_GB2312"/>
          <w:b w:val="0"/>
          <w:sz w:val="32"/>
        </w:rPr>
        <w:t>4.住房保障支出(类)18.05万元,占0.53%。</w:t>
      </w:r>
    </w:p>
    <w:p w14:paraId="78BF0E9A">
      <w:pPr>
        <w:spacing w:line="640" w:lineRule="exact"/>
        <w:ind w:firstLine="640"/>
        <w:jc w:val="both"/>
        <w:outlineLvl w:val="3"/>
      </w:pPr>
      <w:r>
        <w:rPr>
          <w:rFonts w:ascii="楷体_GB2312" w:hAnsi="楷体_GB2312" w:eastAsia="楷体_GB2312"/>
          <w:b/>
          <w:sz w:val="32"/>
        </w:rPr>
        <w:t>（三）一般公共预算财政拨款支出决算具体情况</w:t>
      </w:r>
    </w:p>
    <w:p w14:paraId="0EBA672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3.86万元，比上年决算增加3.86万元，增长100.00%,主要原因是：本年功能科目调整，行政单位离退休上年度在主科目列支，本年单独列支，导致经费较上年增加。</w:t>
      </w:r>
    </w:p>
    <w:p w14:paraId="764B085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25.92万元，比上年决算减少14.65万元，下降36.11%,主要原因是：2024年机构改革，乡村振兴局下半年合并至农业农村局，在职人员减少，机关事业单位基本养老保险缴费支出减少，导致相关经费减少。</w:t>
      </w:r>
    </w:p>
    <w:p w14:paraId="3088BE4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15.32万元，下降100.00%,主要原因是：本年无新增退休人员，职业年金缴费较上年减少。</w:t>
      </w:r>
    </w:p>
    <w:p w14:paraId="6EA789C6">
      <w:pPr>
        <w:spacing w:line="580" w:lineRule="exact"/>
        <w:ind w:firstLine="640"/>
        <w:jc w:val="both"/>
      </w:pPr>
      <w:r>
        <w:rPr>
          <w:rFonts w:ascii="仿宋_GB2312" w:hAnsi="仿宋_GB2312" w:eastAsia="仿宋_GB2312"/>
          <w:b w:val="0"/>
          <w:sz w:val="32"/>
        </w:rPr>
        <w:t>4.卫生健康支出(类)行政事业单位医疗(款)行政单位医疗(项):支出决算数为10.53万元，比上年决算增加10.53万元，增长100.00%,主要原因是：本年功能科目调整，行政单位医疗上年度在主科目列支，本年单独列支，导致经费较上年增加。</w:t>
      </w:r>
    </w:p>
    <w:p w14:paraId="2B8228B6">
      <w:pPr>
        <w:spacing w:line="580" w:lineRule="exact"/>
        <w:ind w:firstLine="640"/>
        <w:jc w:val="both"/>
      </w:pPr>
      <w:r>
        <w:rPr>
          <w:rFonts w:ascii="仿宋_GB2312" w:hAnsi="仿宋_GB2312" w:eastAsia="仿宋_GB2312"/>
          <w:b w:val="0"/>
          <w:sz w:val="32"/>
        </w:rPr>
        <w:t>5.卫生健康支出(类)行政事业单位医疗(款)公务员医疗补助(项):支出决算数为3.23万元，比上年决算增加3.23万元，增长100.00%,主要原因是：本年功能科目调整，公务员医疗补助上年度在主科目列支，本年单独列支，导致经费较上年增加。</w:t>
      </w:r>
    </w:p>
    <w:p w14:paraId="569C4538">
      <w:pPr>
        <w:spacing w:line="580" w:lineRule="exact"/>
        <w:ind w:firstLine="640"/>
        <w:jc w:val="both"/>
      </w:pPr>
      <w:r>
        <w:rPr>
          <w:rFonts w:ascii="仿宋_GB2312" w:hAnsi="仿宋_GB2312" w:eastAsia="仿宋_GB2312"/>
          <w:b w:val="0"/>
          <w:sz w:val="32"/>
        </w:rPr>
        <w:t>6.农林水支出(类)巩固脱贫攻坚成果衔接乡村振兴(款)行政运行(项):支出决算数为180.38万元，比上年决算减少246.02万元，下降57.70%,主要原因是：2024年机构改革，乡村振兴局下半年合并至农业农村局，相应人员经费、公用经费由农业农村局支出，导致经费比上年减少。</w:t>
      </w:r>
    </w:p>
    <w:p w14:paraId="3A916876">
      <w:pPr>
        <w:spacing w:line="580" w:lineRule="exact"/>
        <w:ind w:firstLine="640"/>
        <w:jc w:val="both"/>
      </w:pPr>
      <w:r>
        <w:rPr>
          <w:rFonts w:ascii="仿宋_GB2312" w:hAnsi="仿宋_GB2312" w:eastAsia="仿宋_GB2312"/>
          <w:b w:val="0"/>
          <w:sz w:val="32"/>
        </w:rPr>
        <w:t>7.农林水支出(类)巩固脱贫攻坚成果衔接乡村振兴(款)生产发展(项):支出决算数为68.80万元，比上年决算减少3,536.49万元，下降98.09%,主要原因是：本年科目调整，部分洛浦县2023年小额贷款贴息项目经费上年在生产发展科目列支，本年调整至其他巩固脱贫攻坚成果衔接乡村振兴支出科目列支，导致相关经费减少。</w:t>
      </w:r>
    </w:p>
    <w:p w14:paraId="49F764D0">
      <w:pPr>
        <w:spacing w:line="580" w:lineRule="exact"/>
        <w:ind w:firstLine="640"/>
        <w:jc w:val="both"/>
      </w:pPr>
      <w:r>
        <w:rPr>
          <w:rFonts w:ascii="仿宋_GB2312" w:hAnsi="仿宋_GB2312" w:eastAsia="仿宋_GB2312"/>
          <w:b w:val="0"/>
          <w:sz w:val="32"/>
        </w:rPr>
        <w:t>8.农林水支出(类)巩固脱贫攻坚成果衔接乡村振兴(款)其他巩固脱贫攻坚成果衔接乡村振兴支出(项):支出决算数为3,094.11万元，比上年决算增加2,858.10万元，增长1,211.01%,主要原因是：本年科目调整，部分洛浦县2023年小额贷款贴息项目经费上年在生产发展科目列支，本年调整至其他巩固脱贫攻坚成果衔接乡村振兴支出科目列支，导致相关经费增加。</w:t>
      </w:r>
    </w:p>
    <w:p w14:paraId="7F1FD077">
      <w:pPr>
        <w:spacing w:line="580" w:lineRule="exact"/>
        <w:ind w:firstLine="640"/>
        <w:jc w:val="both"/>
      </w:pPr>
      <w:r>
        <w:rPr>
          <w:rFonts w:ascii="仿宋_GB2312" w:hAnsi="仿宋_GB2312" w:eastAsia="仿宋_GB2312"/>
          <w:b w:val="0"/>
          <w:sz w:val="32"/>
        </w:rPr>
        <w:t>9.住房保障支出(类)住房改革支出(款)住房公积金(项):支出决算数为18.05万元，比上年决算增加18.05万元，增长100.00%,主要原因是：本年功能科目调整，住房公积金上年度在主科目列支，本年单独列支，导致经费较上年增加。</w:t>
      </w:r>
    </w:p>
    <w:p w14:paraId="23738409">
      <w:pPr>
        <w:spacing w:line="640" w:lineRule="exact"/>
        <w:ind w:firstLine="640"/>
        <w:jc w:val="both"/>
        <w:outlineLvl w:val="2"/>
      </w:pPr>
      <w:r>
        <w:rPr>
          <w:rFonts w:ascii="黑体" w:hAnsi="黑体" w:eastAsia="黑体"/>
          <w:sz w:val="32"/>
        </w:rPr>
        <w:t>六、一般公共预算财政拨款基本支出决算情况说明</w:t>
      </w:r>
    </w:p>
    <w:p w14:paraId="40CDBD2D">
      <w:pPr>
        <w:spacing w:line="580" w:lineRule="exact"/>
        <w:ind w:firstLine="640"/>
        <w:jc w:val="both"/>
      </w:pPr>
      <w:r>
        <w:rPr>
          <w:rFonts w:ascii="仿宋_GB2312" w:hAnsi="仿宋_GB2312" w:eastAsia="仿宋_GB2312"/>
          <w:b w:val="0"/>
          <w:sz w:val="32"/>
        </w:rPr>
        <w:t>2024年度一般公共预算财政拨款基本支出241.97万元，其中：</w:t>
      </w:r>
      <w:r>
        <w:rPr>
          <w:rFonts w:ascii="仿宋_GB2312" w:hAnsi="仿宋_GB2312" w:eastAsia="仿宋_GB2312"/>
          <w:b/>
          <w:sz w:val="32"/>
        </w:rPr>
        <w:t>人员经费234.19万元，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31620903">
      <w:pPr>
        <w:spacing w:line="580" w:lineRule="exact"/>
        <w:ind w:firstLine="640"/>
        <w:jc w:val="both"/>
      </w:pPr>
      <w:r>
        <w:rPr>
          <w:rFonts w:ascii="仿宋_GB2312" w:hAnsi="仿宋_GB2312" w:eastAsia="仿宋_GB2312"/>
          <w:b/>
          <w:sz w:val="32"/>
        </w:rPr>
        <w:t>公用经费7.78万元，</w:t>
      </w:r>
      <w:r>
        <w:rPr>
          <w:rFonts w:ascii="仿宋_GB2312" w:hAnsi="仿宋_GB2312" w:eastAsia="仿宋_GB2312"/>
          <w:b w:val="0"/>
          <w:sz w:val="32"/>
        </w:rPr>
        <w:t>包括：办公费、邮电费、差旅费、公务用车运行维护费。</w:t>
      </w:r>
    </w:p>
    <w:p w14:paraId="668151EB">
      <w:pPr>
        <w:spacing w:line="640" w:lineRule="exact"/>
        <w:ind w:firstLine="640"/>
        <w:jc w:val="both"/>
        <w:outlineLvl w:val="2"/>
      </w:pPr>
      <w:r>
        <w:rPr>
          <w:rFonts w:ascii="黑体" w:hAnsi="黑体" w:eastAsia="黑体"/>
          <w:sz w:val="32"/>
        </w:rPr>
        <w:t>七、政府性基金预算财政拨款收入支出决算情况说明</w:t>
      </w:r>
    </w:p>
    <w:p w14:paraId="7350167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071F9C2">
      <w:pPr>
        <w:spacing w:line="640" w:lineRule="exact"/>
        <w:ind w:firstLine="640"/>
        <w:jc w:val="both"/>
        <w:outlineLvl w:val="2"/>
      </w:pPr>
      <w:r>
        <w:rPr>
          <w:rFonts w:ascii="黑体" w:hAnsi="黑体" w:eastAsia="黑体"/>
          <w:sz w:val="32"/>
        </w:rPr>
        <w:t>八、国有资本经营预算财政拨款收入支出决算情况说明</w:t>
      </w:r>
    </w:p>
    <w:p w14:paraId="69A0FA1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6A193B">
      <w:pPr>
        <w:spacing w:line="640" w:lineRule="exact"/>
        <w:ind w:firstLine="640"/>
        <w:jc w:val="both"/>
        <w:outlineLvl w:val="2"/>
      </w:pPr>
      <w:r>
        <w:rPr>
          <w:rFonts w:ascii="黑体" w:hAnsi="黑体" w:eastAsia="黑体"/>
          <w:sz w:val="32"/>
        </w:rPr>
        <w:t>九、财政拨款“三公”经费支出决算情况说明</w:t>
      </w:r>
    </w:p>
    <w:p w14:paraId="0C622570">
      <w:pPr>
        <w:spacing w:line="580" w:lineRule="exact"/>
        <w:ind w:firstLine="640"/>
        <w:jc w:val="both"/>
      </w:pPr>
      <w:r>
        <w:rPr>
          <w:rFonts w:ascii="仿宋_GB2312" w:hAnsi="仿宋_GB2312" w:eastAsia="仿宋_GB2312"/>
          <w:b/>
          <w:sz w:val="32"/>
        </w:rPr>
        <w:t>2024年度财政拨款“三公”经费支出1.74万元，</w:t>
      </w:r>
      <w:r>
        <w:rPr>
          <w:rFonts w:ascii="仿宋_GB2312" w:hAnsi="仿宋_GB2312" w:eastAsia="仿宋_GB2312"/>
          <w:b w:val="0"/>
          <w:sz w:val="32"/>
        </w:rPr>
        <w:t>比上年减少2.75万元，下降61.25%，主要原因是：2024年机构改革，乡村振兴局整建制转入农业农村局，导致本年公务用车运行维护费支出减少。其中：因公出国（境）费支出0.00万元，占0.00%，比上年增加0.00万元，增长0.00%，主要原因是：2023年与2024年均未安排因公出国（境）费支出。公务用车购置及运行维护费支出1.74万元，占100.00%，比上年减少2.75万元，下降61.25%，主要原因是：2024年机构改革，乡村振兴局整建制转入农业农村局，导致本年公务用车运行维护费支出减少。公务接待费支出0.00万元，占0.00%，比上年增加0.00万元，增长0.00%，主要原因是：2023年与2024年均未安排公务接待费支出。</w:t>
      </w:r>
    </w:p>
    <w:p w14:paraId="67170A95">
      <w:pPr>
        <w:spacing w:line="580" w:lineRule="exact"/>
        <w:ind w:firstLine="640"/>
        <w:jc w:val="both"/>
      </w:pPr>
      <w:r>
        <w:rPr>
          <w:rFonts w:ascii="仿宋_GB2312" w:hAnsi="仿宋_GB2312" w:eastAsia="仿宋_GB2312"/>
          <w:b/>
          <w:sz w:val="32"/>
        </w:rPr>
        <w:t>具体情况如下：</w:t>
      </w:r>
    </w:p>
    <w:p w14:paraId="6262186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CBA075">
      <w:pPr>
        <w:spacing w:line="580" w:lineRule="exact"/>
        <w:ind w:firstLine="640"/>
        <w:jc w:val="both"/>
      </w:pPr>
      <w:r>
        <w:rPr>
          <w:rFonts w:ascii="仿宋_GB2312" w:hAnsi="仿宋_GB2312" w:eastAsia="仿宋_GB2312"/>
          <w:b w:val="0"/>
          <w:sz w:val="32"/>
        </w:rPr>
        <w:t>公务用车购置及运行维护费1.74万元，其中：公务用车购置费0.00万元，公务用车运行维护费1.74万元。公务用车运行维护费开支内容包括车辆加油费、车辆维修费、车辆保险费。公务用车购置数0辆，公务用车保有量5辆。国有资产占用情况中固定资产车辆5辆，与公务用车保有量差异原因是：</w:t>
      </w:r>
      <w:bookmarkStart w:id="0" w:name="_GoBack"/>
      <w:bookmarkEnd w:id="0"/>
      <w:r>
        <w:rPr>
          <w:rFonts w:ascii="仿宋_GB2312" w:hAnsi="仿宋_GB2312" w:eastAsia="仿宋_GB2312"/>
          <w:b w:val="0"/>
          <w:sz w:val="32"/>
        </w:rPr>
        <w:t>本单位固定资产车辆与公务用车保有量一致无差异。</w:t>
      </w:r>
    </w:p>
    <w:p w14:paraId="2914552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71AEF8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1.74万元，决算数1.74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1.74万元，决算数1.74万元，预决算差异率0.00%，主要原因是：严格按照预算执行，预决算无差异。公务接待费全年预算数0.00万元，决算数0.00万元，预决算差异率0.00%，主要原因是：本单位无公务接待费。</w:t>
      </w:r>
    </w:p>
    <w:p w14:paraId="6C0C1626">
      <w:pPr>
        <w:spacing w:line="640" w:lineRule="exact"/>
        <w:ind w:firstLine="640"/>
        <w:jc w:val="both"/>
        <w:outlineLvl w:val="2"/>
      </w:pPr>
      <w:r>
        <w:rPr>
          <w:rFonts w:ascii="黑体" w:hAnsi="黑体" w:eastAsia="黑体"/>
          <w:sz w:val="32"/>
        </w:rPr>
        <w:t>十、其他重要事项的情况说明</w:t>
      </w:r>
    </w:p>
    <w:p w14:paraId="03C634CA">
      <w:pPr>
        <w:spacing w:line="640" w:lineRule="exact"/>
        <w:ind w:firstLine="640"/>
        <w:jc w:val="both"/>
        <w:outlineLvl w:val="3"/>
      </w:pPr>
      <w:r>
        <w:rPr>
          <w:rFonts w:ascii="楷体_GB2312" w:hAnsi="楷体_GB2312" w:eastAsia="楷体_GB2312"/>
          <w:b/>
          <w:sz w:val="32"/>
        </w:rPr>
        <w:t>（一）机关运行经费及公用经费支出情况</w:t>
      </w:r>
    </w:p>
    <w:p w14:paraId="6CF8DA1D">
      <w:pPr>
        <w:spacing w:line="580" w:lineRule="exact"/>
        <w:ind w:firstLine="640"/>
        <w:jc w:val="both"/>
      </w:pPr>
      <w:r>
        <w:rPr>
          <w:rFonts w:ascii="仿宋_GB2312" w:hAnsi="仿宋_GB2312" w:eastAsia="仿宋_GB2312"/>
          <w:b w:val="0"/>
          <w:sz w:val="32"/>
        </w:rPr>
        <w:t>2024年度洛浦县乡村振兴局（行政单位和参照公务员法管理事业单位）机关运行经费支出7.78万元，比上年减少30.42万元，下降79.63%，主要原因是：2024年7月机构改革，乡村振兴局整建制转入农业农村局，在职人员减少，相应公用经费由农业农村局列支，导致本年机关运行经费减少。</w:t>
      </w:r>
    </w:p>
    <w:p w14:paraId="01E7BECA">
      <w:pPr>
        <w:spacing w:line="640" w:lineRule="exact"/>
        <w:ind w:firstLine="640"/>
        <w:jc w:val="both"/>
        <w:outlineLvl w:val="3"/>
      </w:pPr>
      <w:r>
        <w:rPr>
          <w:rFonts w:ascii="楷体_GB2312" w:hAnsi="楷体_GB2312" w:eastAsia="楷体_GB2312"/>
          <w:b/>
          <w:sz w:val="32"/>
        </w:rPr>
        <w:t>（二）政府采购情况</w:t>
      </w:r>
    </w:p>
    <w:p w14:paraId="7BA023AC">
      <w:pPr>
        <w:spacing w:line="580" w:lineRule="exact"/>
        <w:ind w:firstLine="640"/>
        <w:jc w:val="both"/>
      </w:pPr>
      <w:r>
        <w:rPr>
          <w:rFonts w:ascii="仿宋_GB2312" w:hAnsi="仿宋_GB2312" w:eastAsia="仿宋_GB2312"/>
          <w:b w:val="0"/>
          <w:sz w:val="32"/>
        </w:rPr>
        <w:t>2024年度政府采购支出总额178.69万元，其中：政府采购货物支出0.00万元、政府采购工程支出0.00万元、政府采购服务支出178.69万元。</w:t>
      </w:r>
    </w:p>
    <w:p w14:paraId="5D82EB15">
      <w:pPr>
        <w:spacing w:line="580" w:lineRule="exact"/>
        <w:ind w:firstLine="640"/>
        <w:jc w:val="both"/>
      </w:pPr>
      <w:r>
        <w:rPr>
          <w:rFonts w:ascii="仿宋_GB2312" w:hAnsi="仿宋_GB2312" w:eastAsia="仿宋_GB2312"/>
          <w:b w:val="0"/>
          <w:sz w:val="32"/>
        </w:rPr>
        <w:t>授予中小企业合同金额178.69万元，占政府采购支出总额的100.00%，其中：授予小微企业合同金额178.69万元，占政府采购支出总额的100.00%。</w:t>
      </w:r>
    </w:p>
    <w:p w14:paraId="3A9E3D50">
      <w:pPr>
        <w:spacing w:line="640" w:lineRule="exact"/>
        <w:ind w:firstLine="640"/>
        <w:jc w:val="both"/>
        <w:outlineLvl w:val="3"/>
      </w:pPr>
      <w:r>
        <w:rPr>
          <w:rFonts w:ascii="楷体_GB2312" w:hAnsi="楷体_GB2312" w:eastAsia="楷体_GB2312"/>
          <w:b/>
          <w:sz w:val="32"/>
        </w:rPr>
        <w:t>（三）国有资产占用情况说明</w:t>
      </w:r>
    </w:p>
    <w:p w14:paraId="6F626F8F">
      <w:pPr>
        <w:spacing w:line="580" w:lineRule="exact"/>
        <w:ind w:firstLine="640"/>
        <w:jc w:val="both"/>
      </w:pPr>
      <w:r>
        <w:rPr>
          <w:rFonts w:ascii="仿宋_GB2312" w:hAnsi="仿宋_GB2312" w:eastAsia="仿宋_GB2312"/>
          <w:b w:val="0"/>
          <w:sz w:val="32"/>
        </w:rPr>
        <w:t>截至2024年12月31日，房屋0.00平方米，价值0.00万元。车辆5辆，价值54.92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61655982">
      <w:pPr>
        <w:spacing w:line="640" w:lineRule="exact"/>
        <w:ind w:firstLine="640"/>
        <w:jc w:val="both"/>
        <w:outlineLvl w:val="2"/>
      </w:pPr>
      <w:r>
        <w:rPr>
          <w:rFonts w:ascii="黑体" w:hAnsi="黑体" w:eastAsia="黑体"/>
          <w:sz w:val="32"/>
        </w:rPr>
        <w:t>十一、预算绩效的情况说明</w:t>
      </w:r>
    </w:p>
    <w:p w14:paraId="08D65D4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19,711.76万元，实际执行总额8,903.15万元；预算绩效评价项目1个，全年预算数2.22万元，全年执行数2.22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w:t>
      </w:r>
    </w:p>
    <w:p w14:paraId="66BD99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2DD216">
        <w:tblPrEx>
          <w:tblCellMar>
            <w:top w:w="0" w:type="dxa"/>
            <w:left w:w="108" w:type="dxa"/>
            <w:bottom w:w="0" w:type="dxa"/>
            <w:right w:w="108" w:type="dxa"/>
          </w:tblCellMar>
        </w:tblPrEx>
        <w:tc>
          <w:tcPr>
            <w:tcW w:w="8847" w:type="dxa"/>
            <w:gridSpan w:val="9"/>
            <w:vAlign w:val="center"/>
          </w:tcPr>
          <w:p w14:paraId="119697BC">
            <w:pPr>
              <w:jc w:val="center"/>
            </w:pPr>
            <w:r>
              <w:rPr>
                <w:rFonts w:ascii="宋体" w:hAnsi="宋体" w:eastAsia="宋体"/>
                <w:sz w:val="24"/>
              </w:rPr>
              <w:t>单位整体支出绩效自评表</w:t>
            </w:r>
          </w:p>
        </w:tc>
      </w:tr>
      <w:tr w14:paraId="1495D262">
        <w:tblPrEx>
          <w:tblCellMar>
            <w:top w:w="0" w:type="dxa"/>
            <w:left w:w="108" w:type="dxa"/>
            <w:bottom w:w="0" w:type="dxa"/>
            <w:right w:w="108" w:type="dxa"/>
          </w:tblCellMar>
        </w:tblPrEx>
        <w:tc>
          <w:tcPr>
            <w:tcW w:w="8847" w:type="dxa"/>
            <w:gridSpan w:val="9"/>
            <w:vAlign w:val="center"/>
          </w:tcPr>
          <w:p w14:paraId="2DFF3009">
            <w:pPr>
              <w:jc w:val="center"/>
            </w:pPr>
            <w:r>
              <w:rPr>
                <w:rFonts w:ascii="宋体" w:hAnsi="宋体" w:eastAsia="宋体"/>
                <w:sz w:val="24"/>
              </w:rPr>
              <w:t>（2024年度）</w:t>
            </w:r>
          </w:p>
        </w:tc>
      </w:tr>
      <w:tr w14:paraId="35E273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099B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AD3631">
            <w:pPr>
              <w:jc w:val="center"/>
            </w:pPr>
            <w:r>
              <w:rPr>
                <w:rFonts w:ascii="宋体" w:hAnsi="宋体" w:eastAsia="宋体"/>
                <w:sz w:val="16"/>
              </w:rPr>
              <w:t>洛浦县乡村振兴局</w:t>
            </w:r>
          </w:p>
        </w:tc>
      </w:tr>
      <w:tr w14:paraId="3A0986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04D90">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D95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7C37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16D5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6F32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248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E6B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1389">
            <w:pPr>
              <w:jc w:val="center"/>
            </w:pPr>
            <w:r>
              <w:rPr>
                <w:rFonts w:ascii="宋体" w:hAnsi="宋体" w:eastAsia="宋体"/>
                <w:sz w:val="16"/>
              </w:rPr>
              <w:t>得分</w:t>
            </w:r>
          </w:p>
        </w:tc>
      </w:tr>
      <w:tr w14:paraId="1EBFD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22E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33013">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CDB2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9088">
            <w:pPr>
              <w:jc w:val="center"/>
            </w:pPr>
            <w:r>
              <w:rPr>
                <w:rFonts w:ascii="宋体" w:hAnsi="宋体" w:eastAsia="宋体"/>
                <w:sz w:val="16"/>
              </w:rPr>
              <w:t>49,557.41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667B">
            <w:pPr>
              <w:jc w:val="center"/>
            </w:pPr>
            <w:r>
              <w:rPr>
                <w:rFonts w:ascii="宋体" w:hAnsi="宋体" w:eastAsia="宋体"/>
                <w:sz w:val="16"/>
              </w:rPr>
              <w:t>19,469.79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CC409">
            <w:pPr>
              <w:jc w:val="center"/>
            </w:pPr>
            <w:r>
              <w:rPr>
                <w:rFonts w:ascii="宋体" w:hAnsi="宋体" w:eastAsia="宋体"/>
                <w:sz w:val="16"/>
              </w:rPr>
              <w:t>8,661.18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7EF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59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F009A">
            <w:pPr>
              <w:jc w:val="center"/>
            </w:pPr>
            <w:r>
              <w:rPr>
                <w:rFonts w:ascii="宋体" w:hAnsi="宋体" w:eastAsia="宋体"/>
                <w:sz w:val="16"/>
              </w:rPr>
              <w:t>-</w:t>
            </w:r>
          </w:p>
        </w:tc>
      </w:tr>
      <w:tr w14:paraId="606C1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9C1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413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CD46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25E1">
            <w:pPr>
              <w:jc w:val="center"/>
            </w:pPr>
            <w:r>
              <w:rPr>
                <w:rFonts w:ascii="宋体" w:hAnsi="宋体" w:eastAsia="宋体"/>
                <w:sz w:val="16"/>
              </w:rPr>
              <w:t>422.93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25F06">
            <w:pPr>
              <w:jc w:val="center"/>
            </w:pPr>
            <w:r>
              <w:rPr>
                <w:rFonts w:ascii="宋体" w:hAnsi="宋体" w:eastAsia="宋体"/>
                <w:sz w:val="16"/>
              </w:rPr>
              <w:t>241.97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8771F">
            <w:pPr>
              <w:jc w:val="center"/>
            </w:pPr>
            <w:r>
              <w:rPr>
                <w:rFonts w:ascii="宋体" w:hAnsi="宋体" w:eastAsia="宋体"/>
                <w:sz w:val="16"/>
              </w:rPr>
              <w:t>241.97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4E6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D65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3F17">
            <w:pPr>
              <w:jc w:val="center"/>
            </w:pPr>
            <w:r>
              <w:rPr>
                <w:rFonts w:ascii="宋体" w:hAnsi="宋体" w:eastAsia="宋体"/>
                <w:sz w:val="16"/>
              </w:rPr>
              <w:t>-</w:t>
            </w:r>
          </w:p>
        </w:tc>
      </w:tr>
      <w:tr w14:paraId="23182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1CA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C99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982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E0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91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EEE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AEC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CCD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B0715">
            <w:pPr>
              <w:jc w:val="center"/>
            </w:pPr>
            <w:r>
              <w:rPr>
                <w:rFonts w:ascii="宋体" w:hAnsi="宋体" w:eastAsia="宋体"/>
                <w:sz w:val="16"/>
              </w:rPr>
              <w:t>-</w:t>
            </w:r>
          </w:p>
        </w:tc>
      </w:tr>
      <w:tr w14:paraId="7DDD91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221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C790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56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F4C0A">
            <w:pPr>
              <w:jc w:val="center"/>
            </w:pPr>
            <w:r>
              <w:rPr>
                <w:rFonts w:ascii="宋体" w:hAnsi="宋体" w:eastAsia="宋体"/>
                <w:sz w:val="16"/>
              </w:rPr>
              <w:t>49,980.34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3CC6">
            <w:pPr>
              <w:jc w:val="center"/>
            </w:pPr>
            <w:r>
              <w:rPr>
                <w:rFonts w:ascii="宋体" w:hAnsi="宋体" w:eastAsia="宋体"/>
                <w:sz w:val="16"/>
              </w:rPr>
              <w:t>19,711.76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964EC">
            <w:pPr>
              <w:jc w:val="center"/>
            </w:pPr>
            <w:r>
              <w:rPr>
                <w:rFonts w:ascii="宋体" w:hAnsi="宋体" w:eastAsia="宋体"/>
                <w:sz w:val="16"/>
              </w:rPr>
              <w:t>8,903.15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03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9D766">
            <w:pPr>
              <w:jc w:val="center"/>
            </w:pPr>
            <w:r>
              <w:rPr>
                <w:rFonts w:ascii="宋体" w:hAnsi="宋体" w:eastAsia="宋体"/>
                <w:sz w:val="16"/>
              </w:rPr>
              <w:t>45.17%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4DAC1">
            <w:pPr>
              <w:jc w:val="center"/>
            </w:pPr>
            <w:r>
              <w:rPr>
                <w:rFonts w:ascii="宋体" w:hAnsi="宋体" w:eastAsia="宋体"/>
                <w:sz w:val="16"/>
              </w:rPr>
              <w:t>4.52</w:t>
            </w:r>
          </w:p>
        </w:tc>
      </w:tr>
      <w:tr w14:paraId="00A155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BC1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AAB30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02CBD7">
            <w:pPr>
              <w:jc w:val="center"/>
            </w:pPr>
            <w:r>
              <w:rPr>
                <w:rFonts w:ascii="宋体" w:hAnsi="宋体" w:eastAsia="宋体"/>
                <w:sz w:val="16"/>
              </w:rPr>
              <w:t>实际完成情况</w:t>
            </w:r>
          </w:p>
        </w:tc>
      </w:tr>
      <w:tr w14:paraId="4DDD26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45E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5A24CD">
            <w:pPr>
              <w:jc w:val="both"/>
            </w:pPr>
            <w:r>
              <w:rPr>
                <w:rFonts w:ascii="宋体" w:hAnsi="宋体" w:eastAsia="宋体"/>
                <w:sz w:val="16"/>
              </w:rPr>
              <w:t>1.压紧压实防止返贫工作责任，持续巩固提升“三保障”和饮水安全保障成果。2.抓紧抓实衔接资金使用管理工作,项目建设进度及资金支付进度严格按照4月、6月和9月分别不低于35%、60%、85%的要求建设和形成资金支付，确保项目绩效目标如期实现。3.抓紧抓实农村厕所革命工作,一是2024年全县完成4790座无害化卫生厕所改造提升任务。二是2024年实施15个村4352户整村推进。4.力戒形式主义、官僚主义，让基层干部从繁重的报表中解脱，减少不必要的报告、不必要的会议，有效减轻基层干部负担，促使基层干部回归本职工作，更好地服务于群众，推动社会稳定和经济高质量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9A852">
            <w:pPr>
              <w:jc w:val="both"/>
            </w:pPr>
            <w:r>
              <w:rPr>
                <w:rFonts w:ascii="宋体" w:hAnsi="宋体" w:eastAsia="宋体"/>
                <w:sz w:val="16"/>
              </w:rPr>
              <w:t>完成单位在职10人，退休2人的工资福利及各项补助正常发放及部门正常运转；完成脱贫人口和监测对象数量622户，改造提升无害化卫生厕所数量4790座，实施整村推进数量15个，实施整村推进户数量4352户，衔接资金安排项目产业占比达67.64%。</w:t>
            </w:r>
          </w:p>
        </w:tc>
      </w:tr>
      <w:tr w14:paraId="57DD3FF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BC04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CD5B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55C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1CE5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3E8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1CD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026F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BBAF1">
            <w:pPr>
              <w:jc w:val="center"/>
            </w:pPr>
            <w:r>
              <w:rPr>
                <w:rFonts w:ascii="宋体" w:hAnsi="宋体" w:eastAsia="宋体"/>
                <w:sz w:val="16"/>
              </w:rPr>
              <w:t>得分</w:t>
            </w:r>
          </w:p>
        </w:tc>
      </w:tr>
      <w:tr w14:paraId="434BEA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FB9F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1087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E5A2">
            <w:pPr>
              <w:jc w:val="center"/>
            </w:pPr>
            <w:r>
              <w:rPr>
                <w:rFonts w:ascii="宋体" w:hAnsi="宋体" w:eastAsia="宋体"/>
                <w:sz w:val="16"/>
              </w:rPr>
              <w:t>完成脱贫人口和监测对象数量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70355">
            <w:pPr>
              <w:jc w:val="center"/>
            </w:pPr>
            <w:r>
              <w:rPr>
                <w:rFonts w:ascii="宋体" w:hAnsi="宋体" w:eastAsia="宋体"/>
                <w:sz w:val="16"/>
              </w:rPr>
              <w:t>&gt;=470户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FE1D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97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7B401">
            <w:pPr>
              <w:jc w:val="center"/>
            </w:pPr>
            <w:r>
              <w:rPr>
                <w:rFonts w:ascii="宋体" w:hAnsi="宋体" w:eastAsia="宋体"/>
                <w:sz w:val="16"/>
              </w:rPr>
              <w:t>622户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AB82F">
            <w:pPr>
              <w:jc w:val="center"/>
            </w:pPr>
            <w:r>
              <w:rPr>
                <w:rFonts w:ascii="宋体" w:hAnsi="宋体" w:eastAsia="宋体"/>
                <w:sz w:val="16"/>
              </w:rPr>
              <w:t>20</w:t>
            </w:r>
          </w:p>
        </w:tc>
      </w:tr>
      <w:tr w14:paraId="4D72FD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DE9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713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9017E">
            <w:pPr>
              <w:jc w:val="center"/>
            </w:pPr>
            <w:r>
              <w:rPr>
                <w:rFonts w:ascii="宋体" w:hAnsi="宋体" w:eastAsia="宋体"/>
                <w:sz w:val="16"/>
              </w:rPr>
              <w:t>改造提升无害化卫生厕所数量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C05F">
            <w:pPr>
              <w:jc w:val="center"/>
            </w:pPr>
            <w:r>
              <w:rPr>
                <w:rFonts w:ascii="宋体" w:hAnsi="宋体" w:eastAsia="宋体"/>
                <w:sz w:val="16"/>
              </w:rPr>
              <w:t>&gt;=4790座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CC62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6D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1809A">
            <w:pPr>
              <w:jc w:val="center"/>
            </w:pPr>
            <w:r>
              <w:rPr>
                <w:rFonts w:ascii="宋体" w:hAnsi="宋体" w:eastAsia="宋体"/>
                <w:sz w:val="16"/>
              </w:rPr>
              <w:t>4790座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BB61">
            <w:pPr>
              <w:jc w:val="center"/>
            </w:pPr>
            <w:r>
              <w:rPr>
                <w:rFonts w:ascii="宋体" w:hAnsi="宋体" w:eastAsia="宋体"/>
                <w:sz w:val="16"/>
              </w:rPr>
              <w:t>20</w:t>
            </w:r>
          </w:p>
        </w:tc>
      </w:tr>
      <w:tr w14:paraId="25F7BD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293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29E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D5DC">
            <w:pPr>
              <w:jc w:val="center"/>
            </w:pPr>
            <w:r>
              <w:rPr>
                <w:rFonts w:ascii="宋体" w:hAnsi="宋体" w:eastAsia="宋体"/>
                <w:sz w:val="16"/>
              </w:rPr>
              <w:t>实施整村推进数量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60FD2">
            <w:pPr>
              <w:jc w:val="center"/>
            </w:pPr>
            <w:r>
              <w:rPr>
                <w:rFonts w:ascii="宋体" w:hAnsi="宋体" w:eastAsia="宋体"/>
                <w:sz w:val="16"/>
              </w:rPr>
              <w:t>&gt;=15个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CF2E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80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7737F">
            <w:pPr>
              <w:jc w:val="center"/>
            </w:pPr>
            <w:r>
              <w:rPr>
                <w:rFonts w:ascii="宋体" w:hAnsi="宋体" w:eastAsia="宋体"/>
                <w:sz w:val="16"/>
              </w:rPr>
              <w:t>15个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6F4D7">
            <w:pPr>
              <w:jc w:val="center"/>
            </w:pPr>
            <w:r>
              <w:rPr>
                <w:rFonts w:ascii="宋体" w:hAnsi="宋体" w:eastAsia="宋体"/>
                <w:sz w:val="16"/>
              </w:rPr>
              <w:t>20</w:t>
            </w:r>
          </w:p>
        </w:tc>
      </w:tr>
      <w:tr w14:paraId="654BF5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15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EAF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19008">
            <w:pPr>
              <w:jc w:val="center"/>
            </w:pPr>
            <w:r>
              <w:rPr>
                <w:rFonts w:ascii="宋体" w:hAnsi="宋体" w:eastAsia="宋体"/>
                <w:sz w:val="16"/>
              </w:rPr>
              <w:t>实施整村推进户数量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5AA0A">
            <w:pPr>
              <w:jc w:val="center"/>
            </w:pPr>
            <w:r>
              <w:rPr>
                <w:rFonts w:ascii="宋体" w:hAnsi="宋体" w:eastAsia="宋体"/>
                <w:sz w:val="16"/>
              </w:rPr>
              <w:t>&gt;=4352户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11F3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D441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03E3D">
            <w:pPr>
              <w:jc w:val="center"/>
            </w:pPr>
            <w:r>
              <w:rPr>
                <w:rFonts w:ascii="宋体" w:hAnsi="宋体" w:eastAsia="宋体"/>
                <w:sz w:val="16"/>
              </w:rPr>
              <w:t>4352户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723C4">
            <w:pPr>
              <w:jc w:val="center"/>
            </w:pPr>
            <w:r>
              <w:rPr>
                <w:rFonts w:ascii="宋体" w:hAnsi="宋体" w:eastAsia="宋体"/>
                <w:sz w:val="16"/>
              </w:rPr>
              <w:t>15</w:t>
            </w:r>
          </w:p>
        </w:tc>
      </w:tr>
      <w:tr w14:paraId="5B669B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AD3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774D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35E00">
            <w:pPr>
              <w:jc w:val="center"/>
            </w:pPr>
            <w:r>
              <w:rPr>
                <w:rFonts w:ascii="宋体" w:hAnsi="宋体" w:eastAsia="宋体"/>
                <w:sz w:val="16"/>
              </w:rPr>
              <w:t>衔接资金安排项目产业占比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08B2">
            <w:pPr>
              <w:jc w:val="center"/>
            </w:pPr>
            <w:r>
              <w:rPr>
                <w:rFonts w:ascii="宋体" w:hAnsi="宋体" w:eastAsia="宋体"/>
                <w:sz w:val="16"/>
              </w:rPr>
              <w:t>&gt;=65%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830B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157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89465">
            <w:pPr>
              <w:jc w:val="center"/>
            </w:pPr>
            <w:r>
              <w:rPr>
                <w:rFonts w:ascii="宋体" w:hAnsi="宋体" w:eastAsia="宋体"/>
                <w:sz w:val="16"/>
              </w:rPr>
              <w:t>67.64%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3509">
            <w:pPr>
              <w:jc w:val="center"/>
            </w:pPr>
            <w:r>
              <w:rPr>
                <w:rFonts w:ascii="宋体" w:hAnsi="宋体" w:eastAsia="宋体"/>
                <w:sz w:val="16"/>
              </w:rPr>
              <w:t>15</w:t>
            </w:r>
          </w:p>
        </w:tc>
      </w:tr>
    </w:tbl>
    <w:p w14:paraId="1AFEAA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F5B6C7">
        <w:tblPrEx>
          <w:tblCellMar>
            <w:top w:w="0" w:type="dxa"/>
            <w:left w:w="108" w:type="dxa"/>
            <w:bottom w:w="0" w:type="dxa"/>
            <w:right w:w="108" w:type="dxa"/>
          </w:tblCellMar>
        </w:tblPrEx>
        <w:tc>
          <w:tcPr>
            <w:tcW w:w="8847" w:type="dxa"/>
            <w:gridSpan w:val="9"/>
            <w:vAlign w:val="center"/>
          </w:tcPr>
          <w:p w14:paraId="7F5C978E">
            <w:pPr>
              <w:jc w:val="center"/>
            </w:pPr>
            <w:r>
              <w:rPr>
                <w:rFonts w:ascii="宋体" w:hAnsi="宋体" w:eastAsia="宋体"/>
                <w:sz w:val="24"/>
              </w:rPr>
              <w:t>项目支出绩效自评表</w:t>
            </w:r>
          </w:p>
        </w:tc>
      </w:tr>
      <w:tr w14:paraId="7BE8533A">
        <w:tblPrEx>
          <w:tblCellMar>
            <w:top w:w="0" w:type="dxa"/>
            <w:left w:w="108" w:type="dxa"/>
            <w:bottom w:w="0" w:type="dxa"/>
            <w:right w:w="108" w:type="dxa"/>
          </w:tblCellMar>
        </w:tblPrEx>
        <w:tc>
          <w:tcPr>
            <w:tcW w:w="8847" w:type="dxa"/>
            <w:gridSpan w:val="9"/>
            <w:vAlign w:val="center"/>
          </w:tcPr>
          <w:p w14:paraId="63396A79">
            <w:pPr>
              <w:jc w:val="center"/>
            </w:pPr>
            <w:r>
              <w:rPr>
                <w:rFonts w:ascii="宋体" w:hAnsi="宋体" w:eastAsia="宋体"/>
                <w:sz w:val="24"/>
              </w:rPr>
              <w:t>(2024年度)</w:t>
            </w:r>
          </w:p>
        </w:tc>
      </w:tr>
      <w:tr w14:paraId="028BA1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F72C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EA2B2E">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退休干部房改房退款</w:t>
            </w:r>
          </w:p>
        </w:tc>
      </w:tr>
      <w:tr w14:paraId="567D98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FC2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65A382">
            <w:pPr>
              <w:jc w:val="center"/>
            </w:pPr>
            <w:r>
              <w:rPr>
                <w:rFonts w:ascii="宋体" w:hAnsi="宋体" w:eastAsia="宋体"/>
                <w:sz w:val="16"/>
              </w:rPr>
              <w:t>洛浦县乡村振兴局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F985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5CAB4">
            <w:pPr>
              <w:jc w:val="center"/>
            </w:pPr>
            <w:r>
              <w:rPr>
                <w:rFonts w:ascii="宋体" w:hAnsi="宋体" w:eastAsia="宋体"/>
                <w:sz w:val="16"/>
              </w:rPr>
              <w:t>洛浦县乡村振兴局</w:t>
            </w:r>
          </w:p>
        </w:tc>
      </w:tr>
      <w:tr w14:paraId="48509B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8E1A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19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7294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D157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50E0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61F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B4AD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144D">
            <w:pPr>
              <w:jc w:val="center"/>
            </w:pPr>
            <w:r>
              <w:rPr>
                <w:rFonts w:ascii="宋体" w:hAnsi="宋体" w:eastAsia="宋体"/>
                <w:sz w:val="16"/>
              </w:rPr>
              <w:t>得分</w:t>
            </w:r>
          </w:p>
        </w:tc>
      </w:tr>
      <w:tr w14:paraId="735F29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C44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11BB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E5C46">
            <w:pPr>
              <w:jc w:val="center"/>
            </w:pPr>
            <w:r>
              <w:rPr>
                <w:rFonts w:ascii="宋体" w:hAnsi="宋体" w:eastAsia="宋体"/>
                <w:sz w:val="16"/>
              </w:rPr>
              <w:t>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7989B">
            <w:pPr>
              <w:jc w:val="center"/>
            </w:pPr>
            <w:r>
              <w:rPr>
                <w:rFonts w:ascii="宋体" w:hAnsi="宋体" w:eastAsia="宋体"/>
                <w:sz w:val="16"/>
              </w:rPr>
              <w:t>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35A31">
            <w:pPr>
              <w:jc w:val="center"/>
            </w:pPr>
            <w:r>
              <w:rPr>
                <w:rFonts w:ascii="宋体" w:hAnsi="宋体" w:eastAsia="宋体"/>
                <w:sz w:val="16"/>
              </w:rPr>
              <w:t>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A4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C25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E009">
            <w:pPr>
              <w:jc w:val="center"/>
            </w:pPr>
            <w:r>
              <w:rPr>
                <w:rFonts w:ascii="宋体" w:hAnsi="宋体" w:eastAsia="宋体"/>
                <w:sz w:val="16"/>
              </w:rPr>
              <w:t>10.00分</w:t>
            </w:r>
          </w:p>
        </w:tc>
      </w:tr>
      <w:tr w14:paraId="070F4C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76E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9FAC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C4BA3">
            <w:pPr>
              <w:jc w:val="center"/>
            </w:pPr>
            <w:r>
              <w:rPr>
                <w:rFonts w:ascii="宋体" w:hAnsi="宋体" w:eastAsia="宋体"/>
                <w:sz w:val="16"/>
              </w:rPr>
              <w:t>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E7641">
            <w:pPr>
              <w:jc w:val="center"/>
            </w:pPr>
            <w:r>
              <w:rPr>
                <w:rFonts w:ascii="宋体" w:hAnsi="宋体" w:eastAsia="宋体"/>
                <w:sz w:val="16"/>
              </w:rPr>
              <w:t>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16B68">
            <w:pPr>
              <w:jc w:val="center"/>
            </w:pPr>
            <w:r>
              <w:rPr>
                <w:rFonts w:ascii="宋体" w:hAnsi="宋体" w:eastAsia="宋体"/>
                <w:sz w:val="16"/>
              </w:rPr>
              <w:t>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A0B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E6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B61AE">
            <w:pPr>
              <w:jc w:val="center"/>
            </w:pPr>
            <w:r>
              <w:rPr>
                <w:rFonts w:ascii="宋体" w:hAnsi="宋体" w:eastAsia="宋体"/>
                <w:sz w:val="16"/>
              </w:rPr>
              <w:t>—</w:t>
            </w:r>
          </w:p>
        </w:tc>
      </w:tr>
      <w:tr w14:paraId="66C4B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A40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524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0DF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F36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064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3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53E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6883F">
            <w:pPr>
              <w:jc w:val="center"/>
            </w:pPr>
            <w:r>
              <w:rPr>
                <w:rFonts w:ascii="宋体" w:hAnsi="宋体" w:eastAsia="宋体"/>
                <w:sz w:val="16"/>
              </w:rPr>
              <w:t>—</w:t>
            </w:r>
          </w:p>
        </w:tc>
      </w:tr>
      <w:tr w14:paraId="1853C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574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DA82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798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FE5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B95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4E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EF2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B58A6">
            <w:pPr>
              <w:jc w:val="center"/>
            </w:pPr>
            <w:r>
              <w:rPr>
                <w:rFonts w:ascii="宋体" w:hAnsi="宋体" w:eastAsia="宋体"/>
                <w:sz w:val="16"/>
              </w:rPr>
              <w:t>—</w:t>
            </w:r>
          </w:p>
        </w:tc>
      </w:tr>
      <w:tr w14:paraId="0F6C13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9AD3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1BDD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D95756">
            <w:pPr>
              <w:jc w:val="center"/>
            </w:pPr>
            <w:r>
              <w:rPr>
                <w:rFonts w:ascii="宋体" w:hAnsi="宋体" w:eastAsia="宋体"/>
                <w:sz w:val="16"/>
              </w:rPr>
              <w:t>实际完成情况</w:t>
            </w:r>
          </w:p>
        </w:tc>
      </w:tr>
      <w:tr w14:paraId="4B0F0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9B35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84C0DA">
            <w:pPr>
              <w:jc w:val="both"/>
            </w:pPr>
            <w:r>
              <w:rPr>
                <w:rFonts w:ascii="宋体" w:hAnsi="宋体" w:eastAsia="宋体"/>
                <w:sz w:val="16"/>
              </w:rPr>
              <w:t>保障单位2名退休干部房改房退款。通过本项目的实施，有效提高单位退休干部幸福感及获得感，持续提高单位退休干部生活水平，争取使受益困难群众满意度达到95%以上。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9118E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已完成保障单位2名退休干部房改房退款，资金已使用2.22万元。过本项目的实施，有效提高单位退休干部幸福感及获得感，持续提高单位退休干部生活水平，争取使受益困难群众满意度达到95%以上。</w:t>
            </w:r>
          </w:p>
        </w:tc>
      </w:tr>
      <w:tr w14:paraId="19B6CB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988E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38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BB7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C35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5404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FC2C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266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40B4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273F2">
            <w:pPr>
              <w:jc w:val="center"/>
            </w:pPr>
            <w:r>
              <w:rPr>
                <w:rFonts w:ascii="宋体" w:hAnsi="宋体" w:eastAsia="宋体"/>
                <w:sz w:val="16"/>
              </w:rPr>
              <w:t>偏差原因分析及改进措施</w:t>
            </w:r>
          </w:p>
        </w:tc>
      </w:tr>
      <w:tr w14:paraId="4B7F4F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82F9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85E5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20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5B034">
            <w:pPr>
              <w:jc w:val="center"/>
            </w:pPr>
            <w:r>
              <w:rPr>
                <w:rFonts w:ascii="宋体" w:hAnsi="宋体" w:eastAsia="宋体"/>
                <w:sz w:val="16"/>
              </w:rPr>
              <w:t>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8683E">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CC472">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621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8C4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FC67">
            <w:pPr>
              <w:jc w:val="center"/>
            </w:pPr>
          </w:p>
        </w:tc>
      </w:tr>
      <w:tr w14:paraId="48090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F47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339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24C8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84D9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48C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075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F72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7D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E810B">
            <w:pPr>
              <w:jc w:val="center"/>
            </w:pPr>
          </w:p>
        </w:tc>
      </w:tr>
      <w:tr w14:paraId="08E8A3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31C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A9F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775D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DB03B">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F5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39B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C1E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E81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21A8D">
            <w:pPr>
              <w:jc w:val="center"/>
            </w:pPr>
          </w:p>
        </w:tc>
      </w:tr>
      <w:tr w14:paraId="48025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41F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C3D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81D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A0B2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D6B4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C20E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B03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167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6CEB">
            <w:pPr>
              <w:jc w:val="center"/>
            </w:pPr>
          </w:p>
        </w:tc>
      </w:tr>
      <w:tr w14:paraId="0CB20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CD5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D686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A6F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AC860">
            <w:pPr>
              <w:jc w:val="center"/>
            </w:pPr>
            <w:r>
              <w:rPr>
                <w:rFonts w:ascii="宋体" w:hAnsi="宋体" w:eastAsia="宋体"/>
                <w:sz w:val="16"/>
              </w:rPr>
              <w:t>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C3B54">
            <w:pPr>
              <w:jc w:val="center"/>
            </w:pPr>
            <w:r>
              <w:rPr>
                <w:rFonts w:ascii="宋体" w:hAnsi="宋体" w:eastAsia="宋体"/>
                <w:sz w:val="16"/>
              </w:rPr>
              <w:t>&lt;=2.22万元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7CFF7">
            <w:pPr>
              <w:jc w:val="center"/>
            </w:pPr>
            <w:r>
              <w:rPr>
                <w:rFonts w:ascii="宋体" w:hAnsi="宋体" w:eastAsia="宋体"/>
                <w:sz w:val="16"/>
              </w:rPr>
              <w:t>=2.22万元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177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A2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4587B">
            <w:pPr>
              <w:jc w:val="center"/>
            </w:pPr>
          </w:p>
        </w:tc>
      </w:tr>
      <w:tr w14:paraId="0ADACE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0F5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55F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147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FE218">
            <w:pPr>
              <w:jc w:val="center"/>
            </w:pPr>
            <w:r>
              <w:rPr>
                <w:rFonts w:ascii="宋体" w:hAnsi="宋体" w:eastAsia="宋体"/>
                <w:sz w:val="16"/>
              </w:rPr>
              <w:t>提高单位退休干部生活水平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5096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1F2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38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383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45094">
            <w:pPr>
              <w:jc w:val="center"/>
            </w:pPr>
          </w:p>
        </w:tc>
      </w:tr>
      <w:tr w14:paraId="20C39C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175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029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81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F2217">
            <w:pPr>
              <w:jc w:val="center"/>
            </w:pPr>
            <w:r>
              <w:rPr>
                <w:rFonts w:ascii="宋体" w:hAnsi="宋体" w:eastAsia="宋体"/>
                <w:sz w:val="16"/>
              </w:rPr>
              <w:t>退休人员满意度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4B18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47C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81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62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0D5F7">
            <w:pPr>
              <w:jc w:val="center"/>
            </w:pPr>
          </w:p>
        </w:tc>
      </w:tr>
      <w:tr w14:paraId="619188A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3D5A6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5A80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6CD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B89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D5BBA3"/>
        </w:tc>
      </w:tr>
    </w:tbl>
    <w:p w14:paraId="3978A44B">
      <w:r>
        <w:br w:type="page"/>
      </w:r>
    </w:p>
    <w:p w14:paraId="31738217">
      <w:pPr>
        <w:spacing w:line="640" w:lineRule="exact"/>
        <w:ind w:firstLine="640"/>
        <w:jc w:val="both"/>
        <w:outlineLvl w:val="2"/>
      </w:pPr>
      <w:r>
        <w:rPr>
          <w:rFonts w:ascii="黑体" w:hAnsi="黑体" w:eastAsia="黑体"/>
          <w:sz w:val="32"/>
        </w:rPr>
        <w:t>十二、其他需说明的事项</w:t>
      </w:r>
    </w:p>
    <w:p w14:paraId="04736126">
      <w:pPr>
        <w:spacing w:line="580" w:lineRule="exact"/>
        <w:ind w:firstLine="640"/>
        <w:jc w:val="both"/>
      </w:pPr>
      <w:r>
        <w:rPr>
          <w:rFonts w:ascii="仿宋_GB2312" w:hAnsi="仿宋_GB2312" w:eastAsia="仿宋_GB2312"/>
          <w:b w:val="0"/>
          <w:sz w:val="32"/>
        </w:rPr>
        <w:t>本单位无其他需说明的事项。</w:t>
      </w:r>
    </w:p>
    <w:p w14:paraId="721E19C4">
      <w:r>
        <w:br w:type="page"/>
      </w:r>
    </w:p>
    <w:p w14:paraId="0F2341A4">
      <w:pPr>
        <w:spacing w:line="240" w:lineRule="auto"/>
        <w:jc w:val="center"/>
        <w:outlineLvl w:val="1"/>
      </w:pPr>
      <w:r>
        <w:rPr>
          <w:rFonts w:ascii="黑体" w:hAnsi="黑体" w:eastAsia="黑体"/>
          <w:sz w:val="32"/>
        </w:rPr>
        <w:t>第三部分 专业名词解释</w:t>
      </w:r>
    </w:p>
    <w:p w14:paraId="12038B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095642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82FAB9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282834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76EBE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72644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81AA6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9C465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DABA1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3E259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20999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7498BE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03C2C9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CDD4B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F237B5F">
      <w:r>
        <w:br w:type="page"/>
      </w:r>
    </w:p>
    <w:p w14:paraId="15BC2DE6">
      <w:pPr>
        <w:spacing w:line="240" w:lineRule="auto"/>
        <w:jc w:val="center"/>
        <w:outlineLvl w:val="1"/>
      </w:pPr>
      <w:r>
        <w:rPr>
          <w:rFonts w:ascii="黑体" w:hAnsi="黑体" w:eastAsia="黑体"/>
          <w:sz w:val="32"/>
        </w:rPr>
        <w:t>第四部分 部门决算报表（见附表）</w:t>
      </w:r>
    </w:p>
    <w:p w14:paraId="63A02C02">
      <w:pPr>
        <w:spacing w:line="240" w:lineRule="auto"/>
        <w:ind w:firstLine="640"/>
        <w:jc w:val="both"/>
      </w:pPr>
      <w:r>
        <w:rPr>
          <w:rFonts w:ascii="仿宋_GB2312" w:hAnsi="仿宋_GB2312" w:eastAsia="仿宋_GB2312"/>
          <w:b w:val="0"/>
          <w:sz w:val="32"/>
        </w:rPr>
        <w:t>一、《收入支出决算总表》</w:t>
      </w:r>
    </w:p>
    <w:p w14:paraId="2AB14A04">
      <w:pPr>
        <w:spacing w:line="240" w:lineRule="auto"/>
        <w:ind w:firstLine="640"/>
        <w:jc w:val="both"/>
      </w:pPr>
      <w:r>
        <w:rPr>
          <w:rFonts w:ascii="仿宋_GB2312" w:hAnsi="仿宋_GB2312" w:eastAsia="仿宋_GB2312"/>
          <w:b w:val="0"/>
          <w:sz w:val="32"/>
        </w:rPr>
        <w:t>二、《收入决算表》</w:t>
      </w:r>
    </w:p>
    <w:p w14:paraId="5383A51A">
      <w:pPr>
        <w:spacing w:line="240" w:lineRule="auto"/>
        <w:ind w:firstLine="640"/>
        <w:jc w:val="both"/>
      </w:pPr>
      <w:r>
        <w:rPr>
          <w:rFonts w:ascii="仿宋_GB2312" w:hAnsi="仿宋_GB2312" w:eastAsia="仿宋_GB2312"/>
          <w:b w:val="0"/>
          <w:sz w:val="32"/>
        </w:rPr>
        <w:t>三、《支出决算表》</w:t>
      </w:r>
    </w:p>
    <w:p w14:paraId="28052D9B">
      <w:pPr>
        <w:spacing w:line="240" w:lineRule="auto"/>
        <w:ind w:firstLine="640"/>
        <w:jc w:val="both"/>
      </w:pPr>
      <w:r>
        <w:rPr>
          <w:rFonts w:ascii="仿宋_GB2312" w:hAnsi="仿宋_GB2312" w:eastAsia="仿宋_GB2312"/>
          <w:b w:val="0"/>
          <w:sz w:val="32"/>
        </w:rPr>
        <w:t>四、《财政拨款收入支出决算总表》</w:t>
      </w:r>
    </w:p>
    <w:p w14:paraId="208BFEE5">
      <w:pPr>
        <w:spacing w:line="240" w:lineRule="auto"/>
        <w:ind w:firstLine="640"/>
        <w:jc w:val="both"/>
      </w:pPr>
      <w:r>
        <w:rPr>
          <w:rFonts w:ascii="仿宋_GB2312" w:hAnsi="仿宋_GB2312" w:eastAsia="仿宋_GB2312"/>
          <w:b w:val="0"/>
          <w:sz w:val="32"/>
        </w:rPr>
        <w:t>五、《一般公共预算财政拨款支出决算表》</w:t>
      </w:r>
    </w:p>
    <w:p w14:paraId="00A836E6">
      <w:pPr>
        <w:spacing w:line="240" w:lineRule="auto"/>
        <w:ind w:firstLine="640"/>
        <w:jc w:val="both"/>
      </w:pPr>
      <w:r>
        <w:rPr>
          <w:rFonts w:ascii="仿宋_GB2312" w:hAnsi="仿宋_GB2312" w:eastAsia="仿宋_GB2312"/>
          <w:b w:val="0"/>
          <w:sz w:val="32"/>
        </w:rPr>
        <w:t>六、《一般公共预算财政拨款基本支出决算表》</w:t>
      </w:r>
    </w:p>
    <w:p w14:paraId="7FC460CE">
      <w:pPr>
        <w:spacing w:line="240" w:lineRule="auto"/>
        <w:ind w:firstLine="640"/>
        <w:jc w:val="both"/>
      </w:pPr>
      <w:r>
        <w:rPr>
          <w:rFonts w:ascii="仿宋_GB2312" w:hAnsi="仿宋_GB2312" w:eastAsia="仿宋_GB2312"/>
          <w:b w:val="0"/>
          <w:sz w:val="32"/>
        </w:rPr>
        <w:t>七、《政府性基金预算财政拨款收入支出决算表》</w:t>
      </w:r>
    </w:p>
    <w:p w14:paraId="7D5604E9">
      <w:pPr>
        <w:spacing w:line="240" w:lineRule="auto"/>
        <w:ind w:firstLine="640"/>
        <w:jc w:val="both"/>
      </w:pPr>
      <w:r>
        <w:rPr>
          <w:rFonts w:ascii="仿宋_GB2312" w:hAnsi="仿宋_GB2312" w:eastAsia="仿宋_GB2312"/>
          <w:b w:val="0"/>
          <w:sz w:val="32"/>
        </w:rPr>
        <w:t>八、《国有资本经营预算财政拨款收入支出决算表》</w:t>
      </w:r>
    </w:p>
    <w:p w14:paraId="03728F2A">
      <w:pPr>
        <w:spacing w:line="240" w:lineRule="auto"/>
        <w:ind w:firstLine="640"/>
        <w:jc w:val="both"/>
      </w:pPr>
      <w:r>
        <w:rPr>
          <w:rFonts w:ascii="仿宋_GB2312" w:hAnsi="仿宋_GB2312" w:eastAsia="仿宋_GB2312"/>
          <w:b w:val="0"/>
          <w:sz w:val="32"/>
        </w:rPr>
        <w:t>九、《财政拨款“三公”经费支出决算表》</w:t>
      </w:r>
    </w:p>
    <w:p w14:paraId="0A8F17DA">
      <w:pPr>
        <w:spacing w:line="240" w:lineRule="auto"/>
        <w:ind w:firstLine="640"/>
        <w:jc w:val="both"/>
      </w:pPr>
    </w:p>
    <w:p w14:paraId="2B979501">
      <w:pPr>
        <w:spacing w:line="240" w:lineRule="auto"/>
        <w:ind w:firstLine="640"/>
        <w:jc w:val="both"/>
      </w:pPr>
    </w:p>
    <w:p w14:paraId="58533ACB">
      <w:pPr>
        <w:spacing w:line="240" w:lineRule="auto"/>
        <w:ind w:firstLine="640"/>
        <w:jc w:val="both"/>
      </w:pPr>
    </w:p>
    <w:p w14:paraId="4B4E34C8">
      <w:pPr>
        <w:spacing w:line="240" w:lineRule="auto"/>
        <w:ind w:firstLine="640"/>
        <w:jc w:val="both"/>
      </w:pPr>
    </w:p>
    <w:p w14:paraId="70CFBB3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CF6CE8"/>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0FA49E3"/>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6397</Words>
  <Characters>7395</Characters>
  <Lines>0</Lines>
  <Paragraphs>0</Paragraphs>
  <TotalTime>2</TotalTime>
  <ScaleCrop>false</ScaleCrop>
  <LinksUpToDate>false</LinksUpToDate>
  <CharactersWithSpaces>7403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2025-09-17T05:22:09Z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