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中国人民政治协商会议新疆洛浦县委员会2024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90C0575">
      <w:r>
        <w:br w:type="page"/>
      </w:r>
    </w:p>
    <w:p w14:paraId="61B08991">
      <w:pPr>
        <w:spacing w:line="640" w:lineRule="exact"/>
        <w:jc w:val="center"/>
        <w:outlineLvl w:val="1"/>
      </w:pPr>
      <w:r>
        <w:rPr>
          <w:rFonts w:ascii="黑体" w:hAnsi="黑体" w:eastAsia="黑体"/>
          <w:sz w:val="32"/>
        </w:rPr>
        <w:t>第一部分 单位概况</w:t>
      </w:r>
    </w:p>
    <w:p w14:paraId="4DB24E82">
      <w:pPr>
        <w:spacing w:line="640" w:lineRule="exact"/>
        <w:ind w:firstLine="640"/>
        <w:jc w:val="both"/>
        <w:outlineLvl w:val="2"/>
      </w:pPr>
      <w:r>
        <w:rPr>
          <w:rFonts w:ascii="黑体" w:hAnsi="黑体" w:eastAsia="黑体"/>
          <w:sz w:val="32"/>
        </w:rPr>
        <w:t>一、主要职能</w:t>
      </w:r>
    </w:p>
    <w:p w14:paraId="3E6CB54D">
      <w:pPr>
        <w:spacing w:line="580" w:lineRule="exact"/>
        <w:ind w:firstLine="640"/>
        <w:jc w:val="both"/>
      </w:pPr>
      <w:r>
        <w:rPr>
          <w:rFonts w:ascii="仿宋_GB2312" w:hAnsi="仿宋_GB2312" w:eastAsia="仿宋_GB2312"/>
          <w:sz w:val="32"/>
        </w:rPr>
        <w:t>(1)贯彻执行党和国家关于政协工作的方针、政策和法律、法规、规章；拟订相应的政策措施及实施办法，并组织实施和监督检查。</w:t>
      </w:r>
    </w:p>
    <w:p w14:paraId="0160EAA9">
      <w:pPr>
        <w:spacing w:line="580" w:lineRule="exact"/>
        <w:ind w:firstLine="640"/>
        <w:jc w:val="both"/>
      </w:pPr>
      <w:r>
        <w:rPr>
          <w:rFonts w:ascii="仿宋_GB2312" w:hAnsi="仿宋_GB2312" w:eastAsia="仿宋_GB2312"/>
          <w:sz w:val="32"/>
        </w:rPr>
        <w:t>(2)负责编制全县政协事业发展规划。</w:t>
      </w:r>
    </w:p>
    <w:p w14:paraId="4F638B23">
      <w:pPr>
        <w:spacing w:line="580" w:lineRule="exact"/>
        <w:ind w:firstLine="640"/>
        <w:jc w:val="both"/>
      </w:pPr>
      <w:r>
        <w:rPr>
          <w:rFonts w:ascii="仿宋_GB2312" w:hAnsi="仿宋_GB2312" w:eastAsia="仿宋_GB2312"/>
          <w:sz w:val="32"/>
        </w:rPr>
        <w:t>(3)综合管理全县政协委员工作。会同有关部门拟订全县政协事业发展战略、规划和政策措施；负责指导和协调全县政协委员培训。</w:t>
      </w:r>
    </w:p>
    <w:p w14:paraId="18993C34">
      <w:pPr>
        <w:spacing w:line="580" w:lineRule="exact"/>
        <w:ind w:firstLine="640"/>
        <w:jc w:val="both"/>
      </w:pPr>
      <w:r>
        <w:rPr>
          <w:rFonts w:ascii="仿宋_GB2312" w:hAnsi="仿宋_GB2312" w:eastAsia="仿宋_GB2312"/>
          <w:sz w:val="32"/>
        </w:rPr>
        <w:t>(4)办公室负责县政协召开的各类会议的会务工作。负责政协机关的公文运转和文书工作，做好机关保密和档案工作。</w:t>
      </w:r>
    </w:p>
    <w:p w14:paraId="3DD0A7D3">
      <w:pPr>
        <w:spacing w:line="580" w:lineRule="exact"/>
        <w:ind w:firstLine="640"/>
        <w:jc w:val="both"/>
      </w:pPr>
      <w:r>
        <w:rPr>
          <w:rFonts w:ascii="仿宋_GB2312" w:hAnsi="仿宋_GB2312" w:eastAsia="仿宋_GB2312"/>
          <w:sz w:val="32"/>
        </w:rPr>
        <w:t>(5)负责机关财务、人事、车辆、国有资产管理、劳动卫生、扶贫慰问等公务管理工作。做好政协退休干部的管理、服务工作。</w:t>
      </w:r>
    </w:p>
    <w:p w14:paraId="3B6773C3">
      <w:pPr>
        <w:spacing w:line="580" w:lineRule="exact"/>
        <w:ind w:firstLine="640"/>
        <w:jc w:val="both"/>
      </w:pPr>
      <w:r>
        <w:rPr>
          <w:rFonts w:ascii="仿宋_GB2312" w:hAnsi="仿宋_GB2312" w:eastAsia="仿宋_GB2312"/>
          <w:sz w:val="32"/>
        </w:rPr>
        <w:t>(6)做好接待工作，加强与兄弟政协的联络交流工作以及县委</w:t>
      </w:r>
      <w:r>
        <w:rPr>
          <w:rFonts w:hint="eastAsia" w:ascii="仿宋_GB2312" w:hAnsi="仿宋_GB2312" w:eastAsia="仿宋_GB2312"/>
          <w:sz w:val="32"/>
          <w:lang w:eastAsia="zh-CN"/>
        </w:rPr>
        <w:t>、县</w:t>
      </w:r>
      <w:r>
        <w:rPr>
          <w:rFonts w:ascii="仿宋_GB2312" w:hAnsi="仿宋_GB2312" w:eastAsia="仿宋_GB2312"/>
          <w:sz w:val="32"/>
        </w:rPr>
        <w:t>人大、政府办公室与各有关单位的联络协调工作。</w:t>
      </w:r>
    </w:p>
    <w:p w14:paraId="65C20CC3">
      <w:pPr>
        <w:spacing w:line="580" w:lineRule="exact"/>
        <w:ind w:firstLine="640"/>
        <w:jc w:val="both"/>
      </w:pPr>
      <w:r>
        <w:rPr>
          <w:rFonts w:ascii="仿宋_GB2312" w:hAnsi="仿宋_GB2312" w:eastAsia="仿宋_GB2312"/>
          <w:sz w:val="32"/>
        </w:rPr>
        <w:t>(7)承担县政协机关文件，文稿的起草、修改、校对、翻译，印发和日常文书处理工作。做好政协信息的上报和宣传工作。</w:t>
      </w:r>
    </w:p>
    <w:p w14:paraId="42157AB0">
      <w:pPr>
        <w:spacing w:line="580" w:lineRule="exact"/>
        <w:ind w:firstLine="640"/>
        <w:jc w:val="both"/>
      </w:pPr>
      <w:r>
        <w:rPr>
          <w:rFonts w:ascii="仿宋_GB2312" w:hAnsi="仿宋_GB2312" w:eastAsia="仿宋_GB2312"/>
          <w:sz w:val="32"/>
        </w:rPr>
        <w:t>(8)负责做好委员的调研、视察、考察的组织协调工作和其他服务工作，负责组织政协委员的学习、培训，专题座谈等工作。</w:t>
      </w:r>
    </w:p>
    <w:p w14:paraId="59E26C4B">
      <w:pPr>
        <w:spacing w:line="580" w:lineRule="exact"/>
        <w:ind w:firstLine="640"/>
        <w:jc w:val="both"/>
      </w:pPr>
      <w:r>
        <w:rPr>
          <w:rFonts w:ascii="仿宋_GB2312" w:hAnsi="仿宋_GB2312" w:eastAsia="仿宋_GB2312"/>
          <w:sz w:val="32"/>
        </w:rPr>
        <w:t>(9)负责政协委员提案的收集和督促办理等工作。</w:t>
      </w:r>
    </w:p>
    <w:p w14:paraId="464A7A03">
      <w:pPr>
        <w:spacing w:line="640" w:lineRule="exact"/>
        <w:ind w:firstLine="640"/>
        <w:jc w:val="both"/>
        <w:outlineLvl w:val="2"/>
      </w:pPr>
      <w:r>
        <w:rPr>
          <w:rFonts w:ascii="黑体" w:hAnsi="黑体" w:eastAsia="黑体"/>
          <w:sz w:val="32"/>
        </w:rPr>
        <w:t>二、机构设置及人员情况</w:t>
      </w:r>
    </w:p>
    <w:p w14:paraId="2E15A38C">
      <w:pPr>
        <w:spacing w:line="580" w:lineRule="exact"/>
        <w:ind w:firstLine="640"/>
        <w:jc w:val="both"/>
      </w:pPr>
      <w:r>
        <w:rPr>
          <w:rFonts w:ascii="仿宋_GB2312" w:hAnsi="仿宋_GB2312" w:eastAsia="仿宋_GB2312"/>
          <w:sz w:val="32"/>
        </w:rPr>
        <w:t>中国人民政治协商会议新疆洛浦县委员会2024年度，实有人数45人，其中：在职人员16人，减少6人；离休人员0人，增加0人；退休人员29人,增加5人。</w:t>
      </w:r>
    </w:p>
    <w:p w14:paraId="6FFCAAD6">
      <w:pPr>
        <w:spacing w:line="580" w:lineRule="exact"/>
        <w:ind w:firstLine="640"/>
        <w:jc w:val="both"/>
      </w:pPr>
      <w:r>
        <w:rPr>
          <w:rFonts w:ascii="仿宋_GB2312" w:hAnsi="仿宋_GB2312" w:eastAsia="仿宋_GB2312"/>
          <w:sz w:val="32"/>
        </w:rPr>
        <w:t>中国人民政治协商会议新疆洛浦县委员会无下属预算单位，下设5个科室，分别是：办公室、经济科技委员会、提案委员会、文史资料委员会、民族</w:t>
      </w:r>
      <w:r>
        <w:rPr>
          <w:rFonts w:hint="eastAsia" w:ascii="仿宋_GB2312" w:hAnsi="仿宋_GB2312" w:eastAsia="仿宋_GB2312"/>
          <w:sz w:val="32"/>
          <w:lang w:eastAsia="zh-CN"/>
        </w:rPr>
        <w:t>ZJ</w:t>
      </w:r>
      <w:r>
        <w:rPr>
          <w:rFonts w:ascii="仿宋_GB2312" w:hAnsi="仿宋_GB2312" w:eastAsia="仿宋_GB2312"/>
          <w:sz w:val="32"/>
        </w:rPr>
        <w:t>委员会。</w:t>
      </w:r>
    </w:p>
    <w:p w14:paraId="0E9D7A9E">
      <w:r>
        <w:br w:type="page"/>
      </w:r>
    </w:p>
    <w:p w14:paraId="776F28FB">
      <w:pPr>
        <w:spacing w:line="240" w:lineRule="auto"/>
        <w:jc w:val="center"/>
        <w:outlineLvl w:val="1"/>
      </w:pPr>
      <w:r>
        <w:rPr>
          <w:rFonts w:ascii="黑体" w:hAnsi="黑体" w:eastAsia="黑体"/>
          <w:sz w:val="32"/>
        </w:rPr>
        <w:t>第二部分 部门决算情况说明</w:t>
      </w:r>
    </w:p>
    <w:p w14:paraId="69B89595">
      <w:pPr>
        <w:spacing w:line="640" w:lineRule="exact"/>
        <w:ind w:firstLine="640"/>
        <w:jc w:val="both"/>
        <w:outlineLvl w:val="2"/>
      </w:pPr>
      <w:r>
        <w:rPr>
          <w:rFonts w:ascii="黑体" w:hAnsi="黑体" w:eastAsia="黑体"/>
          <w:sz w:val="32"/>
        </w:rPr>
        <w:t>一、收入支出决算总体情况说明</w:t>
      </w:r>
    </w:p>
    <w:p w14:paraId="6A8E0CA9">
      <w:pPr>
        <w:spacing w:line="580" w:lineRule="exact"/>
        <w:ind w:firstLine="640"/>
        <w:jc w:val="both"/>
      </w:pPr>
      <w:r>
        <w:rPr>
          <w:rFonts w:ascii="仿宋_GB2312" w:hAnsi="仿宋_GB2312" w:eastAsia="仿宋_GB2312"/>
          <w:b/>
          <w:sz w:val="32"/>
        </w:rPr>
        <w:t>2024年度收入总计571.70万元，</w:t>
      </w:r>
      <w:r>
        <w:rPr>
          <w:rFonts w:ascii="仿宋_GB2312" w:hAnsi="仿宋_GB2312" w:eastAsia="仿宋_GB2312"/>
          <w:b w:val="0"/>
          <w:sz w:val="32"/>
        </w:rPr>
        <w:t>其中：本年收入合计571.70万元，使用非财政拨款结余（含专用结余）0.00万元，年初结转和结余0.00万元。</w:t>
      </w:r>
    </w:p>
    <w:p w14:paraId="73A0E058">
      <w:pPr>
        <w:spacing w:line="580" w:lineRule="exact"/>
        <w:ind w:firstLine="640"/>
        <w:jc w:val="both"/>
      </w:pPr>
      <w:r>
        <w:rPr>
          <w:rFonts w:ascii="仿宋_GB2312" w:hAnsi="仿宋_GB2312" w:eastAsia="仿宋_GB2312"/>
          <w:b/>
          <w:sz w:val="32"/>
        </w:rPr>
        <w:t>2024年度支出总计571.70万元，</w:t>
      </w:r>
      <w:r>
        <w:rPr>
          <w:rFonts w:ascii="仿宋_GB2312" w:hAnsi="仿宋_GB2312" w:eastAsia="仿宋_GB2312"/>
          <w:b w:val="0"/>
          <w:sz w:val="32"/>
        </w:rPr>
        <w:t>其中：本年支出合计571.70万元，结余分配0.00万元，年末结转和结余0.00万元。</w:t>
      </w:r>
    </w:p>
    <w:p w14:paraId="3BED4B06">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收入支出总体与上年相比，减少33.46万元，下降5.53%，主要原因是：本年在职人员减少，相关人员经费减少，政协会议费、基层政协补助经费项目资金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职业年金缴费</w:t>
      </w:r>
      <w:r>
        <w:rPr>
          <w:rFonts w:ascii="仿宋_GB2312" w:hAnsi="仿宋_GB2312" w:eastAsia="仿宋_GB2312"/>
          <w:b w:val="0"/>
          <w:sz w:val="32"/>
        </w:rPr>
        <w:t>较上年减少。</w:t>
      </w:r>
      <w:r>
        <w:rPr>
          <w:rFonts w:hint="eastAsia" w:ascii="仿宋_GB2312" w:hAnsi="仿宋_GB2312" w:eastAsia="仿宋_GB2312"/>
          <w:b w:val="0"/>
          <w:sz w:val="32"/>
          <w:lang w:val="en-US" w:eastAsia="zh-CN"/>
        </w:rPr>
        <w:t>减少其他收入用于</w:t>
      </w:r>
      <w:r>
        <w:rPr>
          <w:rFonts w:hint="eastAsia" w:ascii="仿宋_GB2312" w:hAnsi="仿宋_GB2312" w:eastAsia="仿宋_GB2312"/>
          <w:b w:val="0"/>
          <w:sz w:val="32"/>
        </w:rPr>
        <w:t>2名公益性岗位人员工资及社保</w:t>
      </w:r>
      <w:r>
        <w:rPr>
          <w:rFonts w:hint="eastAsia" w:ascii="仿宋_GB2312" w:hAnsi="仿宋_GB2312" w:eastAsia="仿宋_GB2312"/>
          <w:b w:val="0"/>
          <w:sz w:val="32"/>
          <w:lang w:eastAsia="zh-CN"/>
        </w:rPr>
        <w:t>。</w:t>
      </w:r>
    </w:p>
    <w:p w14:paraId="078B28E2">
      <w:pPr>
        <w:spacing w:line="640" w:lineRule="exact"/>
        <w:ind w:firstLine="640"/>
        <w:jc w:val="both"/>
        <w:outlineLvl w:val="2"/>
      </w:pPr>
      <w:r>
        <w:rPr>
          <w:rFonts w:ascii="黑体" w:hAnsi="黑体" w:eastAsia="黑体"/>
          <w:sz w:val="32"/>
        </w:rPr>
        <w:t>二、收入决算情况说明</w:t>
      </w:r>
    </w:p>
    <w:p w14:paraId="0685C45E">
      <w:pPr>
        <w:spacing w:line="580" w:lineRule="exact"/>
        <w:ind w:firstLine="640"/>
        <w:jc w:val="both"/>
      </w:pPr>
      <w:r>
        <w:rPr>
          <w:rFonts w:ascii="仿宋_GB2312" w:hAnsi="仿宋_GB2312" w:eastAsia="仿宋_GB2312"/>
          <w:b/>
          <w:sz w:val="32"/>
        </w:rPr>
        <w:t>本年收入571.70万元，</w:t>
      </w:r>
      <w:r>
        <w:rPr>
          <w:rFonts w:ascii="仿宋_GB2312" w:hAnsi="仿宋_GB2312" w:eastAsia="仿宋_GB2312"/>
          <w:b w:val="0"/>
          <w:sz w:val="32"/>
        </w:rPr>
        <w:t>其中：财政拨款收入571.70万元，占100.00%；上级补助收入0.00万元，占0.00%；事业收入0.00万元，占0.00%；经营收入0.00万元，占0.00%；附属单位上缴收入0.00万元，占0.00%；其他收入0.00万元，占0.00%。</w:t>
      </w:r>
    </w:p>
    <w:p w14:paraId="6047517F">
      <w:pPr>
        <w:spacing w:line="640" w:lineRule="exact"/>
        <w:ind w:firstLine="640"/>
        <w:jc w:val="both"/>
        <w:outlineLvl w:val="2"/>
      </w:pPr>
      <w:r>
        <w:rPr>
          <w:rFonts w:ascii="黑体" w:hAnsi="黑体" w:eastAsia="黑体"/>
          <w:sz w:val="32"/>
        </w:rPr>
        <w:t>三、支出决算情况说明</w:t>
      </w:r>
    </w:p>
    <w:p w14:paraId="04F0473E">
      <w:pPr>
        <w:spacing w:line="580" w:lineRule="exact"/>
        <w:ind w:firstLine="640"/>
        <w:jc w:val="both"/>
      </w:pPr>
      <w:r>
        <w:rPr>
          <w:rFonts w:ascii="仿宋_GB2312" w:hAnsi="仿宋_GB2312" w:eastAsia="仿宋_GB2312"/>
          <w:b/>
          <w:sz w:val="32"/>
        </w:rPr>
        <w:t>本年支出571.70万元，</w:t>
      </w:r>
      <w:r>
        <w:rPr>
          <w:rFonts w:ascii="仿宋_GB2312" w:hAnsi="仿宋_GB2312" w:eastAsia="仿宋_GB2312"/>
          <w:b w:val="0"/>
          <w:sz w:val="32"/>
        </w:rPr>
        <w:t>其中：基本支出555.78万元，占97.22%；项目支出15.92万元，占2.78%；上缴上级支出0.00万元，占0.00%；经营支出0.00万元，占0.00%；对附属单位补助支出0.00万元，占0.00%。</w:t>
      </w:r>
    </w:p>
    <w:p w14:paraId="69A8160E">
      <w:pPr>
        <w:spacing w:line="640" w:lineRule="exact"/>
        <w:ind w:firstLine="640"/>
        <w:jc w:val="both"/>
        <w:outlineLvl w:val="2"/>
      </w:pPr>
      <w:r>
        <w:rPr>
          <w:rFonts w:ascii="黑体" w:hAnsi="黑体" w:eastAsia="黑体"/>
          <w:sz w:val="32"/>
        </w:rPr>
        <w:t>四、财政拨款收入支出决算总体情况说明</w:t>
      </w:r>
    </w:p>
    <w:p w14:paraId="1A74E58D">
      <w:pPr>
        <w:spacing w:line="580" w:lineRule="exact"/>
        <w:ind w:firstLine="640"/>
        <w:jc w:val="both"/>
      </w:pPr>
      <w:r>
        <w:rPr>
          <w:rFonts w:ascii="仿宋_GB2312" w:hAnsi="仿宋_GB2312" w:eastAsia="仿宋_GB2312"/>
          <w:b/>
          <w:sz w:val="32"/>
        </w:rPr>
        <w:t>2024年度财政拨款收入总计571.70万元，</w:t>
      </w:r>
      <w:r>
        <w:rPr>
          <w:rFonts w:ascii="仿宋_GB2312" w:hAnsi="仿宋_GB2312" w:eastAsia="仿宋_GB2312"/>
          <w:b w:val="0"/>
          <w:sz w:val="32"/>
        </w:rPr>
        <w:t>其中：年初财政拨款结转和结余0.00万元，本年财政拨款收入571.70万元。</w:t>
      </w:r>
      <w:r>
        <w:rPr>
          <w:rFonts w:ascii="仿宋_GB2312" w:hAnsi="仿宋_GB2312" w:eastAsia="仿宋_GB2312"/>
          <w:b/>
          <w:sz w:val="32"/>
        </w:rPr>
        <w:t>财政拨款支出总计571.70万元，</w:t>
      </w:r>
      <w:r>
        <w:rPr>
          <w:rFonts w:ascii="仿宋_GB2312" w:hAnsi="仿宋_GB2312" w:eastAsia="仿宋_GB2312"/>
          <w:b w:val="0"/>
          <w:sz w:val="32"/>
        </w:rPr>
        <w:t>其中：年末财政拨款结转和结余0.00万元，本年财政拨款支出571.70万元。</w:t>
      </w:r>
    </w:p>
    <w:p w14:paraId="4DE2ADF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减少27.76万元，下降4.63%，主要原因是：本年在职人员减少，相关人员经费减少，政协会议费、基层政协补助经费项目资金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职业年金缴费</w:t>
      </w:r>
      <w:r>
        <w:rPr>
          <w:rFonts w:ascii="仿宋_GB2312" w:hAnsi="仿宋_GB2312" w:eastAsia="仿宋_GB2312"/>
          <w:b w:val="0"/>
          <w:sz w:val="32"/>
        </w:rPr>
        <w:t>较上年减少。</w:t>
      </w:r>
      <w:r>
        <w:rPr>
          <w:rFonts w:ascii="仿宋_GB2312" w:hAnsi="仿宋_GB2312" w:eastAsia="仿宋_GB2312"/>
          <w:b/>
          <w:sz w:val="32"/>
        </w:rPr>
        <w:t>与年初预算相比，</w:t>
      </w:r>
      <w:r>
        <w:rPr>
          <w:rFonts w:ascii="仿宋_GB2312" w:hAnsi="仿宋_GB2312" w:eastAsia="仿宋_GB2312"/>
          <w:b w:val="0"/>
          <w:sz w:val="32"/>
        </w:rPr>
        <w:t>年初预算数605.75万元，决算数571.70万元，预决算差异率-5.62%，主要原因是：本年在职人员减少，年中调减人员经费，政协会议费、基层政协补助经费项目资金，导致预决算存在差异。</w:t>
      </w:r>
    </w:p>
    <w:p w14:paraId="5BECFD93">
      <w:pPr>
        <w:spacing w:line="640" w:lineRule="exact"/>
        <w:ind w:firstLine="640"/>
        <w:jc w:val="both"/>
        <w:outlineLvl w:val="2"/>
      </w:pPr>
      <w:r>
        <w:rPr>
          <w:rFonts w:ascii="黑体" w:hAnsi="黑体" w:eastAsia="黑体"/>
          <w:sz w:val="32"/>
        </w:rPr>
        <w:t>五、一般公共预算财政拨款支出决算情况说明</w:t>
      </w:r>
    </w:p>
    <w:p w14:paraId="6FF8982E">
      <w:pPr>
        <w:spacing w:line="640" w:lineRule="exact"/>
        <w:ind w:firstLine="640"/>
        <w:jc w:val="both"/>
        <w:outlineLvl w:val="3"/>
      </w:pPr>
      <w:r>
        <w:rPr>
          <w:rFonts w:ascii="楷体_GB2312" w:hAnsi="楷体_GB2312" w:eastAsia="楷体_GB2312"/>
          <w:b/>
          <w:sz w:val="32"/>
        </w:rPr>
        <w:t>（一）一般公共预算财政拨款支出决算总体情况</w:t>
      </w:r>
    </w:p>
    <w:p w14:paraId="5CA04681">
      <w:pPr>
        <w:spacing w:line="580" w:lineRule="exact"/>
        <w:ind w:firstLine="640"/>
        <w:jc w:val="both"/>
      </w:pPr>
      <w:r>
        <w:rPr>
          <w:rFonts w:ascii="仿宋_GB2312" w:hAnsi="仿宋_GB2312" w:eastAsia="仿宋_GB2312"/>
          <w:b/>
          <w:sz w:val="32"/>
        </w:rPr>
        <w:t>2024年度一般公共预算财政拨款支出571.70万元，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减少27.76万元，下降4.63%，主要原因是：本年在职人员减少，相关人员经费减少，政协会议费、基层政协补助经费项目资金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职业年金缴费</w:t>
      </w:r>
      <w:r>
        <w:rPr>
          <w:rFonts w:ascii="仿宋_GB2312" w:hAnsi="仿宋_GB2312" w:eastAsia="仿宋_GB2312"/>
          <w:b w:val="0"/>
          <w:sz w:val="32"/>
        </w:rPr>
        <w:t>较上年减少。</w:t>
      </w:r>
      <w:r>
        <w:rPr>
          <w:rFonts w:ascii="仿宋_GB2312" w:hAnsi="仿宋_GB2312" w:eastAsia="仿宋_GB2312"/>
          <w:b/>
          <w:sz w:val="32"/>
        </w:rPr>
        <w:t>与年初预算相比,</w:t>
      </w:r>
      <w:r>
        <w:rPr>
          <w:rFonts w:ascii="仿宋_GB2312" w:hAnsi="仿宋_GB2312" w:eastAsia="仿宋_GB2312"/>
          <w:b w:val="0"/>
          <w:sz w:val="32"/>
        </w:rPr>
        <w:t>年初预算数605.75万元，决算数571.70万元，预决算差异率-5.62%，主要原因是：本年在职人员减少，年中调减人员经费，政协会议费、基层政协补助经费项目资金，导致预决算存在差异。</w:t>
      </w:r>
    </w:p>
    <w:p w14:paraId="4C373713">
      <w:pPr>
        <w:spacing w:line="640" w:lineRule="exact"/>
        <w:ind w:firstLine="640"/>
        <w:jc w:val="both"/>
        <w:outlineLvl w:val="3"/>
      </w:pPr>
      <w:r>
        <w:rPr>
          <w:rFonts w:ascii="楷体_GB2312" w:hAnsi="楷体_GB2312" w:eastAsia="楷体_GB2312"/>
          <w:b/>
          <w:sz w:val="32"/>
        </w:rPr>
        <w:t>（二）一般公共预算财政拨款支出决算结构情况</w:t>
      </w:r>
    </w:p>
    <w:p w14:paraId="5D7A0B9D">
      <w:pPr>
        <w:spacing w:line="580" w:lineRule="exact"/>
        <w:ind w:firstLine="640"/>
        <w:jc w:val="both"/>
      </w:pPr>
      <w:r>
        <w:rPr>
          <w:rFonts w:ascii="仿宋_GB2312" w:hAnsi="仿宋_GB2312" w:eastAsia="仿宋_GB2312"/>
          <w:b w:val="0"/>
          <w:sz w:val="32"/>
        </w:rPr>
        <w:t>1.一般公共服务支出(类)411.95万元,占72.06%。</w:t>
      </w:r>
    </w:p>
    <w:p w14:paraId="7B711266">
      <w:pPr>
        <w:spacing w:line="580" w:lineRule="exact"/>
        <w:ind w:firstLine="640"/>
        <w:jc w:val="both"/>
      </w:pPr>
      <w:r>
        <w:rPr>
          <w:rFonts w:ascii="仿宋_GB2312" w:hAnsi="仿宋_GB2312" w:eastAsia="仿宋_GB2312"/>
          <w:b w:val="0"/>
          <w:sz w:val="32"/>
        </w:rPr>
        <w:t>2.社会保障和就业支出(类)88.67万元,占15.51%。</w:t>
      </w:r>
    </w:p>
    <w:p w14:paraId="4A12A089">
      <w:pPr>
        <w:spacing w:line="580" w:lineRule="exact"/>
        <w:ind w:firstLine="640"/>
        <w:jc w:val="both"/>
      </w:pPr>
      <w:r>
        <w:rPr>
          <w:rFonts w:ascii="仿宋_GB2312" w:hAnsi="仿宋_GB2312" w:eastAsia="仿宋_GB2312"/>
          <w:b w:val="0"/>
          <w:sz w:val="32"/>
        </w:rPr>
        <w:t>3.卫生健康支出(类)30.48万元,占5.33%。</w:t>
      </w:r>
    </w:p>
    <w:p w14:paraId="02078944">
      <w:pPr>
        <w:spacing w:line="580" w:lineRule="exact"/>
        <w:ind w:firstLine="640"/>
        <w:jc w:val="both"/>
      </w:pPr>
      <w:r>
        <w:rPr>
          <w:rFonts w:ascii="仿宋_GB2312" w:hAnsi="仿宋_GB2312" w:eastAsia="仿宋_GB2312"/>
          <w:b w:val="0"/>
          <w:sz w:val="32"/>
        </w:rPr>
        <w:t>4.住房保障支出(类)37.04万元,占6.48%。</w:t>
      </w:r>
    </w:p>
    <w:p w14:paraId="6DDCFC5A">
      <w:pPr>
        <w:spacing w:line="580" w:lineRule="exact"/>
        <w:ind w:firstLine="640"/>
        <w:jc w:val="both"/>
      </w:pPr>
      <w:r>
        <w:rPr>
          <w:rFonts w:ascii="仿宋_GB2312" w:hAnsi="仿宋_GB2312" w:eastAsia="仿宋_GB2312"/>
          <w:b w:val="0"/>
          <w:sz w:val="32"/>
        </w:rPr>
        <w:t>5.其他支出(类)3.55万元,占0.62%。</w:t>
      </w:r>
    </w:p>
    <w:p w14:paraId="100F154F">
      <w:pPr>
        <w:spacing w:line="640" w:lineRule="exact"/>
        <w:ind w:firstLine="640"/>
        <w:jc w:val="both"/>
        <w:outlineLvl w:val="3"/>
      </w:pPr>
      <w:r>
        <w:rPr>
          <w:rFonts w:ascii="楷体_GB2312" w:hAnsi="楷体_GB2312" w:eastAsia="楷体_GB2312"/>
          <w:b/>
          <w:sz w:val="32"/>
        </w:rPr>
        <w:t>（三）一般公共预算财政拨款支出决算具体情况</w:t>
      </w:r>
    </w:p>
    <w:p w14:paraId="5BBC3FC5">
      <w:pPr>
        <w:spacing w:line="580" w:lineRule="exact"/>
        <w:ind w:firstLine="640"/>
        <w:jc w:val="both"/>
      </w:pPr>
      <w:r>
        <w:rPr>
          <w:rFonts w:ascii="仿宋_GB2312" w:hAnsi="仿宋_GB2312" w:eastAsia="仿宋_GB2312"/>
          <w:b w:val="0"/>
          <w:sz w:val="32"/>
        </w:rPr>
        <w:t>1.一般公共服务支出(类)政协事务(款)行政运行(项):支出决算数为399.59万元，比上年决算减少119.30万元，下降22.99%,主要原因是：一是本年在职人员减少，相应人员经费较上年减少。二是上年度退休人员经费，在职人员医疗缴费、公务员医疗补助、住房公积金上年度在主科目列支，本年单独列支，导致本科目经费减少。</w:t>
      </w:r>
    </w:p>
    <w:p w14:paraId="3B55E9E0">
      <w:pPr>
        <w:spacing w:line="580" w:lineRule="exact"/>
        <w:ind w:firstLine="640"/>
        <w:jc w:val="both"/>
      </w:pPr>
      <w:r>
        <w:rPr>
          <w:rFonts w:ascii="仿宋_GB2312" w:hAnsi="仿宋_GB2312" w:eastAsia="仿宋_GB2312"/>
          <w:b w:val="0"/>
          <w:sz w:val="32"/>
        </w:rPr>
        <w:t>2.一般公共服务支出(类)政协事务(款)政协会议(项):支出决算数为7.37万元，比上年决算减少4.85万元，下降39.69%,主要原因是：2024年政协会议费项目资金较上年减少。</w:t>
      </w:r>
    </w:p>
    <w:p w14:paraId="6F9E0569">
      <w:pPr>
        <w:spacing w:line="580" w:lineRule="exact"/>
        <w:ind w:firstLine="640"/>
        <w:jc w:val="both"/>
      </w:pPr>
      <w:r>
        <w:rPr>
          <w:rFonts w:ascii="仿宋_GB2312" w:hAnsi="仿宋_GB2312" w:eastAsia="仿宋_GB2312"/>
          <w:b w:val="0"/>
          <w:sz w:val="32"/>
        </w:rPr>
        <w:t>3.一般公共服务支出(类)政协事务(款)其他政协事务支出(项):支出决算数为5.00万元，比上年决算减少6.23万元，下降55.48%,主要原因是：2024年基层政协补助经费项目资金较上年减少。</w:t>
      </w:r>
    </w:p>
    <w:p w14:paraId="71812D50">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38.90万元，比上年决算增加38.90万元，增长100.00%,主要原因是：本年功能科目调整，行政单位离退休上年度在主科目列支，本年单独列支，导致经费较上年增加。</w:t>
      </w:r>
    </w:p>
    <w:p w14:paraId="2A1EB9A5">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49.78万元，比上年决算增加3.50万元，增长7.56%,主要原因是：本年在职人员工资基数调增，养老缴费基数上涨，相应支出增加。</w:t>
      </w:r>
    </w:p>
    <w:p w14:paraId="5EB5C8F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10.24万元，下降100.00%,主要原因是：本年退休人员职业年金未做实，导致经费较上年减少。</w:t>
      </w:r>
    </w:p>
    <w:p w14:paraId="0DB450D4">
      <w:pPr>
        <w:spacing w:line="580" w:lineRule="exact"/>
        <w:ind w:firstLine="640"/>
        <w:jc w:val="both"/>
      </w:pPr>
      <w:r>
        <w:rPr>
          <w:rFonts w:ascii="仿宋_GB2312" w:hAnsi="仿宋_GB2312" w:eastAsia="仿宋_GB2312"/>
          <w:b w:val="0"/>
          <w:sz w:val="32"/>
        </w:rPr>
        <w:t>7.卫生健康支出(类)行政事业单位医疗(款)行政单位医疗(项):支出决算数为19.23万元，比上年决算增加19.23万元，增长100.00%,主要原因是：本年功能科目调整，行政单位医疗上年度在主科目列支，本年单独列支，导致经费较上年增加。</w:t>
      </w:r>
    </w:p>
    <w:p w14:paraId="24482236">
      <w:pPr>
        <w:spacing w:line="580" w:lineRule="exact"/>
        <w:ind w:firstLine="640"/>
        <w:jc w:val="both"/>
      </w:pPr>
      <w:r>
        <w:rPr>
          <w:rFonts w:ascii="仿宋_GB2312" w:hAnsi="仿宋_GB2312" w:eastAsia="仿宋_GB2312"/>
          <w:b w:val="0"/>
          <w:sz w:val="32"/>
        </w:rPr>
        <w:t>8.卫生健康支出(类)行政事业单位医疗(款)公务员医疗补助(项):支出决算数为11.25万元，比上年决算增加11.25万元，增长100.00%,主要原因是：本年功能科目调整，公务员医疗补助上年度在主科目列支，本年单独列支，导致经费较上年增加。</w:t>
      </w:r>
    </w:p>
    <w:p w14:paraId="0C6D4615">
      <w:pPr>
        <w:spacing w:line="580" w:lineRule="exact"/>
        <w:ind w:firstLine="640"/>
        <w:jc w:val="both"/>
      </w:pPr>
      <w:r>
        <w:rPr>
          <w:rFonts w:ascii="仿宋_GB2312" w:hAnsi="仿宋_GB2312" w:eastAsia="仿宋_GB2312"/>
          <w:b w:val="0"/>
          <w:sz w:val="32"/>
        </w:rPr>
        <w:t>9.住房保障支出(类)住房改革支出(款)住房公积金(项):支出决算数为37.04万元，比上年决算增加37.04万元，增长100.00%,主要原因是：本年功能科目调整，住房公积金上年度在主科目列支，本年单独列支，导致经费较上年增加。</w:t>
      </w:r>
    </w:p>
    <w:p w14:paraId="23D35CFB">
      <w:pPr>
        <w:spacing w:line="580" w:lineRule="exact"/>
        <w:ind w:firstLine="640"/>
        <w:jc w:val="both"/>
      </w:pPr>
      <w:r>
        <w:rPr>
          <w:rFonts w:ascii="仿宋_GB2312" w:hAnsi="仿宋_GB2312" w:eastAsia="仿宋_GB2312"/>
          <w:b w:val="0"/>
          <w:sz w:val="32"/>
        </w:rPr>
        <w:t>10.其他支出(类)其他支出(款)其他支出(项):支出决算数为3.55万元，比上年决算增加2.96万元，增长501.69%,主要原因是：本年为民办实事工作经费项目资金增加。</w:t>
      </w:r>
    </w:p>
    <w:p w14:paraId="7833EACF">
      <w:pPr>
        <w:spacing w:line="640" w:lineRule="exact"/>
        <w:ind w:firstLine="640"/>
        <w:jc w:val="both"/>
        <w:outlineLvl w:val="2"/>
      </w:pPr>
      <w:r>
        <w:rPr>
          <w:rFonts w:ascii="黑体" w:hAnsi="黑体" w:eastAsia="黑体"/>
          <w:sz w:val="32"/>
        </w:rPr>
        <w:t>六、一般公共预算财政拨款基本支出决算情况说明</w:t>
      </w:r>
    </w:p>
    <w:p w14:paraId="18A193F7">
      <w:pPr>
        <w:spacing w:line="580" w:lineRule="exact"/>
        <w:ind w:firstLine="640"/>
        <w:jc w:val="both"/>
      </w:pPr>
      <w:r>
        <w:rPr>
          <w:rFonts w:ascii="仿宋_GB2312" w:hAnsi="仿宋_GB2312" w:eastAsia="仿宋_GB2312"/>
          <w:b w:val="0"/>
          <w:sz w:val="32"/>
        </w:rPr>
        <w:t>2024年度一般公共预算财政拨款基本支出555.78万元，其中：</w:t>
      </w:r>
      <w:r>
        <w:rPr>
          <w:rFonts w:ascii="仿宋_GB2312" w:hAnsi="仿宋_GB2312" w:eastAsia="仿宋_GB2312"/>
          <w:b/>
          <w:sz w:val="32"/>
        </w:rPr>
        <w:t>人员经费522.16万元，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3C60C32B">
      <w:pPr>
        <w:spacing w:line="580" w:lineRule="exact"/>
        <w:ind w:firstLine="640"/>
        <w:jc w:val="both"/>
      </w:pPr>
      <w:r>
        <w:rPr>
          <w:rFonts w:ascii="仿宋_GB2312" w:hAnsi="仿宋_GB2312" w:eastAsia="仿宋_GB2312"/>
          <w:b/>
          <w:sz w:val="32"/>
        </w:rPr>
        <w:t>公用经费33.62万元，</w:t>
      </w:r>
      <w:r>
        <w:rPr>
          <w:rFonts w:ascii="仿宋_GB2312" w:hAnsi="仿宋_GB2312" w:eastAsia="仿宋_GB2312"/>
          <w:b w:val="0"/>
          <w:sz w:val="32"/>
        </w:rPr>
        <w:t>包括：办公费、邮电费、差旅费、工会经费、公务用车运行维护费、其他交通费用。</w:t>
      </w:r>
    </w:p>
    <w:p w14:paraId="15E6202E">
      <w:pPr>
        <w:spacing w:line="640" w:lineRule="exact"/>
        <w:ind w:firstLine="640"/>
        <w:jc w:val="both"/>
        <w:outlineLvl w:val="2"/>
      </w:pPr>
      <w:r>
        <w:rPr>
          <w:rFonts w:ascii="黑体" w:hAnsi="黑体" w:eastAsia="黑体"/>
          <w:sz w:val="32"/>
        </w:rPr>
        <w:t>七、政府性基金预算财政拨款收入支出决算情况说明</w:t>
      </w:r>
    </w:p>
    <w:p w14:paraId="24B26F1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1C0B97">
      <w:pPr>
        <w:spacing w:line="640" w:lineRule="exact"/>
        <w:ind w:firstLine="640"/>
        <w:jc w:val="both"/>
        <w:outlineLvl w:val="2"/>
      </w:pPr>
      <w:r>
        <w:rPr>
          <w:rFonts w:ascii="黑体" w:hAnsi="黑体" w:eastAsia="黑体"/>
          <w:sz w:val="32"/>
        </w:rPr>
        <w:t>八、国有资本经营预算财政拨款收入支出决算情况说明</w:t>
      </w:r>
    </w:p>
    <w:p w14:paraId="188DE21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415BF9">
      <w:pPr>
        <w:spacing w:line="640" w:lineRule="exact"/>
        <w:ind w:firstLine="640"/>
        <w:jc w:val="both"/>
        <w:outlineLvl w:val="2"/>
      </w:pPr>
      <w:r>
        <w:rPr>
          <w:rFonts w:ascii="黑体" w:hAnsi="黑体" w:eastAsia="黑体"/>
          <w:sz w:val="32"/>
        </w:rPr>
        <w:t>九、财政拨款“三公”经费支出决算情况说明</w:t>
      </w:r>
    </w:p>
    <w:p w14:paraId="4F879E69">
      <w:pPr>
        <w:spacing w:line="580" w:lineRule="exact"/>
        <w:ind w:firstLine="640"/>
        <w:jc w:val="both"/>
      </w:pPr>
      <w:r>
        <w:rPr>
          <w:rFonts w:ascii="仿宋_GB2312" w:hAnsi="仿宋_GB2312" w:eastAsia="仿宋_GB2312"/>
          <w:b/>
          <w:sz w:val="32"/>
        </w:rPr>
        <w:t>2024年度财政拨款“三公”经费支出15.00万元，</w:t>
      </w:r>
      <w:r>
        <w:rPr>
          <w:rFonts w:ascii="仿宋_GB2312" w:hAnsi="仿宋_GB2312" w:eastAsia="仿宋_GB2312"/>
          <w:b w:val="0"/>
          <w:sz w:val="32"/>
        </w:rPr>
        <w:t>比上年增加8.26万元，增长122.55%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15.00万元，占100.00%，比上年增加8.26万元，增长122.55%，主要原因是：本单位公务用车日渐老化，维修维护成本增加，导致公务用车运行维护费较上年增加。公务接待费支出0.00万元，占0.00%，比上年增加0.00万元，增长0.00%，主要原因是：2023年与2024年均未安排公务接待费支出。</w:t>
      </w:r>
    </w:p>
    <w:p w14:paraId="3A3118F6">
      <w:pPr>
        <w:spacing w:line="580" w:lineRule="exact"/>
        <w:ind w:firstLine="640"/>
        <w:jc w:val="both"/>
      </w:pPr>
      <w:r>
        <w:rPr>
          <w:rFonts w:ascii="仿宋_GB2312" w:hAnsi="仿宋_GB2312" w:eastAsia="仿宋_GB2312"/>
          <w:b/>
          <w:sz w:val="32"/>
        </w:rPr>
        <w:t>具体情况如下：</w:t>
      </w:r>
    </w:p>
    <w:p w14:paraId="5AE291A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3D6EF0">
      <w:pPr>
        <w:spacing w:line="580" w:lineRule="exact"/>
        <w:ind w:firstLine="640"/>
        <w:jc w:val="both"/>
      </w:pPr>
      <w:r>
        <w:rPr>
          <w:rFonts w:ascii="仿宋_GB2312" w:hAnsi="仿宋_GB2312" w:eastAsia="仿宋_GB2312"/>
          <w:b w:val="0"/>
          <w:sz w:val="32"/>
        </w:rPr>
        <w:t>公务用车购置及运行维护费15.00万元，其中：公务用车购置费0.00万元，公务用车运行维护费15.00万元。公务用车运行维护费开支内容包括车辆加油费、维修费、保险费、审车费。公务用车购置数0辆，公务用车保有量6辆。国有资产占用情况中固定资产车辆1辆，与公务用车保有量差异原因是：借用其他单位车辆，车辆费用由本单位支付。</w:t>
      </w:r>
    </w:p>
    <w:p w14:paraId="03C9326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42365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15.00万元，决算数15.00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15.00万元，决算数15.00万元，预决算差异率0.00%，主要原因是：严格按照预算执行，预决算无差异。公务接待费全年预算数0.00万元，决算数0.00万元，预决算差异率0.00%，主要原因是：本单位无公务接待费。</w:t>
      </w:r>
    </w:p>
    <w:p w14:paraId="26055C0A">
      <w:pPr>
        <w:spacing w:line="640" w:lineRule="exact"/>
        <w:ind w:firstLine="640"/>
        <w:jc w:val="both"/>
        <w:outlineLvl w:val="2"/>
      </w:pPr>
      <w:r>
        <w:rPr>
          <w:rFonts w:ascii="黑体" w:hAnsi="黑体" w:eastAsia="黑体"/>
          <w:sz w:val="32"/>
        </w:rPr>
        <w:t>十、其他重要事项的情况说明</w:t>
      </w:r>
    </w:p>
    <w:p w14:paraId="73C06491">
      <w:pPr>
        <w:spacing w:line="640" w:lineRule="exact"/>
        <w:ind w:firstLine="640"/>
        <w:jc w:val="both"/>
        <w:outlineLvl w:val="3"/>
      </w:pPr>
      <w:r>
        <w:rPr>
          <w:rFonts w:ascii="楷体_GB2312" w:hAnsi="楷体_GB2312" w:eastAsia="楷体_GB2312"/>
          <w:b/>
          <w:sz w:val="32"/>
        </w:rPr>
        <w:t>（一）机关运行经费及公用经费支出情况</w:t>
      </w:r>
    </w:p>
    <w:p w14:paraId="4CDF655A">
      <w:pPr>
        <w:spacing w:line="580" w:lineRule="exact"/>
        <w:ind w:firstLine="640"/>
        <w:jc w:val="both"/>
      </w:pPr>
      <w:r>
        <w:rPr>
          <w:rFonts w:ascii="仿宋_GB2312" w:hAnsi="仿宋_GB2312" w:eastAsia="仿宋_GB2312"/>
          <w:b w:val="0"/>
          <w:sz w:val="32"/>
        </w:rPr>
        <w:t>2024年度中国人民政治协商会议新疆洛浦县委员会（行政单位和参照公务员法管理事业单位）机关运行经费支出33.62万元，比上年增加19.59万元，增长139.63%，主要原因是：本年增加公务用车运行维护费，</w:t>
      </w:r>
      <w:r>
        <w:rPr>
          <w:rFonts w:hint="eastAsia" w:ascii="仿宋_GB2312" w:hAnsi="仿宋_GB2312" w:eastAsia="仿宋_GB2312"/>
          <w:b w:val="0"/>
          <w:sz w:val="32"/>
          <w:lang w:val="en-US" w:eastAsia="zh-CN"/>
        </w:rPr>
        <w:t>其他</w:t>
      </w:r>
      <w:r>
        <w:rPr>
          <w:rFonts w:ascii="仿宋_GB2312" w:hAnsi="仿宋_GB2312" w:eastAsia="仿宋_GB2312"/>
          <w:b w:val="0"/>
          <w:sz w:val="32"/>
        </w:rPr>
        <w:t>交通费支出。</w:t>
      </w:r>
    </w:p>
    <w:p w14:paraId="008F6CE2">
      <w:pPr>
        <w:spacing w:line="640" w:lineRule="exact"/>
        <w:ind w:firstLine="640"/>
        <w:jc w:val="both"/>
        <w:outlineLvl w:val="3"/>
      </w:pPr>
      <w:r>
        <w:rPr>
          <w:rFonts w:ascii="楷体_GB2312" w:hAnsi="楷体_GB2312" w:eastAsia="楷体_GB2312"/>
          <w:b/>
          <w:sz w:val="32"/>
        </w:rPr>
        <w:t>（二）政府采购情况</w:t>
      </w:r>
    </w:p>
    <w:p w14:paraId="4970C980">
      <w:pPr>
        <w:spacing w:line="580" w:lineRule="exact"/>
        <w:ind w:firstLine="640"/>
        <w:jc w:val="both"/>
      </w:pPr>
      <w:r>
        <w:rPr>
          <w:rFonts w:ascii="仿宋_GB2312" w:hAnsi="仿宋_GB2312" w:eastAsia="仿宋_GB2312"/>
          <w:b w:val="0"/>
          <w:sz w:val="32"/>
        </w:rPr>
        <w:t>2024年度政府采购支出总额4.39万元，其中：政府采购货物支出0.11万元、政府采购工程支出0.00万元、政府采购服务支出4.28万元。</w:t>
      </w:r>
    </w:p>
    <w:p w14:paraId="1E57BBF3">
      <w:pPr>
        <w:spacing w:line="580" w:lineRule="exact"/>
        <w:ind w:firstLine="640"/>
        <w:jc w:val="both"/>
      </w:pPr>
      <w:r>
        <w:rPr>
          <w:rFonts w:ascii="仿宋_GB2312" w:hAnsi="仿宋_GB2312" w:eastAsia="仿宋_GB2312"/>
          <w:b w:val="0"/>
          <w:sz w:val="32"/>
        </w:rPr>
        <w:t>授予中小企业合同金额4.39万元，占政府采购支出总额的100.00%，其中：授予小微企业合同金额4.05万元，占政府采购支出总额的92.26%。</w:t>
      </w:r>
    </w:p>
    <w:p w14:paraId="3E8AC70F">
      <w:pPr>
        <w:spacing w:line="640" w:lineRule="exact"/>
        <w:ind w:firstLine="640"/>
        <w:jc w:val="both"/>
        <w:outlineLvl w:val="3"/>
      </w:pPr>
      <w:r>
        <w:rPr>
          <w:rFonts w:ascii="楷体_GB2312" w:hAnsi="楷体_GB2312" w:eastAsia="楷体_GB2312"/>
          <w:b/>
          <w:sz w:val="32"/>
        </w:rPr>
        <w:t>（三）国有资产占用情况说明</w:t>
      </w:r>
    </w:p>
    <w:p w14:paraId="01750B93">
      <w:pPr>
        <w:spacing w:line="580" w:lineRule="exact"/>
        <w:ind w:firstLine="640"/>
        <w:jc w:val="both"/>
      </w:pPr>
      <w:r>
        <w:rPr>
          <w:rFonts w:ascii="仿宋_GB2312" w:hAnsi="仿宋_GB2312" w:eastAsia="仿宋_GB2312"/>
          <w:b w:val="0"/>
          <w:sz w:val="32"/>
        </w:rPr>
        <w:t>截至2024年12月31日，房屋0.00平方米，价值0.00万元。车辆1辆，价值17.80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65905F63">
      <w:pPr>
        <w:spacing w:line="640" w:lineRule="exact"/>
        <w:ind w:firstLine="640"/>
        <w:jc w:val="both"/>
        <w:outlineLvl w:val="2"/>
      </w:pPr>
      <w:r>
        <w:rPr>
          <w:rFonts w:ascii="黑体" w:hAnsi="黑体" w:eastAsia="黑体"/>
          <w:sz w:val="32"/>
        </w:rPr>
        <w:t>十一、预算绩效的情况说明</w:t>
      </w:r>
    </w:p>
    <w:p w14:paraId="3E3BCE2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根据预算绩效管理要求，本单位2024年度预算绩效管理形成整体支出绩效自评表1个，全年预算总额571.70万元，实际执行总额571.70万元；预算绩效评价项目</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15.91</w:t>
      </w:r>
      <w:r>
        <w:rPr>
          <w:rFonts w:ascii="仿宋_GB2312" w:hAnsi="仿宋_GB2312" w:eastAsia="仿宋_GB2312"/>
          <w:b w:val="0"/>
          <w:sz w:val="32"/>
        </w:rPr>
        <w:t>万元，全年执行数</w:t>
      </w:r>
      <w:r>
        <w:rPr>
          <w:rFonts w:hint="eastAsia" w:ascii="仿宋_GB2312" w:hAnsi="仿宋_GB2312" w:eastAsia="仿宋_GB2312"/>
          <w:b w:val="0"/>
          <w:sz w:val="32"/>
        </w:rPr>
        <w:t>15.91</w:t>
      </w:r>
      <w:r>
        <w:rPr>
          <w:rFonts w:ascii="仿宋_GB2312" w:hAnsi="仿宋_GB2312" w:eastAsia="仿宋_GB2312"/>
          <w:b w:val="0"/>
          <w:sz w:val="32"/>
        </w:rPr>
        <w:t>万元。预算绩效管理取得的成效：一是建立健全的决算制度，明确了决算工作的职责和流程；二是规范了决算报表的编制和填报，确保了数据的真实性和完整性；三是加强了决算的审核和监督，确保了报表的质量和合规性；四是对决算结果进行分析和利用，为财务管理和决策提供了有力支持。发现的问题及原因：一是绩效指标不明确：在制定绩效指标时，可能会存在模糊不清、不够具体或者量化困难的问题，导致无法准确评估实际绩效；二是反馈机制不健全：绩效管理过程中，缺乏有效的反馈机制，无法及时对执行情况进行跟踪和调整。下一步改进措施：一是强化预算制定：在制定预算计划时，需要充分了解实际需求，合理安排各项支出，确保预算计划的可行性；二是明确绩效指标：制定绩效指标时，应尽量具体化、量化，避免模糊不清的情况。同时要确保指标能够合理衡量实际绩效；三是建立有效的反馈机制：通过建立定期反馈机制，及时了解预算执行情况，发现问题及时进行调整，以确保预算执行的顺利进行；四是加强制度建设：完善相关制度建设，明确操作规程和责任追究机制，以确保绩效管理的有效实施，同时要加强对制度执行情况的监督检查，确保制度得到有效执行。具体附整体支出绩效自评表，项目支出绩效自评表和评价报告。</w:t>
      </w:r>
    </w:p>
    <w:p w14:paraId="232DF80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E05CE69">
        <w:tblPrEx>
          <w:tblCellMar>
            <w:top w:w="0" w:type="dxa"/>
            <w:left w:w="108" w:type="dxa"/>
            <w:bottom w:w="0" w:type="dxa"/>
            <w:right w:w="108" w:type="dxa"/>
          </w:tblCellMar>
        </w:tblPrEx>
        <w:tc>
          <w:tcPr>
            <w:tcW w:w="8847" w:type="dxa"/>
            <w:gridSpan w:val="9"/>
            <w:vAlign w:val="center"/>
          </w:tcPr>
          <w:p w14:paraId="57ED161B">
            <w:pPr>
              <w:jc w:val="center"/>
            </w:pPr>
            <w:r>
              <w:rPr>
                <w:rFonts w:ascii="宋体" w:hAnsi="宋体" w:eastAsia="宋体"/>
                <w:sz w:val="24"/>
              </w:rPr>
              <w:t>单位整体支出绩效自评表</w:t>
            </w:r>
          </w:p>
        </w:tc>
      </w:tr>
      <w:tr w14:paraId="323577A5">
        <w:tblPrEx>
          <w:tblCellMar>
            <w:top w:w="0" w:type="dxa"/>
            <w:left w:w="108" w:type="dxa"/>
            <w:bottom w:w="0" w:type="dxa"/>
            <w:right w:w="108" w:type="dxa"/>
          </w:tblCellMar>
        </w:tblPrEx>
        <w:tc>
          <w:tcPr>
            <w:tcW w:w="8847" w:type="dxa"/>
            <w:gridSpan w:val="9"/>
            <w:vAlign w:val="center"/>
          </w:tcPr>
          <w:p w14:paraId="04014311">
            <w:pPr>
              <w:jc w:val="center"/>
            </w:pPr>
            <w:r>
              <w:rPr>
                <w:rFonts w:ascii="宋体" w:hAnsi="宋体" w:eastAsia="宋体"/>
                <w:sz w:val="24"/>
              </w:rPr>
              <w:t>（2024年度）</w:t>
            </w:r>
          </w:p>
        </w:tc>
      </w:tr>
      <w:tr w14:paraId="7F5204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0F8E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065A49">
            <w:pPr>
              <w:jc w:val="center"/>
            </w:pPr>
            <w:r>
              <w:rPr>
                <w:rFonts w:ascii="宋体" w:hAnsi="宋体" w:eastAsia="宋体"/>
                <w:sz w:val="16"/>
              </w:rPr>
              <w:t>中国人民政治协商会议新疆洛浦县委员会</w:t>
            </w:r>
          </w:p>
        </w:tc>
      </w:tr>
      <w:tr w14:paraId="073E4E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DCF0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9EC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CDC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F81F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25F7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8B4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F4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56A9A">
            <w:pPr>
              <w:jc w:val="center"/>
            </w:pPr>
            <w:r>
              <w:rPr>
                <w:rFonts w:ascii="宋体" w:hAnsi="宋体" w:eastAsia="宋体"/>
                <w:sz w:val="16"/>
              </w:rPr>
              <w:t>得分</w:t>
            </w:r>
          </w:p>
        </w:tc>
      </w:tr>
      <w:tr w14:paraId="331848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61A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B816F">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1EBB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08FF8">
            <w:pPr>
              <w:jc w:val="center"/>
            </w:pPr>
            <w:r>
              <w:rPr>
                <w:rFonts w:ascii="宋体" w:hAnsi="宋体" w:eastAsia="宋体"/>
                <w:sz w:val="16"/>
              </w:rPr>
              <w:t>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33EA6">
            <w:pPr>
              <w:jc w:val="center"/>
            </w:pPr>
            <w:r>
              <w:rPr>
                <w:rFonts w:ascii="宋体" w:hAnsi="宋体" w:eastAsia="宋体"/>
                <w:sz w:val="16"/>
              </w:rPr>
              <w:t>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9FB85">
            <w:pPr>
              <w:jc w:val="center"/>
            </w:pPr>
            <w:r>
              <w:rPr>
                <w:rFonts w:ascii="宋体" w:hAnsi="宋体" w:eastAsia="宋体"/>
                <w:sz w:val="16"/>
              </w:rPr>
              <w:t>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F9D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983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F6B9">
            <w:pPr>
              <w:jc w:val="center"/>
            </w:pPr>
            <w:r>
              <w:rPr>
                <w:rFonts w:ascii="宋体" w:hAnsi="宋体" w:eastAsia="宋体"/>
                <w:sz w:val="16"/>
              </w:rPr>
              <w:t>-</w:t>
            </w:r>
          </w:p>
        </w:tc>
      </w:tr>
      <w:tr w14:paraId="22E7E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C48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5AE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2282F">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9B75">
            <w:pPr>
              <w:jc w:val="center"/>
            </w:pPr>
            <w:r>
              <w:rPr>
                <w:rFonts w:ascii="宋体" w:hAnsi="宋体" w:eastAsia="宋体"/>
                <w:sz w:val="16"/>
              </w:rPr>
              <w:t>597.20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8E7CE">
            <w:pPr>
              <w:jc w:val="center"/>
            </w:pPr>
            <w:r>
              <w:rPr>
                <w:rFonts w:ascii="宋体" w:hAnsi="宋体" w:eastAsia="宋体"/>
                <w:sz w:val="16"/>
              </w:rPr>
              <w:t>563.15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21241">
            <w:pPr>
              <w:jc w:val="center"/>
            </w:pPr>
            <w:r>
              <w:rPr>
                <w:rFonts w:ascii="宋体" w:hAnsi="宋体" w:eastAsia="宋体"/>
                <w:sz w:val="16"/>
              </w:rPr>
              <w:t>563.15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4C6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898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C3623">
            <w:pPr>
              <w:jc w:val="center"/>
            </w:pPr>
            <w:r>
              <w:rPr>
                <w:rFonts w:ascii="宋体" w:hAnsi="宋体" w:eastAsia="宋体"/>
                <w:sz w:val="16"/>
              </w:rPr>
              <w:t>-</w:t>
            </w:r>
          </w:p>
        </w:tc>
      </w:tr>
      <w:tr w14:paraId="19AFF2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A5E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111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C35E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45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78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D5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49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A50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A202F">
            <w:pPr>
              <w:jc w:val="center"/>
            </w:pPr>
            <w:r>
              <w:rPr>
                <w:rFonts w:ascii="宋体" w:hAnsi="宋体" w:eastAsia="宋体"/>
                <w:sz w:val="16"/>
              </w:rPr>
              <w:t>-</w:t>
            </w:r>
          </w:p>
        </w:tc>
      </w:tr>
      <w:tr w14:paraId="79CDC3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FAA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B86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968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F9FE">
            <w:pPr>
              <w:jc w:val="center"/>
            </w:pPr>
            <w:r>
              <w:rPr>
                <w:rFonts w:ascii="宋体" w:hAnsi="宋体" w:eastAsia="宋体"/>
                <w:sz w:val="16"/>
              </w:rPr>
              <w:t>605.75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A132">
            <w:pPr>
              <w:jc w:val="center"/>
            </w:pPr>
            <w:r>
              <w:rPr>
                <w:rFonts w:ascii="宋体" w:hAnsi="宋体" w:eastAsia="宋体"/>
                <w:sz w:val="16"/>
              </w:rPr>
              <w:t>571.70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E0177">
            <w:pPr>
              <w:jc w:val="center"/>
            </w:pPr>
            <w:r>
              <w:rPr>
                <w:rFonts w:ascii="宋体" w:hAnsi="宋体" w:eastAsia="宋体"/>
                <w:sz w:val="16"/>
              </w:rPr>
              <w:t>571.70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80B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465D7">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1C58">
            <w:pPr>
              <w:jc w:val="center"/>
            </w:pPr>
            <w:r>
              <w:rPr>
                <w:rFonts w:ascii="宋体" w:hAnsi="宋体" w:eastAsia="宋体"/>
                <w:sz w:val="16"/>
              </w:rPr>
              <w:t>9.4</w:t>
            </w:r>
          </w:p>
        </w:tc>
      </w:tr>
      <w:tr w14:paraId="433119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5076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AD82B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758597">
            <w:pPr>
              <w:jc w:val="center"/>
            </w:pPr>
            <w:r>
              <w:rPr>
                <w:rFonts w:ascii="宋体" w:hAnsi="宋体" w:eastAsia="宋体"/>
                <w:sz w:val="16"/>
              </w:rPr>
              <w:t>实际完成情况</w:t>
            </w:r>
          </w:p>
        </w:tc>
      </w:tr>
      <w:tr w14:paraId="757B97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FD02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06EF49">
            <w:pPr>
              <w:jc w:val="both"/>
            </w:pPr>
            <w:r>
              <w:rPr>
                <w:rFonts w:ascii="宋体" w:hAnsi="宋体" w:eastAsia="宋体"/>
                <w:sz w:val="16"/>
              </w:rPr>
              <w:t>目标1：保障单位在职22人，退休24人的工资福利及各项补助正常发放及部门正常运转；</w:t>
            </w:r>
            <w:r>
              <w:rPr>
                <w:rFonts w:ascii="宋体" w:hAnsi="宋体" w:eastAsia="宋体"/>
                <w:sz w:val="16"/>
              </w:rPr>
              <w:br w:type="textWrapping"/>
            </w:r>
            <w:r>
              <w:rPr>
                <w:rFonts w:ascii="宋体" w:hAnsi="宋体" w:eastAsia="宋体"/>
                <w:sz w:val="16"/>
              </w:rPr>
              <w:t>目标2：保障单位1个年初预算项目按计划实施，开展检查指导政协联络组工作，对全县政协委员开展培训工作，提高履职能力，为政协干部职工发放工资待遇，提高在职及退休干部的幸福感、归属感，积极开展视察调研活动，提升政协委员政治协商、民主监督、参政议政的职能水平和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BF7067">
            <w:pPr>
              <w:jc w:val="both"/>
            </w:pPr>
            <w:r>
              <w:rPr>
                <w:rFonts w:ascii="宋体" w:hAnsi="宋体" w:eastAsia="宋体"/>
                <w:sz w:val="16"/>
              </w:rPr>
              <w:t>截止至自评节点，该部门整体已实施完毕，已支付资金571.7万元。已完成保障单位在职22人，退休24人的工资福利及各项补助正常发放及部门正常运转；单位1个项目按计划实施，开展检查指导政协联络组工作，对全县政协委员开展培训工作，提高履职能力，为政协干部职工发放工资待遇，提高在职及退休干部的幸福感、归属感，积极开展视察调研活动，提升政协委员政治协商、民主监督、参政议政的职能水平和积极性。</w:t>
            </w:r>
          </w:p>
        </w:tc>
      </w:tr>
      <w:tr w14:paraId="35134BE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05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5B3B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C8A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17C7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564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D71C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D769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9C927">
            <w:pPr>
              <w:jc w:val="center"/>
            </w:pPr>
            <w:r>
              <w:rPr>
                <w:rFonts w:ascii="宋体" w:hAnsi="宋体" w:eastAsia="宋体"/>
                <w:sz w:val="16"/>
              </w:rPr>
              <w:t>得分</w:t>
            </w:r>
          </w:p>
        </w:tc>
      </w:tr>
      <w:tr w14:paraId="48E555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E1E0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C602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6DDE">
            <w:pPr>
              <w:jc w:val="center"/>
            </w:pPr>
            <w:r>
              <w:rPr>
                <w:rFonts w:ascii="宋体" w:hAnsi="宋体" w:eastAsia="宋体"/>
                <w:sz w:val="16"/>
              </w:rPr>
              <w:t>完成洛浦县两会会议次数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9EEB">
            <w:pPr>
              <w:jc w:val="center"/>
            </w:pPr>
            <w:r>
              <w:rPr>
                <w:rFonts w:ascii="宋体" w:hAnsi="宋体" w:eastAsia="宋体"/>
                <w:sz w:val="16"/>
              </w:rPr>
              <w:t>=1次/年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096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F6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58C86">
            <w:pPr>
              <w:jc w:val="center"/>
            </w:pPr>
            <w:r>
              <w:rPr>
                <w:rFonts w:ascii="宋体" w:hAnsi="宋体" w:eastAsia="宋体"/>
                <w:sz w:val="16"/>
              </w:rPr>
              <w:t>1次/年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FF2C">
            <w:pPr>
              <w:jc w:val="center"/>
            </w:pPr>
            <w:r>
              <w:rPr>
                <w:rFonts w:ascii="宋体" w:hAnsi="宋体" w:eastAsia="宋体"/>
                <w:sz w:val="16"/>
              </w:rPr>
              <w:t>15</w:t>
            </w:r>
          </w:p>
        </w:tc>
      </w:tr>
      <w:tr w14:paraId="04A3A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EA39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8FE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4FA06">
            <w:pPr>
              <w:jc w:val="center"/>
            </w:pPr>
            <w:r>
              <w:rPr>
                <w:rFonts w:ascii="宋体" w:hAnsi="宋体" w:eastAsia="宋体"/>
                <w:sz w:val="16"/>
              </w:rPr>
              <w:t>完成洛浦县政协</w:t>
            </w:r>
            <w:r>
              <w:rPr>
                <w:rFonts w:hint="eastAsia" w:ascii="宋体" w:hAnsi="宋体"/>
                <w:sz w:val="16"/>
                <w:lang w:eastAsia="zh-CN"/>
              </w:rPr>
              <w:t>常委会会议</w:t>
            </w:r>
            <w:r>
              <w:rPr>
                <w:rFonts w:ascii="宋体" w:hAnsi="宋体" w:eastAsia="宋体"/>
                <w:sz w:val="16"/>
              </w:rPr>
              <w:t>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4D623">
            <w:pPr>
              <w:jc w:val="center"/>
            </w:pPr>
            <w:r>
              <w:rPr>
                <w:rFonts w:ascii="宋体" w:hAnsi="宋体" w:eastAsia="宋体"/>
                <w:sz w:val="16"/>
              </w:rPr>
              <w:t>=2次/年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6C3D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1B6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BE0D5">
            <w:pPr>
              <w:jc w:val="center"/>
            </w:pPr>
            <w:r>
              <w:rPr>
                <w:rFonts w:ascii="宋体" w:hAnsi="宋体" w:eastAsia="宋体"/>
                <w:sz w:val="16"/>
              </w:rPr>
              <w:t>2次/年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5989">
            <w:pPr>
              <w:jc w:val="center"/>
            </w:pPr>
            <w:r>
              <w:rPr>
                <w:rFonts w:ascii="宋体" w:hAnsi="宋体" w:eastAsia="宋体"/>
                <w:sz w:val="16"/>
              </w:rPr>
              <w:t>15</w:t>
            </w:r>
          </w:p>
        </w:tc>
      </w:tr>
      <w:tr w14:paraId="0A14D2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449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EB0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26B54">
            <w:pPr>
              <w:jc w:val="center"/>
            </w:pPr>
            <w:r>
              <w:rPr>
                <w:rFonts w:ascii="宋体" w:hAnsi="宋体" w:eastAsia="宋体"/>
                <w:sz w:val="16"/>
              </w:rPr>
              <w:t>出具民主党派和各界别人士参政议政调研报告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205C">
            <w:pPr>
              <w:jc w:val="center"/>
            </w:pPr>
            <w:r>
              <w:rPr>
                <w:rFonts w:ascii="宋体" w:hAnsi="宋体" w:eastAsia="宋体"/>
                <w:sz w:val="16"/>
              </w:rPr>
              <w:t>&gt;=5篇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8D99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3E04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2DAD">
            <w:pPr>
              <w:jc w:val="center"/>
            </w:pPr>
            <w:r>
              <w:rPr>
                <w:rFonts w:ascii="宋体" w:hAnsi="宋体" w:eastAsia="宋体"/>
                <w:sz w:val="16"/>
              </w:rPr>
              <w:t>5篇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60552">
            <w:pPr>
              <w:jc w:val="center"/>
            </w:pPr>
            <w:r>
              <w:rPr>
                <w:rFonts w:ascii="宋体" w:hAnsi="宋体" w:eastAsia="宋体"/>
                <w:sz w:val="16"/>
              </w:rPr>
              <w:t>15</w:t>
            </w:r>
          </w:p>
        </w:tc>
      </w:tr>
      <w:tr w14:paraId="6344DD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F93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565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9BC89">
            <w:pPr>
              <w:jc w:val="center"/>
            </w:pPr>
            <w:r>
              <w:rPr>
                <w:rFonts w:ascii="宋体" w:hAnsi="宋体" w:eastAsia="宋体"/>
                <w:sz w:val="16"/>
              </w:rPr>
              <w:t>组织开展协商计划次数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98527">
            <w:pPr>
              <w:jc w:val="center"/>
            </w:pPr>
            <w:r>
              <w:rPr>
                <w:rFonts w:ascii="宋体" w:hAnsi="宋体" w:eastAsia="宋体"/>
                <w:sz w:val="16"/>
              </w:rPr>
              <w:t>=1次/半年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B271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3D1C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131EF">
            <w:pPr>
              <w:jc w:val="center"/>
            </w:pPr>
            <w:r>
              <w:rPr>
                <w:rFonts w:ascii="宋体" w:hAnsi="宋体" w:eastAsia="宋体"/>
                <w:sz w:val="16"/>
              </w:rPr>
              <w:t>1次/半年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86674">
            <w:pPr>
              <w:jc w:val="center"/>
            </w:pPr>
            <w:r>
              <w:rPr>
                <w:rFonts w:ascii="宋体" w:hAnsi="宋体" w:eastAsia="宋体"/>
                <w:sz w:val="16"/>
              </w:rPr>
              <w:t>15</w:t>
            </w:r>
          </w:p>
        </w:tc>
      </w:tr>
      <w:tr w14:paraId="50320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92A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5CE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85E9D">
            <w:pPr>
              <w:jc w:val="center"/>
            </w:pPr>
            <w:r>
              <w:rPr>
                <w:rFonts w:ascii="宋体" w:hAnsi="宋体" w:eastAsia="宋体"/>
                <w:sz w:val="16"/>
              </w:rPr>
              <w:t>收集社情民意数量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6A439">
            <w:pPr>
              <w:jc w:val="center"/>
            </w:pPr>
            <w:r>
              <w:rPr>
                <w:rFonts w:ascii="宋体" w:hAnsi="宋体" w:eastAsia="宋体"/>
                <w:sz w:val="16"/>
              </w:rPr>
              <w:t>&gt;=30篇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BAF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BCA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3F1A4">
            <w:pPr>
              <w:jc w:val="center"/>
            </w:pPr>
            <w:r>
              <w:rPr>
                <w:rFonts w:ascii="宋体" w:hAnsi="宋体" w:eastAsia="宋体"/>
                <w:sz w:val="16"/>
              </w:rPr>
              <w:t>30篇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AC4A5">
            <w:pPr>
              <w:jc w:val="center"/>
            </w:pPr>
            <w:r>
              <w:rPr>
                <w:rFonts w:ascii="宋体" w:hAnsi="宋体" w:eastAsia="宋体"/>
                <w:sz w:val="16"/>
              </w:rPr>
              <w:t>15</w:t>
            </w:r>
          </w:p>
        </w:tc>
      </w:tr>
      <w:tr w14:paraId="735EF3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AAA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390B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2DF25">
            <w:pPr>
              <w:jc w:val="center"/>
            </w:pPr>
            <w:r>
              <w:rPr>
                <w:rFonts w:ascii="宋体" w:hAnsi="宋体" w:eastAsia="宋体"/>
                <w:sz w:val="16"/>
              </w:rPr>
              <w:t>提案审查立案办结率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2349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B5C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1D75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A525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C4428">
            <w:pPr>
              <w:jc w:val="center"/>
            </w:pPr>
            <w:r>
              <w:rPr>
                <w:rFonts w:ascii="宋体" w:hAnsi="宋体" w:eastAsia="宋体"/>
                <w:sz w:val="16"/>
              </w:rPr>
              <w:t>15</w:t>
            </w:r>
          </w:p>
        </w:tc>
      </w:tr>
    </w:tbl>
    <w:p w14:paraId="560927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B177CC">
        <w:tblPrEx>
          <w:tblCellMar>
            <w:top w:w="0" w:type="dxa"/>
            <w:left w:w="108" w:type="dxa"/>
            <w:bottom w:w="0" w:type="dxa"/>
            <w:right w:w="108" w:type="dxa"/>
          </w:tblCellMar>
        </w:tblPrEx>
        <w:tc>
          <w:tcPr>
            <w:tcW w:w="8847" w:type="dxa"/>
            <w:gridSpan w:val="9"/>
            <w:vAlign w:val="center"/>
          </w:tcPr>
          <w:p w14:paraId="5A208940">
            <w:pPr>
              <w:jc w:val="center"/>
            </w:pPr>
            <w:r>
              <w:rPr>
                <w:rFonts w:ascii="宋体" w:hAnsi="宋体" w:eastAsia="宋体"/>
                <w:sz w:val="24"/>
              </w:rPr>
              <w:t>项目支出绩效自评表</w:t>
            </w:r>
          </w:p>
        </w:tc>
      </w:tr>
      <w:tr w14:paraId="20AF931A">
        <w:tblPrEx>
          <w:tblCellMar>
            <w:top w:w="0" w:type="dxa"/>
            <w:left w:w="108" w:type="dxa"/>
            <w:bottom w:w="0" w:type="dxa"/>
            <w:right w:w="108" w:type="dxa"/>
          </w:tblCellMar>
        </w:tblPrEx>
        <w:tc>
          <w:tcPr>
            <w:tcW w:w="8847" w:type="dxa"/>
            <w:gridSpan w:val="9"/>
            <w:vAlign w:val="center"/>
          </w:tcPr>
          <w:p w14:paraId="4B1405FC">
            <w:pPr>
              <w:jc w:val="center"/>
            </w:pPr>
            <w:r>
              <w:rPr>
                <w:rFonts w:ascii="宋体" w:hAnsi="宋体" w:eastAsia="宋体"/>
                <w:sz w:val="24"/>
              </w:rPr>
              <w:t>(2024年度)</w:t>
            </w:r>
          </w:p>
        </w:tc>
      </w:tr>
      <w:tr w14:paraId="4602D4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1C8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293AC1">
            <w:pPr>
              <w:jc w:val="center"/>
            </w:pPr>
            <w:r>
              <w:rPr>
                <w:rFonts w:ascii="宋体" w:hAnsi="宋体" w:eastAsia="宋体"/>
                <w:sz w:val="16"/>
              </w:rPr>
              <w:t>2024年度自治区基层政协补助经费</w:t>
            </w:r>
          </w:p>
        </w:tc>
      </w:tr>
      <w:tr w14:paraId="4977F9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861F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5F0B14">
            <w:pPr>
              <w:jc w:val="center"/>
            </w:pPr>
            <w:r>
              <w:rPr>
                <w:rFonts w:ascii="宋体" w:hAnsi="宋体" w:eastAsia="宋体"/>
                <w:sz w:val="16"/>
              </w:rPr>
              <w:t>中国人民政治协商会议新疆洛浦县委员会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236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240B61">
            <w:pPr>
              <w:jc w:val="center"/>
            </w:pPr>
            <w:r>
              <w:rPr>
                <w:rFonts w:ascii="宋体" w:hAnsi="宋体" w:eastAsia="宋体"/>
                <w:sz w:val="16"/>
              </w:rPr>
              <w:t>中国人民政治协商会议新疆洛浦县委员会</w:t>
            </w:r>
          </w:p>
        </w:tc>
      </w:tr>
      <w:tr w14:paraId="4F944E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ADE4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C92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E6F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87A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634D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77C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5FB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E4BA">
            <w:pPr>
              <w:jc w:val="center"/>
            </w:pPr>
            <w:r>
              <w:rPr>
                <w:rFonts w:ascii="宋体" w:hAnsi="宋体" w:eastAsia="宋体"/>
                <w:sz w:val="16"/>
              </w:rPr>
              <w:t>得分</w:t>
            </w:r>
          </w:p>
        </w:tc>
      </w:tr>
      <w:tr w14:paraId="0AF9EB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07B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A2E3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B1357">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D03F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8671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E9F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D00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6A7D4">
            <w:pPr>
              <w:jc w:val="center"/>
            </w:pPr>
            <w:r>
              <w:rPr>
                <w:rFonts w:ascii="宋体" w:hAnsi="宋体" w:eastAsia="宋体"/>
                <w:sz w:val="16"/>
              </w:rPr>
              <w:t>10.00分</w:t>
            </w:r>
          </w:p>
        </w:tc>
      </w:tr>
      <w:tr w14:paraId="53D4DE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683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4F0E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9137">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1F10">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B21D">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5F6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84F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63A37">
            <w:pPr>
              <w:jc w:val="center"/>
            </w:pPr>
            <w:r>
              <w:rPr>
                <w:rFonts w:ascii="宋体" w:hAnsi="宋体" w:eastAsia="宋体"/>
                <w:sz w:val="16"/>
              </w:rPr>
              <w:t>—</w:t>
            </w:r>
          </w:p>
        </w:tc>
      </w:tr>
      <w:tr w14:paraId="000D3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991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AECD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84B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23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503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1D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81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20D52">
            <w:pPr>
              <w:jc w:val="center"/>
            </w:pPr>
            <w:r>
              <w:rPr>
                <w:rFonts w:ascii="宋体" w:hAnsi="宋体" w:eastAsia="宋体"/>
                <w:sz w:val="16"/>
              </w:rPr>
              <w:t>—</w:t>
            </w:r>
          </w:p>
        </w:tc>
      </w:tr>
      <w:tr w14:paraId="50C1CE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9F7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6F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9C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4E6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492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C2E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F78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9898">
            <w:pPr>
              <w:jc w:val="center"/>
            </w:pPr>
            <w:r>
              <w:rPr>
                <w:rFonts w:ascii="宋体" w:hAnsi="宋体" w:eastAsia="宋体"/>
                <w:sz w:val="16"/>
              </w:rPr>
              <w:t>—</w:t>
            </w:r>
          </w:p>
        </w:tc>
      </w:tr>
      <w:tr w14:paraId="70059F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401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6AE59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4C59D6">
            <w:pPr>
              <w:jc w:val="center"/>
            </w:pPr>
            <w:r>
              <w:rPr>
                <w:rFonts w:ascii="宋体" w:hAnsi="宋体" w:eastAsia="宋体"/>
                <w:sz w:val="16"/>
              </w:rPr>
              <w:t>实际完成情况</w:t>
            </w:r>
          </w:p>
        </w:tc>
      </w:tr>
      <w:tr w14:paraId="668439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D97C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CCE696">
            <w:pPr>
              <w:jc w:val="both"/>
            </w:pPr>
            <w:r>
              <w:rPr>
                <w:rFonts w:ascii="宋体" w:hAnsi="宋体" w:eastAsia="宋体"/>
                <w:sz w:val="16"/>
              </w:rPr>
              <w:t>根据《关于提前下达2024年度自治区基层政协补助经费的通知》和地财行〔2023〕42号文件实施此项目，主要内容为：保障视频专网数量1条，购置办公用品1批，正常运行车辆数5辆，项目总投资5万元，其中1条视频会议专网费2.83万元，购置办公用品经费1.17万元，保障5辆公务用车运行费1万元。通过实施本项目可有效保障视频会议专网通畅，提高召开政协会议对社会的影响力，持续提高政协委员监督水平，确保单位各</w:t>
            </w:r>
            <w:r>
              <w:rPr>
                <w:rFonts w:hint="eastAsia" w:ascii="宋体" w:hAnsi="宋体"/>
                <w:sz w:val="16"/>
                <w:lang w:eastAsia="zh-CN"/>
              </w:rPr>
              <w:t>项目常</w:t>
            </w:r>
            <w:r>
              <w:rPr>
                <w:rFonts w:ascii="宋体" w:hAnsi="宋体" w:eastAsia="宋体"/>
                <w:sz w:val="16"/>
              </w:rPr>
              <w:t>工作正常运行，受益职工满意度达到90%以上。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698A71">
            <w:pPr>
              <w:jc w:val="both"/>
            </w:pPr>
            <w:r>
              <w:rPr>
                <w:rFonts w:hint="eastAsia" w:ascii="宋体" w:hAnsi="宋体"/>
                <w:sz w:val="16"/>
                <w:lang w:eastAsia="zh-CN"/>
              </w:rPr>
              <w:t>截</w:t>
            </w:r>
            <w:r>
              <w:rPr>
                <w:rFonts w:ascii="宋体" w:hAnsi="宋体" w:eastAsia="宋体"/>
                <w:sz w:val="16"/>
              </w:rPr>
              <w:t>至自评节点，该项目已实施完毕，已支付资金5万元。项目已完成的主要内容为保障视频专网数量1条，购置办公用品1批，正常运行车辆数5辆，项目总投资5万元，其中1条视频会议专网费2.83万元，购置办公用品经费1.17万元，保障5辆公务用车运行费1万元；通过项目实施，有效保障视频会议专网通畅，提高召开政协会议对社会的影响力，持续提高政协委员监督水平，确保单位各</w:t>
            </w:r>
            <w:r>
              <w:rPr>
                <w:rFonts w:hint="eastAsia" w:ascii="宋体" w:hAnsi="宋体"/>
                <w:sz w:val="16"/>
                <w:lang w:eastAsia="zh-CN"/>
              </w:rPr>
              <w:t>项目常</w:t>
            </w:r>
            <w:r>
              <w:rPr>
                <w:rFonts w:ascii="宋体" w:hAnsi="宋体" w:eastAsia="宋体"/>
                <w:sz w:val="16"/>
              </w:rPr>
              <w:t>工作正常运行，受益职工满意度达到90%以上。</w:t>
            </w:r>
          </w:p>
        </w:tc>
      </w:tr>
      <w:tr w14:paraId="1043CB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7CCE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C79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7D5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BDC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56ED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8FE1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95A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228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58AFF">
            <w:pPr>
              <w:jc w:val="center"/>
            </w:pPr>
            <w:r>
              <w:rPr>
                <w:rFonts w:ascii="宋体" w:hAnsi="宋体" w:eastAsia="宋体"/>
                <w:sz w:val="16"/>
              </w:rPr>
              <w:t>偏差原因分析及改进措施</w:t>
            </w:r>
          </w:p>
        </w:tc>
      </w:tr>
      <w:tr w14:paraId="484F29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DFA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D7DB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2263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C3840">
            <w:pPr>
              <w:jc w:val="center"/>
            </w:pPr>
            <w:r>
              <w:rPr>
                <w:rFonts w:ascii="宋体" w:hAnsi="宋体" w:eastAsia="宋体"/>
                <w:sz w:val="16"/>
              </w:rPr>
              <w:t>基层政协数量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2B48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93DD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26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0F8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F3C9">
            <w:pPr>
              <w:jc w:val="center"/>
            </w:pPr>
          </w:p>
        </w:tc>
      </w:tr>
      <w:tr w14:paraId="224A3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C95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F1A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9C1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1032C">
            <w:pPr>
              <w:jc w:val="center"/>
            </w:pPr>
            <w:r>
              <w:rPr>
                <w:rFonts w:ascii="宋体" w:hAnsi="宋体" w:eastAsia="宋体"/>
                <w:sz w:val="16"/>
              </w:rPr>
              <w:t>保障视频专网数量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750ED">
            <w:pPr>
              <w:jc w:val="center"/>
            </w:pPr>
            <w:r>
              <w:rPr>
                <w:rFonts w:ascii="宋体" w:hAnsi="宋体" w:eastAsia="宋体"/>
                <w:sz w:val="16"/>
              </w:rPr>
              <w:t>&gt;=1条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EBBF4">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7D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EB0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CAF52">
            <w:pPr>
              <w:jc w:val="center"/>
            </w:pPr>
          </w:p>
        </w:tc>
      </w:tr>
      <w:tr w14:paraId="192ACA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625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2B5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33F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9FC73">
            <w:pPr>
              <w:jc w:val="center"/>
            </w:pPr>
            <w:r>
              <w:rPr>
                <w:rFonts w:ascii="宋体" w:hAnsi="宋体" w:eastAsia="宋体"/>
                <w:sz w:val="16"/>
              </w:rPr>
              <w:t>购置办公用品批数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4CAA4">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00368">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4D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951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069A7">
            <w:pPr>
              <w:jc w:val="center"/>
            </w:pPr>
          </w:p>
        </w:tc>
      </w:tr>
      <w:tr w14:paraId="3A92F5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74A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E38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D20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2445">
            <w:pPr>
              <w:jc w:val="center"/>
            </w:pPr>
            <w:r>
              <w:rPr>
                <w:rFonts w:ascii="宋体" w:hAnsi="宋体" w:eastAsia="宋体"/>
                <w:sz w:val="16"/>
              </w:rPr>
              <w:t>保障正常运行车辆数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744D">
            <w:pPr>
              <w:jc w:val="center"/>
            </w:pPr>
            <w:r>
              <w:rPr>
                <w:rFonts w:ascii="宋体" w:hAnsi="宋体" w:eastAsia="宋体"/>
                <w:sz w:val="16"/>
              </w:rPr>
              <w:t>=5辆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3E9AA">
            <w:pPr>
              <w:jc w:val="center"/>
            </w:pPr>
            <w:r>
              <w:rPr>
                <w:rFonts w:ascii="宋体" w:hAnsi="宋体" w:eastAsia="宋体"/>
                <w:sz w:val="16"/>
              </w:rPr>
              <w:t>=5辆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20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9AC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8CDB">
            <w:pPr>
              <w:jc w:val="center"/>
            </w:pPr>
          </w:p>
        </w:tc>
      </w:tr>
      <w:tr w14:paraId="0939C5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D13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BD5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C4A4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D852E">
            <w:pPr>
              <w:jc w:val="center"/>
            </w:pPr>
            <w:r>
              <w:rPr>
                <w:rFonts w:ascii="宋体" w:hAnsi="宋体" w:eastAsia="宋体"/>
                <w:sz w:val="16"/>
              </w:rPr>
              <w:t>补充基层政协经费覆盖率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70E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92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943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FE9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9BF9">
            <w:pPr>
              <w:jc w:val="center"/>
            </w:pPr>
          </w:p>
        </w:tc>
      </w:tr>
      <w:tr w14:paraId="24CF7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DC1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8D4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BD1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2C1AB">
            <w:pPr>
              <w:jc w:val="center"/>
            </w:pPr>
            <w:r>
              <w:rPr>
                <w:rFonts w:ascii="宋体" w:hAnsi="宋体" w:eastAsia="宋体"/>
                <w:sz w:val="16"/>
              </w:rPr>
              <w:t>办公用品质量合格率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446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CA4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249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C9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F3540">
            <w:pPr>
              <w:jc w:val="center"/>
            </w:pPr>
          </w:p>
        </w:tc>
      </w:tr>
      <w:tr w14:paraId="517814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A4D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92E0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BD81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E9B2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3CF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B7D1">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927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61C8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88D9C">
            <w:pPr>
              <w:jc w:val="center"/>
            </w:pPr>
          </w:p>
        </w:tc>
      </w:tr>
      <w:tr w14:paraId="369276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37D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865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ADF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99F6A">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AC9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6B1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A55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54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9BF0">
            <w:pPr>
              <w:jc w:val="center"/>
            </w:pPr>
          </w:p>
        </w:tc>
      </w:tr>
      <w:tr w14:paraId="2F8065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1CFD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E6B3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9620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69DD">
            <w:pPr>
              <w:jc w:val="center"/>
            </w:pPr>
            <w:r>
              <w:rPr>
                <w:rFonts w:ascii="宋体" w:hAnsi="宋体" w:eastAsia="宋体"/>
                <w:sz w:val="16"/>
              </w:rPr>
              <w:t>视频会议专网费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B6093">
            <w:pPr>
              <w:jc w:val="center"/>
            </w:pPr>
            <w:r>
              <w:rPr>
                <w:rFonts w:ascii="宋体" w:hAnsi="宋体" w:eastAsia="宋体"/>
                <w:sz w:val="16"/>
              </w:rPr>
              <w:t>=2.83万元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1996">
            <w:pPr>
              <w:jc w:val="center"/>
            </w:pPr>
            <w:r>
              <w:rPr>
                <w:rFonts w:ascii="宋体" w:hAnsi="宋体" w:eastAsia="宋体"/>
                <w:sz w:val="16"/>
              </w:rPr>
              <w:t>=2.83万元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D18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B49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7E7C">
            <w:pPr>
              <w:jc w:val="center"/>
            </w:pPr>
          </w:p>
        </w:tc>
      </w:tr>
      <w:tr w14:paraId="497CE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C65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11B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DC2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2398E">
            <w:pPr>
              <w:jc w:val="center"/>
            </w:pPr>
            <w:r>
              <w:rPr>
                <w:rFonts w:ascii="宋体" w:hAnsi="宋体" w:eastAsia="宋体"/>
                <w:sz w:val="16"/>
              </w:rPr>
              <w:t>保障车辆运行费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8AE3">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F9A62">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41C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3028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91AE5">
            <w:pPr>
              <w:jc w:val="center"/>
            </w:pPr>
          </w:p>
        </w:tc>
      </w:tr>
      <w:tr w14:paraId="303F5C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06A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0AB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7E9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2CE5F">
            <w:pPr>
              <w:jc w:val="center"/>
            </w:pPr>
            <w:r>
              <w:rPr>
                <w:rFonts w:ascii="宋体" w:hAnsi="宋体" w:eastAsia="宋体"/>
                <w:sz w:val="16"/>
              </w:rPr>
              <w:t>购置办公用品经费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BB1E">
            <w:pPr>
              <w:jc w:val="center"/>
            </w:pPr>
            <w:r>
              <w:rPr>
                <w:rFonts w:ascii="宋体" w:hAnsi="宋体" w:eastAsia="宋体"/>
                <w:sz w:val="16"/>
              </w:rPr>
              <w:t>=1.17万元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50E57">
            <w:pPr>
              <w:jc w:val="center"/>
            </w:pPr>
            <w:r>
              <w:rPr>
                <w:rFonts w:ascii="宋体" w:hAnsi="宋体" w:eastAsia="宋体"/>
                <w:sz w:val="16"/>
              </w:rPr>
              <w:t>=1.17万元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46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FAA6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6FB07">
            <w:pPr>
              <w:jc w:val="center"/>
            </w:pPr>
          </w:p>
        </w:tc>
      </w:tr>
      <w:tr w14:paraId="5EF71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B652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04D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3954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ACD85">
            <w:pPr>
              <w:jc w:val="center"/>
            </w:pPr>
            <w:r>
              <w:rPr>
                <w:rFonts w:ascii="宋体" w:hAnsi="宋体" w:eastAsia="宋体"/>
                <w:sz w:val="16"/>
              </w:rPr>
              <w:t>促进基层政协工作开展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13D24">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8307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817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BACB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AC0C8">
            <w:pPr>
              <w:jc w:val="center"/>
            </w:pPr>
          </w:p>
        </w:tc>
      </w:tr>
      <w:tr w14:paraId="6C562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812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5EB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D124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BC0B1">
            <w:pPr>
              <w:jc w:val="center"/>
            </w:pPr>
            <w:r>
              <w:rPr>
                <w:rFonts w:ascii="宋体" w:hAnsi="宋体" w:eastAsia="宋体"/>
                <w:sz w:val="16"/>
              </w:rPr>
              <w:t>受益干部职工满意度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67B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6D7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C43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3F7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2BC6">
            <w:pPr>
              <w:jc w:val="center"/>
            </w:pPr>
          </w:p>
        </w:tc>
      </w:tr>
      <w:tr w14:paraId="5378AFB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0093D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FBF1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33D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E93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8946F9"/>
        </w:tc>
      </w:tr>
    </w:tbl>
    <w:p w14:paraId="5F1A0F1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DA69272">
        <w:tblPrEx>
          <w:tblCellMar>
            <w:top w:w="0" w:type="dxa"/>
            <w:left w:w="108" w:type="dxa"/>
            <w:bottom w:w="0" w:type="dxa"/>
            <w:right w:w="108" w:type="dxa"/>
          </w:tblCellMar>
        </w:tblPrEx>
        <w:tc>
          <w:tcPr>
            <w:tcW w:w="8847" w:type="dxa"/>
            <w:gridSpan w:val="9"/>
            <w:vAlign w:val="center"/>
          </w:tcPr>
          <w:p w14:paraId="03C01EC4">
            <w:pPr>
              <w:jc w:val="center"/>
            </w:pPr>
            <w:r>
              <w:rPr>
                <w:rFonts w:ascii="宋体" w:hAnsi="宋体" w:eastAsia="宋体"/>
                <w:sz w:val="24"/>
              </w:rPr>
              <w:t>项目支出绩效自评表</w:t>
            </w:r>
          </w:p>
        </w:tc>
      </w:tr>
      <w:tr w14:paraId="14AD76A3">
        <w:tblPrEx>
          <w:tblCellMar>
            <w:top w:w="0" w:type="dxa"/>
            <w:left w:w="108" w:type="dxa"/>
            <w:bottom w:w="0" w:type="dxa"/>
            <w:right w:w="108" w:type="dxa"/>
          </w:tblCellMar>
        </w:tblPrEx>
        <w:tc>
          <w:tcPr>
            <w:tcW w:w="8847" w:type="dxa"/>
            <w:gridSpan w:val="9"/>
            <w:vAlign w:val="center"/>
          </w:tcPr>
          <w:p w14:paraId="6F407CAD">
            <w:pPr>
              <w:jc w:val="center"/>
            </w:pPr>
            <w:r>
              <w:rPr>
                <w:rFonts w:ascii="宋体" w:hAnsi="宋体" w:eastAsia="宋体"/>
                <w:sz w:val="24"/>
              </w:rPr>
              <w:t>(2024年度)</w:t>
            </w:r>
          </w:p>
        </w:tc>
      </w:tr>
      <w:tr w14:paraId="2508E4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C5B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D6DB97">
            <w:pPr>
              <w:jc w:val="center"/>
            </w:pPr>
            <w:r>
              <w:rPr>
                <w:rFonts w:ascii="宋体" w:hAnsi="宋体" w:eastAsia="宋体"/>
                <w:sz w:val="16"/>
              </w:rPr>
              <w:t>政协洛浦县第十六届委员会第四次会议经费</w:t>
            </w:r>
          </w:p>
        </w:tc>
      </w:tr>
      <w:tr w14:paraId="66CA2A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023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106D4A">
            <w:pPr>
              <w:jc w:val="center"/>
            </w:pPr>
            <w:r>
              <w:rPr>
                <w:rFonts w:ascii="宋体" w:hAnsi="宋体" w:eastAsia="宋体"/>
                <w:sz w:val="16"/>
              </w:rPr>
              <w:t>中国人民政治协商会议新疆洛浦县委员会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AB5D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EFE6D8">
            <w:pPr>
              <w:jc w:val="center"/>
            </w:pPr>
            <w:r>
              <w:rPr>
                <w:rFonts w:ascii="宋体" w:hAnsi="宋体" w:eastAsia="宋体"/>
                <w:sz w:val="16"/>
              </w:rPr>
              <w:t>中国人民政治协商会议新疆洛浦县委员会</w:t>
            </w:r>
          </w:p>
        </w:tc>
      </w:tr>
      <w:tr w14:paraId="4D246F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9AB2E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67F1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48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672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40E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5F2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BD6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9B7E">
            <w:pPr>
              <w:jc w:val="center"/>
            </w:pPr>
            <w:r>
              <w:rPr>
                <w:rFonts w:ascii="宋体" w:hAnsi="宋体" w:eastAsia="宋体"/>
                <w:sz w:val="16"/>
              </w:rPr>
              <w:t>得分</w:t>
            </w:r>
          </w:p>
        </w:tc>
      </w:tr>
      <w:tr w14:paraId="6BEFB4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2EB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3E9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273DD">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0FD2">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CCE6">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4FB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6293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F6A30">
            <w:pPr>
              <w:jc w:val="center"/>
            </w:pPr>
            <w:r>
              <w:rPr>
                <w:rFonts w:ascii="宋体" w:hAnsi="宋体" w:eastAsia="宋体"/>
                <w:sz w:val="16"/>
              </w:rPr>
              <w:t>10.00分</w:t>
            </w:r>
          </w:p>
        </w:tc>
      </w:tr>
      <w:tr w14:paraId="0BFA31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51F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45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9BF7C">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D5DD">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B6D21">
            <w:pPr>
              <w:jc w:val="center"/>
            </w:pPr>
            <w:r>
              <w:rPr>
                <w:rFonts w:ascii="宋体" w:hAnsi="宋体" w:eastAsia="宋体"/>
                <w:sz w:val="16"/>
              </w:rPr>
              <w:t>7.36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C17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B6F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D5244">
            <w:pPr>
              <w:jc w:val="center"/>
            </w:pPr>
            <w:r>
              <w:rPr>
                <w:rFonts w:ascii="宋体" w:hAnsi="宋体" w:eastAsia="宋体"/>
                <w:sz w:val="16"/>
              </w:rPr>
              <w:t>—</w:t>
            </w:r>
          </w:p>
        </w:tc>
      </w:tr>
      <w:tr w14:paraId="6D012B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667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29C2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582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591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BE4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3AB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40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F36FD">
            <w:pPr>
              <w:jc w:val="center"/>
            </w:pPr>
            <w:r>
              <w:rPr>
                <w:rFonts w:ascii="宋体" w:hAnsi="宋体" w:eastAsia="宋体"/>
                <w:sz w:val="16"/>
              </w:rPr>
              <w:t>—</w:t>
            </w:r>
          </w:p>
        </w:tc>
      </w:tr>
      <w:tr w14:paraId="1AA818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F06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44A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91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16A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F1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9E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BB8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B6A16">
            <w:pPr>
              <w:jc w:val="center"/>
            </w:pPr>
            <w:r>
              <w:rPr>
                <w:rFonts w:ascii="宋体" w:hAnsi="宋体" w:eastAsia="宋体"/>
                <w:sz w:val="16"/>
              </w:rPr>
              <w:t>—</w:t>
            </w:r>
          </w:p>
        </w:tc>
      </w:tr>
      <w:tr w14:paraId="787ACE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6F5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1648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BF11C3">
            <w:pPr>
              <w:jc w:val="center"/>
            </w:pPr>
            <w:r>
              <w:rPr>
                <w:rFonts w:ascii="宋体" w:hAnsi="宋体" w:eastAsia="宋体"/>
                <w:sz w:val="16"/>
              </w:rPr>
              <w:t>实际完成情况</w:t>
            </w:r>
          </w:p>
        </w:tc>
      </w:tr>
      <w:tr w14:paraId="4AF2D9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17B8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438CF2">
            <w:pPr>
              <w:jc w:val="both"/>
            </w:pPr>
            <w:r>
              <w:rPr>
                <w:rFonts w:ascii="宋体" w:hAnsi="宋体" w:eastAsia="宋体"/>
                <w:sz w:val="16"/>
              </w:rPr>
              <w:t>本项目根据《中国人民政治协商会议章程》实施此项目，主要内容为：保障全年召开1次人民政治协商会议，会议为期2.5天，使参会人数达到150人次，保障会议出勤率达到95%，项目召开政协会议的总成本投资7.36万元，主要用于保障政协会议住宿、就餐等方面。通过实施本项目可有效提升政协委员参政议政职能水平</w:t>
            </w:r>
            <w:bookmarkStart w:id="0" w:name="_GoBack"/>
            <w:r>
              <w:rPr>
                <w:rFonts w:ascii="宋体" w:hAnsi="宋体" w:eastAsia="宋体"/>
                <w:sz w:val="16"/>
              </w:rPr>
              <w:t>,</w:t>
            </w:r>
            <w:bookmarkEnd w:id="0"/>
            <w:r>
              <w:rPr>
                <w:rFonts w:ascii="宋体" w:hAnsi="宋体" w:eastAsia="宋体"/>
                <w:sz w:val="16"/>
              </w:rPr>
              <w:t>发挥“政治协商、民主监督、参政议政”职能作用，提高召开政协会议对社会的影响力。使参加会议人员、群众满意度达到90%以上。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7CAEAB">
            <w:pPr>
              <w:jc w:val="both"/>
            </w:pPr>
            <w:r>
              <w:rPr>
                <w:rFonts w:ascii="宋体" w:hAnsi="宋体" w:eastAsia="宋体"/>
                <w:sz w:val="16"/>
              </w:rPr>
              <w:t>截止至自评节点，该项目已实施完毕，已支付资金7.36万元。项目已完成的主要内容：保障全年召开1次人民政治协商会议，会议为期2.5天，使参会人数达到150人次，保障会议出勤率达到95%，项目召开政协会议的总成本投资7.36万元，主要用于保障政协会议住宿、就餐等方面。通过项目实施，有效提升政协委员参政议政职能水平,发挥“政治协商、民主监督、参政议政”职能作用，提高召开政协会议对社会的影响力。使参加会议人员、群众满意度达到90%以上。</w:t>
            </w:r>
          </w:p>
        </w:tc>
      </w:tr>
      <w:tr w14:paraId="00325A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DAB5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FD31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DD8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7BE9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B05A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B2C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2649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545C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EB640">
            <w:pPr>
              <w:jc w:val="center"/>
            </w:pPr>
            <w:r>
              <w:rPr>
                <w:rFonts w:ascii="宋体" w:hAnsi="宋体" w:eastAsia="宋体"/>
                <w:sz w:val="16"/>
              </w:rPr>
              <w:t>偏差原因分析及改进措施</w:t>
            </w:r>
          </w:p>
        </w:tc>
      </w:tr>
      <w:tr w14:paraId="152DA0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D326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EE38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1559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6969">
            <w:pPr>
              <w:jc w:val="center"/>
            </w:pPr>
            <w:r>
              <w:rPr>
                <w:rFonts w:ascii="宋体" w:hAnsi="宋体" w:eastAsia="宋体"/>
                <w:sz w:val="16"/>
              </w:rPr>
              <w:t>召开会议次数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35D5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3F49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3CF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843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37C11">
            <w:pPr>
              <w:jc w:val="center"/>
            </w:pPr>
          </w:p>
        </w:tc>
      </w:tr>
      <w:tr w14:paraId="52B16D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242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78E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E86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C4F7A">
            <w:pPr>
              <w:jc w:val="center"/>
            </w:pPr>
            <w:r>
              <w:rPr>
                <w:rFonts w:ascii="宋体" w:hAnsi="宋体" w:eastAsia="宋体"/>
                <w:sz w:val="16"/>
              </w:rPr>
              <w:t>会议培训天数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94EC4">
            <w:pPr>
              <w:jc w:val="center"/>
            </w:pPr>
            <w:r>
              <w:rPr>
                <w:rFonts w:ascii="宋体" w:hAnsi="宋体" w:eastAsia="宋体"/>
                <w:sz w:val="16"/>
              </w:rPr>
              <w:t>&gt;=2.50天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6AD99">
            <w:pPr>
              <w:jc w:val="center"/>
            </w:pPr>
            <w:r>
              <w:rPr>
                <w:rFonts w:ascii="宋体" w:hAnsi="宋体" w:eastAsia="宋体"/>
                <w:sz w:val="16"/>
              </w:rPr>
              <w:t>=2.5天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DD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FE90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78027">
            <w:pPr>
              <w:jc w:val="center"/>
            </w:pPr>
          </w:p>
        </w:tc>
      </w:tr>
      <w:tr w14:paraId="777E7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387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707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DEB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4B4A">
            <w:pPr>
              <w:jc w:val="center"/>
            </w:pPr>
            <w:r>
              <w:rPr>
                <w:rFonts w:ascii="宋体" w:hAnsi="宋体" w:eastAsia="宋体"/>
                <w:sz w:val="16"/>
              </w:rPr>
              <w:t>出列席会议人数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1EE1">
            <w:pPr>
              <w:jc w:val="center"/>
            </w:pPr>
            <w:r>
              <w:rPr>
                <w:rFonts w:ascii="宋体" w:hAnsi="宋体" w:eastAsia="宋体"/>
                <w:sz w:val="16"/>
              </w:rPr>
              <w:t>&gt;=150人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D1848">
            <w:pPr>
              <w:jc w:val="center"/>
            </w:pPr>
            <w:r>
              <w:rPr>
                <w:rFonts w:ascii="宋体" w:hAnsi="宋体" w:eastAsia="宋体"/>
                <w:sz w:val="16"/>
              </w:rPr>
              <w:t>=161人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BE7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C3A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6B3A">
            <w:pPr>
              <w:jc w:val="center"/>
            </w:pPr>
          </w:p>
        </w:tc>
      </w:tr>
      <w:tr w14:paraId="2E2CB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087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E70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E9F1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C43FD">
            <w:pPr>
              <w:jc w:val="center"/>
            </w:pPr>
            <w:r>
              <w:rPr>
                <w:rFonts w:ascii="宋体" w:hAnsi="宋体" w:eastAsia="宋体"/>
                <w:sz w:val="16"/>
              </w:rPr>
              <w:t>购置办公用品批数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6CD3B">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575AC">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AD49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88D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D8ADC">
            <w:pPr>
              <w:jc w:val="center"/>
            </w:pPr>
          </w:p>
        </w:tc>
      </w:tr>
      <w:tr w14:paraId="219E58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DBC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497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D7E8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204A">
            <w:pPr>
              <w:jc w:val="center"/>
            </w:pPr>
            <w:r>
              <w:rPr>
                <w:rFonts w:ascii="宋体" w:hAnsi="宋体" w:eastAsia="宋体"/>
                <w:sz w:val="16"/>
              </w:rPr>
              <w:t>培训会议出勤率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B9D6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924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B2CF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71B0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6E86">
            <w:pPr>
              <w:jc w:val="center"/>
            </w:pPr>
          </w:p>
        </w:tc>
      </w:tr>
      <w:tr w14:paraId="692C79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23B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08B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5CE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B8E60">
            <w:pPr>
              <w:jc w:val="center"/>
            </w:pPr>
            <w:r>
              <w:rPr>
                <w:rFonts w:ascii="宋体" w:hAnsi="宋体" w:eastAsia="宋体"/>
                <w:sz w:val="16"/>
              </w:rPr>
              <w:t>会议培训完成率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CE6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A70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99D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FA8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A377">
            <w:pPr>
              <w:jc w:val="center"/>
            </w:pPr>
          </w:p>
        </w:tc>
      </w:tr>
      <w:tr w14:paraId="37382E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BF4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363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463C7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5778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B01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B9D52">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C8A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CBD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AB996">
            <w:pPr>
              <w:jc w:val="center"/>
            </w:pPr>
          </w:p>
        </w:tc>
      </w:tr>
      <w:tr w14:paraId="57289C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276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515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4E2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F3E1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7B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19F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CC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1FB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2B42A">
            <w:pPr>
              <w:jc w:val="center"/>
            </w:pPr>
          </w:p>
        </w:tc>
      </w:tr>
      <w:tr w14:paraId="45F19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D85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5395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55E7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56A79">
            <w:pPr>
              <w:jc w:val="center"/>
            </w:pPr>
            <w:r>
              <w:rPr>
                <w:rFonts w:ascii="宋体" w:hAnsi="宋体" w:eastAsia="宋体"/>
                <w:sz w:val="16"/>
              </w:rPr>
              <w:t>购置办公用品经费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1CFBC">
            <w:pPr>
              <w:jc w:val="center"/>
            </w:pPr>
            <w:r>
              <w:rPr>
                <w:rFonts w:ascii="宋体" w:hAnsi="宋体" w:eastAsia="宋体"/>
                <w:sz w:val="16"/>
              </w:rPr>
              <w:t>&lt;=2.74万元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6309B">
            <w:pPr>
              <w:jc w:val="center"/>
            </w:pPr>
            <w:r>
              <w:rPr>
                <w:rFonts w:ascii="宋体" w:hAnsi="宋体" w:eastAsia="宋体"/>
                <w:sz w:val="16"/>
              </w:rPr>
              <w:t>=2.74万元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9B8B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61E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A679A">
            <w:pPr>
              <w:jc w:val="center"/>
            </w:pPr>
          </w:p>
        </w:tc>
      </w:tr>
      <w:tr w14:paraId="552A25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52FB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85A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C01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13D64">
            <w:pPr>
              <w:jc w:val="center"/>
            </w:pPr>
            <w:r>
              <w:rPr>
                <w:rFonts w:ascii="宋体" w:hAnsi="宋体" w:eastAsia="宋体"/>
                <w:sz w:val="16"/>
              </w:rPr>
              <w:t>保障委员住宿就餐费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EA054">
            <w:pPr>
              <w:jc w:val="center"/>
            </w:pPr>
            <w:r>
              <w:rPr>
                <w:rFonts w:ascii="宋体" w:hAnsi="宋体" w:eastAsia="宋体"/>
                <w:sz w:val="16"/>
              </w:rPr>
              <w:t>&lt;=4.13万元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E5BDF">
            <w:pPr>
              <w:jc w:val="center"/>
            </w:pPr>
            <w:r>
              <w:rPr>
                <w:rFonts w:ascii="宋体" w:hAnsi="宋体" w:eastAsia="宋体"/>
                <w:sz w:val="16"/>
              </w:rPr>
              <w:t>=4.13万元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8377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92A5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C710">
            <w:pPr>
              <w:jc w:val="center"/>
            </w:pPr>
          </w:p>
        </w:tc>
      </w:tr>
      <w:tr w14:paraId="3265AE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8D6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F21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10B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FA47F">
            <w:pPr>
              <w:jc w:val="center"/>
            </w:pPr>
            <w:r>
              <w:rPr>
                <w:rFonts w:ascii="宋体" w:hAnsi="宋体" w:eastAsia="宋体"/>
                <w:sz w:val="16"/>
              </w:rPr>
              <w:t>政协委员误工补助费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27E9">
            <w:pPr>
              <w:jc w:val="center"/>
            </w:pPr>
            <w:r>
              <w:rPr>
                <w:rFonts w:ascii="宋体" w:hAnsi="宋体" w:eastAsia="宋体"/>
                <w:sz w:val="16"/>
              </w:rPr>
              <w:t>&lt;=0.49万元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2EE1D">
            <w:pPr>
              <w:jc w:val="center"/>
            </w:pPr>
            <w:r>
              <w:rPr>
                <w:rFonts w:ascii="宋体" w:hAnsi="宋体" w:eastAsia="宋体"/>
                <w:sz w:val="16"/>
              </w:rPr>
              <w:t>=0.49万元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74A7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871F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6E0E">
            <w:pPr>
              <w:jc w:val="center"/>
            </w:pPr>
          </w:p>
        </w:tc>
      </w:tr>
      <w:tr w14:paraId="24E50F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E67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955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056F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80C0">
            <w:pPr>
              <w:jc w:val="center"/>
            </w:pPr>
            <w:r>
              <w:rPr>
                <w:rFonts w:ascii="宋体" w:hAnsi="宋体" w:eastAsia="宋体"/>
                <w:sz w:val="16"/>
              </w:rPr>
              <w:t>提高参政议政影响力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F4E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E85D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300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EE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FCC49">
            <w:pPr>
              <w:jc w:val="center"/>
            </w:pPr>
          </w:p>
        </w:tc>
      </w:tr>
      <w:tr w14:paraId="1A49DF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A43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41B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29A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3EE4">
            <w:pPr>
              <w:jc w:val="center"/>
            </w:pPr>
            <w:r>
              <w:rPr>
                <w:rFonts w:ascii="宋体" w:hAnsi="宋体" w:eastAsia="宋体"/>
                <w:sz w:val="16"/>
              </w:rPr>
              <w:t>参会人员满意度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E4454">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E3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4C0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C23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98D52">
            <w:pPr>
              <w:jc w:val="center"/>
            </w:pPr>
          </w:p>
        </w:tc>
      </w:tr>
      <w:tr w14:paraId="41E87FD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51DAF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F8C5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51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92BB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AB7F52"/>
        </w:tc>
      </w:tr>
    </w:tbl>
    <w:p w14:paraId="6C892189">
      <w:r>
        <w:br w:type="page"/>
      </w:r>
    </w:p>
    <w:p w14:paraId="3DDDE732">
      <w:pPr>
        <w:spacing w:line="640" w:lineRule="exact"/>
        <w:ind w:firstLine="640"/>
        <w:jc w:val="both"/>
        <w:outlineLvl w:val="2"/>
      </w:pPr>
      <w:r>
        <w:rPr>
          <w:rFonts w:ascii="黑体" w:hAnsi="黑体" w:eastAsia="黑体"/>
          <w:sz w:val="32"/>
        </w:rPr>
        <w:t>十二、其他需说明的事项</w:t>
      </w:r>
    </w:p>
    <w:p w14:paraId="1B3D97A0">
      <w:pPr>
        <w:spacing w:line="580" w:lineRule="exact"/>
        <w:ind w:firstLine="640"/>
        <w:jc w:val="both"/>
      </w:pPr>
      <w:r>
        <w:rPr>
          <w:rFonts w:ascii="仿宋_GB2312" w:hAnsi="仿宋_GB2312" w:eastAsia="仿宋_GB2312"/>
          <w:b w:val="0"/>
          <w:sz w:val="32"/>
        </w:rPr>
        <w:t>本年本单位SM项目1个，全年预算数3.55万元，全年执行数3.55万元。</w:t>
      </w:r>
    </w:p>
    <w:p w14:paraId="62FE6B6F">
      <w:r>
        <w:br w:type="page"/>
      </w:r>
    </w:p>
    <w:p w14:paraId="7B55A6D5">
      <w:pPr>
        <w:spacing w:line="240" w:lineRule="auto"/>
        <w:jc w:val="center"/>
        <w:outlineLvl w:val="1"/>
      </w:pPr>
      <w:r>
        <w:rPr>
          <w:rFonts w:ascii="黑体" w:hAnsi="黑体" w:eastAsia="黑体"/>
          <w:sz w:val="32"/>
        </w:rPr>
        <w:t>第三部分 专业名词解释</w:t>
      </w:r>
    </w:p>
    <w:p w14:paraId="62384F7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76A7A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AEEAA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72DE1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6A722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8A347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C6EA8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93A03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D85E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1E0EB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54727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B560F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111B0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0E7D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4910BA">
      <w:r>
        <w:br w:type="page"/>
      </w:r>
    </w:p>
    <w:p w14:paraId="4DD9A25F">
      <w:pPr>
        <w:spacing w:line="240" w:lineRule="auto"/>
        <w:jc w:val="center"/>
        <w:outlineLvl w:val="1"/>
      </w:pPr>
      <w:r>
        <w:rPr>
          <w:rFonts w:ascii="黑体" w:hAnsi="黑体" w:eastAsia="黑体"/>
          <w:sz w:val="32"/>
        </w:rPr>
        <w:t>第四部分 部门决算报表（见附表）</w:t>
      </w:r>
    </w:p>
    <w:p w14:paraId="54E2C3E1">
      <w:pPr>
        <w:spacing w:line="240" w:lineRule="auto"/>
        <w:ind w:firstLine="640"/>
        <w:jc w:val="both"/>
      </w:pPr>
      <w:r>
        <w:rPr>
          <w:rFonts w:ascii="仿宋_GB2312" w:hAnsi="仿宋_GB2312" w:eastAsia="仿宋_GB2312"/>
          <w:b w:val="0"/>
          <w:sz w:val="32"/>
        </w:rPr>
        <w:t>一、《收入支出决算总表》</w:t>
      </w:r>
    </w:p>
    <w:p w14:paraId="67C2E1A7">
      <w:pPr>
        <w:spacing w:line="240" w:lineRule="auto"/>
        <w:ind w:firstLine="640"/>
        <w:jc w:val="both"/>
      </w:pPr>
      <w:r>
        <w:rPr>
          <w:rFonts w:ascii="仿宋_GB2312" w:hAnsi="仿宋_GB2312" w:eastAsia="仿宋_GB2312"/>
          <w:b w:val="0"/>
          <w:sz w:val="32"/>
        </w:rPr>
        <w:t>二、《收入决算表》</w:t>
      </w:r>
    </w:p>
    <w:p w14:paraId="280868A9">
      <w:pPr>
        <w:spacing w:line="240" w:lineRule="auto"/>
        <w:ind w:firstLine="640"/>
        <w:jc w:val="both"/>
      </w:pPr>
      <w:r>
        <w:rPr>
          <w:rFonts w:ascii="仿宋_GB2312" w:hAnsi="仿宋_GB2312" w:eastAsia="仿宋_GB2312"/>
          <w:b w:val="0"/>
          <w:sz w:val="32"/>
        </w:rPr>
        <w:t>三、《支出决算表》</w:t>
      </w:r>
    </w:p>
    <w:p w14:paraId="700A2C52">
      <w:pPr>
        <w:spacing w:line="240" w:lineRule="auto"/>
        <w:ind w:firstLine="640"/>
        <w:jc w:val="both"/>
      </w:pPr>
      <w:r>
        <w:rPr>
          <w:rFonts w:ascii="仿宋_GB2312" w:hAnsi="仿宋_GB2312" w:eastAsia="仿宋_GB2312"/>
          <w:b w:val="0"/>
          <w:sz w:val="32"/>
        </w:rPr>
        <w:t>四、《财政拨款收入支出决算总表》</w:t>
      </w:r>
    </w:p>
    <w:p w14:paraId="6BB75670">
      <w:pPr>
        <w:spacing w:line="240" w:lineRule="auto"/>
        <w:ind w:firstLine="640"/>
        <w:jc w:val="both"/>
      </w:pPr>
      <w:r>
        <w:rPr>
          <w:rFonts w:ascii="仿宋_GB2312" w:hAnsi="仿宋_GB2312" w:eastAsia="仿宋_GB2312"/>
          <w:b w:val="0"/>
          <w:sz w:val="32"/>
        </w:rPr>
        <w:t>五、《一般公共预算财政拨款支出决算表》</w:t>
      </w:r>
    </w:p>
    <w:p w14:paraId="2FD8F757">
      <w:pPr>
        <w:spacing w:line="240" w:lineRule="auto"/>
        <w:ind w:firstLine="640"/>
        <w:jc w:val="both"/>
      </w:pPr>
      <w:r>
        <w:rPr>
          <w:rFonts w:ascii="仿宋_GB2312" w:hAnsi="仿宋_GB2312" w:eastAsia="仿宋_GB2312"/>
          <w:b w:val="0"/>
          <w:sz w:val="32"/>
        </w:rPr>
        <w:t>六、《一般公共预算财政拨款基本支出决算表》</w:t>
      </w:r>
    </w:p>
    <w:p w14:paraId="16C2AAA9">
      <w:pPr>
        <w:spacing w:line="240" w:lineRule="auto"/>
        <w:ind w:firstLine="640"/>
        <w:jc w:val="both"/>
      </w:pPr>
      <w:r>
        <w:rPr>
          <w:rFonts w:ascii="仿宋_GB2312" w:hAnsi="仿宋_GB2312" w:eastAsia="仿宋_GB2312"/>
          <w:b w:val="0"/>
          <w:sz w:val="32"/>
        </w:rPr>
        <w:t>七、《政府性基金预算财政拨款收入支出决算表》</w:t>
      </w:r>
    </w:p>
    <w:p w14:paraId="5077006D">
      <w:pPr>
        <w:spacing w:line="240" w:lineRule="auto"/>
        <w:ind w:firstLine="640"/>
        <w:jc w:val="both"/>
      </w:pPr>
      <w:r>
        <w:rPr>
          <w:rFonts w:ascii="仿宋_GB2312" w:hAnsi="仿宋_GB2312" w:eastAsia="仿宋_GB2312"/>
          <w:b w:val="0"/>
          <w:sz w:val="32"/>
        </w:rPr>
        <w:t>八、《国有资本经营预算财政拨款收入支出决算表》</w:t>
      </w:r>
    </w:p>
    <w:p w14:paraId="18E1EDF3">
      <w:pPr>
        <w:spacing w:line="240" w:lineRule="auto"/>
        <w:ind w:firstLine="640"/>
        <w:jc w:val="both"/>
      </w:pPr>
      <w:r>
        <w:rPr>
          <w:rFonts w:ascii="仿宋_GB2312" w:hAnsi="仿宋_GB2312" w:eastAsia="仿宋_GB2312"/>
          <w:b w:val="0"/>
          <w:sz w:val="32"/>
        </w:rPr>
        <w:t>九、《财政拨款“三公”经费支出决算表》</w:t>
      </w:r>
    </w:p>
    <w:p w14:paraId="046279A6">
      <w:pPr>
        <w:spacing w:line="240" w:lineRule="auto"/>
        <w:ind w:firstLine="640"/>
        <w:jc w:val="both"/>
      </w:pPr>
    </w:p>
    <w:p w14:paraId="650BB3BF">
      <w:pPr>
        <w:spacing w:line="240" w:lineRule="auto"/>
        <w:ind w:firstLine="640"/>
        <w:jc w:val="both"/>
      </w:pPr>
    </w:p>
    <w:p w14:paraId="5C8EF789">
      <w:pPr>
        <w:spacing w:line="240" w:lineRule="auto"/>
        <w:ind w:firstLine="640"/>
        <w:jc w:val="both"/>
      </w:pPr>
    </w:p>
    <w:p w14:paraId="3E957129">
      <w:pPr>
        <w:spacing w:line="240" w:lineRule="auto"/>
        <w:ind w:firstLine="640"/>
        <w:jc w:val="both"/>
      </w:pPr>
    </w:p>
    <w:p w14:paraId="584A856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830FCE0-8DB9-4F8D-A138-B3CB4047F26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BA409D0-782E-4EE4-952E-40D0A4158DB6}"/>
  </w:font>
  <w:font w:name="仿宋_GB2312">
    <w:panose1 w:val="02010609030101010101"/>
    <w:charset w:val="86"/>
    <w:family w:val="modern"/>
    <w:pitch w:val="default"/>
    <w:sig w:usb0="00000001" w:usb1="080E0000" w:usb2="00000000" w:usb3="00000000" w:csb0="00040000" w:csb1="00000000"/>
    <w:embedRegular r:id="rId3" w:fontKey="{951A0827-5334-4CFC-9F98-CA2207D2434F}"/>
  </w:font>
  <w:font w:name="楷体_GB2312">
    <w:panose1 w:val="02010609030101010101"/>
    <w:charset w:val="86"/>
    <w:family w:val="auto"/>
    <w:pitch w:val="default"/>
    <w:sig w:usb0="00000001" w:usb1="080E0000" w:usb2="00000000" w:usb3="00000000" w:csb0="00040000" w:csb1="00000000"/>
    <w:embedRegular r:id="rId4" w:fontKey="{341AE463-4F6C-4F2E-8FFC-49525B0FA88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C8831F6"/>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211E3A"/>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5960</Words>
  <Characters>6785</Characters>
  <Lines>0</Lines>
  <Paragraphs>0</Paragraphs>
  <TotalTime>5</TotalTime>
  <ScaleCrop>false</ScaleCrop>
  <LinksUpToDate>false</LinksUpToDate>
  <CharactersWithSpaces>6793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2025-09-18T04:22:13Z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