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BEA54A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中共洛浦县纪律检查委员会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951024">
      <w:r>
        <w:br w:type="page"/>
      </w:r>
    </w:p>
    <w:p w14:paraId="20A403EE">
      <w:pPr>
        <w:spacing w:line="640" w:lineRule="exact"/>
        <w:jc w:val="center"/>
        <w:outlineLvl w:val="1"/>
      </w:pPr>
      <w:r>
        <w:rPr>
          <w:rFonts w:ascii="黑体" w:hAnsi="黑体" w:eastAsia="黑体"/>
          <w:sz w:val="32"/>
        </w:rPr>
        <w:t>第一部分 单位概况</w:t>
      </w:r>
    </w:p>
    <w:p w14:paraId="151B4FA7">
      <w:pPr>
        <w:spacing w:line="640" w:lineRule="exact"/>
        <w:ind w:firstLine="640"/>
        <w:jc w:val="both"/>
        <w:outlineLvl w:val="2"/>
      </w:pPr>
      <w:r>
        <w:rPr>
          <w:rFonts w:ascii="黑体" w:hAnsi="黑体" w:eastAsia="黑体"/>
          <w:sz w:val="32"/>
        </w:rPr>
        <w:t>一、主要职能</w:t>
      </w:r>
    </w:p>
    <w:p w14:paraId="46D3948B">
      <w:pPr>
        <w:spacing w:line="580" w:lineRule="exact"/>
        <w:ind w:firstLine="640"/>
        <w:jc w:val="both"/>
      </w:pPr>
      <w:r>
        <w:rPr>
          <w:rFonts w:ascii="仿宋_GB2312" w:hAnsi="仿宋_GB2312" w:eastAsia="仿宋_GB2312"/>
          <w:sz w:val="32"/>
        </w:rPr>
        <w:t>（1）负责党的纪律检查工作。贯彻落实党中央、中央纪委、自治区党委、自治区纪委、地委、地区纪委和县委关于纪律检查工作的决定，维护党的章程和其他党内法规，检查党的路线方针政策和决议的执行情况，协助县委推进全面从严治党、加强党风建设和组织协调反腐败工作。</w:t>
      </w:r>
    </w:p>
    <w:p w14:paraId="7A638189">
      <w:pPr>
        <w:spacing w:line="580" w:lineRule="exact"/>
        <w:ind w:firstLine="640"/>
        <w:jc w:val="both"/>
      </w:pPr>
      <w:r>
        <w:rPr>
          <w:rFonts w:ascii="仿宋_GB2312" w:hAnsi="仿宋_GB2312" w:eastAsia="仿宋_GB2312"/>
          <w:sz w:val="32"/>
        </w:rPr>
        <w:t>（2）依照党和</w:t>
      </w:r>
      <w:r>
        <w:rPr>
          <w:rFonts w:hint="eastAsia" w:ascii="仿宋_GB2312" w:hAnsi="仿宋_GB2312" w:eastAsia="仿宋_GB2312"/>
          <w:sz w:val="32"/>
          <w:lang w:eastAsia="zh-CN"/>
        </w:rPr>
        <w:t>党的章程和其他党内法规</w:t>
      </w:r>
      <w:r>
        <w:rPr>
          <w:rFonts w:ascii="仿宋_GB2312" w:hAnsi="仿宋_GB2312" w:eastAsia="仿宋_GB2312"/>
          <w:sz w:val="32"/>
        </w:rPr>
        <w:t>履行监督、执纪、问责职责。负责经常对党员进行遵守纪律的教育，作出关于维护党纪的决定；对县委工作机关、县委批准设立的党组（党委），乡镇（街道）党（工）委、纪（工）委等党的组织和县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w:t>
      </w:r>
      <w:r>
        <w:rPr>
          <w:rFonts w:hint="eastAsia" w:ascii="仿宋_GB2312" w:hAnsi="仿宋_GB2312" w:eastAsia="仿宋_GB2312"/>
          <w:sz w:val="32"/>
          <w:lang w:eastAsia="zh-CN"/>
        </w:rPr>
        <w:t>保障党员权利</w:t>
      </w:r>
      <w:r>
        <w:rPr>
          <w:rFonts w:ascii="仿宋_GB2312" w:hAnsi="仿宋_GB2312" w:eastAsia="仿宋_GB2312"/>
          <w:sz w:val="32"/>
        </w:rPr>
        <w:t>。</w:t>
      </w:r>
    </w:p>
    <w:p w14:paraId="380DA12E">
      <w:pPr>
        <w:spacing w:line="580" w:lineRule="exact"/>
        <w:ind w:firstLine="640"/>
        <w:jc w:val="both"/>
      </w:pPr>
      <w:r>
        <w:rPr>
          <w:rFonts w:ascii="仿宋_GB2312" w:hAnsi="仿宋_GB2312" w:eastAsia="仿宋_GB2312"/>
          <w:sz w:val="32"/>
        </w:rPr>
        <w:t>（3）在县委领导下组织开展巡察工作。配合县委巡察工作领导小组指导县委工作机关、政府工作部门以及乡镇（街道）巡察工作。</w:t>
      </w:r>
    </w:p>
    <w:p w14:paraId="006A6798">
      <w:pPr>
        <w:spacing w:line="580" w:lineRule="exact"/>
        <w:ind w:firstLine="640"/>
        <w:jc w:val="both"/>
      </w:pPr>
      <w:r>
        <w:rPr>
          <w:rFonts w:ascii="仿宋_GB2312" w:hAnsi="仿宋_GB2312" w:eastAsia="仿宋_GB2312"/>
          <w:sz w:val="32"/>
        </w:rPr>
        <w:t>（4）负责全县监察工作。贯彻落实党中央、国家监委、自治区党委、自治区监委、地委、地区监委和县委关于监察工作的决定，维护宪法法律，依法对县委管理的行使公权力的公职人员进行监察，调查职务违法和职务犯罪，开展廉政建设和反腐败工作。</w:t>
      </w:r>
    </w:p>
    <w:p w14:paraId="1C5EDD6F">
      <w:pPr>
        <w:spacing w:line="580" w:lineRule="exact"/>
        <w:ind w:firstLine="640"/>
        <w:jc w:val="both"/>
      </w:pPr>
      <w:r>
        <w:rPr>
          <w:rFonts w:ascii="仿宋_GB2312" w:hAnsi="仿宋_GB2312" w:eastAsia="仿宋_GB2312"/>
          <w:sz w:val="32"/>
        </w:rPr>
        <w:t>（5）依照法律规定履行监督、调查、处置职责。对县委管理的行使公权力的公职人员落实党中央治疆方略、聚焦维护社会稳定和长治久安总目标，维护祖国统一，反对民族分裂情况进行监督检查；推进开展廉政教育，对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14:paraId="24AD263C">
      <w:pPr>
        <w:spacing w:line="580" w:lineRule="exact"/>
        <w:ind w:firstLine="640"/>
        <w:jc w:val="both"/>
      </w:pPr>
      <w:r>
        <w:rPr>
          <w:rFonts w:ascii="仿宋_GB2312" w:hAnsi="仿宋_GB2312" w:eastAsia="仿宋_GB2312"/>
          <w:sz w:val="32"/>
        </w:rPr>
        <w:t>（6）负责组织协调县委全面从严治党、党风廉政建设和反腐败宣传教育工作。</w:t>
      </w:r>
    </w:p>
    <w:p w14:paraId="7F33A245">
      <w:pPr>
        <w:spacing w:line="580" w:lineRule="exact"/>
        <w:ind w:firstLine="640"/>
        <w:jc w:val="both"/>
      </w:pPr>
      <w:r>
        <w:rPr>
          <w:rFonts w:ascii="仿宋_GB2312" w:hAnsi="仿宋_GB2312" w:eastAsia="仿宋_GB2312"/>
          <w:sz w:val="32"/>
        </w:rPr>
        <w:t>（7）负责综合分析县委全面从严治党、党风廉政建设和反腐败工作情况，对纪检监察工作重要理论及实践问题进行调查研究。贯彻落实纪检监察法规制度、规章和规范性文件。</w:t>
      </w:r>
    </w:p>
    <w:p w14:paraId="3730BB44">
      <w:pPr>
        <w:spacing w:line="580" w:lineRule="exact"/>
        <w:ind w:firstLine="640"/>
        <w:jc w:val="both"/>
      </w:pPr>
      <w:r>
        <w:rPr>
          <w:rFonts w:ascii="仿宋_GB2312" w:hAnsi="仿宋_GB2312" w:eastAsia="仿宋_GB2312"/>
          <w:sz w:val="32"/>
        </w:rPr>
        <w:t>（8）负责配合上级纪委监委加强对反腐败追逃追赃和防逃工作的组织协调，督促有关部门做好相关工作。</w:t>
      </w:r>
    </w:p>
    <w:p w14:paraId="232BF1B7">
      <w:pPr>
        <w:spacing w:line="580" w:lineRule="exact"/>
        <w:ind w:firstLine="640"/>
        <w:jc w:val="both"/>
      </w:pPr>
      <w:r>
        <w:rPr>
          <w:rFonts w:ascii="仿宋_GB2312" w:hAnsi="仿宋_GB2312" w:eastAsia="仿宋_GB2312"/>
          <w:sz w:val="32"/>
        </w:rPr>
        <w:t>（9）根据干部管理权限，负责县纪检监察系统领导班子建设、干部队伍建设和组织建设的综合规划、政策研究、制度建设和业务指导；会同有关方面做好洛浦县纪委监委派驻（派出）机构领导班子建设有关工作；组织和指导纪检监察系统干部教育培训工作等。</w:t>
      </w:r>
    </w:p>
    <w:p w14:paraId="51CBD60B">
      <w:pPr>
        <w:spacing w:line="580" w:lineRule="exact"/>
        <w:ind w:firstLine="640"/>
        <w:jc w:val="both"/>
      </w:pPr>
      <w:r>
        <w:rPr>
          <w:rFonts w:ascii="仿宋_GB2312" w:hAnsi="仿宋_GB2312" w:eastAsia="仿宋_GB2312"/>
          <w:sz w:val="32"/>
        </w:rPr>
        <w:t>（10）完成县委交办的其他工作。</w:t>
      </w:r>
    </w:p>
    <w:p w14:paraId="03A9C08F">
      <w:pPr>
        <w:spacing w:line="640" w:lineRule="exact"/>
        <w:ind w:firstLine="640"/>
        <w:jc w:val="both"/>
        <w:outlineLvl w:val="2"/>
      </w:pPr>
      <w:r>
        <w:rPr>
          <w:rFonts w:ascii="黑体" w:hAnsi="黑体" w:eastAsia="黑体"/>
          <w:sz w:val="32"/>
        </w:rPr>
        <w:t>二、机构设置及人员情况</w:t>
      </w:r>
    </w:p>
    <w:p w14:paraId="504C0460">
      <w:pPr>
        <w:spacing w:line="580" w:lineRule="exact"/>
        <w:ind w:firstLine="640"/>
        <w:jc w:val="both"/>
      </w:pPr>
      <w:r>
        <w:rPr>
          <w:rFonts w:ascii="仿宋_GB2312" w:hAnsi="仿宋_GB2312" w:eastAsia="仿宋_GB2312"/>
          <w:sz w:val="32"/>
        </w:rPr>
        <w:t>中共洛浦县纪律检查委员会2024年度，实有人数138人，其中：在职人员127人，增加13人；离休人员0人，增加0人；退休人员11人,增加2人。</w:t>
      </w:r>
    </w:p>
    <w:p w14:paraId="4974E4F9">
      <w:pPr>
        <w:spacing w:line="580" w:lineRule="exact"/>
        <w:ind w:firstLine="640"/>
        <w:jc w:val="both"/>
      </w:pPr>
      <w:r>
        <w:rPr>
          <w:rFonts w:ascii="仿宋_GB2312" w:hAnsi="仿宋_GB2312" w:eastAsia="仿宋_GB2312"/>
          <w:sz w:val="32"/>
        </w:rPr>
        <w:t>中共洛浦县纪律检查委员会无下属预算单位，下设11个科室，分别是：办公室、组宣部、党风政风室、信访室、第一纪检监察室、第二纪检监察室、第三纪检监察室、第四纪检监察室、案件监督管理室、案件审理室、审查调查中心。</w:t>
      </w:r>
    </w:p>
    <w:p w14:paraId="27DB1F05">
      <w:r>
        <w:br w:type="page"/>
      </w:r>
    </w:p>
    <w:p w14:paraId="1C7C3E1C">
      <w:pPr>
        <w:spacing w:line="240" w:lineRule="auto"/>
        <w:jc w:val="center"/>
        <w:outlineLvl w:val="1"/>
      </w:pPr>
      <w:r>
        <w:rPr>
          <w:rFonts w:ascii="黑体" w:hAnsi="黑体" w:eastAsia="黑体"/>
          <w:sz w:val="32"/>
        </w:rPr>
        <w:t>第二部分 部门决算情况说明</w:t>
      </w:r>
    </w:p>
    <w:p w14:paraId="12EAF382">
      <w:pPr>
        <w:spacing w:line="640" w:lineRule="exact"/>
        <w:ind w:firstLine="640"/>
        <w:jc w:val="both"/>
        <w:outlineLvl w:val="2"/>
      </w:pPr>
      <w:r>
        <w:rPr>
          <w:rFonts w:ascii="黑体" w:hAnsi="黑体" w:eastAsia="黑体"/>
          <w:sz w:val="32"/>
        </w:rPr>
        <w:t>一、收入支出决算总体情况说明</w:t>
      </w:r>
    </w:p>
    <w:p w14:paraId="4FEAC688">
      <w:pPr>
        <w:spacing w:line="580" w:lineRule="exact"/>
        <w:ind w:firstLine="640"/>
        <w:jc w:val="both"/>
      </w:pPr>
      <w:r>
        <w:rPr>
          <w:rFonts w:ascii="仿宋_GB2312" w:hAnsi="仿宋_GB2312" w:eastAsia="仿宋_GB2312"/>
          <w:b/>
          <w:sz w:val="32"/>
        </w:rPr>
        <w:t>2024年度收入总计2,678.96万元，</w:t>
      </w:r>
      <w:r>
        <w:rPr>
          <w:rFonts w:ascii="仿宋_GB2312" w:hAnsi="仿宋_GB2312" w:eastAsia="仿宋_GB2312"/>
          <w:b w:val="0"/>
          <w:sz w:val="32"/>
        </w:rPr>
        <w:t>其中：本年收入合计2,676.03万元，使用非财政拨款结余（含专用结余）0.00万元，年初结转和结余2.94万元。</w:t>
      </w:r>
    </w:p>
    <w:p w14:paraId="5B76A28B">
      <w:pPr>
        <w:spacing w:line="580" w:lineRule="exact"/>
        <w:ind w:firstLine="640"/>
        <w:jc w:val="both"/>
      </w:pPr>
      <w:r>
        <w:rPr>
          <w:rFonts w:ascii="仿宋_GB2312" w:hAnsi="仿宋_GB2312" w:eastAsia="仿宋_GB2312"/>
          <w:b/>
          <w:sz w:val="32"/>
        </w:rPr>
        <w:t>2024年度支出总计2,678.96万元，</w:t>
      </w:r>
      <w:r>
        <w:rPr>
          <w:rFonts w:ascii="仿宋_GB2312" w:hAnsi="仿宋_GB2312" w:eastAsia="仿宋_GB2312"/>
          <w:b w:val="0"/>
          <w:sz w:val="32"/>
        </w:rPr>
        <w:t>其中：本年支出合计2,678.96万元，结余分配0.00万元，年末结转和结余0.00万元。</w:t>
      </w:r>
    </w:p>
    <w:p w14:paraId="139A916C">
      <w:pPr>
        <w:spacing w:line="580" w:lineRule="exact"/>
        <w:ind w:firstLine="640"/>
        <w:jc w:val="both"/>
      </w:pPr>
      <w:r>
        <w:rPr>
          <w:rFonts w:ascii="仿宋_GB2312" w:hAnsi="仿宋_GB2312" w:eastAsia="仿宋_GB2312"/>
          <w:b w:val="0"/>
          <w:sz w:val="32"/>
        </w:rPr>
        <w:t>收入支出总体与上年相比，增加244.71万元，增长10.05%，主要原因是：1.本年在职人员增加，在职人员工资调增、社保、公积金基数调增，人员经费增加。2.监察信息员经费较上年增加。</w:t>
      </w:r>
    </w:p>
    <w:p w14:paraId="5E0F2619">
      <w:pPr>
        <w:spacing w:line="640" w:lineRule="exact"/>
        <w:ind w:firstLine="640"/>
        <w:jc w:val="both"/>
        <w:outlineLvl w:val="2"/>
      </w:pPr>
      <w:r>
        <w:rPr>
          <w:rFonts w:ascii="黑体" w:hAnsi="黑体" w:eastAsia="黑体"/>
          <w:sz w:val="32"/>
        </w:rPr>
        <w:t>二、收入决算情况说明</w:t>
      </w:r>
    </w:p>
    <w:p w14:paraId="552DC72D">
      <w:pPr>
        <w:spacing w:line="580" w:lineRule="exact"/>
        <w:ind w:firstLine="640"/>
        <w:jc w:val="both"/>
      </w:pPr>
      <w:r>
        <w:rPr>
          <w:rFonts w:ascii="仿宋_GB2312" w:hAnsi="仿宋_GB2312" w:eastAsia="仿宋_GB2312"/>
          <w:b/>
          <w:sz w:val="32"/>
        </w:rPr>
        <w:t>本年收入2,676.03万元，</w:t>
      </w:r>
      <w:r>
        <w:rPr>
          <w:rFonts w:ascii="仿宋_GB2312" w:hAnsi="仿宋_GB2312" w:eastAsia="仿宋_GB2312"/>
          <w:b w:val="0"/>
          <w:sz w:val="32"/>
        </w:rPr>
        <w:t>其中：财政拨款收入2,675.90万元，占100.00%；上级补助收入0.00万元，占0.00%；事业收入0.00万元，占0.00%；经营收入0.00万元，占0.00%；附属单位上缴收入0.00万元，占0.00%；其他收入0.13万元，占0.005%。</w:t>
      </w:r>
    </w:p>
    <w:p w14:paraId="4E86C2C1">
      <w:pPr>
        <w:spacing w:line="640" w:lineRule="exact"/>
        <w:ind w:firstLine="640"/>
        <w:jc w:val="both"/>
        <w:outlineLvl w:val="2"/>
      </w:pPr>
      <w:r>
        <w:rPr>
          <w:rFonts w:ascii="黑体" w:hAnsi="黑体" w:eastAsia="黑体"/>
          <w:sz w:val="32"/>
        </w:rPr>
        <w:t>三、支出决算情况说明</w:t>
      </w:r>
    </w:p>
    <w:p w14:paraId="205F8823">
      <w:pPr>
        <w:spacing w:line="580" w:lineRule="exact"/>
        <w:ind w:firstLine="640"/>
        <w:jc w:val="both"/>
      </w:pPr>
      <w:r>
        <w:rPr>
          <w:rFonts w:ascii="仿宋_GB2312" w:hAnsi="仿宋_GB2312" w:eastAsia="仿宋_GB2312"/>
          <w:b/>
          <w:sz w:val="32"/>
        </w:rPr>
        <w:t>本年支出2,678.96万元，</w:t>
      </w:r>
      <w:r>
        <w:rPr>
          <w:rFonts w:ascii="仿宋_GB2312" w:hAnsi="仿宋_GB2312" w:eastAsia="仿宋_GB2312"/>
          <w:b w:val="0"/>
          <w:sz w:val="32"/>
        </w:rPr>
        <w:t>其中：基本支出2,447.80万元，占91.37%；项目支出231.16万元，占8.63%；上缴上级支出0.00万元，占0.00%；经营支出0.00万元，占0.00%；对附属单位补助支出0.00万元，占0.00%。</w:t>
      </w:r>
    </w:p>
    <w:p w14:paraId="7D7607A5">
      <w:pPr>
        <w:spacing w:line="640" w:lineRule="exact"/>
        <w:ind w:firstLine="640"/>
        <w:jc w:val="both"/>
        <w:outlineLvl w:val="2"/>
      </w:pPr>
      <w:r>
        <w:rPr>
          <w:rFonts w:ascii="黑体" w:hAnsi="黑体" w:eastAsia="黑体"/>
          <w:sz w:val="32"/>
        </w:rPr>
        <w:t>四、财政拨款收入支出决算总体情况说明</w:t>
      </w:r>
    </w:p>
    <w:p w14:paraId="10B5E96E">
      <w:pPr>
        <w:spacing w:line="580" w:lineRule="exact"/>
        <w:ind w:firstLine="640"/>
        <w:jc w:val="both"/>
      </w:pPr>
      <w:r>
        <w:rPr>
          <w:rFonts w:ascii="仿宋_GB2312" w:hAnsi="仿宋_GB2312" w:eastAsia="仿宋_GB2312"/>
          <w:b/>
          <w:sz w:val="32"/>
        </w:rPr>
        <w:t>2024年度财政拨款收入总计2,675.90万元，</w:t>
      </w:r>
      <w:r>
        <w:rPr>
          <w:rFonts w:ascii="仿宋_GB2312" w:hAnsi="仿宋_GB2312" w:eastAsia="仿宋_GB2312"/>
          <w:b w:val="0"/>
          <w:sz w:val="32"/>
        </w:rPr>
        <w:t>其中：年初财政拨款结转和结余0.00万元，本年财政拨款收入2,675.90万元。</w:t>
      </w:r>
      <w:r>
        <w:rPr>
          <w:rFonts w:ascii="仿宋_GB2312" w:hAnsi="仿宋_GB2312" w:eastAsia="仿宋_GB2312"/>
          <w:b/>
          <w:sz w:val="32"/>
        </w:rPr>
        <w:t>财政拨款支出总计2,675.90万元，</w:t>
      </w:r>
      <w:r>
        <w:rPr>
          <w:rFonts w:ascii="仿宋_GB2312" w:hAnsi="仿宋_GB2312" w:eastAsia="仿宋_GB2312"/>
          <w:b w:val="0"/>
          <w:sz w:val="32"/>
        </w:rPr>
        <w:t>其中：年末财政拨款结转和结余0.00万元，本年财政拨款支出2,675.90万元。</w:t>
      </w:r>
    </w:p>
    <w:p w14:paraId="70CD07D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增加248.73万元，增长10.25%，主要原因是：1.本年在职人员增加，在职人员工资调增、社保、公积金基数调增，人员经费增加。2.监察信息员经费较上年增加。</w:t>
      </w:r>
      <w:r>
        <w:rPr>
          <w:rFonts w:ascii="仿宋_GB2312" w:hAnsi="仿宋_GB2312" w:eastAsia="仿宋_GB2312"/>
          <w:b/>
          <w:sz w:val="32"/>
        </w:rPr>
        <w:t>与年初预算相比，</w:t>
      </w:r>
      <w:r>
        <w:rPr>
          <w:rFonts w:ascii="仿宋_GB2312" w:hAnsi="仿宋_GB2312" w:eastAsia="仿宋_GB2312"/>
          <w:b w:val="0"/>
          <w:sz w:val="32"/>
        </w:rPr>
        <w:t>年初预算数2,310.35万元，决算数2,675.90万元，预决算差异率15.82%，主要原因是：本年在职人员增加，年中追加人员经费及人员工资、社保、公积金基数调增部分资金，导致预决算存在差异。</w:t>
      </w:r>
    </w:p>
    <w:p w14:paraId="58606AC5">
      <w:pPr>
        <w:spacing w:line="640" w:lineRule="exact"/>
        <w:ind w:firstLine="640"/>
        <w:jc w:val="both"/>
        <w:outlineLvl w:val="2"/>
      </w:pPr>
      <w:r>
        <w:rPr>
          <w:rFonts w:ascii="黑体" w:hAnsi="黑体" w:eastAsia="黑体"/>
          <w:sz w:val="32"/>
        </w:rPr>
        <w:t>五、一般公共预算财政拨款支出决算情况说明</w:t>
      </w:r>
    </w:p>
    <w:p w14:paraId="5B04CDF7">
      <w:pPr>
        <w:spacing w:line="640" w:lineRule="exact"/>
        <w:ind w:firstLine="640"/>
        <w:jc w:val="both"/>
        <w:outlineLvl w:val="3"/>
      </w:pPr>
      <w:r>
        <w:rPr>
          <w:rFonts w:ascii="楷体_GB2312" w:hAnsi="楷体_GB2312" w:eastAsia="楷体_GB2312"/>
          <w:b/>
          <w:sz w:val="32"/>
        </w:rPr>
        <w:t>（一）一般公共预算财政拨款支出决算总体情况</w:t>
      </w:r>
    </w:p>
    <w:p w14:paraId="0548AAAF">
      <w:pPr>
        <w:spacing w:line="580" w:lineRule="exact"/>
        <w:ind w:firstLine="640"/>
        <w:jc w:val="both"/>
      </w:pPr>
      <w:r>
        <w:rPr>
          <w:rFonts w:ascii="仿宋_GB2312" w:hAnsi="仿宋_GB2312" w:eastAsia="仿宋_GB2312"/>
          <w:b/>
          <w:sz w:val="32"/>
        </w:rPr>
        <w:t>2024年度一般公共预算财政拨款支出2,666.31万元，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增加239.14万元，增长9.85%，主要原因是：1.本年在职人员增加，在职人员工资调增、社保、公积金基数调增，人员经费增加。2.监察信息员经费较上年增加。</w:t>
      </w:r>
      <w:r>
        <w:rPr>
          <w:rFonts w:ascii="仿宋_GB2312" w:hAnsi="仿宋_GB2312" w:eastAsia="仿宋_GB2312"/>
          <w:b/>
          <w:sz w:val="32"/>
        </w:rPr>
        <w:t>与年初预算相比,</w:t>
      </w:r>
      <w:r>
        <w:rPr>
          <w:rFonts w:ascii="仿宋_GB2312" w:hAnsi="仿宋_GB2312" w:eastAsia="仿宋_GB2312"/>
          <w:b w:val="0"/>
          <w:sz w:val="32"/>
        </w:rPr>
        <w:t>年初预算数2,310.35万元，决算数2,666.31万元，预决算差异率15.41%，主要原因是：本年在职人员增加，年中追加人员经费及人员工资、社保、公积金基数调增部分资金，年中追加监察信息员补助项目资金，导致预决算存在差异。</w:t>
      </w:r>
    </w:p>
    <w:p w14:paraId="03A1BC36">
      <w:pPr>
        <w:spacing w:line="640" w:lineRule="exact"/>
        <w:ind w:firstLine="640"/>
        <w:jc w:val="both"/>
        <w:outlineLvl w:val="3"/>
      </w:pPr>
      <w:r>
        <w:rPr>
          <w:rFonts w:ascii="楷体_GB2312" w:hAnsi="楷体_GB2312" w:eastAsia="楷体_GB2312"/>
          <w:b/>
          <w:sz w:val="32"/>
        </w:rPr>
        <w:t>（二）一般公共预算财政拨款支出决算结构情况</w:t>
      </w:r>
    </w:p>
    <w:p w14:paraId="3714D33F">
      <w:pPr>
        <w:spacing w:line="580" w:lineRule="exact"/>
        <w:ind w:firstLine="640"/>
        <w:jc w:val="both"/>
      </w:pPr>
      <w:r>
        <w:rPr>
          <w:rFonts w:ascii="仿宋_GB2312" w:hAnsi="仿宋_GB2312" w:eastAsia="仿宋_GB2312"/>
          <w:b w:val="0"/>
          <w:sz w:val="32"/>
        </w:rPr>
        <w:t>1.一般公共服务支出(类)2,015.95万元,占75.61%。</w:t>
      </w:r>
    </w:p>
    <w:p w14:paraId="1D948661">
      <w:pPr>
        <w:spacing w:line="580" w:lineRule="exact"/>
        <w:ind w:firstLine="640"/>
        <w:jc w:val="both"/>
      </w:pPr>
      <w:r>
        <w:rPr>
          <w:rFonts w:ascii="仿宋_GB2312" w:hAnsi="仿宋_GB2312" w:eastAsia="仿宋_GB2312"/>
          <w:b w:val="0"/>
          <w:sz w:val="32"/>
        </w:rPr>
        <w:t>2.科学技术支出(类)61.27万元,占2.30%。</w:t>
      </w:r>
    </w:p>
    <w:p w14:paraId="088A0E03">
      <w:pPr>
        <w:spacing w:line="580" w:lineRule="exact"/>
        <w:ind w:firstLine="640"/>
        <w:jc w:val="both"/>
      </w:pPr>
      <w:r>
        <w:rPr>
          <w:rFonts w:ascii="仿宋_GB2312" w:hAnsi="仿宋_GB2312" w:eastAsia="仿宋_GB2312"/>
          <w:b w:val="0"/>
          <w:sz w:val="32"/>
        </w:rPr>
        <w:t>3.社会保障和就业支出(类)263.66万元,占9.89%。</w:t>
      </w:r>
    </w:p>
    <w:p w14:paraId="3CC645E5">
      <w:pPr>
        <w:spacing w:line="580" w:lineRule="exact"/>
        <w:ind w:firstLine="640"/>
        <w:jc w:val="both"/>
      </w:pPr>
      <w:r>
        <w:rPr>
          <w:rFonts w:ascii="仿宋_GB2312" w:hAnsi="仿宋_GB2312" w:eastAsia="仿宋_GB2312"/>
          <w:b w:val="0"/>
          <w:sz w:val="32"/>
        </w:rPr>
        <w:t>4.卫生健康支出(类)144.55万元,占5.42%。</w:t>
      </w:r>
    </w:p>
    <w:p w14:paraId="178FB0F5">
      <w:pPr>
        <w:spacing w:line="580" w:lineRule="exact"/>
        <w:ind w:firstLine="640"/>
        <w:jc w:val="both"/>
      </w:pPr>
      <w:r>
        <w:rPr>
          <w:rFonts w:ascii="仿宋_GB2312" w:hAnsi="仿宋_GB2312" w:eastAsia="仿宋_GB2312"/>
          <w:b w:val="0"/>
          <w:sz w:val="32"/>
        </w:rPr>
        <w:t>5.住房保障支出(类)174.18万元,占6.53%。</w:t>
      </w:r>
    </w:p>
    <w:p w14:paraId="4AE9025F">
      <w:pPr>
        <w:spacing w:line="580" w:lineRule="exact"/>
        <w:ind w:firstLine="640"/>
        <w:jc w:val="both"/>
      </w:pPr>
      <w:r>
        <w:rPr>
          <w:rFonts w:ascii="仿宋_GB2312" w:hAnsi="仿宋_GB2312" w:eastAsia="仿宋_GB2312"/>
          <w:b w:val="0"/>
          <w:sz w:val="32"/>
        </w:rPr>
        <w:t>6.其他支出(类)6.70万元,占0.25%。</w:t>
      </w:r>
    </w:p>
    <w:p w14:paraId="62C7FF02">
      <w:pPr>
        <w:spacing w:line="640" w:lineRule="exact"/>
        <w:ind w:firstLine="640"/>
        <w:jc w:val="both"/>
        <w:outlineLvl w:val="3"/>
      </w:pPr>
      <w:r>
        <w:rPr>
          <w:rFonts w:ascii="楷体_GB2312" w:hAnsi="楷体_GB2312" w:eastAsia="楷体_GB2312"/>
          <w:b/>
          <w:sz w:val="32"/>
        </w:rPr>
        <w:t>（三）一般公共预算财政拨款支出决算具体情况</w:t>
      </w:r>
    </w:p>
    <w:p w14:paraId="3A61C10F">
      <w:pPr>
        <w:spacing w:line="580" w:lineRule="exact"/>
        <w:ind w:firstLine="640"/>
        <w:jc w:val="both"/>
      </w:pPr>
      <w:r>
        <w:rPr>
          <w:rFonts w:ascii="仿宋_GB2312" w:hAnsi="仿宋_GB2312" w:eastAsia="仿宋_GB2312"/>
          <w:b w:val="0"/>
          <w:sz w:val="32"/>
        </w:rPr>
        <w:t>1.一般公共服务支出(类)纪检监察事务(款)行政运行(项):支出决算数为1,863.33万元，比上年决算减少198.00万元，下降9.61%,主要原因是：本年功能科目调整，行政单位离退休经费，行政单位医疗，公务员医疗补助，住房公积金上年度在主科目列支，本年单独列支，导致经费较上年减少。</w:t>
      </w:r>
    </w:p>
    <w:p w14:paraId="0263C6F6">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2.一般公共服务支出(类)纪检监察事务(款)其他纪检监察事务支出(项):支出决算数为152.62万元，比上年决算增加124.70万元，增长446.63%,主要原因是：本年增加监察信息员经费。</w:t>
      </w:r>
    </w:p>
    <w:p w14:paraId="5B24D0FC">
      <w:pPr>
        <w:spacing w:line="580" w:lineRule="exact"/>
        <w:ind w:firstLine="640"/>
        <w:jc w:val="both"/>
      </w:pPr>
      <w:r>
        <w:rPr>
          <w:rFonts w:ascii="仿宋_GB2312" w:hAnsi="仿宋_GB2312" w:eastAsia="仿宋_GB2312"/>
          <w:b w:val="0"/>
          <w:sz w:val="32"/>
        </w:rPr>
        <w:t>3.科学技术支出(类)技术研究与开发(款)其他技术研究与开发支出(项):支出决算数为61.27万元，比上年决算减少34.50万元，下降36.02%,主要原因是：本年减少纪检监察视频会商系统建设项目。</w:t>
      </w:r>
    </w:p>
    <w:p w14:paraId="50FA72F1">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15.16万元，比上年决算增加15.16万元，增长100.00%,主要原因是：本年功能科目调整，行政单位离退休上年度在主科目列支，本年单独列支，导致经费较上年增加。</w:t>
      </w:r>
    </w:p>
    <w:p w14:paraId="38CEDADB">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228.36万元，比上年决算增加41.41万元，增长22.15%,主要原因是：本年在职人员增加，在职人员工资基数调增，养老缴费基数上涨，相应支出增加。</w:t>
      </w:r>
    </w:p>
    <w:p w14:paraId="14A4070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20.14万元，比上年决算减少32.80万元，下降61.96%,主要原因是：本年新增退休人员较上年减少，职业年金缴费较上年减少。</w:t>
      </w:r>
    </w:p>
    <w:p w14:paraId="1D94B7ED">
      <w:pPr>
        <w:spacing w:line="580" w:lineRule="exact"/>
        <w:ind w:firstLine="640"/>
        <w:jc w:val="both"/>
      </w:pPr>
      <w:r>
        <w:rPr>
          <w:rFonts w:ascii="仿宋_GB2312" w:hAnsi="仿宋_GB2312" w:eastAsia="仿宋_GB2312"/>
          <w:b w:val="0"/>
          <w:sz w:val="32"/>
        </w:rPr>
        <w:t>7.卫生健康支出(类)行政事业单位医疗(款)行政单位医疗(项):支出决算数为92.77万元，比上年决算增加92.77万元，增长100.00%,主要原因是：本年功能科目调整，行政单位医疗支出上年度在主科目列支，本年单独列支，导致经费较上年增加。</w:t>
      </w:r>
    </w:p>
    <w:p w14:paraId="276BCB9C">
      <w:pPr>
        <w:spacing w:line="580" w:lineRule="exact"/>
        <w:ind w:firstLine="640"/>
        <w:jc w:val="both"/>
      </w:pPr>
      <w:r>
        <w:rPr>
          <w:rFonts w:ascii="仿宋_GB2312" w:hAnsi="仿宋_GB2312" w:eastAsia="仿宋_GB2312"/>
          <w:b w:val="0"/>
          <w:sz w:val="32"/>
        </w:rPr>
        <w:t>8.卫生健康支出(类)行政事业单位医疗(款)公务员医疗补助(项):支出决算数为51.78万元，比上年决算增加51.78万元，增长100.00%,主要原因是：本年功能科目调整，公务员医疗补助上年度在主科目列支，本年单独列支，导致经费较上年增加。</w:t>
      </w:r>
    </w:p>
    <w:p w14:paraId="46209006">
      <w:pPr>
        <w:spacing w:line="580" w:lineRule="exact"/>
        <w:ind w:firstLine="640"/>
        <w:jc w:val="both"/>
      </w:pPr>
      <w:r>
        <w:rPr>
          <w:rFonts w:ascii="仿宋_GB2312" w:hAnsi="仿宋_GB2312" w:eastAsia="仿宋_GB2312"/>
          <w:b w:val="0"/>
          <w:sz w:val="32"/>
        </w:rPr>
        <w:t>9.住房保障支出(类)住房改革支出(款)住房公积金(项):支出决算数为174.18万元，比上年决算增加174.18万元，增长100.00%,主要原因是：本年功能科目调整，住房公积金上年度在主科目列支，本年单独列支，导致经费较上年增加。</w:t>
      </w:r>
    </w:p>
    <w:p w14:paraId="45AAF92A">
      <w:pPr>
        <w:spacing w:line="580" w:lineRule="exact"/>
        <w:ind w:firstLine="640"/>
        <w:jc w:val="both"/>
      </w:pPr>
      <w:r>
        <w:rPr>
          <w:rFonts w:ascii="仿宋_GB2312" w:hAnsi="仿宋_GB2312" w:eastAsia="仿宋_GB2312"/>
          <w:b w:val="0"/>
          <w:sz w:val="32"/>
        </w:rPr>
        <w:t>10.其他支出(类)其他支出(款)其他支出(项):支出决算数为6.70万元，比上年决算增加4.45万元，增长197.78%,主要原因是：本年为民办实事经费较上年增加。</w:t>
      </w:r>
    </w:p>
    <w:p w14:paraId="7B9FA7C6">
      <w:pPr>
        <w:spacing w:line="640" w:lineRule="exact"/>
        <w:ind w:firstLine="640"/>
        <w:jc w:val="both"/>
        <w:outlineLvl w:val="2"/>
      </w:pPr>
      <w:r>
        <w:rPr>
          <w:rFonts w:ascii="黑体" w:hAnsi="黑体" w:eastAsia="黑体"/>
          <w:sz w:val="32"/>
        </w:rPr>
        <w:t>六、一般公共预算财政拨款基本支出决算情况说明</w:t>
      </w:r>
    </w:p>
    <w:p w14:paraId="7FC35345">
      <w:pPr>
        <w:spacing w:line="580" w:lineRule="exact"/>
        <w:ind w:firstLine="640"/>
        <w:jc w:val="both"/>
      </w:pPr>
      <w:r>
        <w:rPr>
          <w:rFonts w:ascii="仿宋_GB2312" w:hAnsi="仿宋_GB2312" w:eastAsia="仿宋_GB2312"/>
          <w:b w:val="0"/>
          <w:sz w:val="32"/>
        </w:rPr>
        <w:t>2024年度一般公共预算财政拨款基本支出2,445.72万元，其中：</w:t>
      </w:r>
      <w:r>
        <w:rPr>
          <w:rFonts w:ascii="仿宋_GB2312" w:hAnsi="仿宋_GB2312" w:eastAsia="仿宋_GB2312"/>
          <w:b/>
          <w:sz w:val="32"/>
        </w:rPr>
        <w:t>人员经费2,294.99万元，</w:t>
      </w:r>
      <w:r>
        <w:rPr>
          <w:rFonts w:ascii="仿宋_GB2312" w:hAnsi="仿宋_GB2312" w:eastAsia="仿宋_GB2312"/>
          <w:b w:val="0"/>
          <w:sz w:val="32"/>
        </w:rPr>
        <w:t>包括：基本工资、津贴补贴、奖金、伙食补助费、机关事业单位基本养老保险缴费、职业年金缴费、职工基本医疗保险缴费、公务员医疗补助缴费、其他社会保障缴费、住房公积金、退休费、生活补助、医疗费补助。</w:t>
      </w:r>
    </w:p>
    <w:p w14:paraId="0D5C84A8">
      <w:pPr>
        <w:spacing w:line="580" w:lineRule="exact"/>
        <w:ind w:firstLine="640"/>
        <w:jc w:val="both"/>
      </w:pPr>
      <w:r>
        <w:rPr>
          <w:rFonts w:ascii="仿宋_GB2312" w:hAnsi="仿宋_GB2312" w:eastAsia="仿宋_GB2312"/>
          <w:b/>
          <w:sz w:val="32"/>
        </w:rPr>
        <w:t>公用经费150.72万元，</w:t>
      </w:r>
      <w:r>
        <w:rPr>
          <w:rFonts w:ascii="仿宋_GB2312" w:hAnsi="仿宋_GB2312" w:eastAsia="仿宋_GB2312"/>
          <w:b w:val="0"/>
          <w:sz w:val="32"/>
        </w:rPr>
        <w:t>包括：办公费、印刷费、水费、电费、邮电费、差旅费、维修（护）费、劳务费、委托业务费、工会经费、公务用车运行维护费、其他商品和服务支出。</w:t>
      </w:r>
    </w:p>
    <w:p w14:paraId="59010382">
      <w:pPr>
        <w:spacing w:line="640" w:lineRule="exact"/>
        <w:ind w:firstLine="640"/>
        <w:jc w:val="both"/>
        <w:outlineLvl w:val="2"/>
      </w:pPr>
      <w:r>
        <w:rPr>
          <w:rFonts w:ascii="黑体" w:hAnsi="黑体" w:eastAsia="黑体"/>
          <w:sz w:val="32"/>
        </w:rPr>
        <w:t>七、政府性基金预算财政拨款收入支出决算情况说明</w:t>
      </w:r>
    </w:p>
    <w:p w14:paraId="76D82332">
      <w:pPr>
        <w:spacing w:line="580" w:lineRule="exact"/>
        <w:ind w:firstLine="640"/>
        <w:jc w:val="both"/>
      </w:pPr>
      <w:r>
        <w:rPr>
          <w:rFonts w:ascii="仿宋_GB2312" w:hAnsi="仿宋_GB2312" w:eastAsia="仿宋_GB2312"/>
          <w:b/>
          <w:sz w:val="32"/>
        </w:rPr>
        <w:t>2024年度政府性基金预算财政拨款收入总计9.59万元，</w:t>
      </w:r>
      <w:r>
        <w:rPr>
          <w:rFonts w:ascii="仿宋_GB2312" w:hAnsi="仿宋_GB2312" w:eastAsia="仿宋_GB2312"/>
          <w:b w:val="0"/>
          <w:sz w:val="32"/>
        </w:rPr>
        <w:t>其中：年初结转和结余0.00万元，本年收入9.59万元。</w:t>
      </w:r>
      <w:r>
        <w:rPr>
          <w:rFonts w:ascii="仿宋_GB2312" w:hAnsi="仿宋_GB2312" w:eastAsia="仿宋_GB2312"/>
          <w:b/>
          <w:sz w:val="32"/>
        </w:rPr>
        <w:t>政府性基金预算财政拨款支出总计9.59万元，</w:t>
      </w:r>
      <w:r>
        <w:rPr>
          <w:rFonts w:ascii="仿宋_GB2312" w:hAnsi="仿宋_GB2312" w:eastAsia="仿宋_GB2312"/>
          <w:b w:val="0"/>
          <w:sz w:val="32"/>
        </w:rPr>
        <w:t>其中：年末结转和结余0.00万元，本年支出9.59万元。</w:t>
      </w:r>
    </w:p>
    <w:p w14:paraId="3CE2FC4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增加9.59万元，增长100.00%，主要原因是：本年增加监察信息员补助项目资金。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年初预算数0.00万元，决算数9.59万元，预决算差异率100.00%，主要原因是：年中追加监察信息员补助项目资金，导致预决算存在差异。</w:t>
      </w:r>
    </w:p>
    <w:p w14:paraId="6472C553">
      <w:pPr>
        <w:spacing w:line="580" w:lineRule="exact"/>
        <w:ind w:firstLine="640"/>
        <w:jc w:val="both"/>
      </w:pPr>
      <w:r>
        <w:rPr>
          <w:rFonts w:ascii="仿宋_GB2312" w:hAnsi="仿宋_GB2312" w:eastAsia="仿宋_GB2312"/>
          <w:b w:val="0"/>
          <w:sz w:val="32"/>
        </w:rPr>
        <w:t>政府性基金预算财政拨款支出9.59万元。</w:t>
      </w:r>
    </w:p>
    <w:p w14:paraId="4AD4F808">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9.59万元，比上年决算增加9.59万元，增长100.00%,主要原因是：本年增加监察信息员补助项目资金。</w:t>
      </w:r>
    </w:p>
    <w:p w14:paraId="6AEA5422">
      <w:pPr>
        <w:spacing w:line="640" w:lineRule="exact"/>
        <w:ind w:firstLine="640"/>
        <w:jc w:val="both"/>
        <w:outlineLvl w:val="2"/>
      </w:pPr>
      <w:r>
        <w:rPr>
          <w:rFonts w:ascii="黑体" w:hAnsi="黑体" w:eastAsia="黑体"/>
          <w:sz w:val="32"/>
        </w:rPr>
        <w:t>八、国有资本经营预算财政拨款收入支出决算情况说明</w:t>
      </w:r>
    </w:p>
    <w:p w14:paraId="72884A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DB44B72">
      <w:pPr>
        <w:spacing w:line="640" w:lineRule="exact"/>
        <w:ind w:firstLine="640"/>
        <w:jc w:val="both"/>
        <w:outlineLvl w:val="2"/>
      </w:pPr>
      <w:r>
        <w:rPr>
          <w:rFonts w:ascii="黑体" w:hAnsi="黑体" w:eastAsia="黑体"/>
          <w:sz w:val="32"/>
        </w:rPr>
        <w:t>九、财政拨款“三公”经费支出决算情况说明</w:t>
      </w:r>
    </w:p>
    <w:p w14:paraId="1F08D445">
      <w:pPr>
        <w:spacing w:line="580" w:lineRule="exact"/>
        <w:ind w:firstLine="640"/>
        <w:jc w:val="both"/>
      </w:pPr>
      <w:r>
        <w:rPr>
          <w:rFonts w:ascii="仿宋_GB2312" w:hAnsi="仿宋_GB2312" w:eastAsia="仿宋_GB2312"/>
          <w:b/>
          <w:sz w:val="32"/>
        </w:rPr>
        <w:t>2024年度财政拨款“三公”经费支出21.00万元，</w:t>
      </w:r>
      <w:r>
        <w:rPr>
          <w:rFonts w:ascii="仿宋_GB2312" w:hAnsi="仿宋_GB2312" w:eastAsia="仿宋_GB2312"/>
          <w:b w:val="0"/>
          <w:sz w:val="32"/>
        </w:rPr>
        <w:t>比上年减少0.50万元，下降2.33%，主要原因是：严格落实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减少公务用车使用频次，减少公车运行维护费。其中：因公出国（境）费支出0.00万元，占0.00%，比上年增加0.00万元，增长0.00%，主要原因是：2023年与2024年均未安排因公出国（境）费支出。公务用车购置及运行维护费支出21.00万元，占100.00%，比上年减少0.50万元，下降2.33%，主要原因是：严格落实</w:t>
      </w:r>
      <w:r>
        <w:rPr>
          <w:rFonts w:hint="eastAsia" w:ascii="仿宋_GB2312" w:hAnsi="仿宋_GB2312" w:eastAsia="仿宋_GB2312"/>
          <w:b w:val="0"/>
          <w:sz w:val="32"/>
          <w:lang w:eastAsia="zh-CN"/>
        </w:rPr>
        <w:t>中央八项规定</w:t>
      </w:r>
      <w:r>
        <w:rPr>
          <w:rFonts w:ascii="仿宋_GB2312" w:hAnsi="仿宋_GB2312" w:eastAsia="仿宋_GB2312"/>
          <w:b w:val="0"/>
          <w:sz w:val="32"/>
        </w:rPr>
        <w:t>，减少公务用车使用频次，减少公车运行维护费。公务接待费支出0.00万元，占0.00%，比上年增加0.00万元，增长0.00%，主要原因是：2023年与2024年均未安排公务接待费支出。</w:t>
      </w:r>
    </w:p>
    <w:p w14:paraId="54580E69">
      <w:pPr>
        <w:spacing w:line="580" w:lineRule="exact"/>
        <w:ind w:firstLine="640"/>
        <w:jc w:val="both"/>
      </w:pPr>
      <w:r>
        <w:rPr>
          <w:rFonts w:ascii="仿宋_GB2312" w:hAnsi="仿宋_GB2312" w:eastAsia="仿宋_GB2312"/>
          <w:b/>
          <w:sz w:val="32"/>
        </w:rPr>
        <w:t>具体情况如下：</w:t>
      </w:r>
    </w:p>
    <w:p w14:paraId="47DE24D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177C1EC">
      <w:pPr>
        <w:spacing w:line="580" w:lineRule="exact"/>
        <w:ind w:firstLine="640"/>
        <w:jc w:val="both"/>
      </w:pPr>
      <w:r>
        <w:rPr>
          <w:rFonts w:ascii="仿宋_GB2312" w:hAnsi="仿宋_GB2312" w:eastAsia="仿宋_GB2312"/>
          <w:b w:val="0"/>
          <w:sz w:val="32"/>
        </w:rPr>
        <w:t>公务用车购置及运行维护费21.00万元，其中：公务用车购置费0.00万元，公务用车运行维护费21.00万元。公务用车运行维护费开支内容包括车辆加油费、保险费、维修费。公务用车购置数0辆，公务用车保有量12辆。国有资产占用情况中固定资产车辆12辆，与公务用车保有量差异原因是：本单位固定资产车辆与公务用车保有量一致无差异。</w:t>
      </w:r>
    </w:p>
    <w:p w14:paraId="5944E2F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C16BC2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21.00万元，决算数21.00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21.00万元，决算数21.00万元，预决算差异率0.00%，主要原因是：严格按照预算执行，预决算无差异。公务接待费全年预算数0.00万元，决算数0.00万元，预决算差异率0.00%，主要原因是：本单位无公务接待费。</w:t>
      </w:r>
    </w:p>
    <w:p w14:paraId="2D58A6F2">
      <w:pPr>
        <w:spacing w:line="640" w:lineRule="exact"/>
        <w:ind w:firstLine="640"/>
        <w:jc w:val="both"/>
        <w:outlineLvl w:val="2"/>
      </w:pPr>
      <w:r>
        <w:rPr>
          <w:rFonts w:ascii="黑体" w:hAnsi="黑体" w:eastAsia="黑体"/>
          <w:sz w:val="32"/>
        </w:rPr>
        <w:t>十、其他重要事项的情况说明</w:t>
      </w:r>
    </w:p>
    <w:p w14:paraId="7AF1247D">
      <w:pPr>
        <w:spacing w:line="640" w:lineRule="exact"/>
        <w:ind w:firstLine="640"/>
        <w:jc w:val="both"/>
        <w:outlineLvl w:val="3"/>
      </w:pPr>
      <w:r>
        <w:rPr>
          <w:rFonts w:ascii="楷体_GB2312" w:hAnsi="楷体_GB2312" w:eastAsia="楷体_GB2312"/>
          <w:b/>
          <w:sz w:val="32"/>
        </w:rPr>
        <w:t>（一）机关运行经费及公用经费支出情况</w:t>
      </w:r>
    </w:p>
    <w:p w14:paraId="485517D9">
      <w:pPr>
        <w:spacing w:line="580" w:lineRule="exact"/>
        <w:ind w:firstLine="640"/>
        <w:jc w:val="both"/>
      </w:pPr>
      <w:r>
        <w:rPr>
          <w:rFonts w:ascii="仿宋_GB2312" w:hAnsi="仿宋_GB2312" w:eastAsia="仿宋_GB2312"/>
          <w:b w:val="0"/>
          <w:sz w:val="32"/>
        </w:rPr>
        <w:t>2024年度中共洛浦县纪律检查委员会（行政单位和参照公务员法管理事业单位）机关运行经费支出150.72万元，比上年增加11.37万元，增长8.16%，主要原因是：本年办公费、差旅费增加，导致机关运行经费增加。</w:t>
      </w:r>
    </w:p>
    <w:p w14:paraId="448AB79E">
      <w:pPr>
        <w:spacing w:line="640" w:lineRule="exact"/>
        <w:ind w:firstLine="640"/>
        <w:jc w:val="both"/>
        <w:outlineLvl w:val="3"/>
      </w:pPr>
      <w:r>
        <w:rPr>
          <w:rFonts w:ascii="楷体_GB2312" w:hAnsi="楷体_GB2312" w:eastAsia="楷体_GB2312"/>
          <w:b/>
          <w:sz w:val="32"/>
        </w:rPr>
        <w:t>（二）政府采购情况</w:t>
      </w:r>
    </w:p>
    <w:p w14:paraId="2DC3020A">
      <w:pPr>
        <w:spacing w:line="580" w:lineRule="exact"/>
        <w:ind w:firstLine="640"/>
        <w:jc w:val="both"/>
      </w:pPr>
      <w:r>
        <w:rPr>
          <w:rFonts w:ascii="仿宋_GB2312" w:hAnsi="仿宋_GB2312" w:eastAsia="仿宋_GB2312"/>
          <w:b w:val="0"/>
          <w:sz w:val="32"/>
        </w:rPr>
        <w:t>2024年度政府采购支出总额86.31万元，其中：政府采购货物支出72.89万元、政府采购工程支出1.17万元、政府采购服务支出12.25万元。</w:t>
      </w:r>
    </w:p>
    <w:p w14:paraId="3DE79042">
      <w:pPr>
        <w:spacing w:line="580" w:lineRule="exact"/>
        <w:ind w:firstLine="640"/>
        <w:jc w:val="both"/>
      </w:pPr>
      <w:r>
        <w:rPr>
          <w:rFonts w:ascii="仿宋_GB2312" w:hAnsi="仿宋_GB2312" w:eastAsia="仿宋_GB2312"/>
          <w:b w:val="0"/>
          <w:sz w:val="32"/>
        </w:rPr>
        <w:t>授予中小企业合同金额82.27万元，占政府采购支出总额的95.32%，其中：授予小微企业合同金额81.68万元，占政府采购支出总额的94.64%。</w:t>
      </w:r>
    </w:p>
    <w:p w14:paraId="57B47B6F">
      <w:pPr>
        <w:spacing w:line="640" w:lineRule="exact"/>
        <w:ind w:firstLine="640"/>
        <w:jc w:val="both"/>
        <w:outlineLvl w:val="3"/>
      </w:pPr>
      <w:r>
        <w:rPr>
          <w:rFonts w:ascii="楷体_GB2312" w:hAnsi="楷体_GB2312" w:eastAsia="楷体_GB2312"/>
          <w:b/>
          <w:sz w:val="32"/>
        </w:rPr>
        <w:t>（三）国有资产占用情况说明</w:t>
      </w:r>
    </w:p>
    <w:p w14:paraId="7316AE74">
      <w:pPr>
        <w:spacing w:line="580" w:lineRule="exact"/>
        <w:ind w:firstLine="640"/>
        <w:jc w:val="both"/>
      </w:pPr>
      <w:r>
        <w:rPr>
          <w:rFonts w:ascii="仿宋_GB2312" w:hAnsi="仿宋_GB2312" w:eastAsia="仿宋_GB2312"/>
          <w:b w:val="0"/>
          <w:sz w:val="32"/>
        </w:rPr>
        <w:t>截至2024年12月31日，房屋1,824.06平方米，价值690.97万元。车辆12辆，价值126.95万元，其中：副部（省）级及以上领导用车0辆、主要负责人用车0辆、机要通信用车0辆、应急保障用车0辆、执法执勤用车7辆、特种专业技术用车0辆、离退休干部服务用车0辆、其他用车5辆，其他用车主要是：一般公务用车。单价100万元（含）以上设备（不含车辆）0台（套）。</w:t>
      </w:r>
    </w:p>
    <w:p w14:paraId="6D279B69">
      <w:pPr>
        <w:spacing w:line="640" w:lineRule="exact"/>
        <w:ind w:firstLine="640"/>
        <w:jc w:val="both"/>
        <w:outlineLvl w:val="2"/>
      </w:pPr>
      <w:r>
        <w:rPr>
          <w:rFonts w:ascii="黑体" w:hAnsi="黑体" w:eastAsia="黑体"/>
          <w:sz w:val="32"/>
        </w:rPr>
        <w:t>十一、预算绩效的情况说明</w:t>
      </w:r>
    </w:p>
    <w:p w14:paraId="4344259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根据预算绩效管理要求，本单位2024年度预算绩效管理形成整体支出绩效自评表1个，全年预算总额2,678.96万元，实际执行总额2,678.96万元；预算绩效评价项目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247.17</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245.68</w:t>
      </w:r>
      <w:r>
        <w:rPr>
          <w:rFonts w:ascii="仿宋_GB2312" w:hAnsi="仿宋_GB2312" w:eastAsia="仿宋_GB2312"/>
          <w:b w:val="0"/>
          <w:sz w:val="32"/>
        </w:rPr>
        <w:t>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具备一定专业素养和实战经验的人力资源缺失。下一步改进措施：完善相关制度，推进制度落实。依据相关法律、法规及管理办法，建立分级分类、使用高效、便于操作的实施细则及业务规范，制定绩效问责制度、公开制度等，加快形成“用钱必问效、无效必问责”的机制。具体附整体支出绩效自评表，项目支出绩效自评表和评价报告。</w:t>
      </w:r>
    </w:p>
    <w:p w14:paraId="3F99F77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5534D39">
        <w:tblPrEx>
          <w:tblCellMar>
            <w:top w:w="0" w:type="dxa"/>
            <w:left w:w="108" w:type="dxa"/>
            <w:bottom w:w="0" w:type="dxa"/>
            <w:right w:w="108" w:type="dxa"/>
          </w:tblCellMar>
        </w:tblPrEx>
        <w:tc>
          <w:tcPr>
            <w:tcW w:w="8847" w:type="dxa"/>
            <w:gridSpan w:val="9"/>
            <w:vAlign w:val="center"/>
          </w:tcPr>
          <w:p w14:paraId="36B19F4F">
            <w:pPr>
              <w:jc w:val="center"/>
            </w:pPr>
            <w:r>
              <w:rPr>
                <w:rFonts w:ascii="宋体" w:hAnsi="宋体" w:eastAsia="宋体"/>
                <w:sz w:val="24"/>
              </w:rPr>
              <w:t>单位整体支出绩效自评表</w:t>
            </w:r>
          </w:p>
        </w:tc>
      </w:tr>
      <w:tr w14:paraId="6CE3E506">
        <w:tblPrEx>
          <w:tblCellMar>
            <w:top w:w="0" w:type="dxa"/>
            <w:left w:w="108" w:type="dxa"/>
            <w:bottom w:w="0" w:type="dxa"/>
            <w:right w:w="108" w:type="dxa"/>
          </w:tblCellMar>
        </w:tblPrEx>
        <w:tc>
          <w:tcPr>
            <w:tcW w:w="8847" w:type="dxa"/>
            <w:gridSpan w:val="9"/>
            <w:vAlign w:val="center"/>
          </w:tcPr>
          <w:p w14:paraId="717F12CC">
            <w:pPr>
              <w:jc w:val="center"/>
            </w:pPr>
            <w:r>
              <w:rPr>
                <w:rFonts w:ascii="宋体" w:hAnsi="宋体" w:eastAsia="宋体"/>
                <w:sz w:val="24"/>
              </w:rPr>
              <w:t>（2024年度）</w:t>
            </w:r>
          </w:p>
        </w:tc>
      </w:tr>
      <w:tr w14:paraId="7B8D19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BDF2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4060C1">
            <w:pPr>
              <w:jc w:val="center"/>
            </w:pPr>
            <w:r>
              <w:rPr>
                <w:rFonts w:ascii="宋体" w:hAnsi="宋体" w:eastAsia="宋体"/>
                <w:sz w:val="16"/>
              </w:rPr>
              <w:t>中共洛浦县纪律检查委员会</w:t>
            </w:r>
          </w:p>
        </w:tc>
      </w:tr>
      <w:tr w14:paraId="7D0E57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473DB">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DC12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5D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D9D2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DF7F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A70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56B9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62766">
            <w:pPr>
              <w:jc w:val="center"/>
            </w:pPr>
            <w:r>
              <w:rPr>
                <w:rFonts w:ascii="宋体" w:hAnsi="宋体" w:eastAsia="宋体"/>
                <w:sz w:val="16"/>
              </w:rPr>
              <w:t>得分</w:t>
            </w:r>
          </w:p>
        </w:tc>
      </w:tr>
      <w:tr w14:paraId="63141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99E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5FE4C3">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5FAB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5E684">
            <w:pPr>
              <w:jc w:val="center"/>
            </w:pPr>
            <w:r>
              <w:rPr>
                <w:rFonts w:ascii="宋体" w:hAnsi="宋体" w:eastAsia="宋体"/>
                <w:sz w:val="16"/>
              </w:rPr>
              <w:t>18.16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406CE">
            <w:pPr>
              <w:jc w:val="center"/>
            </w:pPr>
            <w:r>
              <w:rPr>
                <w:rFonts w:ascii="宋体" w:hAnsi="宋体" w:eastAsia="宋体"/>
                <w:sz w:val="16"/>
              </w:rPr>
              <w:t>34.18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0E9B">
            <w:pPr>
              <w:jc w:val="center"/>
            </w:pPr>
            <w:r>
              <w:rPr>
                <w:rFonts w:ascii="宋体" w:hAnsi="宋体" w:eastAsia="宋体"/>
                <w:sz w:val="16"/>
              </w:rPr>
              <w:t>34.18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7E8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B70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88D93">
            <w:pPr>
              <w:jc w:val="center"/>
            </w:pPr>
            <w:r>
              <w:rPr>
                <w:rFonts w:ascii="宋体" w:hAnsi="宋体" w:eastAsia="宋体"/>
                <w:sz w:val="16"/>
              </w:rPr>
              <w:t>-</w:t>
            </w:r>
          </w:p>
        </w:tc>
      </w:tr>
      <w:tr w14:paraId="2DC8A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480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FFA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ADCD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95EB6">
            <w:pPr>
              <w:jc w:val="center"/>
            </w:pPr>
            <w:r>
              <w:rPr>
                <w:rFonts w:ascii="宋体" w:hAnsi="宋体" w:eastAsia="宋体"/>
                <w:sz w:val="16"/>
              </w:rPr>
              <w:t>2,292.19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AB6AE">
            <w:pPr>
              <w:jc w:val="center"/>
            </w:pPr>
            <w:r>
              <w:rPr>
                <w:rFonts w:ascii="宋体" w:hAnsi="宋体" w:eastAsia="宋体"/>
                <w:sz w:val="16"/>
              </w:rPr>
              <w:t>2,644.78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65EE6">
            <w:pPr>
              <w:jc w:val="center"/>
            </w:pPr>
            <w:r>
              <w:rPr>
                <w:rFonts w:ascii="宋体" w:hAnsi="宋体" w:eastAsia="宋体"/>
                <w:sz w:val="16"/>
              </w:rPr>
              <w:t>2,644.78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190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3B7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C511A">
            <w:pPr>
              <w:jc w:val="center"/>
            </w:pPr>
            <w:r>
              <w:rPr>
                <w:rFonts w:ascii="宋体" w:hAnsi="宋体" w:eastAsia="宋体"/>
                <w:sz w:val="16"/>
              </w:rPr>
              <w:t>-</w:t>
            </w:r>
          </w:p>
        </w:tc>
      </w:tr>
      <w:tr w14:paraId="7C4645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A93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58A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499D6">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E8D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5C2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82E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00A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5D9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6186B">
            <w:pPr>
              <w:jc w:val="center"/>
            </w:pPr>
            <w:r>
              <w:rPr>
                <w:rFonts w:ascii="宋体" w:hAnsi="宋体" w:eastAsia="宋体"/>
                <w:sz w:val="16"/>
              </w:rPr>
              <w:t>-</w:t>
            </w:r>
          </w:p>
        </w:tc>
      </w:tr>
      <w:tr w14:paraId="1190D5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F9A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5F9C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B47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A7FC">
            <w:pPr>
              <w:jc w:val="center"/>
            </w:pPr>
            <w:r>
              <w:rPr>
                <w:rFonts w:ascii="宋体" w:hAnsi="宋体" w:eastAsia="宋体"/>
                <w:sz w:val="16"/>
              </w:rPr>
              <w:t>2,310.35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7FFE2">
            <w:pPr>
              <w:jc w:val="center"/>
            </w:pPr>
            <w:r>
              <w:rPr>
                <w:rFonts w:ascii="宋体" w:hAnsi="宋体" w:eastAsia="宋体"/>
                <w:sz w:val="16"/>
              </w:rPr>
              <w:t>2,678.96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C65CA">
            <w:pPr>
              <w:jc w:val="center"/>
            </w:pPr>
            <w:r>
              <w:rPr>
                <w:rFonts w:ascii="宋体" w:hAnsi="宋体" w:eastAsia="宋体"/>
                <w:sz w:val="16"/>
              </w:rPr>
              <w:t>2,678.96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44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00CD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91603">
            <w:pPr>
              <w:jc w:val="center"/>
            </w:pPr>
            <w:r>
              <w:rPr>
                <w:rFonts w:ascii="宋体" w:hAnsi="宋体" w:eastAsia="宋体"/>
                <w:sz w:val="16"/>
              </w:rPr>
              <w:t>10</w:t>
            </w:r>
          </w:p>
        </w:tc>
      </w:tr>
      <w:tr w14:paraId="4646F0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19EE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75E31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696B71">
            <w:pPr>
              <w:jc w:val="center"/>
            </w:pPr>
            <w:r>
              <w:rPr>
                <w:rFonts w:ascii="宋体" w:hAnsi="宋体" w:eastAsia="宋体"/>
                <w:sz w:val="16"/>
              </w:rPr>
              <w:t>实际完成情况</w:t>
            </w:r>
          </w:p>
        </w:tc>
      </w:tr>
      <w:tr w14:paraId="47141E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751E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D9BDBC">
            <w:pPr>
              <w:jc w:val="both"/>
            </w:pPr>
            <w:r>
              <w:rPr>
                <w:rFonts w:ascii="宋体" w:hAnsi="宋体" w:eastAsia="宋体"/>
                <w:sz w:val="16"/>
              </w:rPr>
              <w:t>单位基本职能：(1)负责党的纪律检查工作。贯彻落实党中央、中央纪委、自治区党委、自治区纪委、地委、地区纪委和县委关于纪律检查工作的决定，维护党的章程和其他党内法规，检查党的路线方针政策和决议的执行情况，协助县委推进全面从严治党、加强党风建设和组织协调反腐败工作。(2)依照</w:t>
            </w:r>
            <w:r>
              <w:rPr>
                <w:rFonts w:hint="eastAsia" w:ascii="宋体" w:hAnsi="宋体"/>
                <w:sz w:val="16"/>
                <w:lang w:eastAsia="zh-CN"/>
              </w:rPr>
              <w:t>党的章程和其他党内法规</w:t>
            </w:r>
            <w:r>
              <w:rPr>
                <w:rFonts w:ascii="宋体" w:hAnsi="宋体" w:eastAsia="宋体"/>
                <w:sz w:val="16"/>
              </w:rPr>
              <w:t>履行监督、执纪、问责职责。负责经常对党员进行遵守纪律的教育，作出关 于维护党纪的决定；对县委工作机关、县委批准设立的 党组(党委)，乡镇(街道)党(工)委、纪(工)委 等党的组织和县委管理的党员领导干部履行职责、行使 权力进行监督，受理处置党员群众检举举报，开展谈话 提醒、约谈函询；检查和处理上述党的组织和党员违反党的章程和其他党内法规的比较重要或者复杂的案件，决定或者取消对这些案件中的党员的处分；进行问责或者提出责任追究的建议；受理党员的控告和申诉；</w:t>
            </w:r>
            <w:r>
              <w:rPr>
                <w:rFonts w:hint="eastAsia" w:ascii="宋体" w:hAnsi="宋体"/>
                <w:sz w:val="16"/>
                <w:lang w:eastAsia="zh-CN"/>
              </w:rPr>
              <w:t>保障党员权利</w:t>
            </w:r>
            <w:r>
              <w:rPr>
                <w:rFonts w:ascii="宋体" w:hAnsi="宋体" w:eastAsia="宋体"/>
                <w:sz w:val="16"/>
              </w:rPr>
              <w:t>。(3)在县委领导下组织开展巡察工作。配合县委巡察工作领导小组指导县委工作机关、政府工作部门以及乡镇  (街道)巡察工作。(4)负责全县监察工作。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机构设置及人员配置：无下属预算单位，下设10个科室，编制数131，实有人数114人，在职106人，退休8人。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w:t>
            </w:r>
            <w:r>
              <w:rPr>
                <w:rFonts w:hint="eastAsia" w:ascii="宋体" w:hAnsi="宋体"/>
                <w:sz w:val="16"/>
                <w:lang w:eastAsia="zh-CN"/>
              </w:rPr>
              <w:t>全面</w:t>
            </w:r>
            <w:r>
              <w:rPr>
                <w:rFonts w:ascii="宋体" w:hAnsi="宋体" w:eastAsia="宋体"/>
                <w:sz w:val="16"/>
              </w:rPr>
              <w:t>贯彻落实党中央、中央纪委、自治区党委、自治区纪委、地委、地区纪委和县委关于纪律检查工作的决定，维护党的章程和其他党内法规，检查党的路线方针政策和决议的执行情况，协助县委推进全面从严治党、加强党风建设和组织协调反腐败工作。</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1EC2DE">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基层纪委数量11个，主要负责党的纪律检查工作。贯彻落实党中央、中央纪委、自治区党委、自治区纪委、地委、地区纪委和县委关于纪律检查工作的决定，维护党的章程和其他党内法规，检查党的路线方针政策和决议的执行情况，协助县委推进全面从严治党、加强党风建设和组织协调反腐败工作。依照</w:t>
            </w:r>
            <w:r>
              <w:rPr>
                <w:rFonts w:hint="eastAsia" w:ascii="宋体" w:hAnsi="宋体"/>
                <w:sz w:val="16"/>
                <w:lang w:eastAsia="zh-CN"/>
              </w:rPr>
              <w:t>党的章程和其他党内法规</w:t>
            </w:r>
            <w:r>
              <w:rPr>
                <w:rFonts w:ascii="宋体" w:hAnsi="宋体" w:eastAsia="宋体"/>
                <w:sz w:val="16"/>
              </w:rPr>
              <w:t>履行监督、执纪、问责职责。负责经常对党员进行遵守纪律的教育，作出关 于维护党纪的决定；对县委工作机关、县委批准设立的 党组(党委)，乡镇(街道)党(工)委、纪(工)委 等党的组织和县委管理的党员领导干部履行职责、行使 权力进行监督，受理处置党员群众检举举报，开展谈话 提醒、约谈函询；检查和处理上述党的组织和党员违反党的章程和其他党内法规的比较重要或者复杂的案件，决定或者取消对这些案件中的党员的处分；进行问责或者提出责任追究的建议；受理党员的控告和申诉；</w:t>
            </w:r>
            <w:r>
              <w:rPr>
                <w:rFonts w:hint="eastAsia" w:ascii="宋体" w:hAnsi="宋体"/>
                <w:sz w:val="16"/>
                <w:lang w:eastAsia="zh-CN"/>
              </w:rPr>
              <w:t>保障党员权利</w:t>
            </w:r>
            <w:r>
              <w:rPr>
                <w:rFonts w:ascii="宋体" w:hAnsi="宋体" w:eastAsia="宋体"/>
                <w:sz w:val="16"/>
              </w:rPr>
              <w:t>。在县委领导下组织开展巡察工作。配合县委巡察工作领导小组指导县委工作机关、政府工作部门以及乡镇  (街道)巡察工作。负责全县监察工作。</w:t>
            </w:r>
            <w:r>
              <w:rPr>
                <w:rFonts w:hint="eastAsia" w:ascii="宋体" w:hAnsi="宋体"/>
                <w:sz w:val="16"/>
                <w:lang w:eastAsia="zh-CN"/>
              </w:rPr>
              <w:t>全面</w:t>
            </w:r>
            <w:r>
              <w:rPr>
                <w:rFonts w:ascii="宋体" w:hAnsi="宋体" w:eastAsia="宋体"/>
                <w:sz w:val="16"/>
              </w:rPr>
              <w:t>贯彻落实党中央、中央纪委、自治区党委、自治区纪委、地委、地区纪委和县委关于纪律检查工作的决定，维护党的章程和其他党内法规，检查党的路线方针政策和决议的执行情况，协助县委推进全面从严治党、加强党风建设和组织协调反腐败工作。2024年</w:t>
            </w:r>
            <w:r>
              <w:rPr>
                <w:rFonts w:hint="eastAsia" w:ascii="宋体" w:hAnsi="宋体"/>
                <w:sz w:val="16"/>
                <w:lang w:eastAsia="zh-CN"/>
              </w:rPr>
              <w:t>本单位</w:t>
            </w:r>
            <w:r>
              <w:rPr>
                <w:rFonts w:ascii="宋体" w:hAnsi="宋体" w:eastAsia="宋体"/>
                <w:sz w:val="16"/>
              </w:rPr>
              <w:t>根据单位职能、单位中长期工作规划和年度工作计划等资料，梳理各</w:t>
            </w:r>
            <w:r>
              <w:rPr>
                <w:rFonts w:hint="eastAsia" w:ascii="宋体" w:hAnsi="宋体"/>
                <w:sz w:val="16"/>
                <w:lang w:eastAsia="zh-CN"/>
              </w:rPr>
              <w:t>项工</w:t>
            </w:r>
            <w:r>
              <w:rPr>
                <w:rFonts w:ascii="宋体" w:hAnsi="宋体" w:eastAsia="宋体"/>
                <w:sz w:val="16"/>
              </w:rPr>
              <w:t>作任务及要求。通过资料收集与分析，在</w:t>
            </w:r>
            <w:r>
              <w:rPr>
                <w:rFonts w:hint="eastAsia" w:ascii="宋体" w:hAnsi="宋体"/>
                <w:sz w:val="16"/>
                <w:lang w:eastAsia="zh-CN"/>
              </w:rPr>
              <w:t>本单位</w:t>
            </w:r>
            <w:r>
              <w:rPr>
                <w:rFonts w:ascii="宋体" w:hAnsi="宋体" w:eastAsia="宋体"/>
                <w:sz w:val="16"/>
              </w:rPr>
              <w:t>2024年度工作安排的基础上，结合部门职责、单位年度计划等内容，按照部门职责</w:t>
            </w:r>
            <w:r>
              <w:rPr>
                <w:rFonts w:hint="eastAsia" w:ascii="宋体" w:hAnsi="宋体"/>
                <w:sz w:val="16"/>
                <w:lang w:eastAsia="zh-CN"/>
              </w:rPr>
              <w:t>－</w:t>
            </w:r>
            <w:r>
              <w:rPr>
                <w:rFonts w:ascii="宋体" w:hAnsi="宋体" w:eastAsia="宋体"/>
                <w:sz w:val="16"/>
              </w:rPr>
              <w:t>部门中长期规划</w:t>
            </w:r>
            <w:r>
              <w:rPr>
                <w:rFonts w:hint="eastAsia" w:ascii="宋体" w:hAnsi="宋体"/>
                <w:sz w:val="16"/>
                <w:lang w:eastAsia="zh-CN"/>
              </w:rPr>
              <w:t>－</w:t>
            </w:r>
            <w:r>
              <w:rPr>
                <w:rFonts w:ascii="宋体" w:hAnsi="宋体" w:eastAsia="宋体"/>
                <w:sz w:val="16"/>
              </w:rPr>
              <w:t>年度工作计划安排</w:t>
            </w:r>
            <w:r>
              <w:rPr>
                <w:rFonts w:hint="eastAsia" w:ascii="宋体" w:hAnsi="宋体"/>
                <w:sz w:val="16"/>
                <w:lang w:eastAsia="zh-CN"/>
              </w:rPr>
              <w:t>－</w:t>
            </w:r>
            <w:r>
              <w:rPr>
                <w:rFonts w:ascii="宋体" w:hAnsi="宋体" w:eastAsia="宋体"/>
                <w:sz w:val="16"/>
              </w:rPr>
              <w:t>对应股室</w:t>
            </w:r>
            <w:r>
              <w:rPr>
                <w:rFonts w:hint="eastAsia" w:ascii="宋体" w:hAnsi="宋体"/>
                <w:sz w:val="16"/>
                <w:lang w:eastAsia="zh-CN"/>
              </w:rPr>
              <w:t>－</w:t>
            </w:r>
            <w:r>
              <w:rPr>
                <w:rFonts w:ascii="宋体" w:hAnsi="宋体" w:eastAsia="宋体"/>
                <w:sz w:val="16"/>
              </w:rPr>
              <w:t>对应项目安排的逻辑关系，对年度工作安排进行了进一步的梳理。由于年度计划工作内容较多，根据重要性原则，进一步提炼出年度重点工作安排。</w:t>
            </w:r>
          </w:p>
        </w:tc>
      </w:tr>
      <w:tr w14:paraId="55864F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953B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A902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CE3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234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06BA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FFC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31AE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34350">
            <w:pPr>
              <w:jc w:val="center"/>
            </w:pPr>
            <w:r>
              <w:rPr>
                <w:rFonts w:ascii="宋体" w:hAnsi="宋体" w:eastAsia="宋体"/>
                <w:sz w:val="16"/>
              </w:rPr>
              <w:t>得分</w:t>
            </w:r>
          </w:p>
        </w:tc>
      </w:tr>
      <w:tr w14:paraId="3B6768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4C28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CF20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E8943">
            <w:pPr>
              <w:jc w:val="center"/>
            </w:pPr>
            <w:r>
              <w:rPr>
                <w:rFonts w:ascii="宋体" w:hAnsi="宋体" w:eastAsia="宋体"/>
                <w:sz w:val="16"/>
              </w:rPr>
              <w:t>保障办公人员数量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5473F">
            <w:pPr>
              <w:jc w:val="center"/>
            </w:pPr>
            <w:r>
              <w:rPr>
                <w:rFonts w:ascii="宋体" w:hAnsi="宋体" w:eastAsia="宋体"/>
                <w:sz w:val="16"/>
              </w:rPr>
              <w:t>&gt;=120人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D915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20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544BA">
            <w:pPr>
              <w:jc w:val="center"/>
            </w:pPr>
            <w:r>
              <w:rPr>
                <w:rFonts w:ascii="宋体" w:hAnsi="宋体" w:eastAsia="宋体"/>
                <w:sz w:val="16"/>
              </w:rPr>
              <w:t>127人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849AA">
            <w:pPr>
              <w:jc w:val="center"/>
            </w:pPr>
            <w:r>
              <w:rPr>
                <w:rFonts w:ascii="宋体" w:hAnsi="宋体" w:eastAsia="宋体"/>
                <w:sz w:val="16"/>
              </w:rPr>
              <w:t>20</w:t>
            </w:r>
          </w:p>
        </w:tc>
      </w:tr>
      <w:tr w14:paraId="1E83C1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2FD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DE3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3B79">
            <w:pPr>
              <w:jc w:val="center"/>
            </w:pPr>
            <w:r>
              <w:rPr>
                <w:rFonts w:ascii="宋体" w:hAnsi="宋体" w:eastAsia="宋体"/>
                <w:sz w:val="16"/>
              </w:rPr>
              <w:t>公务保障用车数量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FFF24">
            <w:pPr>
              <w:jc w:val="center"/>
            </w:pPr>
            <w:r>
              <w:rPr>
                <w:rFonts w:ascii="宋体" w:hAnsi="宋体" w:eastAsia="宋体"/>
                <w:sz w:val="16"/>
              </w:rPr>
              <w:t>&gt;=12辆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1657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DF4F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BA1C5">
            <w:pPr>
              <w:jc w:val="center"/>
            </w:pPr>
            <w:r>
              <w:rPr>
                <w:rFonts w:ascii="宋体" w:hAnsi="宋体" w:eastAsia="宋体"/>
                <w:sz w:val="16"/>
              </w:rPr>
              <w:t>12辆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3ED16">
            <w:pPr>
              <w:jc w:val="center"/>
            </w:pPr>
            <w:r>
              <w:rPr>
                <w:rFonts w:ascii="宋体" w:hAnsi="宋体" w:eastAsia="宋体"/>
                <w:sz w:val="16"/>
              </w:rPr>
              <w:t>20</w:t>
            </w:r>
          </w:p>
        </w:tc>
      </w:tr>
      <w:tr w14:paraId="64EF8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D09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AE14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73607">
            <w:pPr>
              <w:jc w:val="center"/>
            </w:pPr>
            <w:r>
              <w:rPr>
                <w:rFonts w:ascii="宋体" w:hAnsi="宋体" w:eastAsia="宋体"/>
                <w:sz w:val="16"/>
              </w:rPr>
              <w:t>保障基层纪委数量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AA8E7">
            <w:pPr>
              <w:jc w:val="center"/>
            </w:pPr>
            <w:r>
              <w:rPr>
                <w:rFonts w:ascii="宋体" w:hAnsi="宋体" w:eastAsia="宋体"/>
                <w:sz w:val="16"/>
              </w:rPr>
              <w:t>&gt;=11个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D516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76E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04697">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263B">
            <w:pPr>
              <w:jc w:val="center"/>
            </w:pPr>
            <w:r>
              <w:rPr>
                <w:rFonts w:ascii="宋体" w:hAnsi="宋体" w:eastAsia="宋体"/>
                <w:sz w:val="16"/>
              </w:rPr>
              <w:t>20</w:t>
            </w:r>
          </w:p>
        </w:tc>
      </w:tr>
      <w:tr w14:paraId="6C5E33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4BD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D9EBC">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CB0F3">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725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21EF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44896">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8ED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3E5D8">
            <w:pPr>
              <w:jc w:val="center"/>
            </w:pPr>
            <w:r>
              <w:rPr>
                <w:rFonts w:ascii="宋体" w:hAnsi="宋体" w:eastAsia="宋体"/>
                <w:sz w:val="16"/>
              </w:rPr>
              <w:t>30</w:t>
            </w:r>
          </w:p>
        </w:tc>
      </w:tr>
    </w:tbl>
    <w:p w14:paraId="51293BC6">
      <w:r>
        <w:br w:type="page"/>
      </w:r>
    </w:p>
    <w:tbl>
      <w:tblPr>
        <w:tblStyle w:val="9"/>
        <w:tblW w:w="9500" w:type="dxa"/>
        <w:tblInd w:w="0" w:type="dxa"/>
        <w:tblLayout w:type="autofit"/>
        <w:tblCellMar>
          <w:top w:w="0" w:type="dxa"/>
          <w:left w:w="108" w:type="dxa"/>
          <w:bottom w:w="0" w:type="dxa"/>
          <w:right w:w="108" w:type="dxa"/>
        </w:tblCellMar>
      </w:tblPr>
      <w:tblGrid>
        <w:gridCol w:w="1055"/>
        <w:gridCol w:w="1055"/>
        <w:gridCol w:w="1055"/>
        <w:gridCol w:w="1056"/>
        <w:gridCol w:w="1055"/>
        <w:gridCol w:w="1055"/>
        <w:gridCol w:w="1055"/>
        <w:gridCol w:w="1055"/>
        <w:gridCol w:w="1059"/>
      </w:tblGrid>
      <w:tr w14:paraId="2328B7F0">
        <w:tblPrEx>
          <w:tblCellMar>
            <w:top w:w="0" w:type="dxa"/>
            <w:left w:w="108" w:type="dxa"/>
            <w:bottom w:w="0" w:type="dxa"/>
            <w:right w:w="108" w:type="dxa"/>
          </w:tblCellMar>
        </w:tblPrEx>
        <w:trPr>
          <w:trHeight w:val="338" w:hRule="atLeast"/>
        </w:trPr>
        <w:tc>
          <w:tcPr>
            <w:tcW w:w="9500" w:type="dxa"/>
            <w:gridSpan w:val="9"/>
            <w:vAlign w:val="center"/>
          </w:tcPr>
          <w:p w14:paraId="1BD41127">
            <w:pPr>
              <w:jc w:val="center"/>
            </w:pPr>
            <w:r>
              <w:rPr>
                <w:rFonts w:ascii="宋体" w:hAnsi="宋体" w:eastAsia="宋体"/>
                <w:sz w:val="24"/>
              </w:rPr>
              <w:t>项目支出绩效自评表</w:t>
            </w:r>
          </w:p>
        </w:tc>
      </w:tr>
      <w:tr w14:paraId="1D013F33">
        <w:tblPrEx>
          <w:tblCellMar>
            <w:top w:w="0" w:type="dxa"/>
            <w:left w:w="108" w:type="dxa"/>
            <w:bottom w:w="0" w:type="dxa"/>
            <w:right w:w="108" w:type="dxa"/>
          </w:tblCellMar>
        </w:tblPrEx>
        <w:trPr>
          <w:trHeight w:val="338" w:hRule="atLeast"/>
        </w:trPr>
        <w:tc>
          <w:tcPr>
            <w:tcW w:w="9500" w:type="dxa"/>
            <w:gridSpan w:val="9"/>
            <w:vAlign w:val="center"/>
          </w:tcPr>
          <w:p w14:paraId="473DF4EB">
            <w:pPr>
              <w:jc w:val="center"/>
            </w:pPr>
            <w:r>
              <w:rPr>
                <w:rFonts w:ascii="宋体" w:hAnsi="宋体" w:eastAsia="宋体"/>
                <w:sz w:val="24"/>
              </w:rPr>
              <w:t>(2024年度)</w:t>
            </w:r>
          </w:p>
        </w:tc>
      </w:tr>
      <w:tr w14:paraId="523C9B65">
        <w:tblPrEx>
          <w:tblCellMar>
            <w:top w:w="0" w:type="dxa"/>
            <w:left w:w="108" w:type="dxa"/>
            <w:bottom w:w="0" w:type="dxa"/>
            <w:right w:w="108" w:type="dxa"/>
          </w:tblCellMar>
        </w:tblPrEx>
        <w:trPr>
          <w:trHeight w:val="365" w:hRule="atLeast"/>
        </w:trPr>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9F3256A">
            <w:pPr>
              <w:jc w:val="center"/>
            </w:pPr>
            <w:r>
              <w:rPr>
                <w:rFonts w:ascii="宋体" w:hAnsi="宋体" w:eastAsia="宋体"/>
                <w:sz w:val="16"/>
              </w:rPr>
              <w:t>项目名称</w:t>
            </w:r>
          </w:p>
        </w:tc>
        <w:tc>
          <w:tcPr>
            <w:tcW w:w="844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D297E5">
            <w:pPr>
              <w:jc w:val="center"/>
            </w:pPr>
            <w:r>
              <w:rPr>
                <w:rFonts w:ascii="宋体" w:hAnsi="宋体" w:eastAsia="宋体"/>
                <w:sz w:val="16"/>
              </w:rPr>
              <w:t>审查调查中心内网机房建设项目</w:t>
            </w:r>
          </w:p>
        </w:tc>
      </w:tr>
      <w:tr w14:paraId="359C1579">
        <w:tblPrEx>
          <w:tblCellMar>
            <w:top w:w="0" w:type="dxa"/>
            <w:left w:w="108" w:type="dxa"/>
            <w:bottom w:w="0" w:type="dxa"/>
            <w:right w:w="108" w:type="dxa"/>
          </w:tblCellMar>
        </w:tblPrEx>
        <w:trPr>
          <w:trHeight w:val="365" w:hRule="atLeast"/>
        </w:trPr>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417DB2B">
            <w:pPr>
              <w:jc w:val="center"/>
            </w:pPr>
            <w:r>
              <w:rPr>
                <w:rFonts w:ascii="宋体" w:hAnsi="宋体" w:eastAsia="宋体"/>
                <w:sz w:val="16"/>
              </w:rPr>
              <w:t>主管部门</w:t>
            </w:r>
          </w:p>
        </w:tc>
        <w:tc>
          <w:tcPr>
            <w:tcW w:w="316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AA8015">
            <w:pPr>
              <w:jc w:val="center"/>
            </w:pPr>
            <w:r>
              <w:rPr>
                <w:rFonts w:ascii="宋体" w:hAnsi="宋体" w:eastAsia="宋体"/>
                <w:sz w:val="16"/>
              </w:rPr>
              <w:t>中共洛浦县纪律检查委员会</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FAB1819">
            <w:pPr>
              <w:jc w:val="center"/>
            </w:pPr>
            <w:r>
              <w:rPr>
                <w:rFonts w:ascii="宋体" w:hAnsi="宋体" w:eastAsia="宋体"/>
                <w:sz w:val="16"/>
              </w:rPr>
              <w:t>实施单位</w:t>
            </w:r>
          </w:p>
        </w:tc>
        <w:tc>
          <w:tcPr>
            <w:tcW w:w="422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94BFC1">
            <w:pPr>
              <w:jc w:val="center"/>
            </w:pPr>
            <w:r>
              <w:rPr>
                <w:rFonts w:ascii="宋体" w:hAnsi="宋体" w:eastAsia="宋体"/>
                <w:sz w:val="16"/>
              </w:rPr>
              <w:t>中共洛浦县纪律检查委员会</w:t>
            </w:r>
          </w:p>
        </w:tc>
      </w:tr>
      <w:tr w14:paraId="12E0EDB8">
        <w:tblPrEx>
          <w:tblCellMar>
            <w:top w:w="0" w:type="dxa"/>
            <w:left w:w="108" w:type="dxa"/>
            <w:bottom w:w="0" w:type="dxa"/>
            <w:right w:w="108" w:type="dxa"/>
          </w:tblCellMar>
        </w:tblPrEx>
        <w:trPr>
          <w:trHeight w:val="703" w:hRule="atLeast"/>
        </w:trPr>
        <w:tc>
          <w:tcPr>
            <w:tcW w:w="105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0A917">
            <w:pPr>
              <w:jc w:val="center"/>
            </w:pPr>
            <w:r>
              <w:rPr>
                <w:rFonts w:ascii="宋体" w:hAnsi="宋体" w:eastAsia="宋体"/>
                <w:sz w:val="16"/>
              </w:rPr>
              <w:t>项目资金 （万元）</w:t>
            </w:r>
          </w:p>
        </w:tc>
        <w:tc>
          <w:tcPr>
            <w:tcW w:w="21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48ED3">
            <w:pPr>
              <w:jc w:val="center"/>
            </w:pP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40D098EF">
            <w:pPr>
              <w:jc w:val="center"/>
            </w:pPr>
            <w:r>
              <w:rPr>
                <w:rFonts w:ascii="宋体" w:hAnsi="宋体" w:eastAsia="宋体"/>
                <w:sz w:val="16"/>
              </w:rPr>
              <w:t>年初预算数</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9F9E826">
            <w:pPr>
              <w:jc w:val="center"/>
            </w:pPr>
            <w:r>
              <w:rPr>
                <w:rFonts w:ascii="宋体" w:hAnsi="宋体" w:eastAsia="宋体"/>
                <w:sz w:val="16"/>
              </w:rPr>
              <w:t>全年预算数</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30DA9A95">
            <w:pPr>
              <w:jc w:val="center"/>
            </w:pPr>
            <w:r>
              <w:rPr>
                <w:rFonts w:ascii="宋体" w:hAnsi="宋体" w:eastAsia="宋体"/>
                <w:sz w:val="16"/>
              </w:rPr>
              <w:t>全年执行数</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0A22983">
            <w:pPr>
              <w:jc w:val="center"/>
            </w:pPr>
            <w:r>
              <w:rPr>
                <w:rFonts w:ascii="宋体" w:hAnsi="宋体" w:eastAsia="宋体"/>
                <w:sz w:val="16"/>
              </w:rPr>
              <w:t>分值</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919C72B">
            <w:pPr>
              <w:jc w:val="center"/>
            </w:pPr>
            <w:r>
              <w:rPr>
                <w:rFonts w:ascii="宋体" w:hAnsi="宋体" w:eastAsia="宋体"/>
                <w:sz w:val="16"/>
              </w:rPr>
              <w:t>执行率</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76AFE61">
            <w:pPr>
              <w:jc w:val="center"/>
            </w:pPr>
            <w:r>
              <w:rPr>
                <w:rFonts w:ascii="宋体" w:hAnsi="宋体" w:eastAsia="宋体"/>
                <w:sz w:val="16"/>
              </w:rPr>
              <w:t>得分</w:t>
            </w:r>
          </w:p>
        </w:tc>
      </w:tr>
      <w:tr w14:paraId="77FAA699">
        <w:tblPrEx>
          <w:tblCellMar>
            <w:top w:w="0" w:type="dxa"/>
            <w:left w:w="108" w:type="dxa"/>
            <w:bottom w:w="0" w:type="dxa"/>
            <w:right w:w="108" w:type="dxa"/>
          </w:tblCellMar>
        </w:tblPrEx>
        <w:trPr>
          <w:trHeight w:val="365"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6FE1044B"/>
        </w:tc>
        <w:tc>
          <w:tcPr>
            <w:tcW w:w="21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A6DD2">
            <w:pPr>
              <w:jc w:val="center"/>
            </w:pPr>
            <w:r>
              <w:rPr>
                <w:rFonts w:ascii="宋体" w:hAnsi="宋体" w:eastAsia="宋体"/>
                <w:sz w:val="16"/>
              </w:rPr>
              <w:t>年度资金总额</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3C3E2A1">
            <w:pPr>
              <w:jc w:val="center"/>
            </w:pPr>
            <w:r>
              <w:rPr>
                <w:rFonts w:ascii="宋体" w:hAnsi="宋体" w:eastAsia="宋体"/>
                <w:sz w:val="16"/>
              </w:rPr>
              <w:t>23.61</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B132420">
            <w:pPr>
              <w:jc w:val="center"/>
            </w:pPr>
            <w:r>
              <w:rPr>
                <w:rFonts w:ascii="宋体" w:hAnsi="宋体" w:eastAsia="宋体"/>
                <w:sz w:val="16"/>
              </w:rPr>
              <w:t>23.61</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1441B596">
            <w:pPr>
              <w:jc w:val="center"/>
            </w:pPr>
            <w:r>
              <w:rPr>
                <w:rFonts w:ascii="宋体" w:hAnsi="宋体" w:eastAsia="宋体"/>
                <w:sz w:val="16"/>
              </w:rPr>
              <w:t>23.61</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3868C57D">
            <w:pPr>
              <w:jc w:val="center"/>
            </w:pPr>
            <w:r>
              <w:rPr>
                <w:rFonts w:ascii="宋体" w:hAnsi="宋体" w:eastAsia="宋体"/>
                <w:sz w:val="16"/>
              </w:rPr>
              <w:t>10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34CC037">
            <w:pPr>
              <w:jc w:val="center"/>
            </w:pPr>
            <w:r>
              <w:rPr>
                <w:rFonts w:ascii="宋体" w:hAnsi="宋体" w:eastAsia="宋体"/>
                <w:sz w:val="16"/>
              </w:rPr>
              <w:t xml:space="preserve">100.00% </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77843537">
            <w:pPr>
              <w:jc w:val="center"/>
            </w:pPr>
            <w:r>
              <w:rPr>
                <w:rFonts w:ascii="宋体" w:hAnsi="宋体" w:eastAsia="宋体"/>
                <w:sz w:val="16"/>
              </w:rPr>
              <w:t>10.00分</w:t>
            </w:r>
          </w:p>
        </w:tc>
      </w:tr>
      <w:tr w14:paraId="11CA9176">
        <w:tblPrEx>
          <w:tblCellMar>
            <w:top w:w="0" w:type="dxa"/>
            <w:left w:w="108" w:type="dxa"/>
            <w:bottom w:w="0" w:type="dxa"/>
            <w:right w:w="108" w:type="dxa"/>
          </w:tblCellMar>
        </w:tblPrEx>
        <w:trPr>
          <w:trHeight w:val="365"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19D52C5B"/>
        </w:tc>
        <w:tc>
          <w:tcPr>
            <w:tcW w:w="21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13EAD">
            <w:pPr>
              <w:jc w:val="center"/>
            </w:pPr>
            <w:r>
              <w:rPr>
                <w:rFonts w:ascii="宋体" w:hAnsi="宋体" w:eastAsia="宋体"/>
                <w:sz w:val="16"/>
              </w:rPr>
              <w:t>其中：当年财政拨款</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09F7B0AA">
            <w:pPr>
              <w:jc w:val="center"/>
            </w:pPr>
            <w:r>
              <w:rPr>
                <w:rFonts w:ascii="宋体" w:hAnsi="宋体" w:eastAsia="宋体"/>
                <w:sz w:val="16"/>
              </w:rPr>
              <w:t>23.61</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923F361">
            <w:pPr>
              <w:jc w:val="center"/>
            </w:pPr>
            <w:r>
              <w:rPr>
                <w:rFonts w:ascii="宋体" w:hAnsi="宋体" w:eastAsia="宋体"/>
                <w:sz w:val="16"/>
              </w:rPr>
              <w:t>23.61</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09E7955">
            <w:pPr>
              <w:jc w:val="center"/>
            </w:pPr>
            <w:r>
              <w:rPr>
                <w:rFonts w:ascii="宋体" w:hAnsi="宋体" w:eastAsia="宋体"/>
                <w:sz w:val="16"/>
              </w:rPr>
              <w:t>23.61</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27A2F88">
            <w:pPr>
              <w:jc w:val="center"/>
            </w:pPr>
            <w:r>
              <w:rPr>
                <w:rFonts w:ascii="宋体" w:hAnsi="宋体" w:eastAsia="宋体"/>
                <w:sz w:val="16"/>
              </w:rPr>
              <w:t>—</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13C517A">
            <w:pPr>
              <w:jc w:val="center"/>
            </w:pPr>
            <w:r>
              <w:rPr>
                <w:rFonts w:ascii="宋体" w:hAnsi="宋体" w:eastAsia="宋体"/>
                <w:sz w:val="16"/>
              </w:rPr>
              <w:t>—</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910D72D">
            <w:pPr>
              <w:jc w:val="center"/>
            </w:pPr>
            <w:r>
              <w:rPr>
                <w:rFonts w:ascii="宋体" w:hAnsi="宋体" w:eastAsia="宋体"/>
                <w:sz w:val="16"/>
              </w:rPr>
              <w:t>—</w:t>
            </w:r>
          </w:p>
        </w:tc>
      </w:tr>
      <w:tr w14:paraId="332154CD">
        <w:tblPrEx>
          <w:tblCellMar>
            <w:top w:w="0" w:type="dxa"/>
            <w:left w:w="108" w:type="dxa"/>
            <w:bottom w:w="0" w:type="dxa"/>
            <w:right w:w="108" w:type="dxa"/>
          </w:tblCellMar>
        </w:tblPrEx>
        <w:trPr>
          <w:trHeight w:val="365"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1175CD9E"/>
        </w:tc>
        <w:tc>
          <w:tcPr>
            <w:tcW w:w="21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74B9F">
            <w:pPr>
              <w:jc w:val="center"/>
            </w:pPr>
            <w:r>
              <w:rPr>
                <w:rFonts w:ascii="宋体" w:hAnsi="宋体" w:eastAsia="宋体"/>
                <w:sz w:val="16"/>
              </w:rPr>
              <w:t xml:space="preserve">      上年结转资金</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4FBBFDB8">
            <w:pPr>
              <w:jc w:val="center"/>
            </w:pPr>
            <w:r>
              <w:rPr>
                <w:rFonts w:ascii="宋体" w:hAnsi="宋体" w:eastAsia="宋体"/>
                <w:sz w:val="16"/>
              </w:rPr>
              <w:t>0.00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6B2E193">
            <w:pPr>
              <w:jc w:val="center"/>
            </w:pPr>
            <w:r>
              <w:rPr>
                <w:rFonts w:ascii="宋体" w:hAnsi="宋体" w:eastAsia="宋体"/>
                <w:sz w:val="16"/>
              </w:rPr>
              <w:t>0.00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D10A9AB">
            <w:pPr>
              <w:jc w:val="center"/>
            </w:pPr>
            <w:r>
              <w:rPr>
                <w:rFonts w:ascii="宋体" w:hAnsi="宋体" w:eastAsia="宋体"/>
                <w:sz w:val="16"/>
              </w:rPr>
              <w:t>0.00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BB7C59A">
            <w:pPr>
              <w:jc w:val="center"/>
            </w:pPr>
            <w:r>
              <w:rPr>
                <w:rFonts w:ascii="宋体" w:hAnsi="宋体" w:eastAsia="宋体"/>
                <w:sz w:val="16"/>
              </w:rPr>
              <w:t>—</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98DB138">
            <w:pPr>
              <w:jc w:val="center"/>
            </w:pPr>
            <w:r>
              <w:rPr>
                <w:rFonts w:ascii="宋体" w:hAnsi="宋体" w:eastAsia="宋体"/>
                <w:sz w:val="16"/>
              </w:rPr>
              <w:t>—</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9525EE6">
            <w:pPr>
              <w:jc w:val="center"/>
            </w:pPr>
            <w:r>
              <w:rPr>
                <w:rFonts w:ascii="宋体" w:hAnsi="宋体" w:eastAsia="宋体"/>
                <w:sz w:val="16"/>
              </w:rPr>
              <w:t>—</w:t>
            </w:r>
          </w:p>
        </w:tc>
      </w:tr>
      <w:tr w14:paraId="5B744CF8">
        <w:tblPrEx>
          <w:tblCellMar>
            <w:top w:w="0" w:type="dxa"/>
            <w:left w:w="108" w:type="dxa"/>
            <w:bottom w:w="0" w:type="dxa"/>
            <w:right w:w="108" w:type="dxa"/>
          </w:tblCellMar>
        </w:tblPrEx>
        <w:trPr>
          <w:trHeight w:val="365"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54A67D00"/>
        </w:tc>
        <w:tc>
          <w:tcPr>
            <w:tcW w:w="21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ACA32">
            <w:pPr>
              <w:jc w:val="center"/>
            </w:pPr>
            <w:r>
              <w:rPr>
                <w:rFonts w:ascii="宋体" w:hAnsi="宋体" w:eastAsia="宋体"/>
                <w:sz w:val="16"/>
              </w:rPr>
              <w:t xml:space="preserve">  其他资金</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35A0D490">
            <w:pPr>
              <w:jc w:val="center"/>
            </w:pPr>
            <w:r>
              <w:rPr>
                <w:rFonts w:ascii="宋体" w:hAnsi="宋体" w:eastAsia="宋体"/>
                <w:sz w:val="16"/>
              </w:rPr>
              <w:t>0.00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D9DCE97">
            <w:pPr>
              <w:jc w:val="center"/>
            </w:pPr>
            <w:r>
              <w:rPr>
                <w:rFonts w:ascii="宋体" w:hAnsi="宋体" w:eastAsia="宋体"/>
                <w:sz w:val="16"/>
              </w:rPr>
              <w:t>0.00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144BCEF">
            <w:pPr>
              <w:jc w:val="center"/>
            </w:pPr>
            <w:r>
              <w:rPr>
                <w:rFonts w:ascii="宋体" w:hAnsi="宋体" w:eastAsia="宋体"/>
                <w:sz w:val="16"/>
              </w:rPr>
              <w:t>0.00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6258885">
            <w:pPr>
              <w:jc w:val="center"/>
            </w:pPr>
            <w:r>
              <w:rPr>
                <w:rFonts w:ascii="宋体" w:hAnsi="宋体" w:eastAsia="宋体"/>
                <w:sz w:val="16"/>
              </w:rPr>
              <w:t>—</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8DBD64E">
            <w:pPr>
              <w:jc w:val="center"/>
            </w:pPr>
            <w:r>
              <w:rPr>
                <w:rFonts w:ascii="宋体" w:hAnsi="宋体" w:eastAsia="宋体"/>
                <w:sz w:val="16"/>
              </w:rPr>
              <w:t>—</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BAF508D">
            <w:pPr>
              <w:jc w:val="center"/>
            </w:pPr>
            <w:r>
              <w:rPr>
                <w:rFonts w:ascii="宋体" w:hAnsi="宋体" w:eastAsia="宋体"/>
                <w:sz w:val="16"/>
              </w:rPr>
              <w:t>—</w:t>
            </w:r>
          </w:p>
        </w:tc>
      </w:tr>
      <w:tr w14:paraId="3645F0F4">
        <w:tblPrEx>
          <w:tblCellMar>
            <w:top w:w="0" w:type="dxa"/>
            <w:left w:w="108" w:type="dxa"/>
            <w:bottom w:w="0" w:type="dxa"/>
            <w:right w:w="108" w:type="dxa"/>
          </w:tblCellMar>
        </w:tblPrEx>
        <w:trPr>
          <w:trHeight w:val="365" w:hRule="atLeast"/>
        </w:trPr>
        <w:tc>
          <w:tcPr>
            <w:tcW w:w="105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AB046">
            <w:pPr>
              <w:jc w:val="center"/>
            </w:pPr>
            <w:r>
              <w:rPr>
                <w:rFonts w:ascii="宋体" w:hAnsi="宋体" w:eastAsia="宋体"/>
                <w:sz w:val="16"/>
              </w:rPr>
              <w:t>年度总体目标</w:t>
            </w:r>
          </w:p>
        </w:tc>
        <w:tc>
          <w:tcPr>
            <w:tcW w:w="316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D81E4B">
            <w:pPr>
              <w:jc w:val="center"/>
            </w:pPr>
            <w:r>
              <w:rPr>
                <w:rFonts w:ascii="宋体" w:hAnsi="宋体" w:eastAsia="宋体"/>
                <w:sz w:val="16"/>
              </w:rPr>
              <w:t>预期目标</w:t>
            </w:r>
          </w:p>
        </w:tc>
        <w:tc>
          <w:tcPr>
            <w:tcW w:w="527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8742DC">
            <w:pPr>
              <w:jc w:val="center"/>
            </w:pPr>
            <w:r>
              <w:rPr>
                <w:rFonts w:ascii="宋体" w:hAnsi="宋体" w:eastAsia="宋体"/>
                <w:sz w:val="16"/>
              </w:rPr>
              <w:t>实际完成情况</w:t>
            </w:r>
          </w:p>
        </w:tc>
      </w:tr>
      <w:tr w14:paraId="68A85BD2">
        <w:tblPrEx>
          <w:tblCellMar>
            <w:top w:w="0" w:type="dxa"/>
            <w:left w:w="108" w:type="dxa"/>
            <w:bottom w:w="0" w:type="dxa"/>
            <w:right w:w="108" w:type="dxa"/>
          </w:tblCellMar>
        </w:tblPrEx>
        <w:trPr>
          <w:trHeight w:val="1380"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03836C8D"/>
        </w:tc>
        <w:tc>
          <w:tcPr>
            <w:tcW w:w="316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836A11">
            <w:pPr>
              <w:jc w:val="both"/>
            </w:pPr>
            <w:r>
              <w:rPr>
                <w:rFonts w:ascii="宋体" w:hAnsi="宋体" w:eastAsia="宋体"/>
                <w:sz w:val="16"/>
              </w:rPr>
              <w:t>根据文件实施该项目，项目主要内容：建设内网机房1个、购置设备1批。通过项目实施，有效提升公共服务水平。争取受益群众满意度达到95%以上。</w:t>
            </w:r>
          </w:p>
        </w:tc>
        <w:tc>
          <w:tcPr>
            <w:tcW w:w="527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4A14C2">
            <w:pPr>
              <w:jc w:val="both"/>
            </w:pPr>
            <w:r>
              <w:rPr>
                <w:rFonts w:hint="eastAsia" w:ascii="宋体" w:hAnsi="宋体"/>
                <w:sz w:val="16"/>
                <w:lang w:eastAsia="zh-CN"/>
              </w:rPr>
              <w:t>截至</w:t>
            </w:r>
            <w:r>
              <w:rPr>
                <w:rFonts w:ascii="宋体" w:hAnsi="宋体" w:eastAsia="宋体"/>
                <w:sz w:val="16"/>
              </w:rPr>
              <w:t>2024年12月31日，该项目已实施完毕，已支付资金23.61万元。项目已完成的主要内容为建设1个内网机房，购置1批设备；通过项目</w:t>
            </w:r>
            <w:r>
              <w:rPr>
                <w:rFonts w:hint="eastAsia" w:ascii="宋体" w:hAnsi="宋体"/>
                <w:sz w:val="16"/>
                <w:lang w:eastAsia="zh-CN"/>
              </w:rPr>
              <w:t>实施</w:t>
            </w:r>
            <w:r>
              <w:rPr>
                <w:rFonts w:ascii="宋体" w:hAnsi="宋体" w:eastAsia="宋体"/>
                <w:sz w:val="16"/>
              </w:rPr>
              <w:t>有效提升了审查调查中心各项工作水平，确保了审调工作有序开展，审调工作人员满意度达到了100%。</w:t>
            </w:r>
          </w:p>
        </w:tc>
      </w:tr>
      <w:tr w14:paraId="7D1C4C55">
        <w:tblPrEx>
          <w:tblCellMar>
            <w:top w:w="0" w:type="dxa"/>
            <w:left w:w="108" w:type="dxa"/>
            <w:bottom w:w="0" w:type="dxa"/>
            <w:right w:w="108" w:type="dxa"/>
          </w:tblCellMar>
        </w:tblPrEx>
        <w:trPr>
          <w:trHeight w:val="1042" w:hRule="atLeast"/>
        </w:trPr>
        <w:tc>
          <w:tcPr>
            <w:tcW w:w="1055" w:type="dxa"/>
            <w:tcBorders>
              <w:top w:val="single" w:color="auto" w:sz="10" w:space="0"/>
              <w:left w:val="single" w:color="auto" w:sz="10" w:space="0"/>
              <w:bottom w:val="single" w:color="auto" w:sz="10" w:space="0"/>
              <w:right w:val="single" w:color="auto" w:sz="10" w:space="0"/>
              <w:insideV w:val="single" w:sz="10" w:space="0"/>
            </w:tcBorders>
          </w:tcPr>
          <w:p w14:paraId="3250ACE8"/>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72081EF">
            <w:pPr>
              <w:jc w:val="center"/>
            </w:pPr>
            <w:r>
              <w:rPr>
                <w:rFonts w:ascii="宋体" w:hAnsi="宋体" w:eastAsia="宋体"/>
                <w:sz w:val="16"/>
              </w:rPr>
              <w:t>一级指标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D50A57B">
            <w:pPr>
              <w:jc w:val="center"/>
            </w:pPr>
            <w:r>
              <w:rPr>
                <w:rFonts w:ascii="宋体" w:hAnsi="宋体" w:eastAsia="宋体"/>
                <w:sz w:val="16"/>
              </w:rPr>
              <w:t>二级指标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13DB9697">
            <w:pPr>
              <w:jc w:val="center"/>
            </w:pPr>
            <w:r>
              <w:rPr>
                <w:rFonts w:ascii="宋体" w:hAnsi="宋体" w:eastAsia="宋体"/>
                <w:sz w:val="16"/>
              </w:rPr>
              <w:t>三级指标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13825F8">
            <w:pPr>
              <w:jc w:val="center"/>
            </w:pPr>
            <w:r>
              <w:rPr>
                <w:rFonts w:ascii="宋体" w:hAnsi="宋体" w:eastAsia="宋体"/>
                <w:sz w:val="16"/>
              </w:rPr>
              <w:t>年度指标值</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C25A1C1">
            <w:pPr>
              <w:jc w:val="center"/>
            </w:pPr>
            <w:r>
              <w:rPr>
                <w:rFonts w:ascii="宋体" w:hAnsi="宋体" w:eastAsia="宋体"/>
                <w:sz w:val="16"/>
              </w:rPr>
              <w:t>实际完成值</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FECCB0D">
            <w:pPr>
              <w:jc w:val="center"/>
            </w:pPr>
            <w:r>
              <w:rPr>
                <w:rFonts w:ascii="宋体" w:hAnsi="宋体" w:eastAsia="宋体"/>
                <w:sz w:val="16"/>
              </w:rPr>
              <w:t>分值</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D66D873">
            <w:pPr>
              <w:jc w:val="center"/>
            </w:pPr>
            <w:r>
              <w:rPr>
                <w:rFonts w:ascii="宋体" w:hAnsi="宋体" w:eastAsia="宋体"/>
                <w:sz w:val="16"/>
              </w:rPr>
              <w:t>得分</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9D2D7D4">
            <w:pPr>
              <w:jc w:val="center"/>
            </w:pPr>
            <w:r>
              <w:rPr>
                <w:rFonts w:ascii="宋体" w:hAnsi="宋体" w:eastAsia="宋体"/>
                <w:sz w:val="16"/>
              </w:rPr>
              <w:t>偏差原因分析及改进措施</w:t>
            </w:r>
          </w:p>
        </w:tc>
      </w:tr>
      <w:tr w14:paraId="25BB273F">
        <w:tblPrEx>
          <w:tblCellMar>
            <w:top w:w="0" w:type="dxa"/>
            <w:left w:w="108" w:type="dxa"/>
            <w:bottom w:w="0" w:type="dxa"/>
            <w:right w:w="108" w:type="dxa"/>
          </w:tblCellMar>
        </w:tblPrEx>
        <w:trPr>
          <w:trHeight w:val="703" w:hRule="atLeast"/>
        </w:trPr>
        <w:tc>
          <w:tcPr>
            <w:tcW w:w="105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40FF7">
            <w:pPr>
              <w:jc w:val="center"/>
            </w:pPr>
            <w:r>
              <w:rPr>
                <w:rFonts w:ascii="宋体" w:hAnsi="宋体" w:eastAsia="宋体"/>
                <w:sz w:val="16"/>
              </w:rPr>
              <w:t>年度绩效指标完成情况</w:t>
            </w:r>
          </w:p>
        </w:tc>
        <w:tc>
          <w:tcPr>
            <w:tcW w:w="105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354D7">
            <w:pPr>
              <w:jc w:val="center"/>
            </w:pPr>
            <w:r>
              <w:rPr>
                <w:rFonts w:ascii="宋体" w:hAnsi="宋体" w:eastAsia="宋体"/>
                <w:sz w:val="16"/>
              </w:rPr>
              <w:t>产出指标</w:t>
            </w:r>
          </w:p>
        </w:tc>
        <w:tc>
          <w:tcPr>
            <w:tcW w:w="105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69E2F">
            <w:pPr>
              <w:jc w:val="center"/>
            </w:pPr>
            <w:r>
              <w:rPr>
                <w:rFonts w:ascii="宋体" w:hAnsi="宋体" w:eastAsia="宋体"/>
                <w:sz w:val="16"/>
              </w:rPr>
              <w:t>数量指标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03F617AB">
            <w:pPr>
              <w:jc w:val="center"/>
            </w:pPr>
            <w:r>
              <w:rPr>
                <w:rFonts w:ascii="宋体" w:hAnsi="宋体" w:eastAsia="宋体"/>
                <w:sz w:val="16"/>
              </w:rPr>
              <w:t>设备购置数量</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D67F6C8">
            <w:pPr>
              <w:jc w:val="center"/>
            </w:pPr>
            <w:r>
              <w:rPr>
                <w:rFonts w:ascii="宋体" w:hAnsi="宋体" w:eastAsia="宋体"/>
                <w:sz w:val="16"/>
              </w:rPr>
              <w:t>&gt;=1批</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E40D5A7">
            <w:pPr>
              <w:jc w:val="center"/>
            </w:pPr>
            <w:r>
              <w:rPr>
                <w:rFonts w:ascii="宋体" w:hAnsi="宋体" w:eastAsia="宋体"/>
                <w:sz w:val="16"/>
              </w:rPr>
              <w:t>=1批</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1F74057B">
            <w:pPr>
              <w:jc w:val="center"/>
            </w:pPr>
            <w:r>
              <w:rPr>
                <w:rFonts w:ascii="宋体" w:hAnsi="宋体" w:eastAsia="宋体"/>
                <w:sz w:val="16"/>
              </w:rPr>
              <w:t>6</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3CD70D0F">
            <w:pPr>
              <w:jc w:val="center"/>
            </w:pPr>
            <w:r>
              <w:rPr>
                <w:rFonts w:ascii="宋体" w:hAnsi="宋体" w:eastAsia="宋体"/>
                <w:sz w:val="16"/>
              </w:rPr>
              <w:t>6</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25D5152">
            <w:pPr>
              <w:jc w:val="center"/>
            </w:pPr>
          </w:p>
        </w:tc>
      </w:tr>
      <w:tr w14:paraId="01CDC239">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2F3D311C"/>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2CCFC0CB"/>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7145B89E"/>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C8362B7">
            <w:pPr>
              <w:jc w:val="center"/>
            </w:pPr>
            <w:r>
              <w:rPr>
                <w:rFonts w:ascii="宋体" w:hAnsi="宋体" w:eastAsia="宋体"/>
                <w:sz w:val="16"/>
              </w:rPr>
              <w:t>建设内网机房数量</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C4D4B6F">
            <w:pPr>
              <w:jc w:val="center"/>
            </w:pPr>
            <w:r>
              <w:rPr>
                <w:rFonts w:ascii="宋体" w:hAnsi="宋体" w:eastAsia="宋体"/>
                <w:sz w:val="16"/>
              </w:rPr>
              <w:t>&gt;=1个</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A59F9BB">
            <w:pPr>
              <w:jc w:val="center"/>
            </w:pPr>
            <w:r>
              <w:rPr>
                <w:rFonts w:ascii="宋体" w:hAnsi="宋体" w:eastAsia="宋体"/>
                <w:sz w:val="16"/>
              </w:rPr>
              <w:t>=1个</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C66CBEC">
            <w:pPr>
              <w:jc w:val="center"/>
            </w:pPr>
            <w:r>
              <w:rPr>
                <w:rFonts w:ascii="宋体" w:hAnsi="宋体" w:eastAsia="宋体"/>
                <w:sz w:val="16"/>
              </w:rPr>
              <w:t>6</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213CD30">
            <w:pPr>
              <w:jc w:val="center"/>
            </w:pPr>
            <w:r>
              <w:rPr>
                <w:rFonts w:ascii="宋体" w:hAnsi="宋体" w:eastAsia="宋体"/>
                <w:sz w:val="16"/>
              </w:rPr>
              <w:t>6</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DB593A5">
            <w:pPr>
              <w:jc w:val="center"/>
            </w:pPr>
          </w:p>
        </w:tc>
      </w:tr>
      <w:tr w14:paraId="280AC6EB">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6CB10CFA"/>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4CD475E5"/>
        </w:tc>
        <w:tc>
          <w:tcPr>
            <w:tcW w:w="105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FCA9F">
            <w:pPr>
              <w:jc w:val="center"/>
            </w:pPr>
            <w:r>
              <w:rPr>
                <w:rFonts w:ascii="宋体" w:hAnsi="宋体" w:eastAsia="宋体"/>
                <w:sz w:val="16"/>
              </w:rPr>
              <w:t>质量指标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71422C74">
            <w:pPr>
              <w:jc w:val="center"/>
            </w:pPr>
            <w:r>
              <w:rPr>
                <w:rFonts w:ascii="宋体" w:hAnsi="宋体" w:eastAsia="宋体"/>
                <w:sz w:val="16"/>
              </w:rPr>
              <w:t>资金使用合规率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7B78DA2">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15D5E13B">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E8C9DE1">
            <w:pPr>
              <w:jc w:val="center"/>
            </w:pPr>
            <w:r>
              <w:rPr>
                <w:rFonts w:ascii="宋体" w:hAnsi="宋体" w:eastAsia="宋体"/>
                <w:sz w:val="16"/>
              </w:rPr>
              <w:t>6</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E824F74">
            <w:pPr>
              <w:jc w:val="center"/>
            </w:pPr>
            <w:r>
              <w:rPr>
                <w:rFonts w:ascii="宋体" w:hAnsi="宋体" w:eastAsia="宋体"/>
                <w:sz w:val="16"/>
              </w:rPr>
              <w:t>6</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0587FB32">
            <w:pPr>
              <w:jc w:val="center"/>
            </w:pPr>
          </w:p>
        </w:tc>
      </w:tr>
      <w:tr w14:paraId="4641A31E">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125C955B"/>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0435D04B"/>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14D81583"/>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050BE742">
            <w:pPr>
              <w:jc w:val="center"/>
            </w:pPr>
            <w:r>
              <w:rPr>
                <w:rFonts w:ascii="宋体" w:hAnsi="宋体" w:eastAsia="宋体"/>
                <w:sz w:val="16"/>
              </w:rPr>
              <w:t>设备购置验收合格率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99B5BE4">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E729A22">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4D29A88">
            <w:pPr>
              <w:jc w:val="center"/>
            </w:pPr>
            <w:r>
              <w:rPr>
                <w:rFonts w:ascii="宋体" w:hAnsi="宋体" w:eastAsia="宋体"/>
                <w:sz w:val="16"/>
              </w:rPr>
              <w:t>6</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1E6D8568">
            <w:pPr>
              <w:jc w:val="center"/>
            </w:pPr>
            <w:r>
              <w:rPr>
                <w:rFonts w:ascii="宋体" w:hAnsi="宋体" w:eastAsia="宋体"/>
                <w:sz w:val="16"/>
              </w:rPr>
              <w:t>6</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E1BDF38">
            <w:pPr>
              <w:jc w:val="center"/>
            </w:pPr>
          </w:p>
        </w:tc>
      </w:tr>
      <w:tr w14:paraId="43A99A73">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07F67244"/>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4C56955A"/>
        </w:tc>
        <w:tc>
          <w:tcPr>
            <w:tcW w:w="105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0D406">
            <w:pPr>
              <w:jc w:val="center"/>
            </w:pPr>
            <w:r>
              <w:rPr>
                <w:rFonts w:ascii="宋体" w:hAnsi="宋体" w:eastAsia="宋体"/>
                <w:sz w:val="16"/>
              </w:rPr>
              <w:t>时效指标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71599559">
            <w:pPr>
              <w:jc w:val="center"/>
            </w:pPr>
            <w:r>
              <w:rPr>
                <w:rFonts w:ascii="宋体" w:hAnsi="宋体" w:eastAsia="宋体"/>
                <w:sz w:val="16"/>
              </w:rPr>
              <w:t>资金支付及时率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444DD37">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38D39E0">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CB30FB4">
            <w:pPr>
              <w:jc w:val="center"/>
            </w:pPr>
            <w:r>
              <w:rPr>
                <w:rFonts w:ascii="宋体" w:hAnsi="宋体" w:eastAsia="宋体"/>
                <w:sz w:val="16"/>
              </w:rPr>
              <w:t>6</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DB3FAB4">
            <w:pPr>
              <w:jc w:val="center"/>
            </w:pPr>
            <w:r>
              <w:rPr>
                <w:rFonts w:ascii="宋体" w:hAnsi="宋体" w:eastAsia="宋体"/>
                <w:sz w:val="16"/>
              </w:rPr>
              <w:t>6</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2622BCFD">
            <w:pPr>
              <w:jc w:val="center"/>
            </w:pPr>
          </w:p>
        </w:tc>
      </w:tr>
      <w:tr w14:paraId="3545626B">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093275F4"/>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048AE9D6"/>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31E19DB4"/>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1440E414">
            <w:pPr>
              <w:jc w:val="center"/>
            </w:pPr>
            <w:r>
              <w:rPr>
                <w:rFonts w:ascii="宋体" w:hAnsi="宋体" w:eastAsia="宋体"/>
                <w:sz w:val="16"/>
              </w:rPr>
              <w:t>项目开始时间</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8C41642">
            <w:pPr>
              <w:jc w:val="center"/>
            </w:pPr>
            <w:r>
              <w:rPr>
                <w:rFonts w:ascii="宋体" w:hAnsi="宋体" w:eastAsia="宋体"/>
                <w:sz w:val="16"/>
              </w:rPr>
              <w:t>2024年1月</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3E5085C">
            <w:pPr>
              <w:jc w:val="center"/>
            </w:pPr>
            <w:r>
              <w:rPr>
                <w:rFonts w:ascii="宋体" w:hAnsi="宋体" w:eastAsia="宋体"/>
                <w:sz w:val="16"/>
              </w:rPr>
              <w:t>=2024年1月</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5A3EFBA">
            <w:pPr>
              <w:jc w:val="center"/>
            </w:pPr>
            <w:r>
              <w:rPr>
                <w:rFonts w:ascii="宋体" w:hAnsi="宋体" w:eastAsia="宋体"/>
                <w:sz w:val="16"/>
              </w:rPr>
              <w:t>5</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08789C2">
            <w:pPr>
              <w:jc w:val="center"/>
            </w:pPr>
            <w:r>
              <w:rPr>
                <w:rFonts w:ascii="宋体" w:hAnsi="宋体" w:eastAsia="宋体"/>
                <w:sz w:val="16"/>
              </w:rPr>
              <w:t>5</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0AA15EF">
            <w:pPr>
              <w:jc w:val="center"/>
            </w:pPr>
          </w:p>
        </w:tc>
      </w:tr>
      <w:tr w14:paraId="440FE03D">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19E4282A"/>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1F6E49BC"/>
        </w:tc>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210585B2"/>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BAD430F">
            <w:pPr>
              <w:jc w:val="center"/>
            </w:pPr>
            <w:r>
              <w:rPr>
                <w:rFonts w:ascii="宋体" w:hAnsi="宋体" w:eastAsia="宋体"/>
                <w:sz w:val="16"/>
              </w:rPr>
              <w:t>项目结束时间</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3D477CE">
            <w:pPr>
              <w:jc w:val="center"/>
            </w:pPr>
            <w:r>
              <w:rPr>
                <w:rFonts w:ascii="宋体" w:hAnsi="宋体" w:eastAsia="宋体"/>
                <w:sz w:val="16"/>
              </w:rPr>
              <w:t>2024年12月</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D04DA68">
            <w:pPr>
              <w:jc w:val="center"/>
            </w:pPr>
            <w:r>
              <w:rPr>
                <w:rFonts w:ascii="宋体" w:hAnsi="宋体" w:eastAsia="宋体"/>
                <w:sz w:val="16"/>
              </w:rPr>
              <w:t>=2024年12月</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487EF0F">
            <w:pPr>
              <w:jc w:val="center"/>
            </w:pPr>
            <w:r>
              <w:rPr>
                <w:rFonts w:ascii="宋体" w:hAnsi="宋体" w:eastAsia="宋体"/>
                <w:sz w:val="16"/>
              </w:rPr>
              <w:t>5</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1454A6A">
            <w:pPr>
              <w:jc w:val="center"/>
            </w:pPr>
            <w:r>
              <w:rPr>
                <w:rFonts w:ascii="宋体" w:hAnsi="宋体" w:eastAsia="宋体"/>
                <w:sz w:val="16"/>
              </w:rPr>
              <w:t>5</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703FC2F0">
            <w:pPr>
              <w:jc w:val="center"/>
            </w:pPr>
          </w:p>
        </w:tc>
      </w:tr>
      <w:tr w14:paraId="2C91E71B">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5F47917E"/>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BA4576C">
            <w:pPr>
              <w:jc w:val="center"/>
            </w:pPr>
            <w:r>
              <w:rPr>
                <w:rFonts w:ascii="宋体" w:hAnsi="宋体" w:eastAsia="宋体"/>
                <w:sz w:val="16"/>
              </w:rPr>
              <w:t>成本指标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930ECF9">
            <w:pPr>
              <w:jc w:val="center"/>
            </w:pPr>
            <w:r>
              <w:rPr>
                <w:rFonts w:ascii="宋体" w:hAnsi="宋体" w:eastAsia="宋体"/>
                <w:sz w:val="16"/>
              </w:rPr>
              <w:t>经济成本指标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7342D589">
            <w:pPr>
              <w:jc w:val="center"/>
            </w:pPr>
            <w:r>
              <w:rPr>
                <w:rFonts w:ascii="宋体" w:hAnsi="宋体" w:eastAsia="宋体"/>
                <w:sz w:val="16"/>
              </w:rPr>
              <w:t>项目总成本</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18005143">
            <w:pPr>
              <w:jc w:val="center"/>
            </w:pPr>
            <w:r>
              <w:rPr>
                <w:rFonts w:ascii="宋体" w:hAnsi="宋体" w:eastAsia="宋体"/>
                <w:sz w:val="16"/>
              </w:rPr>
              <w:t>&lt;=23.61万元</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29BE90FB">
            <w:pPr>
              <w:jc w:val="center"/>
            </w:pPr>
            <w:r>
              <w:rPr>
                <w:rFonts w:ascii="宋体" w:hAnsi="宋体" w:eastAsia="宋体"/>
                <w:sz w:val="16"/>
              </w:rPr>
              <w:t>=23.61万元</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08F902F">
            <w:pPr>
              <w:jc w:val="center"/>
            </w:pPr>
            <w:r>
              <w:rPr>
                <w:rFonts w:ascii="宋体" w:hAnsi="宋体" w:eastAsia="宋体"/>
                <w:sz w:val="16"/>
              </w:rPr>
              <w:t>20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A6A3ABC">
            <w:pPr>
              <w:jc w:val="center"/>
            </w:pPr>
            <w:r>
              <w:rPr>
                <w:rFonts w:ascii="宋体" w:hAnsi="宋体" w:eastAsia="宋体"/>
                <w:sz w:val="16"/>
              </w:rPr>
              <w:t>20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5A52A2E">
            <w:pPr>
              <w:jc w:val="center"/>
            </w:pPr>
          </w:p>
        </w:tc>
      </w:tr>
      <w:tr w14:paraId="69F5E084">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2F8AE50F"/>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9180E30">
            <w:pPr>
              <w:jc w:val="center"/>
            </w:pPr>
            <w:r>
              <w:rPr>
                <w:rFonts w:ascii="宋体" w:hAnsi="宋体" w:eastAsia="宋体"/>
                <w:sz w:val="16"/>
              </w:rPr>
              <w:t>效益指标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450EB46F">
            <w:pPr>
              <w:jc w:val="center"/>
            </w:pPr>
            <w:r>
              <w:rPr>
                <w:rFonts w:ascii="宋体" w:hAnsi="宋体" w:eastAsia="宋体"/>
                <w:sz w:val="16"/>
              </w:rPr>
              <w:t>社会效益指标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28130A8">
            <w:pPr>
              <w:jc w:val="center"/>
            </w:pPr>
            <w:r>
              <w:rPr>
                <w:rFonts w:ascii="宋体" w:hAnsi="宋体" w:eastAsia="宋体"/>
                <w:sz w:val="16"/>
              </w:rPr>
              <w:t>提升公共服务水平</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5A829CCD">
            <w:pPr>
              <w:jc w:val="center"/>
            </w:pPr>
            <w:r>
              <w:rPr>
                <w:rFonts w:ascii="宋体" w:hAnsi="宋体" w:eastAsia="宋体"/>
                <w:sz w:val="16"/>
              </w:rPr>
              <w:t>有效提升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37497FDB">
            <w:pPr>
              <w:jc w:val="center"/>
            </w:pPr>
            <w:r>
              <w:rPr>
                <w:rFonts w:ascii="宋体" w:hAnsi="宋体" w:eastAsia="宋体"/>
                <w:sz w:val="16"/>
              </w:rPr>
              <w:t>有效提升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1192821C">
            <w:pPr>
              <w:jc w:val="center"/>
            </w:pPr>
            <w:r>
              <w:rPr>
                <w:rFonts w:ascii="宋体" w:hAnsi="宋体" w:eastAsia="宋体"/>
                <w:sz w:val="16"/>
              </w:rPr>
              <w:t>20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5A24211">
            <w:pPr>
              <w:jc w:val="center"/>
            </w:pPr>
            <w:r>
              <w:rPr>
                <w:rFonts w:ascii="宋体" w:hAnsi="宋体" w:eastAsia="宋体"/>
                <w:sz w:val="16"/>
              </w:rPr>
              <w:t>20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997EFCD">
            <w:pPr>
              <w:jc w:val="center"/>
            </w:pPr>
          </w:p>
        </w:tc>
      </w:tr>
      <w:tr w14:paraId="7E087492">
        <w:tblPrEx>
          <w:tblCellMar>
            <w:top w:w="0" w:type="dxa"/>
            <w:left w:w="108" w:type="dxa"/>
            <w:bottom w:w="0" w:type="dxa"/>
            <w:right w:w="108" w:type="dxa"/>
          </w:tblCellMar>
        </w:tblPrEx>
        <w:trPr>
          <w:trHeight w:val="703" w:hRule="atLeast"/>
        </w:trPr>
        <w:tc>
          <w:tcPr>
            <w:tcW w:w="1055" w:type="dxa"/>
            <w:vMerge w:val="continue"/>
            <w:tcBorders>
              <w:top w:val="single" w:color="auto" w:sz="10" w:space="0"/>
              <w:left w:val="single" w:color="auto" w:sz="10" w:space="0"/>
              <w:bottom w:val="single" w:color="auto" w:sz="10" w:space="0"/>
              <w:right w:val="single" w:color="auto" w:sz="10" w:space="0"/>
              <w:insideV w:val="single" w:sz="10" w:space="0"/>
            </w:tcBorders>
          </w:tcPr>
          <w:p w14:paraId="6F2B14B5"/>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19CEE5A">
            <w:pPr>
              <w:jc w:val="center"/>
            </w:pPr>
            <w:r>
              <w:rPr>
                <w:rFonts w:ascii="宋体" w:hAnsi="宋体" w:eastAsia="宋体"/>
                <w:sz w:val="16"/>
              </w:rPr>
              <w:t>满意度指标</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5CF4CB9">
            <w:pPr>
              <w:jc w:val="center"/>
            </w:pPr>
            <w:r>
              <w:rPr>
                <w:rFonts w:ascii="宋体" w:hAnsi="宋体" w:eastAsia="宋体"/>
                <w:sz w:val="16"/>
              </w:rPr>
              <w:t>满意度指标</w:t>
            </w:r>
          </w:p>
        </w:tc>
        <w:tc>
          <w:tcPr>
            <w:tcW w:w="1056" w:type="dxa"/>
            <w:tcBorders>
              <w:top w:val="single" w:color="auto" w:sz="10" w:space="0"/>
              <w:left w:val="single" w:color="auto" w:sz="10" w:space="0"/>
              <w:bottom w:val="single" w:color="auto" w:sz="10" w:space="0"/>
              <w:right w:val="single" w:color="auto" w:sz="10" w:space="0"/>
              <w:insideV w:val="single" w:sz="10" w:space="0"/>
            </w:tcBorders>
            <w:vAlign w:val="center"/>
          </w:tcPr>
          <w:p w14:paraId="24C3DCD0">
            <w:pPr>
              <w:jc w:val="center"/>
            </w:pPr>
            <w:r>
              <w:rPr>
                <w:rFonts w:ascii="宋体" w:hAnsi="宋体" w:eastAsia="宋体"/>
                <w:sz w:val="16"/>
              </w:rPr>
              <w:t>工作人员满意度</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7F4FE0F4">
            <w:pPr>
              <w:jc w:val="center"/>
            </w:pPr>
            <w:r>
              <w:rPr>
                <w:rFonts w:ascii="宋体" w:hAnsi="宋体" w:eastAsia="宋体"/>
                <w:sz w:val="16"/>
              </w:rPr>
              <w:t>&gt;=90%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FABA7EA">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769F84E">
            <w:pPr>
              <w:jc w:val="center"/>
            </w:pPr>
            <w:r>
              <w:rPr>
                <w:rFonts w:ascii="宋体" w:hAnsi="宋体" w:eastAsia="宋体"/>
                <w:sz w:val="16"/>
              </w:rPr>
              <w:t>10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554FD56">
            <w:pPr>
              <w:jc w:val="center"/>
            </w:pPr>
            <w:r>
              <w:rPr>
                <w:rFonts w:ascii="宋体" w:hAnsi="宋体" w:eastAsia="宋体"/>
                <w:sz w:val="16"/>
              </w:rPr>
              <w:t>10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764D9AD">
            <w:pPr>
              <w:jc w:val="center"/>
            </w:pPr>
          </w:p>
        </w:tc>
      </w:tr>
      <w:tr w14:paraId="5311C505">
        <w:tblPrEx>
          <w:tblCellMar>
            <w:top w:w="0" w:type="dxa"/>
            <w:left w:w="108" w:type="dxa"/>
            <w:bottom w:w="0" w:type="dxa"/>
            <w:right w:w="108" w:type="dxa"/>
          </w:tblCellMar>
        </w:tblPrEx>
        <w:trPr>
          <w:trHeight w:val="731" w:hRule="atLeast"/>
        </w:trPr>
        <w:tc>
          <w:tcPr>
            <w:tcW w:w="52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B9C06">
            <w:pPr>
              <w:jc w:val="center"/>
            </w:pPr>
            <w:r>
              <w:rPr>
                <w:rFonts w:ascii="宋体" w:hAnsi="宋体" w:eastAsia="宋体"/>
                <w:sz w:val="16"/>
              </w:rPr>
              <w:t>总分</w:t>
            </w:r>
          </w:p>
        </w:tc>
        <w:tc>
          <w:tcPr>
            <w:tcW w:w="1055" w:type="dxa"/>
            <w:tcBorders>
              <w:top w:val="single" w:color="auto" w:sz="10" w:space="0"/>
              <w:left w:val="single" w:color="auto" w:sz="10" w:space="0"/>
              <w:bottom w:val="single" w:color="auto" w:sz="10" w:space="0"/>
              <w:right w:val="single" w:color="auto" w:sz="10" w:space="0"/>
              <w:insideV w:val="single" w:sz="10" w:space="0"/>
            </w:tcBorders>
          </w:tcPr>
          <w:p w14:paraId="3BAA2428"/>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6B568C2D">
            <w:pPr>
              <w:jc w:val="center"/>
            </w:pPr>
            <w:r>
              <w:rPr>
                <w:rFonts w:ascii="宋体" w:hAnsi="宋体" w:eastAsia="宋体"/>
                <w:sz w:val="16"/>
              </w:rPr>
              <w:t>100</w:t>
            </w:r>
          </w:p>
        </w:tc>
        <w:tc>
          <w:tcPr>
            <w:tcW w:w="1055" w:type="dxa"/>
            <w:tcBorders>
              <w:top w:val="single" w:color="auto" w:sz="10" w:space="0"/>
              <w:left w:val="single" w:color="auto" w:sz="10" w:space="0"/>
              <w:bottom w:val="single" w:color="auto" w:sz="10" w:space="0"/>
              <w:right w:val="single" w:color="auto" w:sz="10" w:space="0"/>
              <w:insideV w:val="single" w:sz="10" w:space="0"/>
            </w:tcBorders>
            <w:vAlign w:val="center"/>
          </w:tcPr>
          <w:p w14:paraId="061DA4BB">
            <w:pPr>
              <w:jc w:val="center"/>
            </w:pPr>
            <w:r>
              <w:rPr>
                <w:rFonts w:ascii="宋体" w:hAnsi="宋体" w:eastAsia="宋体"/>
                <w:sz w:val="16"/>
              </w:rPr>
              <w:t>100分</w:t>
            </w:r>
          </w:p>
        </w:tc>
        <w:tc>
          <w:tcPr>
            <w:tcW w:w="1059" w:type="dxa"/>
            <w:tcBorders>
              <w:top w:val="single" w:color="auto" w:sz="10" w:space="0"/>
              <w:left w:val="single" w:color="auto" w:sz="10" w:space="0"/>
              <w:bottom w:val="single" w:color="auto" w:sz="10" w:space="0"/>
              <w:right w:val="single" w:color="auto" w:sz="10" w:space="0"/>
              <w:insideV w:val="single" w:sz="10" w:space="0"/>
            </w:tcBorders>
          </w:tcPr>
          <w:p w14:paraId="73AFB544"/>
        </w:tc>
      </w:tr>
    </w:tbl>
    <w:p w14:paraId="553E3C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A1966D">
        <w:tblPrEx>
          <w:tblCellMar>
            <w:top w:w="0" w:type="dxa"/>
            <w:left w:w="108" w:type="dxa"/>
            <w:bottom w:w="0" w:type="dxa"/>
            <w:right w:w="108" w:type="dxa"/>
          </w:tblCellMar>
        </w:tblPrEx>
        <w:tc>
          <w:tcPr>
            <w:tcW w:w="8847" w:type="dxa"/>
            <w:gridSpan w:val="9"/>
            <w:vAlign w:val="center"/>
          </w:tcPr>
          <w:p w14:paraId="7C983BF8">
            <w:pPr>
              <w:jc w:val="center"/>
            </w:pPr>
            <w:r>
              <w:rPr>
                <w:rFonts w:ascii="宋体" w:hAnsi="宋体" w:eastAsia="宋体"/>
                <w:sz w:val="24"/>
              </w:rPr>
              <w:t>项目支出绩效自评表</w:t>
            </w:r>
          </w:p>
        </w:tc>
      </w:tr>
      <w:tr w14:paraId="45D45DD8">
        <w:tblPrEx>
          <w:tblCellMar>
            <w:top w:w="0" w:type="dxa"/>
            <w:left w:w="108" w:type="dxa"/>
            <w:bottom w:w="0" w:type="dxa"/>
            <w:right w:w="108" w:type="dxa"/>
          </w:tblCellMar>
        </w:tblPrEx>
        <w:tc>
          <w:tcPr>
            <w:tcW w:w="8847" w:type="dxa"/>
            <w:gridSpan w:val="9"/>
            <w:vAlign w:val="center"/>
          </w:tcPr>
          <w:p w14:paraId="26D8427F">
            <w:pPr>
              <w:jc w:val="center"/>
            </w:pPr>
            <w:r>
              <w:rPr>
                <w:rFonts w:ascii="宋体" w:hAnsi="宋体" w:eastAsia="宋体"/>
                <w:sz w:val="24"/>
              </w:rPr>
              <w:t>(2024年度)</w:t>
            </w:r>
          </w:p>
        </w:tc>
      </w:tr>
      <w:tr w14:paraId="48F3F7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BC2B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3B95B7">
            <w:pPr>
              <w:jc w:val="center"/>
            </w:pPr>
            <w:r>
              <w:rPr>
                <w:rFonts w:ascii="宋体" w:hAnsi="宋体" w:eastAsia="宋体"/>
                <w:sz w:val="16"/>
              </w:rPr>
              <w:t>审查调查中心水电费</w:t>
            </w:r>
          </w:p>
        </w:tc>
      </w:tr>
      <w:tr w14:paraId="08648D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7DC6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983FC3">
            <w:pPr>
              <w:jc w:val="center"/>
            </w:pPr>
            <w:r>
              <w:rPr>
                <w:rFonts w:ascii="宋体" w:hAnsi="宋体" w:eastAsia="宋体"/>
                <w:sz w:val="16"/>
              </w:rPr>
              <w:t>中共洛浦县纪律检查委员会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B1BE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A19FAA">
            <w:pPr>
              <w:jc w:val="center"/>
            </w:pPr>
            <w:r>
              <w:rPr>
                <w:rFonts w:ascii="宋体" w:hAnsi="宋体" w:eastAsia="宋体"/>
                <w:sz w:val="16"/>
              </w:rPr>
              <w:t>中共洛浦县纪律检查委员会</w:t>
            </w:r>
          </w:p>
        </w:tc>
      </w:tr>
      <w:tr w14:paraId="34B7CE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2DC4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438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82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54A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F7F3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CAE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2CAE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FBC11">
            <w:pPr>
              <w:jc w:val="center"/>
            </w:pPr>
            <w:r>
              <w:rPr>
                <w:rFonts w:ascii="宋体" w:hAnsi="宋体" w:eastAsia="宋体"/>
                <w:sz w:val="16"/>
              </w:rPr>
              <w:t>得分</w:t>
            </w:r>
          </w:p>
        </w:tc>
      </w:tr>
      <w:tr w14:paraId="0CAC7B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41C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8B98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55F36">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4405">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C9135">
            <w:pPr>
              <w:jc w:val="center"/>
            </w:pPr>
            <w:r>
              <w:rPr>
                <w:rFonts w:ascii="宋体" w:hAnsi="宋体" w:eastAsia="宋体"/>
                <w:sz w:val="16"/>
              </w:rPr>
              <w:t>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0B2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360C4">
            <w:pPr>
              <w:jc w:val="center"/>
            </w:pPr>
            <w:r>
              <w:rPr>
                <w:rFonts w:ascii="宋体" w:hAnsi="宋体" w:eastAsia="宋体"/>
                <w:sz w:val="16"/>
              </w:rPr>
              <w:t xml:space="preserve">86.45%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9959F">
            <w:pPr>
              <w:jc w:val="center"/>
            </w:pPr>
            <w:r>
              <w:rPr>
                <w:rFonts w:ascii="宋体" w:hAnsi="宋体" w:eastAsia="宋体"/>
                <w:sz w:val="16"/>
              </w:rPr>
              <w:t>6.61分</w:t>
            </w:r>
          </w:p>
        </w:tc>
      </w:tr>
      <w:tr w14:paraId="358C6F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388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7859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F62D8">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627C">
            <w:pPr>
              <w:jc w:val="center"/>
            </w:pPr>
            <w:r>
              <w:rPr>
                <w:rFonts w:ascii="宋体" w:hAnsi="宋体" w:eastAsia="宋体"/>
                <w:sz w:val="16"/>
              </w:rPr>
              <w:t>11.00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CF9E6">
            <w:pPr>
              <w:jc w:val="center"/>
            </w:pPr>
            <w:r>
              <w:rPr>
                <w:rFonts w:ascii="宋体" w:hAnsi="宋体" w:eastAsia="宋体"/>
                <w:sz w:val="16"/>
              </w:rPr>
              <w:t>9.51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8F0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3E1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233F">
            <w:pPr>
              <w:jc w:val="center"/>
            </w:pPr>
            <w:r>
              <w:rPr>
                <w:rFonts w:ascii="宋体" w:hAnsi="宋体" w:eastAsia="宋体"/>
                <w:sz w:val="16"/>
              </w:rPr>
              <w:t>—</w:t>
            </w:r>
          </w:p>
        </w:tc>
      </w:tr>
      <w:tr w14:paraId="20C029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6FB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9429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B42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8F1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CE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5EB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EA2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58ACC">
            <w:pPr>
              <w:jc w:val="center"/>
            </w:pPr>
            <w:r>
              <w:rPr>
                <w:rFonts w:ascii="宋体" w:hAnsi="宋体" w:eastAsia="宋体"/>
                <w:sz w:val="16"/>
              </w:rPr>
              <w:t>—</w:t>
            </w:r>
          </w:p>
        </w:tc>
      </w:tr>
      <w:tr w14:paraId="39F11F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E7F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3D72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BF4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70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FFC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032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81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D3A97">
            <w:pPr>
              <w:jc w:val="center"/>
            </w:pPr>
            <w:r>
              <w:rPr>
                <w:rFonts w:ascii="宋体" w:hAnsi="宋体" w:eastAsia="宋体"/>
                <w:sz w:val="16"/>
              </w:rPr>
              <w:t>—</w:t>
            </w:r>
          </w:p>
        </w:tc>
      </w:tr>
      <w:tr w14:paraId="14AED0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3FB04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91844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624127">
            <w:pPr>
              <w:jc w:val="center"/>
            </w:pPr>
            <w:r>
              <w:rPr>
                <w:rFonts w:ascii="宋体" w:hAnsi="宋体" w:eastAsia="宋体"/>
                <w:sz w:val="16"/>
              </w:rPr>
              <w:t>实际完成情况</w:t>
            </w:r>
          </w:p>
        </w:tc>
      </w:tr>
      <w:tr w14:paraId="3F198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019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025F97">
            <w:pPr>
              <w:jc w:val="both"/>
            </w:pPr>
            <w:r>
              <w:rPr>
                <w:rFonts w:ascii="宋体" w:hAnsi="宋体" w:eastAsia="宋体"/>
                <w:sz w:val="16"/>
              </w:rPr>
              <w:t>电费保障6个月，正常运行所需水量9600立方，总成本11万元。通过项目实施，有效提升审查调查中心经费保障水平，有效保障审查调查中心正常运转。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7CF8DB">
            <w:pPr>
              <w:jc w:val="both"/>
            </w:pPr>
            <w:r>
              <w:rPr>
                <w:rFonts w:hint="eastAsia" w:ascii="宋体" w:hAnsi="宋体"/>
                <w:sz w:val="16"/>
                <w:lang w:eastAsia="zh-CN"/>
              </w:rPr>
              <w:t>截至</w:t>
            </w:r>
            <w:r>
              <w:rPr>
                <w:rFonts w:ascii="宋体" w:hAnsi="宋体" w:eastAsia="宋体"/>
                <w:sz w:val="16"/>
              </w:rPr>
              <w:t>2024年12月31日，该项目已实施完毕，已支付资金9.51万元。项目已完成的主要内容为电费保障6个月，正常所需水量9600立方；通过项目实施，保障了审查调查中心6个月电费6.7万元，2024年水费2.8万元，有效提升了审查调查中心经费保障水平，确保审查调查中心正常运转，工作人员满意度达到了100%。</w:t>
            </w:r>
          </w:p>
        </w:tc>
      </w:tr>
      <w:tr w14:paraId="7E9225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2740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576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64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654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6064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BAEB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D5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767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C7DF7">
            <w:pPr>
              <w:jc w:val="center"/>
            </w:pPr>
            <w:r>
              <w:rPr>
                <w:rFonts w:ascii="宋体" w:hAnsi="宋体" w:eastAsia="宋体"/>
                <w:sz w:val="16"/>
              </w:rPr>
              <w:t>偏差原因分析及改进措施</w:t>
            </w:r>
          </w:p>
        </w:tc>
      </w:tr>
      <w:tr w14:paraId="14A6F3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D7BA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4E3C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7D6F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6A8C3">
            <w:pPr>
              <w:jc w:val="center"/>
            </w:pPr>
            <w:r>
              <w:rPr>
                <w:rFonts w:ascii="宋体" w:hAnsi="宋体" w:eastAsia="宋体"/>
                <w:sz w:val="16"/>
              </w:rPr>
              <w:t>电费保障月数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27312">
            <w:pPr>
              <w:jc w:val="center"/>
            </w:pPr>
            <w:r>
              <w:rPr>
                <w:rFonts w:ascii="宋体" w:hAnsi="宋体" w:eastAsia="宋体"/>
                <w:sz w:val="16"/>
              </w:rPr>
              <w:t>=6个月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0513A">
            <w:pPr>
              <w:jc w:val="center"/>
            </w:pPr>
            <w:r>
              <w:rPr>
                <w:rFonts w:ascii="宋体" w:hAnsi="宋体" w:eastAsia="宋体"/>
                <w:sz w:val="16"/>
              </w:rPr>
              <w:t>=6个月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787C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423E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A770C">
            <w:pPr>
              <w:jc w:val="center"/>
            </w:pPr>
          </w:p>
        </w:tc>
      </w:tr>
      <w:tr w14:paraId="0BE9C1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88F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620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CC6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CC9A">
            <w:pPr>
              <w:jc w:val="center"/>
            </w:pPr>
            <w:r>
              <w:rPr>
                <w:rFonts w:ascii="宋体" w:hAnsi="宋体" w:eastAsia="宋体"/>
                <w:sz w:val="16"/>
              </w:rPr>
              <w:t>正常运行所需水量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60981">
            <w:pPr>
              <w:jc w:val="center"/>
            </w:pPr>
            <w:r>
              <w:rPr>
                <w:rFonts w:ascii="宋体" w:hAnsi="宋体" w:eastAsia="宋体"/>
                <w:sz w:val="16"/>
              </w:rPr>
              <w:t>&gt;=9600立方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DC0DD">
            <w:pPr>
              <w:jc w:val="center"/>
            </w:pPr>
            <w:r>
              <w:rPr>
                <w:rFonts w:ascii="宋体" w:hAnsi="宋体" w:eastAsia="宋体"/>
                <w:sz w:val="16"/>
              </w:rPr>
              <w:t>=9600立方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89E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6D2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AE0EA">
            <w:pPr>
              <w:jc w:val="center"/>
            </w:pPr>
          </w:p>
        </w:tc>
      </w:tr>
      <w:tr w14:paraId="3CE07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B27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F51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7942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BD82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016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475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CBA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14CD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2247A">
            <w:pPr>
              <w:jc w:val="center"/>
            </w:pPr>
          </w:p>
        </w:tc>
      </w:tr>
      <w:tr w14:paraId="0AC4D7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F1E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12D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EB301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DBB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B0D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334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05BB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573E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66BD2">
            <w:pPr>
              <w:jc w:val="center"/>
            </w:pPr>
          </w:p>
        </w:tc>
      </w:tr>
      <w:tr w14:paraId="002D61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8F4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3E1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601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9D4E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535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4CE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9F92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FF6D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E3AA2">
            <w:pPr>
              <w:jc w:val="center"/>
            </w:pPr>
          </w:p>
        </w:tc>
      </w:tr>
      <w:tr w14:paraId="179203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20F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E03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F63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A6AB2">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A593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9F47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1122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DA1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EE367">
            <w:pPr>
              <w:jc w:val="center"/>
            </w:pPr>
          </w:p>
        </w:tc>
      </w:tr>
      <w:tr w14:paraId="246BE0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EF5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CA3E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0F0B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D5012">
            <w:pPr>
              <w:jc w:val="center"/>
            </w:pPr>
            <w:r>
              <w:rPr>
                <w:rFonts w:ascii="宋体" w:hAnsi="宋体" w:eastAsia="宋体"/>
                <w:sz w:val="16"/>
              </w:rPr>
              <w:t>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D95D">
            <w:pPr>
              <w:jc w:val="center"/>
            </w:pPr>
            <w:r>
              <w:rPr>
                <w:rFonts w:ascii="宋体" w:hAnsi="宋体" w:eastAsia="宋体"/>
                <w:sz w:val="16"/>
              </w:rPr>
              <w:t>&lt;=8万元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C2747">
            <w:pPr>
              <w:jc w:val="center"/>
            </w:pPr>
            <w:r>
              <w:rPr>
                <w:rFonts w:ascii="宋体" w:hAnsi="宋体" w:eastAsia="宋体"/>
                <w:sz w:val="16"/>
              </w:rPr>
              <w:t>=6.73万元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B22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D8BD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CBE4F">
            <w:pPr>
              <w:jc w:val="center"/>
            </w:pPr>
            <w:r>
              <w:rPr>
                <w:rFonts w:ascii="宋体" w:hAnsi="宋体" w:eastAsia="宋体"/>
                <w:sz w:val="16"/>
              </w:rPr>
              <w:t>项目剩余资金待2025年使用</w:t>
            </w:r>
          </w:p>
        </w:tc>
      </w:tr>
      <w:tr w14:paraId="4DB1B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C10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91D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FEC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99B6">
            <w:pPr>
              <w:jc w:val="center"/>
            </w:pPr>
            <w:r>
              <w:rPr>
                <w:rFonts w:ascii="宋体" w:hAnsi="宋体" w:eastAsia="宋体"/>
                <w:sz w:val="16"/>
              </w:rPr>
              <w:t>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A8EFC">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FA46">
            <w:pPr>
              <w:jc w:val="center"/>
            </w:pPr>
            <w:r>
              <w:rPr>
                <w:rFonts w:ascii="宋体" w:hAnsi="宋体" w:eastAsia="宋体"/>
                <w:sz w:val="16"/>
              </w:rPr>
              <w:t>=2.78万元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A7B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5C7A4">
            <w:pPr>
              <w:jc w:val="center"/>
            </w:pPr>
            <w:r>
              <w:rPr>
                <w:rFonts w:ascii="宋体" w:hAnsi="宋体" w:eastAsia="宋体"/>
                <w:sz w:val="16"/>
              </w:rPr>
              <w:t>8.25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0A04F">
            <w:pPr>
              <w:jc w:val="center"/>
            </w:pPr>
            <w:r>
              <w:rPr>
                <w:rFonts w:ascii="宋体" w:hAnsi="宋体" w:eastAsia="宋体"/>
                <w:sz w:val="16"/>
              </w:rPr>
              <w:t>项目剩余资金待2025年使用</w:t>
            </w:r>
          </w:p>
        </w:tc>
      </w:tr>
      <w:tr w14:paraId="1C9D4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B6F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1FB7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CFA2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76FB0">
            <w:pPr>
              <w:jc w:val="center"/>
            </w:pPr>
            <w:r>
              <w:rPr>
                <w:rFonts w:ascii="宋体" w:hAnsi="宋体" w:eastAsia="宋体"/>
                <w:sz w:val="16"/>
              </w:rPr>
              <w:t>保障审查调查中心正常运转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7310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D3C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3E5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818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79EF2">
            <w:pPr>
              <w:jc w:val="center"/>
            </w:pPr>
          </w:p>
        </w:tc>
      </w:tr>
      <w:tr w14:paraId="2F6B32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256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AF5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08F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64052">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A2A6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BCA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83C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6CF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62E45">
            <w:pPr>
              <w:jc w:val="center"/>
            </w:pPr>
          </w:p>
        </w:tc>
      </w:tr>
      <w:tr w14:paraId="706FBF7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2AE55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0BF0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336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FF4FE">
            <w:pPr>
              <w:jc w:val="center"/>
            </w:pPr>
            <w:r>
              <w:rPr>
                <w:rFonts w:ascii="宋体" w:hAnsi="宋体" w:eastAsia="宋体"/>
                <w:sz w:val="16"/>
              </w:rPr>
              <w:t>90.86分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3648F7"/>
        </w:tc>
      </w:tr>
    </w:tbl>
    <w:p w14:paraId="2AA7548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CBF3B2">
        <w:tblPrEx>
          <w:tblCellMar>
            <w:top w:w="0" w:type="dxa"/>
            <w:left w:w="108" w:type="dxa"/>
            <w:bottom w:w="0" w:type="dxa"/>
            <w:right w:w="108" w:type="dxa"/>
          </w:tblCellMar>
        </w:tblPrEx>
        <w:tc>
          <w:tcPr>
            <w:tcW w:w="8847" w:type="dxa"/>
            <w:gridSpan w:val="9"/>
            <w:vAlign w:val="center"/>
          </w:tcPr>
          <w:p w14:paraId="6B0E1C5A">
            <w:pPr>
              <w:jc w:val="center"/>
            </w:pPr>
            <w:r>
              <w:rPr>
                <w:rFonts w:ascii="宋体" w:hAnsi="宋体" w:eastAsia="宋体"/>
                <w:sz w:val="24"/>
              </w:rPr>
              <w:t>项目支出绩效自评表</w:t>
            </w:r>
          </w:p>
        </w:tc>
      </w:tr>
      <w:tr w14:paraId="3F5AA432">
        <w:tblPrEx>
          <w:tblCellMar>
            <w:top w:w="0" w:type="dxa"/>
            <w:left w:w="108" w:type="dxa"/>
            <w:bottom w:w="0" w:type="dxa"/>
            <w:right w:w="108" w:type="dxa"/>
          </w:tblCellMar>
        </w:tblPrEx>
        <w:tc>
          <w:tcPr>
            <w:tcW w:w="8847" w:type="dxa"/>
            <w:gridSpan w:val="9"/>
            <w:vAlign w:val="center"/>
          </w:tcPr>
          <w:p w14:paraId="4CEBD698">
            <w:pPr>
              <w:jc w:val="center"/>
            </w:pPr>
            <w:r>
              <w:rPr>
                <w:rFonts w:ascii="宋体" w:hAnsi="宋体" w:eastAsia="宋体"/>
                <w:sz w:val="24"/>
              </w:rPr>
              <w:t>(2024年度)</w:t>
            </w:r>
          </w:p>
        </w:tc>
      </w:tr>
      <w:tr w14:paraId="6001A6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BF74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09878D">
            <w:pPr>
              <w:jc w:val="center"/>
            </w:pPr>
            <w:r>
              <w:rPr>
                <w:rFonts w:ascii="宋体" w:hAnsi="宋体" w:eastAsia="宋体"/>
                <w:sz w:val="16"/>
              </w:rPr>
              <w:t>巡察干部伙食补助费</w:t>
            </w:r>
          </w:p>
        </w:tc>
      </w:tr>
      <w:tr w14:paraId="6FBCEE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EE9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951B64">
            <w:pPr>
              <w:jc w:val="center"/>
            </w:pPr>
            <w:r>
              <w:rPr>
                <w:rFonts w:ascii="宋体" w:hAnsi="宋体" w:eastAsia="宋体"/>
                <w:sz w:val="16"/>
              </w:rPr>
              <w:t>中共洛浦县纪律检查委员会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71C0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62FF7C">
            <w:pPr>
              <w:jc w:val="center"/>
            </w:pPr>
            <w:r>
              <w:rPr>
                <w:rFonts w:ascii="宋体" w:hAnsi="宋体" w:eastAsia="宋体"/>
                <w:sz w:val="16"/>
              </w:rPr>
              <w:t>中共洛浦县纪律检查委员会</w:t>
            </w:r>
          </w:p>
        </w:tc>
      </w:tr>
      <w:tr w14:paraId="24DF35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B94A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1EC8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19D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2FA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5B4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ACB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033B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B254">
            <w:pPr>
              <w:jc w:val="center"/>
            </w:pPr>
            <w:r>
              <w:rPr>
                <w:rFonts w:ascii="宋体" w:hAnsi="宋体" w:eastAsia="宋体"/>
                <w:sz w:val="16"/>
              </w:rPr>
              <w:t>得分</w:t>
            </w:r>
          </w:p>
        </w:tc>
      </w:tr>
      <w:tr w14:paraId="53E63E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F31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FAA5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48C50">
            <w:pPr>
              <w:jc w:val="center"/>
            </w:pPr>
            <w:r>
              <w:rPr>
                <w:rFonts w:ascii="宋体" w:hAnsi="宋体" w:eastAsia="宋体"/>
                <w:sz w:val="16"/>
              </w:rPr>
              <w:t>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C2EEA">
            <w:pPr>
              <w:jc w:val="center"/>
            </w:pPr>
            <w:r>
              <w:rPr>
                <w:rFonts w:ascii="宋体" w:hAnsi="宋体" w:eastAsia="宋体"/>
                <w:sz w:val="16"/>
              </w:rPr>
              <w:t>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E7CFB">
            <w:pPr>
              <w:jc w:val="center"/>
            </w:pPr>
            <w:r>
              <w:rPr>
                <w:rFonts w:ascii="宋体" w:hAnsi="宋体" w:eastAsia="宋体"/>
                <w:sz w:val="16"/>
              </w:rPr>
              <w:t>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EB3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364E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4796">
            <w:pPr>
              <w:jc w:val="center"/>
            </w:pPr>
            <w:r>
              <w:rPr>
                <w:rFonts w:ascii="宋体" w:hAnsi="宋体" w:eastAsia="宋体"/>
                <w:sz w:val="16"/>
              </w:rPr>
              <w:t>10.00分</w:t>
            </w:r>
          </w:p>
        </w:tc>
      </w:tr>
      <w:tr w14:paraId="5AE52F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F11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DE7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E3690">
            <w:pPr>
              <w:jc w:val="center"/>
            </w:pPr>
            <w:r>
              <w:rPr>
                <w:rFonts w:ascii="宋体" w:hAnsi="宋体" w:eastAsia="宋体"/>
                <w:sz w:val="16"/>
              </w:rPr>
              <w:t>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D2D29">
            <w:pPr>
              <w:jc w:val="center"/>
            </w:pPr>
            <w:r>
              <w:rPr>
                <w:rFonts w:ascii="宋体" w:hAnsi="宋体" w:eastAsia="宋体"/>
                <w:sz w:val="16"/>
              </w:rPr>
              <w:t>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FC90C">
            <w:pPr>
              <w:jc w:val="center"/>
            </w:pPr>
            <w:r>
              <w:rPr>
                <w:rFonts w:ascii="宋体" w:hAnsi="宋体" w:eastAsia="宋体"/>
                <w:sz w:val="16"/>
              </w:rPr>
              <w:t>5.01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B81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A75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4FAC2">
            <w:pPr>
              <w:jc w:val="center"/>
            </w:pPr>
            <w:r>
              <w:rPr>
                <w:rFonts w:ascii="宋体" w:hAnsi="宋体" w:eastAsia="宋体"/>
                <w:sz w:val="16"/>
              </w:rPr>
              <w:t>—</w:t>
            </w:r>
          </w:p>
        </w:tc>
      </w:tr>
      <w:tr w14:paraId="678D4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A81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1929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370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FB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595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180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EAF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A21DA">
            <w:pPr>
              <w:jc w:val="center"/>
            </w:pPr>
            <w:r>
              <w:rPr>
                <w:rFonts w:ascii="宋体" w:hAnsi="宋体" w:eastAsia="宋体"/>
                <w:sz w:val="16"/>
              </w:rPr>
              <w:t>—</w:t>
            </w:r>
          </w:p>
        </w:tc>
      </w:tr>
      <w:tr w14:paraId="78D78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0A8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7E1F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99B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F2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FF7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EA8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DF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038B7">
            <w:pPr>
              <w:jc w:val="center"/>
            </w:pPr>
            <w:r>
              <w:rPr>
                <w:rFonts w:ascii="宋体" w:hAnsi="宋体" w:eastAsia="宋体"/>
                <w:sz w:val="16"/>
              </w:rPr>
              <w:t>—</w:t>
            </w:r>
          </w:p>
        </w:tc>
      </w:tr>
      <w:tr w14:paraId="2D06FE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6E79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210C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F6DDC5">
            <w:pPr>
              <w:jc w:val="center"/>
            </w:pPr>
            <w:r>
              <w:rPr>
                <w:rFonts w:ascii="宋体" w:hAnsi="宋体" w:eastAsia="宋体"/>
                <w:sz w:val="16"/>
              </w:rPr>
              <w:t>实际完成情况</w:t>
            </w:r>
          </w:p>
        </w:tc>
      </w:tr>
      <w:tr w14:paraId="6FDEE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D12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4FED43">
            <w:pPr>
              <w:jc w:val="both"/>
            </w:pPr>
            <w:r>
              <w:rPr>
                <w:rFonts w:ascii="宋体" w:hAnsi="宋体" w:eastAsia="宋体"/>
                <w:sz w:val="16"/>
              </w:rPr>
              <w:t>根据文件实施该项目。项目主要内容：保障巡察轮数2轮，保障巡察天数95天。通过项目多实施，有效提升公共服务水平。争取受益群众满意度达到95%以上。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C95A18">
            <w:pPr>
              <w:jc w:val="both"/>
            </w:pPr>
            <w:r>
              <w:rPr>
                <w:rFonts w:hint="eastAsia" w:ascii="宋体" w:hAnsi="宋体"/>
                <w:sz w:val="16"/>
                <w:lang w:eastAsia="zh-CN"/>
              </w:rPr>
              <w:t>截至</w:t>
            </w:r>
            <w:r>
              <w:rPr>
                <w:rFonts w:ascii="宋体" w:hAnsi="宋体" w:eastAsia="宋体"/>
                <w:sz w:val="16"/>
              </w:rPr>
              <w:t>2024年12月31日，该项目已实施完毕，已支付资金5.01万元。项目已完成的主要内容开展2轮巡察，保障巡察天数达到95天；通过项目实施，补贴发放解决了十二届县委第八轮、第九轮巡察干部伙食经费，减轻了村级工作队负担，确保巡察工作的公平公正，干部群众满意度达到了100%。</w:t>
            </w:r>
          </w:p>
        </w:tc>
      </w:tr>
      <w:tr w14:paraId="55273D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2C63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C5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582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D50B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878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4C9E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5AB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68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C52B">
            <w:pPr>
              <w:jc w:val="center"/>
            </w:pPr>
            <w:r>
              <w:rPr>
                <w:rFonts w:ascii="宋体" w:hAnsi="宋体" w:eastAsia="宋体"/>
                <w:sz w:val="16"/>
              </w:rPr>
              <w:t>偏差原因分析及改进措施</w:t>
            </w:r>
          </w:p>
        </w:tc>
      </w:tr>
      <w:tr w14:paraId="53F4BB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041B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EF76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E1DA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566F1">
            <w:pPr>
              <w:jc w:val="center"/>
            </w:pPr>
            <w:r>
              <w:rPr>
                <w:rFonts w:ascii="宋体" w:hAnsi="宋体" w:eastAsia="宋体"/>
                <w:sz w:val="16"/>
              </w:rPr>
              <w:t>保障巡察轮数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FF4F1">
            <w:pPr>
              <w:jc w:val="center"/>
            </w:pPr>
            <w:r>
              <w:rPr>
                <w:rFonts w:ascii="宋体" w:hAnsi="宋体" w:eastAsia="宋体"/>
                <w:sz w:val="16"/>
              </w:rPr>
              <w:t>&gt;=2轮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42522">
            <w:pPr>
              <w:jc w:val="center"/>
            </w:pPr>
            <w:r>
              <w:rPr>
                <w:rFonts w:ascii="宋体" w:hAnsi="宋体" w:eastAsia="宋体"/>
                <w:sz w:val="16"/>
              </w:rPr>
              <w:t>=2轮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5FD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054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BB659">
            <w:pPr>
              <w:jc w:val="center"/>
            </w:pPr>
          </w:p>
        </w:tc>
      </w:tr>
      <w:tr w14:paraId="7B591B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9DC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E25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5F3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65929">
            <w:pPr>
              <w:jc w:val="center"/>
            </w:pPr>
            <w:r>
              <w:rPr>
                <w:rFonts w:ascii="宋体" w:hAnsi="宋体" w:eastAsia="宋体"/>
                <w:sz w:val="16"/>
              </w:rPr>
              <w:t>保障巡察天数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04372">
            <w:pPr>
              <w:jc w:val="center"/>
            </w:pPr>
            <w:r>
              <w:rPr>
                <w:rFonts w:ascii="宋体" w:hAnsi="宋体" w:eastAsia="宋体"/>
                <w:sz w:val="16"/>
              </w:rPr>
              <w:t>&gt;=95天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FE80C">
            <w:pPr>
              <w:jc w:val="center"/>
            </w:pPr>
            <w:r>
              <w:rPr>
                <w:rFonts w:ascii="宋体" w:hAnsi="宋体" w:eastAsia="宋体"/>
                <w:sz w:val="16"/>
              </w:rPr>
              <w:t>=95天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129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E79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434BE">
            <w:pPr>
              <w:jc w:val="center"/>
            </w:pPr>
          </w:p>
        </w:tc>
      </w:tr>
      <w:tr w14:paraId="67A6DC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748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DA6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F07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B057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034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50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3DB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A11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41F1E">
            <w:pPr>
              <w:jc w:val="center"/>
            </w:pPr>
          </w:p>
        </w:tc>
      </w:tr>
      <w:tr w14:paraId="404828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E645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E92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4048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6E4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A0E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ED5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533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70E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4F168">
            <w:pPr>
              <w:jc w:val="center"/>
            </w:pPr>
          </w:p>
        </w:tc>
      </w:tr>
      <w:tr w14:paraId="448DB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811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72F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790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0B88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50A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0101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A8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FF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5A0CF">
            <w:pPr>
              <w:jc w:val="center"/>
            </w:pPr>
          </w:p>
        </w:tc>
      </w:tr>
      <w:tr w14:paraId="43D417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322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2BE1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398B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D68F9">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7F8BF">
            <w:pPr>
              <w:jc w:val="center"/>
            </w:pPr>
            <w:r>
              <w:rPr>
                <w:rFonts w:ascii="宋体" w:hAnsi="宋体" w:eastAsia="宋体"/>
                <w:sz w:val="16"/>
              </w:rPr>
              <w:t>&lt;=5.01万元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6E831">
            <w:pPr>
              <w:jc w:val="center"/>
            </w:pPr>
            <w:r>
              <w:rPr>
                <w:rFonts w:ascii="宋体" w:hAnsi="宋体" w:eastAsia="宋体"/>
                <w:sz w:val="16"/>
              </w:rPr>
              <w:t>=5.01万元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0F8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B96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A4B6">
            <w:pPr>
              <w:jc w:val="center"/>
            </w:pPr>
          </w:p>
        </w:tc>
      </w:tr>
      <w:tr w14:paraId="10B655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7F0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3A3D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AFDB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90EC1">
            <w:pPr>
              <w:jc w:val="center"/>
            </w:pPr>
            <w:r>
              <w:rPr>
                <w:rFonts w:ascii="宋体" w:hAnsi="宋体" w:eastAsia="宋体"/>
                <w:sz w:val="16"/>
              </w:rPr>
              <w:t>提升公共服务水平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900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2CFF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36E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AE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989E2">
            <w:pPr>
              <w:jc w:val="center"/>
            </w:pPr>
          </w:p>
        </w:tc>
      </w:tr>
      <w:tr w14:paraId="33447C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5F1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6F3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83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46E6">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34B1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088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EB3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EB3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7E671">
            <w:pPr>
              <w:jc w:val="center"/>
            </w:pPr>
          </w:p>
        </w:tc>
      </w:tr>
      <w:tr w14:paraId="19AC776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181BF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5D9F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837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5FEA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F61C8B"/>
        </w:tc>
      </w:tr>
    </w:tbl>
    <w:p w14:paraId="6D14F8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DA4636">
        <w:tc>
          <w:tcPr>
            <w:tcW w:w="8847" w:type="dxa"/>
            <w:gridSpan w:val="9"/>
            <w:vAlign w:val="center"/>
          </w:tcPr>
          <w:p w14:paraId="36C3F130">
            <w:pPr>
              <w:jc w:val="center"/>
            </w:pPr>
            <w:r>
              <w:rPr>
                <w:rFonts w:ascii="宋体" w:hAnsi="宋体" w:eastAsia="宋体"/>
                <w:sz w:val="24"/>
              </w:rPr>
              <w:t>项目支出绩效自评表</w:t>
            </w:r>
          </w:p>
        </w:tc>
      </w:tr>
      <w:tr w14:paraId="59E87112">
        <w:tblPrEx>
          <w:tblCellMar>
            <w:top w:w="0" w:type="dxa"/>
            <w:left w:w="108" w:type="dxa"/>
            <w:bottom w:w="0" w:type="dxa"/>
            <w:right w:w="108" w:type="dxa"/>
          </w:tblCellMar>
        </w:tblPrEx>
        <w:tc>
          <w:tcPr>
            <w:tcW w:w="8847" w:type="dxa"/>
            <w:gridSpan w:val="9"/>
            <w:vAlign w:val="center"/>
          </w:tcPr>
          <w:p w14:paraId="3776EBAB">
            <w:pPr>
              <w:jc w:val="center"/>
            </w:pPr>
            <w:r>
              <w:rPr>
                <w:rFonts w:ascii="宋体" w:hAnsi="宋体" w:eastAsia="宋体"/>
                <w:sz w:val="24"/>
              </w:rPr>
              <w:t>(2024年度)</w:t>
            </w:r>
          </w:p>
        </w:tc>
      </w:tr>
      <w:tr w14:paraId="32A12B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2266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E8A89E">
            <w:pPr>
              <w:jc w:val="center"/>
            </w:pPr>
            <w:r>
              <w:rPr>
                <w:rFonts w:ascii="宋体" w:hAnsi="宋体" w:eastAsia="宋体"/>
                <w:sz w:val="16"/>
              </w:rPr>
              <w:t>监察信息员</w:t>
            </w:r>
          </w:p>
        </w:tc>
      </w:tr>
      <w:tr w14:paraId="1AFBEC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F94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86576D">
            <w:pPr>
              <w:jc w:val="center"/>
            </w:pPr>
            <w:r>
              <w:rPr>
                <w:rFonts w:ascii="宋体" w:hAnsi="宋体" w:eastAsia="宋体"/>
                <w:sz w:val="16"/>
              </w:rPr>
              <w:t>中共洛浦县纪律检查委员会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E4FD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7EB37">
            <w:pPr>
              <w:jc w:val="center"/>
            </w:pPr>
            <w:r>
              <w:rPr>
                <w:rFonts w:ascii="宋体" w:hAnsi="宋体" w:eastAsia="宋体"/>
                <w:sz w:val="16"/>
              </w:rPr>
              <w:t>中共洛浦县纪律检查委员会</w:t>
            </w:r>
          </w:p>
        </w:tc>
      </w:tr>
      <w:tr w14:paraId="2C7BEF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3B2F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2DA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8471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DD6C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3144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DE5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B3E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B4857">
            <w:pPr>
              <w:jc w:val="center"/>
            </w:pPr>
            <w:r>
              <w:rPr>
                <w:rFonts w:ascii="宋体" w:hAnsi="宋体" w:eastAsia="宋体"/>
                <w:sz w:val="16"/>
              </w:rPr>
              <w:t>得分</w:t>
            </w:r>
          </w:p>
        </w:tc>
      </w:tr>
      <w:tr w14:paraId="211E32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6D8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F8D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44E5B">
            <w:pPr>
              <w:jc w:val="center"/>
            </w:pPr>
            <w:r>
              <w:rPr>
                <w:rFonts w:ascii="宋体" w:hAnsi="宋体" w:eastAsia="宋体"/>
                <w:sz w:val="16"/>
              </w:rPr>
              <w:t>156.00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1E835">
            <w:pPr>
              <w:jc w:val="center"/>
            </w:pPr>
            <w:r>
              <w:rPr>
                <w:rFonts w:ascii="宋体" w:hAnsi="宋体" w:eastAsia="宋体"/>
                <w:sz w:val="16"/>
              </w:rPr>
              <w:t>134.73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8C3DB">
            <w:pPr>
              <w:jc w:val="center"/>
            </w:pPr>
            <w:r>
              <w:rPr>
                <w:rFonts w:ascii="宋体" w:hAnsi="宋体" w:eastAsia="宋体"/>
                <w:sz w:val="16"/>
              </w:rPr>
              <w:t>134.73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9E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0A65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BB4B5">
            <w:pPr>
              <w:jc w:val="center"/>
            </w:pPr>
            <w:r>
              <w:rPr>
                <w:rFonts w:ascii="宋体" w:hAnsi="宋体" w:eastAsia="宋体"/>
                <w:sz w:val="16"/>
              </w:rPr>
              <w:t>10.00分</w:t>
            </w:r>
          </w:p>
        </w:tc>
      </w:tr>
      <w:tr w14:paraId="75ECD7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6D2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0CF5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CEAEF">
            <w:pPr>
              <w:jc w:val="center"/>
            </w:pPr>
            <w:r>
              <w:rPr>
                <w:rFonts w:ascii="宋体" w:hAnsi="宋体" w:eastAsia="宋体"/>
                <w:sz w:val="16"/>
              </w:rPr>
              <w:t>156.00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F19CF">
            <w:pPr>
              <w:jc w:val="center"/>
            </w:pPr>
            <w:r>
              <w:rPr>
                <w:rFonts w:ascii="宋体" w:hAnsi="宋体" w:eastAsia="宋体"/>
                <w:sz w:val="16"/>
              </w:rPr>
              <w:t>134.73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2A35">
            <w:pPr>
              <w:jc w:val="center"/>
            </w:pPr>
            <w:r>
              <w:rPr>
                <w:rFonts w:ascii="宋体" w:hAnsi="宋体" w:eastAsia="宋体"/>
                <w:sz w:val="16"/>
              </w:rPr>
              <w:t>134.73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FA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16E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5066E">
            <w:pPr>
              <w:jc w:val="center"/>
            </w:pPr>
            <w:r>
              <w:rPr>
                <w:rFonts w:ascii="宋体" w:hAnsi="宋体" w:eastAsia="宋体"/>
                <w:sz w:val="16"/>
              </w:rPr>
              <w:t>—</w:t>
            </w:r>
          </w:p>
        </w:tc>
      </w:tr>
      <w:tr w14:paraId="35EC5F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F15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F18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B79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4B2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33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FFE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06F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67CF2">
            <w:pPr>
              <w:jc w:val="center"/>
            </w:pPr>
            <w:r>
              <w:rPr>
                <w:rFonts w:ascii="宋体" w:hAnsi="宋体" w:eastAsia="宋体"/>
                <w:sz w:val="16"/>
              </w:rPr>
              <w:t>—</w:t>
            </w:r>
          </w:p>
        </w:tc>
      </w:tr>
      <w:tr w14:paraId="1FEE7E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485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1BB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E1B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2C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A3F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68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7B0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9139">
            <w:pPr>
              <w:jc w:val="center"/>
            </w:pPr>
            <w:r>
              <w:rPr>
                <w:rFonts w:ascii="宋体" w:hAnsi="宋体" w:eastAsia="宋体"/>
                <w:sz w:val="16"/>
              </w:rPr>
              <w:t>—</w:t>
            </w:r>
          </w:p>
        </w:tc>
      </w:tr>
      <w:tr w14:paraId="26FEA0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9B8E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40A20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8A55F9">
            <w:pPr>
              <w:jc w:val="center"/>
            </w:pPr>
            <w:r>
              <w:rPr>
                <w:rFonts w:ascii="宋体" w:hAnsi="宋体" w:eastAsia="宋体"/>
                <w:sz w:val="16"/>
              </w:rPr>
              <w:t>实际完成情况</w:t>
            </w:r>
          </w:p>
        </w:tc>
      </w:tr>
      <w:tr w14:paraId="694EBC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4E1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B8586C">
            <w:pPr>
              <w:jc w:val="both"/>
            </w:pPr>
            <w:r>
              <w:rPr>
                <w:rFonts w:ascii="宋体" w:hAnsi="宋体" w:eastAsia="宋体"/>
                <w:sz w:val="16"/>
              </w:rPr>
              <w:t>补贴发放16个月，补贴发放726人，总成本134.73万元。通过实施该项目，有效提升监察信息员经费保障水平。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ECE75E">
            <w:pPr>
              <w:jc w:val="both"/>
            </w:pPr>
            <w:r>
              <w:rPr>
                <w:rFonts w:hint="eastAsia" w:ascii="宋体" w:hAnsi="宋体"/>
                <w:sz w:val="16"/>
                <w:lang w:eastAsia="zh-CN"/>
              </w:rPr>
              <w:t>截至</w:t>
            </w:r>
            <w:r>
              <w:rPr>
                <w:rFonts w:ascii="宋体" w:hAnsi="宋体" w:eastAsia="宋体"/>
                <w:sz w:val="16"/>
              </w:rPr>
              <w:t>2024年12月31日，该项目已实施完毕，已支付资金134.73万元。项目已完成的主要内容为补贴发放16个月，平均发放人数726人。通过项目实施，有效提升监察信息员经费保障水平，使监察信息员积极发挥作用，提高工作质效，工作人员满意度达到了100%。</w:t>
            </w:r>
          </w:p>
        </w:tc>
      </w:tr>
      <w:tr w14:paraId="20789D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E094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3BB3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EA60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014B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454D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607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723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01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63032">
            <w:pPr>
              <w:jc w:val="center"/>
            </w:pPr>
            <w:r>
              <w:rPr>
                <w:rFonts w:ascii="宋体" w:hAnsi="宋体" w:eastAsia="宋体"/>
                <w:sz w:val="16"/>
              </w:rPr>
              <w:t>偏差原因分析及改进措施</w:t>
            </w:r>
          </w:p>
        </w:tc>
      </w:tr>
      <w:tr w14:paraId="5CC8AE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F54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580F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8D9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F1ECC">
            <w:pPr>
              <w:jc w:val="center"/>
            </w:pPr>
            <w:r>
              <w:rPr>
                <w:rFonts w:ascii="宋体" w:hAnsi="宋体" w:eastAsia="宋体"/>
                <w:sz w:val="16"/>
              </w:rPr>
              <w:t>补贴发放月数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8CCE0">
            <w:pPr>
              <w:jc w:val="center"/>
            </w:pPr>
            <w:r>
              <w:rPr>
                <w:rFonts w:ascii="宋体" w:hAnsi="宋体" w:eastAsia="宋体"/>
                <w:sz w:val="16"/>
              </w:rPr>
              <w:t>=16个月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3CD14">
            <w:pPr>
              <w:jc w:val="center"/>
            </w:pPr>
            <w:r>
              <w:rPr>
                <w:rFonts w:ascii="宋体" w:hAnsi="宋体" w:eastAsia="宋体"/>
                <w:sz w:val="16"/>
              </w:rPr>
              <w:t>=16个月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86C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511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2D03D">
            <w:pPr>
              <w:jc w:val="center"/>
            </w:pPr>
          </w:p>
        </w:tc>
      </w:tr>
      <w:tr w14:paraId="4891BB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7D1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CE6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DC8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98139">
            <w:pPr>
              <w:jc w:val="center"/>
            </w:pPr>
            <w:r>
              <w:rPr>
                <w:rFonts w:ascii="宋体" w:hAnsi="宋体" w:eastAsia="宋体"/>
                <w:sz w:val="16"/>
              </w:rPr>
              <w:t>补贴发放人数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8E550">
            <w:pPr>
              <w:jc w:val="center"/>
            </w:pPr>
            <w:r>
              <w:rPr>
                <w:rFonts w:ascii="宋体" w:hAnsi="宋体" w:eastAsia="宋体"/>
                <w:sz w:val="16"/>
              </w:rPr>
              <w:t>=726人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A6E20">
            <w:pPr>
              <w:jc w:val="center"/>
            </w:pPr>
            <w:r>
              <w:rPr>
                <w:rFonts w:ascii="宋体" w:hAnsi="宋体" w:eastAsia="宋体"/>
                <w:sz w:val="16"/>
              </w:rPr>
              <w:t>=726人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7DC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F3B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5A013">
            <w:pPr>
              <w:jc w:val="center"/>
            </w:pPr>
          </w:p>
        </w:tc>
      </w:tr>
      <w:tr w14:paraId="32E9E6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396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970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6AF7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42B1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FBC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537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B20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EA2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284D">
            <w:pPr>
              <w:jc w:val="center"/>
            </w:pPr>
          </w:p>
        </w:tc>
      </w:tr>
      <w:tr w14:paraId="57F9A9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743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8FC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9E7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7DF63">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CF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33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4A5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8A5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EF85A">
            <w:pPr>
              <w:jc w:val="center"/>
            </w:pPr>
          </w:p>
        </w:tc>
      </w:tr>
      <w:tr w14:paraId="03F8F2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046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80D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A85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56D0">
            <w:pPr>
              <w:jc w:val="center"/>
            </w:pPr>
            <w:r>
              <w:rPr>
                <w:rFonts w:ascii="宋体" w:hAnsi="宋体" w:eastAsia="宋体"/>
                <w:sz w:val="16"/>
              </w:rPr>
              <w:t>补助金发放率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49A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A59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9D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2DD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2ACFF">
            <w:pPr>
              <w:jc w:val="center"/>
            </w:pPr>
          </w:p>
        </w:tc>
      </w:tr>
      <w:tr w14:paraId="6DEFB3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C27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4F1A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99B3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A67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4B3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9FE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3CB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CA2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0C967">
            <w:pPr>
              <w:jc w:val="center"/>
            </w:pPr>
          </w:p>
        </w:tc>
      </w:tr>
      <w:tr w14:paraId="46C4A2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9CD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02AE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F50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CE728">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DEC5C">
            <w:pPr>
              <w:jc w:val="center"/>
            </w:pPr>
            <w:r>
              <w:rPr>
                <w:rFonts w:ascii="宋体" w:hAnsi="宋体" w:eastAsia="宋体"/>
                <w:sz w:val="16"/>
              </w:rPr>
              <w:t>2023年7月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A67AA">
            <w:pPr>
              <w:jc w:val="center"/>
            </w:pPr>
            <w:r>
              <w:rPr>
                <w:rFonts w:ascii="宋体" w:hAnsi="宋体" w:eastAsia="宋体"/>
                <w:sz w:val="16"/>
              </w:rPr>
              <w:t>=2023年7月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CC4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9D0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9B28">
            <w:pPr>
              <w:jc w:val="center"/>
            </w:pPr>
          </w:p>
        </w:tc>
      </w:tr>
      <w:tr w14:paraId="27ECCF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045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D7B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044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B580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58E4">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ADD5C">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83E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E03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F2DD6">
            <w:pPr>
              <w:jc w:val="center"/>
            </w:pPr>
          </w:p>
        </w:tc>
      </w:tr>
      <w:tr w14:paraId="0716F9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0989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02C5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02A4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404E">
            <w:pPr>
              <w:jc w:val="center"/>
            </w:pPr>
            <w:r>
              <w:rPr>
                <w:rFonts w:ascii="宋体" w:hAnsi="宋体" w:eastAsia="宋体"/>
                <w:sz w:val="16"/>
              </w:rPr>
              <w:t>主任月发放标准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EC593">
            <w:pPr>
              <w:jc w:val="center"/>
            </w:pPr>
            <w:r>
              <w:rPr>
                <w:rFonts w:ascii="宋体" w:hAnsi="宋体" w:eastAsia="宋体"/>
                <w:sz w:val="16"/>
              </w:rPr>
              <w:t>=200元/人/月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3C20C">
            <w:pPr>
              <w:jc w:val="center"/>
            </w:pPr>
            <w:r>
              <w:rPr>
                <w:rFonts w:ascii="宋体" w:hAnsi="宋体" w:eastAsia="宋体"/>
                <w:sz w:val="16"/>
              </w:rPr>
              <w:t>=200元/人/月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F07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81F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60A63">
            <w:pPr>
              <w:jc w:val="center"/>
            </w:pPr>
          </w:p>
        </w:tc>
      </w:tr>
      <w:tr w14:paraId="6A4E0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6D8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0A48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D6B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02B18">
            <w:pPr>
              <w:jc w:val="center"/>
            </w:pPr>
            <w:r>
              <w:rPr>
                <w:rFonts w:ascii="宋体" w:hAnsi="宋体" w:eastAsia="宋体"/>
                <w:sz w:val="16"/>
              </w:rPr>
              <w:t>成员月发放标准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9284">
            <w:pPr>
              <w:jc w:val="center"/>
            </w:pPr>
            <w:r>
              <w:rPr>
                <w:rFonts w:ascii="宋体" w:hAnsi="宋体" w:eastAsia="宋体"/>
                <w:sz w:val="16"/>
              </w:rPr>
              <w:t>=100元/人/月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763B2">
            <w:pPr>
              <w:jc w:val="center"/>
            </w:pPr>
            <w:r>
              <w:rPr>
                <w:rFonts w:ascii="宋体" w:hAnsi="宋体" w:eastAsia="宋体"/>
                <w:sz w:val="16"/>
              </w:rPr>
              <w:t>=100元/人/月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685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1C2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25646">
            <w:pPr>
              <w:jc w:val="center"/>
            </w:pPr>
          </w:p>
        </w:tc>
      </w:tr>
      <w:tr w14:paraId="3E93C9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C47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FC50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67A8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D3C9C">
            <w:pPr>
              <w:jc w:val="center"/>
            </w:pPr>
            <w:r>
              <w:rPr>
                <w:rFonts w:ascii="宋体" w:hAnsi="宋体" w:eastAsia="宋体"/>
                <w:sz w:val="16"/>
              </w:rPr>
              <w:t>提升监察信息员经费保障水平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6352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2254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2E4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FA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AFCE3">
            <w:pPr>
              <w:jc w:val="center"/>
            </w:pPr>
          </w:p>
        </w:tc>
      </w:tr>
      <w:tr w14:paraId="19D57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304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6A3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C59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DF826">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610E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EAB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971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F4F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889BD">
            <w:pPr>
              <w:jc w:val="center"/>
            </w:pPr>
          </w:p>
        </w:tc>
      </w:tr>
      <w:tr w14:paraId="1C20FBD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52F9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4F0E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9B9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B23E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CD3654"/>
        </w:tc>
      </w:tr>
    </w:tbl>
    <w:p w14:paraId="6B7D526C">
      <w:r>
        <w:br w:type="page"/>
      </w:r>
      <w:bookmarkStart w:id="0" w:name="_GoBack"/>
      <w:bookmarkEnd w:id="0"/>
    </w:p>
    <w:p w14:paraId="381F4D05">
      <w:pPr>
        <w:spacing w:line="640" w:lineRule="exact"/>
        <w:ind w:firstLine="640"/>
        <w:jc w:val="both"/>
        <w:outlineLvl w:val="2"/>
      </w:pPr>
      <w:r>
        <w:rPr>
          <w:rFonts w:ascii="黑体" w:hAnsi="黑体" w:eastAsia="黑体"/>
          <w:sz w:val="32"/>
        </w:rPr>
        <w:t>十二、其他需说明的事项</w:t>
      </w:r>
    </w:p>
    <w:p w14:paraId="148AF697">
      <w:pPr>
        <w:spacing w:line="580" w:lineRule="exact"/>
        <w:ind w:firstLine="640"/>
        <w:jc w:val="both"/>
      </w:pPr>
      <w:r>
        <w:rPr>
          <w:rFonts w:ascii="仿宋_GB2312" w:hAnsi="仿宋_GB2312" w:eastAsia="仿宋_GB2312"/>
          <w:b w:val="0"/>
          <w:sz w:val="32"/>
        </w:rPr>
        <w:t>本年本单位SM项目4个，全年预算数72.82万元，全年执行数72.82万元。</w:t>
      </w:r>
    </w:p>
    <w:p w14:paraId="0A665ED3">
      <w:r>
        <w:br w:type="page"/>
      </w:r>
    </w:p>
    <w:p w14:paraId="3DE8BA3C">
      <w:pPr>
        <w:spacing w:line="240" w:lineRule="auto"/>
        <w:jc w:val="center"/>
        <w:outlineLvl w:val="1"/>
      </w:pPr>
      <w:r>
        <w:rPr>
          <w:rFonts w:ascii="黑体" w:hAnsi="黑体" w:eastAsia="黑体"/>
          <w:sz w:val="32"/>
        </w:rPr>
        <w:t>第三部分 专业名词解释</w:t>
      </w:r>
    </w:p>
    <w:p w14:paraId="7D9B09A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1159F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B6198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A2C2A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F1383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903DD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9749D8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61C36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6D3B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17B303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F4C17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E4A4EA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31418E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EFD69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774E0A">
      <w:r>
        <w:br w:type="page"/>
      </w:r>
    </w:p>
    <w:p w14:paraId="4ADD4230">
      <w:pPr>
        <w:spacing w:line="240" w:lineRule="auto"/>
        <w:jc w:val="center"/>
        <w:outlineLvl w:val="1"/>
      </w:pPr>
      <w:r>
        <w:rPr>
          <w:rFonts w:ascii="黑体" w:hAnsi="黑体" w:eastAsia="黑体"/>
          <w:sz w:val="32"/>
        </w:rPr>
        <w:t>第四部分 部门决算报表（见附表）</w:t>
      </w:r>
    </w:p>
    <w:p w14:paraId="5C418AC6">
      <w:pPr>
        <w:spacing w:line="240" w:lineRule="auto"/>
        <w:ind w:firstLine="640"/>
        <w:jc w:val="both"/>
      </w:pPr>
      <w:r>
        <w:rPr>
          <w:rFonts w:ascii="仿宋_GB2312" w:hAnsi="仿宋_GB2312" w:eastAsia="仿宋_GB2312"/>
          <w:b w:val="0"/>
          <w:sz w:val="32"/>
        </w:rPr>
        <w:t>一、《收入支出决算总表》</w:t>
      </w:r>
    </w:p>
    <w:p w14:paraId="4408F950">
      <w:pPr>
        <w:spacing w:line="240" w:lineRule="auto"/>
        <w:ind w:firstLine="640"/>
        <w:jc w:val="both"/>
      </w:pPr>
      <w:r>
        <w:rPr>
          <w:rFonts w:ascii="仿宋_GB2312" w:hAnsi="仿宋_GB2312" w:eastAsia="仿宋_GB2312"/>
          <w:b w:val="0"/>
          <w:sz w:val="32"/>
        </w:rPr>
        <w:t>二、《收入决算表》</w:t>
      </w:r>
    </w:p>
    <w:p w14:paraId="4E0F126E">
      <w:pPr>
        <w:spacing w:line="240" w:lineRule="auto"/>
        <w:ind w:firstLine="640"/>
        <w:jc w:val="both"/>
      </w:pPr>
      <w:r>
        <w:rPr>
          <w:rFonts w:ascii="仿宋_GB2312" w:hAnsi="仿宋_GB2312" w:eastAsia="仿宋_GB2312"/>
          <w:b w:val="0"/>
          <w:sz w:val="32"/>
        </w:rPr>
        <w:t>三、《支出决算表》</w:t>
      </w:r>
    </w:p>
    <w:p w14:paraId="5FD966EF">
      <w:pPr>
        <w:spacing w:line="240" w:lineRule="auto"/>
        <w:ind w:firstLine="640"/>
        <w:jc w:val="both"/>
      </w:pPr>
      <w:r>
        <w:rPr>
          <w:rFonts w:ascii="仿宋_GB2312" w:hAnsi="仿宋_GB2312" w:eastAsia="仿宋_GB2312"/>
          <w:b w:val="0"/>
          <w:sz w:val="32"/>
        </w:rPr>
        <w:t>四、《财政拨款收入支出决算总表》</w:t>
      </w:r>
    </w:p>
    <w:p w14:paraId="5C854B60">
      <w:pPr>
        <w:spacing w:line="240" w:lineRule="auto"/>
        <w:ind w:firstLine="640"/>
        <w:jc w:val="both"/>
      </w:pPr>
      <w:r>
        <w:rPr>
          <w:rFonts w:ascii="仿宋_GB2312" w:hAnsi="仿宋_GB2312" w:eastAsia="仿宋_GB2312"/>
          <w:b w:val="0"/>
          <w:sz w:val="32"/>
        </w:rPr>
        <w:t>五、《一般公共预算财政拨款支出决算表》</w:t>
      </w:r>
    </w:p>
    <w:p w14:paraId="38CDE817">
      <w:pPr>
        <w:spacing w:line="240" w:lineRule="auto"/>
        <w:ind w:firstLine="640"/>
        <w:jc w:val="both"/>
      </w:pPr>
      <w:r>
        <w:rPr>
          <w:rFonts w:ascii="仿宋_GB2312" w:hAnsi="仿宋_GB2312" w:eastAsia="仿宋_GB2312"/>
          <w:b w:val="0"/>
          <w:sz w:val="32"/>
        </w:rPr>
        <w:t>六、《一般公共预算财政拨款基本支出决算表》</w:t>
      </w:r>
    </w:p>
    <w:p w14:paraId="5F58C019">
      <w:pPr>
        <w:spacing w:line="240" w:lineRule="auto"/>
        <w:ind w:firstLine="640"/>
        <w:jc w:val="both"/>
      </w:pPr>
      <w:r>
        <w:rPr>
          <w:rFonts w:ascii="仿宋_GB2312" w:hAnsi="仿宋_GB2312" w:eastAsia="仿宋_GB2312"/>
          <w:b w:val="0"/>
          <w:sz w:val="32"/>
        </w:rPr>
        <w:t>七、《政府性基金预算财政拨款收入支出决算表》</w:t>
      </w:r>
    </w:p>
    <w:p w14:paraId="6024BCAC">
      <w:pPr>
        <w:spacing w:line="240" w:lineRule="auto"/>
        <w:ind w:firstLine="640"/>
        <w:jc w:val="both"/>
      </w:pPr>
      <w:r>
        <w:rPr>
          <w:rFonts w:ascii="仿宋_GB2312" w:hAnsi="仿宋_GB2312" w:eastAsia="仿宋_GB2312"/>
          <w:b w:val="0"/>
          <w:sz w:val="32"/>
        </w:rPr>
        <w:t>八、《国有资本经营预算财政拨款收入支出决算表》</w:t>
      </w:r>
    </w:p>
    <w:p w14:paraId="2D6C02AC">
      <w:pPr>
        <w:spacing w:line="240" w:lineRule="auto"/>
        <w:ind w:firstLine="640"/>
        <w:jc w:val="both"/>
      </w:pPr>
      <w:r>
        <w:rPr>
          <w:rFonts w:ascii="仿宋_GB2312" w:hAnsi="仿宋_GB2312" w:eastAsia="仿宋_GB2312"/>
          <w:b w:val="0"/>
          <w:sz w:val="32"/>
        </w:rPr>
        <w:t>九、《财政拨款“三公”经费支出决算表》</w:t>
      </w:r>
    </w:p>
    <w:p w14:paraId="0DB9F55B">
      <w:pPr>
        <w:spacing w:line="240" w:lineRule="auto"/>
        <w:ind w:firstLine="640"/>
        <w:jc w:val="both"/>
      </w:pPr>
    </w:p>
    <w:p w14:paraId="196FA002">
      <w:pPr>
        <w:spacing w:line="240" w:lineRule="auto"/>
        <w:ind w:firstLine="640"/>
        <w:jc w:val="both"/>
      </w:pPr>
    </w:p>
    <w:p w14:paraId="3595AEA9">
      <w:pPr>
        <w:spacing w:line="240" w:lineRule="auto"/>
        <w:ind w:firstLine="640"/>
        <w:jc w:val="both"/>
      </w:pPr>
    </w:p>
    <w:p w14:paraId="573BCC43">
      <w:pPr>
        <w:spacing w:line="240" w:lineRule="auto"/>
        <w:ind w:firstLine="640"/>
        <w:jc w:val="both"/>
      </w:pPr>
    </w:p>
    <w:p w14:paraId="681D63B4">
      <w:pPr>
        <w:spacing w:line="240" w:lineRule="auto"/>
        <w:ind w:firstLine="640"/>
        <w:jc w:val="both"/>
      </w:pPr>
    </w:p>
    <w:sectPr>
      <w:footerReference r:id="rId3" w:type="default"/>
      <w:pgSz w:w="11906" w:h="16838"/>
      <w:pgMar w:top="2098" w:right="1531" w:bottom="1984" w:left="1531"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48CA81-627D-4085-94EC-EEC0E3FEFB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33A0B83-9C24-4AA8-BD3A-3E4B0EFCF661}"/>
  </w:font>
  <w:font w:name="仿宋_GB2312">
    <w:altName w:val="仿宋"/>
    <w:panose1 w:val="02010609030101010101"/>
    <w:charset w:val="86"/>
    <w:family w:val="modern"/>
    <w:pitch w:val="default"/>
    <w:sig w:usb0="00000000" w:usb1="00000000" w:usb2="00000000" w:usb3="00000000" w:csb0="00040000" w:csb1="00000000"/>
    <w:embedRegular r:id="rId3" w:fontKey="{4C41A0A3-3DC9-4303-BEEA-9AAA0FD48C30}"/>
  </w:font>
  <w:font w:name="楷体_GB2312">
    <w:altName w:val="楷体"/>
    <w:panose1 w:val="02010609030101010101"/>
    <w:charset w:val="86"/>
    <w:family w:val="auto"/>
    <w:pitch w:val="default"/>
    <w:sig w:usb0="00000000" w:usb1="00000000" w:usb2="00000000" w:usb3="00000000" w:csb0="00040000" w:csb1="00000000"/>
    <w:embedRegular r:id="rId4" w:fontKey="{E03892DE-2557-4616-9ACE-6A11F85A2FB7}"/>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FB13B3"/>
    <w:rsid w:val="0C3613A3"/>
    <w:rsid w:val="0C7156BE"/>
    <w:rsid w:val="0C7227A7"/>
    <w:rsid w:val="0DCA6EF7"/>
    <w:rsid w:val="0E4B1576"/>
    <w:rsid w:val="0EA04331"/>
    <w:rsid w:val="0F9811B3"/>
    <w:rsid w:val="10046849"/>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2B7C81"/>
    <w:rsid w:val="313F1D52"/>
    <w:rsid w:val="318029AB"/>
    <w:rsid w:val="31C63837"/>
    <w:rsid w:val="326F0A17"/>
    <w:rsid w:val="3277581B"/>
    <w:rsid w:val="36C4518B"/>
    <w:rsid w:val="38006E2C"/>
    <w:rsid w:val="3914510A"/>
    <w:rsid w:val="3B1220C9"/>
    <w:rsid w:val="3D5275AC"/>
    <w:rsid w:val="3EA7725F"/>
    <w:rsid w:val="3EC014A1"/>
    <w:rsid w:val="40834692"/>
    <w:rsid w:val="423A32B2"/>
    <w:rsid w:val="423C0CB4"/>
    <w:rsid w:val="427B5743"/>
    <w:rsid w:val="42E64542"/>
    <w:rsid w:val="45444E9C"/>
    <w:rsid w:val="464B7E04"/>
    <w:rsid w:val="464F7E64"/>
    <w:rsid w:val="46901EEE"/>
    <w:rsid w:val="469C74D2"/>
    <w:rsid w:val="47445515"/>
    <w:rsid w:val="4B4C0111"/>
    <w:rsid w:val="4BB23021"/>
    <w:rsid w:val="4CA706AC"/>
    <w:rsid w:val="4F3F074E"/>
    <w:rsid w:val="50DB5F45"/>
    <w:rsid w:val="52F92565"/>
    <w:rsid w:val="543D17CB"/>
    <w:rsid w:val="55DA564E"/>
    <w:rsid w:val="56E07045"/>
    <w:rsid w:val="56FC5EC5"/>
    <w:rsid w:val="583059FA"/>
    <w:rsid w:val="587E6212"/>
    <w:rsid w:val="5AFC6609"/>
    <w:rsid w:val="5FA17648"/>
    <w:rsid w:val="5FD320BD"/>
    <w:rsid w:val="60DE4D57"/>
    <w:rsid w:val="613409CB"/>
    <w:rsid w:val="61A46A97"/>
    <w:rsid w:val="62DD7D21"/>
    <w:rsid w:val="65D97752"/>
    <w:rsid w:val="664C500C"/>
    <w:rsid w:val="666D7E19"/>
    <w:rsid w:val="67D111AB"/>
    <w:rsid w:val="68DB0208"/>
    <w:rsid w:val="68DF36D5"/>
    <w:rsid w:val="69846A0E"/>
    <w:rsid w:val="69AD798C"/>
    <w:rsid w:val="6ADC556D"/>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6112</Words>
  <Characters>6974</Characters>
  <Lines>0</Lines>
  <Paragraphs>0</Paragraphs>
  <TotalTime>29</TotalTime>
  <ScaleCrop>false</ScaleCrop>
  <LinksUpToDate>false</LinksUpToDate>
  <CharactersWithSpaces>6982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2025-11-28T03:05:35Z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