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D450D3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中共洛浦县直属机关工作委员会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317FF7">
      <w:r>
        <w:br w:type="page"/>
      </w:r>
    </w:p>
    <w:p w14:paraId="78CE2A3D">
      <w:pPr>
        <w:spacing w:line="640" w:lineRule="exact"/>
        <w:jc w:val="center"/>
        <w:outlineLvl w:val="1"/>
      </w:pPr>
      <w:r>
        <w:rPr>
          <w:rFonts w:ascii="黑体" w:hAnsi="黑体" w:eastAsia="黑体"/>
          <w:sz w:val="32"/>
        </w:rPr>
        <w:t>第一部分 单位概况</w:t>
      </w:r>
    </w:p>
    <w:p w14:paraId="45A80E64">
      <w:pPr>
        <w:spacing w:line="640" w:lineRule="exact"/>
        <w:ind w:firstLine="640"/>
        <w:jc w:val="both"/>
        <w:outlineLvl w:val="2"/>
      </w:pPr>
      <w:r>
        <w:rPr>
          <w:rFonts w:ascii="黑体" w:hAnsi="黑体" w:eastAsia="黑体"/>
          <w:sz w:val="32"/>
        </w:rPr>
        <w:t>一、主要职能</w:t>
      </w:r>
    </w:p>
    <w:p w14:paraId="121413A2">
      <w:pPr>
        <w:spacing w:line="580" w:lineRule="exact"/>
        <w:ind w:firstLine="640"/>
        <w:jc w:val="both"/>
      </w:pPr>
      <w:r>
        <w:rPr>
          <w:rFonts w:ascii="仿宋_GB2312" w:hAnsi="仿宋_GB2312" w:eastAsia="仿宋_GB2312"/>
          <w:sz w:val="32"/>
        </w:rPr>
        <w:t>1.贯彻党的路线方针政策，统一组织规划部署县直属机关党的工作，提出加强和改进机关党的建设的意见和建议。研究制定工作规划并做好组织实施。</w:t>
      </w:r>
    </w:p>
    <w:p w14:paraId="06F0D83D">
      <w:pPr>
        <w:spacing w:line="580" w:lineRule="exact"/>
        <w:ind w:firstLine="640"/>
        <w:jc w:val="both"/>
      </w:pPr>
      <w:r>
        <w:rPr>
          <w:rFonts w:ascii="仿宋_GB2312" w:hAnsi="仿宋_GB2312" w:eastAsia="仿宋_GB2312"/>
          <w:sz w:val="32"/>
        </w:rPr>
        <w:t>2.指导督促县直属机关党组(党委)认真履行机关党建主体责任。指导县直属机关党的政治建设、思想建设、组织建设、作风建设、纪律建设，把制度建设贯穿其中。深入推进反腐败斗争。</w:t>
      </w:r>
    </w:p>
    <w:p w14:paraId="782F99F3">
      <w:pPr>
        <w:spacing w:line="580" w:lineRule="exact"/>
        <w:ind w:firstLine="640"/>
        <w:jc w:val="both"/>
      </w:pPr>
      <w:r>
        <w:rPr>
          <w:rFonts w:ascii="仿宋_GB2312" w:hAnsi="仿宋_GB2312" w:eastAsia="仿宋_GB2312"/>
          <w:sz w:val="32"/>
        </w:rPr>
        <w:t>3.指导县直属机关各级党组织和广大党员学习马克思列宁主义、毛泽东思想、邓小平理论、“三个代表”重要思想、科学发展观、习近平新时代中国特色社会主义思想。</w:t>
      </w:r>
    </w:p>
    <w:p w14:paraId="2FB50623">
      <w:pPr>
        <w:spacing w:line="580" w:lineRule="exact"/>
        <w:ind w:firstLine="640"/>
        <w:jc w:val="both"/>
      </w:pPr>
      <w:r>
        <w:rPr>
          <w:rFonts w:ascii="仿宋_GB2312" w:hAnsi="仿宋_GB2312" w:eastAsia="仿宋_GB2312"/>
          <w:sz w:val="32"/>
        </w:rPr>
        <w:t>4.对县直属机关各级党组织、党员领导干部落实党建责任制、遵守政治纪律和政治规矩情况进行监督检查，并向县委报告。</w:t>
      </w:r>
    </w:p>
    <w:p w14:paraId="092CCCFB">
      <w:pPr>
        <w:spacing w:line="580" w:lineRule="exact"/>
        <w:ind w:firstLine="640"/>
        <w:jc w:val="both"/>
      </w:pPr>
      <w:r>
        <w:rPr>
          <w:rFonts w:ascii="仿宋_GB2312" w:hAnsi="仿宋_GB2312" w:eastAsia="仿宋_GB2312"/>
          <w:sz w:val="32"/>
        </w:rPr>
        <w:t>5.配合有关部门抓好县直属机关各部门领导班子思想政治建设，参与对党员领导干部民主生活会和党组(党委)理论学习中心组学习的督促检查和指导，了解掌握情况，按规定报送情况报告。</w:t>
      </w:r>
    </w:p>
    <w:p w14:paraId="0828A943">
      <w:pPr>
        <w:spacing w:line="580" w:lineRule="exact"/>
        <w:ind w:firstLine="640"/>
        <w:jc w:val="both"/>
      </w:pPr>
      <w:r>
        <w:rPr>
          <w:rFonts w:ascii="仿宋_GB2312" w:hAnsi="仿宋_GB2312" w:eastAsia="仿宋_GB2312"/>
          <w:sz w:val="32"/>
        </w:rPr>
        <w:t>6.督促指导县直属机关各部门机关党支部按期换届，审批关于召开党员大会或党员代表大会的请示，审批县直属机关各部门党支部领导班子的组成及书记、副书记的任免。</w:t>
      </w:r>
    </w:p>
    <w:p w14:paraId="404BD9C3">
      <w:pPr>
        <w:spacing w:line="580" w:lineRule="exact"/>
        <w:ind w:firstLine="640"/>
        <w:jc w:val="both"/>
      </w:pPr>
      <w:r>
        <w:rPr>
          <w:rFonts w:ascii="仿宋_GB2312" w:hAnsi="仿宋_GB2312" w:eastAsia="仿宋_GB2312"/>
          <w:sz w:val="32"/>
        </w:rPr>
        <w:t>7.指导县直属机关各党支部加强基层组织建设，做好党员发展教育和管理等工作。</w:t>
      </w:r>
    </w:p>
    <w:p w14:paraId="452CFC55">
      <w:pPr>
        <w:spacing w:line="580" w:lineRule="exact"/>
        <w:ind w:firstLine="640"/>
        <w:jc w:val="both"/>
      </w:pPr>
      <w:r>
        <w:rPr>
          <w:rFonts w:ascii="仿宋_GB2312" w:hAnsi="仿宋_GB2312" w:eastAsia="仿宋_GB2312"/>
          <w:sz w:val="32"/>
        </w:rPr>
        <w:t>8.了解掌握县直属机关工作人员的思想状况，指导县直属机关各党支部组织加强思想政治工作和精神文明建设。</w:t>
      </w:r>
    </w:p>
    <w:p w14:paraId="13F0EAB3">
      <w:pPr>
        <w:spacing w:line="580" w:lineRule="exact"/>
        <w:ind w:firstLine="640"/>
        <w:jc w:val="both"/>
      </w:pPr>
      <w:r>
        <w:rPr>
          <w:rFonts w:ascii="仿宋_GB2312" w:hAnsi="仿宋_GB2312" w:eastAsia="仿宋_GB2312"/>
          <w:sz w:val="32"/>
        </w:rPr>
        <w:t>9.协助和指导机关工会、共青团、妇联等群团组织的工作，指导县直属机关各级党组织做好党的群众工作。</w:t>
      </w:r>
    </w:p>
    <w:p w14:paraId="33B0B6E5">
      <w:pPr>
        <w:spacing w:line="580" w:lineRule="exact"/>
        <w:ind w:firstLine="640"/>
        <w:jc w:val="both"/>
      </w:pPr>
      <w:r>
        <w:rPr>
          <w:rFonts w:ascii="仿宋_GB2312" w:hAnsi="仿宋_GB2312" w:eastAsia="仿宋_GB2312"/>
          <w:sz w:val="32"/>
        </w:rPr>
        <w:t>10.协同有关部门指导规划协调监督检查县直属机关干部教育培训工作，培训轮训县直属机关党员领导干部、党务干部及党员发展对象。</w:t>
      </w:r>
    </w:p>
    <w:p w14:paraId="2BDE32CC">
      <w:pPr>
        <w:spacing w:line="580" w:lineRule="exact"/>
        <w:ind w:firstLine="640"/>
        <w:jc w:val="both"/>
      </w:pPr>
      <w:r>
        <w:rPr>
          <w:rFonts w:ascii="仿宋_GB2312" w:hAnsi="仿宋_GB2312" w:eastAsia="仿宋_GB2312"/>
          <w:sz w:val="32"/>
        </w:rPr>
        <w:t>11.完成县委交办的其他任务。</w:t>
      </w:r>
    </w:p>
    <w:p w14:paraId="200E00D6">
      <w:pPr>
        <w:spacing w:line="640" w:lineRule="exact"/>
        <w:ind w:firstLine="640"/>
        <w:jc w:val="both"/>
        <w:outlineLvl w:val="2"/>
      </w:pPr>
      <w:r>
        <w:rPr>
          <w:rFonts w:ascii="黑体" w:hAnsi="黑体" w:eastAsia="黑体"/>
          <w:sz w:val="32"/>
        </w:rPr>
        <w:t>二、机构设置及人员情况</w:t>
      </w:r>
    </w:p>
    <w:p w14:paraId="2FAD4F8E">
      <w:pPr>
        <w:spacing w:line="580" w:lineRule="exact"/>
        <w:ind w:firstLine="640"/>
        <w:jc w:val="both"/>
      </w:pPr>
      <w:r>
        <w:rPr>
          <w:rFonts w:ascii="仿宋_GB2312" w:hAnsi="仿宋_GB2312" w:eastAsia="仿宋_GB2312"/>
          <w:sz w:val="32"/>
        </w:rPr>
        <w:t>中共洛浦县直属机关工作委员会2024年度，实有人数10人，其中：在职人员6人，减少1人；离休人员0人，增加0人；退休人员4人,增加0人。</w:t>
      </w:r>
    </w:p>
    <w:p w14:paraId="3917B446">
      <w:pPr>
        <w:spacing w:line="580" w:lineRule="exact"/>
        <w:ind w:firstLine="640"/>
        <w:jc w:val="both"/>
      </w:pPr>
      <w:r>
        <w:rPr>
          <w:rFonts w:ascii="仿宋_GB2312" w:hAnsi="仿宋_GB2312" w:eastAsia="仿宋_GB2312"/>
          <w:sz w:val="32"/>
        </w:rPr>
        <w:t>中共洛浦县直属机关工作委员会无下属预算单位，下设1个科室，分别是：综合办公室。</w:t>
      </w:r>
    </w:p>
    <w:p w14:paraId="0ED78152">
      <w:r>
        <w:br w:type="page"/>
      </w:r>
    </w:p>
    <w:p w14:paraId="50843A64">
      <w:pPr>
        <w:spacing w:line="240" w:lineRule="auto"/>
        <w:jc w:val="center"/>
        <w:outlineLvl w:val="1"/>
      </w:pPr>
      <w:r>
        <w:rPr>
          <w:rFonts w:ascii="黑体" w:hAnsi="黑体" w:eastAsia="黑体"/>
          <w:sz w:val="32"/>
        </w:rPr>
        <w:t>第二部分 部门决算情况说明</w:t>
      </w:r>
    </w:p>
    <w:p w14:paraId="7B6CEB8D">
      <w:pPr>
        <w:spacing w:line="640" w:lineRule="exact"/>
        <w:ind w:firstLine="640"/>
        <w:jc w:val="both"/>
        <w:outlineLvl w:val="2"/>
      </w:pPr>
      <w:r>
        <w:rPr>
          <w:rFonts w:ascii="黑体" w:hAnsi="黑体" w:eastAsia="黑体"/>
          <w:sz w:val="32"/>
        </w:rPr>
        <w:t>一、收入支出决算总体情况说明</w:t>
      </w:r>
    </w:p>
    <w:p w14:paraId="3C927C63">
      <w:pPr>
        <w:spacing w:line="580" w:lineRule="exact"/>
        <w:ind w:firstLine="640"/>
        <w:jc w:val="both"/>
      </w:pPr>
      <w:r>
        <w:rPr>
          <w:rFonts w:ascii="仿宋_GB2312" w:hAnsi="仿宋_GB2312" w:eastAsia="仿宋_GB2312"/>
          <w:b/>
          <w:sz w:val="32"/>
        </w:rPr>
        <w:t>2024年度收入总计149.46万元，</w:t>
      </w:r>
      <w:r>
        <w:rPr>
          <w:rFonts w:ascii="仿宋_GB2312" w:hAnsi="仿宋_GB2312" w:eastAsia="仿宋_GB2312"/>
          <w:b w:val="0"/>
          <w:sz w:val="32"/>
        </w:rPr>
        <w:t>其中：本年收入合计149.46万元，使用非财政拨款结余（含专用结余）0.00万元，年初结转和结余0.00万元。</w:t>
      </w:r>
    </w:p>
    <w:p w14:paraId="4ACC4DA0">
      <w:pPr>
        <w:spacing w:line="580" w:lineRule="exact"/>
        <w:ind w:firstLine="640"/>
        <w:jc w:val="both"/>
      </w:pPr>
      <w:r>
        <w:rPr>
          <w:rFonts w:ascii="仿宋_GB2312" w:hAnsi="仿宋_GB2312" w:eastAsia="仿宋_GB2312"/>
          <w:b/>
          <w:sz w:val="32"/>
        </w:rPr>
        <w:t>2024年度支出总计149.46万元，</w:t>
      </w:r>
      <w:r>
        <w:rPr>
          <w:rFonts w:ascii="仿宋_GB2312" w:hAnsi="仿宋_GB2312" w:eastAsia="仿宋_GB2312"/>
          <w:b w:val="0"/>
          <w:sz w:val="32"/>
        </w:rPr>
        <w:t>其中：本年支出合计149.46万元，结余分配0.00万元，年末结转和结余0.00万元。</w:t>
      </w:r>
    </w:p>
    <w:p w14:paraId="09E0990C">
      <w:pPr>
        <w:spacing w:line="580" w:lineRule="exact"/>
        <w:ind w:firstLine="640"/>
        <w:jc w:val="both"/>
      </w:pPr>
      <w:r>
        <w:rPr>
          <w:rFonts w:ascii="仿宋_GB2312" w:hAnsi="仿宋_GB2312" w:eastAsia="仿宋_GB2312"/>
          <w:b w:val="0"/>
          <w:sz w:val="32"/>
        </w:rPr>
        <w:t>收入支出总体与上年相比，减少4.84万元，下降3.14%，主要原因是：本年在职人员减少，相关人员经费较上年减少。</w:t>
      </w:r>
    </w:p>
    <w:p w14:paraId="55994572">
      <w:pPr>
        <w:spacing w:line="640" w:lineRule="exact"/>
        <w:ind w:firstLine="640"/>
        <w:jc w:val="both"/>
        <w:outlineLvl w:val="2"/>
      </w:pPr>
      <w:r>
        <w:rPr>
          <w:rFonts w:ascii="黑体" w:hAnsi="黑体" w:eastAsia="黑体"/>
          <w:sz w:val="32"/>
        </w:rPr>
        <w:t>二、收入决算情况说明</w:t>
      </w:r>
    </w:p>
    <w:p w14:paraId="1A48E3CA">
      <w:pPr>
        <w:spacing w:line="580" w:lineRule="exact"/>
        <w:ind w:firstLine="640"/>
        <w:jc w:val="both"/>
      </w:pPr>
      <w:r>
        <w:rPr>
          <w:rFonts w:ascii="仿宋_GB2312" w:hAnsi="仿宋_GB2312" w:eastAsia="仿宋_GB2312"/>
          <w:b/>
          <w:sz w:val="32"/>
        </w:rPr>
        <w:t>本年收入149.46万元，</w:t>
      </w:r>
      <w:r>
        <w:rPr>
          <w:rFonts w:ascii="仿宋_GB2312" w:hAnsi="仿宋_GB2312" w:eastAsia="仿宋_GB2312"/>
          <w:b w:val="0"/>
          <w:sz w:val="32"/>
        </w:rPr>
        <w:t>其中：财政拨款收入149.46万元，占100.00%；上级补助收入0.00万元，占0.00%；事业收入0.00万元，占0.00%；经营收入0.00万元，占0.00%；附属单位上缴收入0.00万元，占0.00%；其他收入0.00万元，占0.00%。</w:t>
      </w:r>
    </w:p>
    <w:p w14:paraId="04F3A8A2">
      <w:pPr>
        <w:spacing w:line="640" w:lineRule="exact"/>
        <w:ind w:firstLine="640"/>
        <w:jc w:val="both"/>
        <w:outlineLvl w:val="2"/>
      </w:pPr>
      <w:r>
        <w:rPr>
          <w:rFonts w:ascii="黑体" w:hAnsi="黑体" w:eastAsia="黑体"/>
          <w:sz w:val="32"/>
        </w:rPr>
        <w:t>三、支出决算情况说明</w:t>
      </w:r>
    </w:p>
    <w:p w14:paraId="20542538">
      <w:pPr>
        <w:spacing w:line="580" w:lineRule="exact"/>
        <w:ind w:firstLine="640"/>
        <w:jc w:val="both"/>
      </w:pPr>
      <w:r>
        <w:rPr>
          <w:rFonts w:ascii="仿宋_GB2312" w:hAnsi="仿宋_GB2312" w:eastAsia="仿宋_GB2312"/>
          <w:b/>
          <w:sz w:val="32"/>
        </w:rPr>
        <w:t>本年支出149.46万元，</w:t>
      </w:r>
      <w:r>
        <w:rPr>
          <w:rFonts w:ascii="仿宋_GB2312" w:hAnsi="仿宋_GB2312" w:eastAsia="仿宋_GB2312"/>
          <w:b w:val="0"/>
          <w:sz w:val="32"/>
        </w:rPr>
        <w:t>其中：基本支出142.31万元，占95.22%；项目支出7.15万元，占4.78%；上缴上级支出0.00万元，占0.00%；经营支出0.00万元，占0.00%；对附属单位补助支出0.00万元，占0.00%。</w:t>
      </w:r>
    </w:p>
    <w:p w14:paraId="26BB6A24">
      <w:pPr>
        <w:spacing w:line="640" w:lineRule="exact"/>
        <w:ind w:firstLine="640"/>
        <w:jc w:val="both"/>
        <w:outlineLvl w:val="2"/>
      </w:pPr>
      <w:r>
        <w:rPr>
          <w:rFonts w:ascii="黑体" w:hAnsi="黑体" w:eastAsia="黑体"/>
          <w:sz w:val="32"/>
        </w:rPr>
        <w:t>四、财政拨款收入支出决算总体情况说明</w:t>
      </w:r>
    </w:p>
    <w:p w14:paraId="2DF81192">
      <w:pPr>
        <w:spacing w:line="580" w:lineRule="exact"/>
        <w:ind w:firstLine="640"/>
        <w:jc w:val="both"/>
      </w:pPr>
      <w:r>
        <w:rPr>
          <w:rFonts w:ascii="仿宋_GB2312" w:hAnsi="仿宋_GB2312" w:eastAsia="仿宋_GB2312"/>
          <w:b/>
          <w:sz w:val="32"/>
        </w:rPr>
        <w:t>2024年度财政拨款收入总计149.46万元，</w:t>
      </w:r>
      <w:r>
        <w:rPr>
          <w:rFonts w:ascii="仿宋_GB2312" w:hAnsi="仿宋_GB2312" w:eastAsia="仿宋_GB2312"/>
          <w:b w:val="0"/>
          <w:sz w:val="32"/>
        </w:rPr>
        <w:t>其中：年初财政拨款结转和结余0.00万元，本年财政拨款收入149.46万元。</w:t>
      </w:r>
      <w:r>
        <w:rPr>
          <w:rFonts w:ascii="仿宋_GB2312" w:hAnsi="仿宋_GB2312" w:eastAsia="仿宋_GB2312"/>
          <w:b/>
          <w:sz w:val="32"/>
        </w:rPr>
        <w:t>财政拨款支出总计149.46万元，</w:t>
      </w:r>
      <w:r>
        <w:rPr>
          <w:rFonts w:ascii="仿宋_GB2312" w:hAnsi="仿宋_GB2312" w:eastAsia="仿宋_GB2312"/>
          <w:b w:val="0"/>
          <w:sz w:val="32"/>
        </w:rPr>
        <w:t>其中：年末财政拨款结转和结余0.00万元，本年财政拨款支出149.46万元。</w:t>
      </w:r>
    </w:p>
    <w:p w14:paraId="0161E88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减少4.84万元，下降3.14%，主要原因是：本年在职人员减少，相关人员经费较上年减少。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年初预算数132.05万元，决算数149.46万元，预决算差异率13.18%，主要原因是：年中追加人员工资、社保、公积金基数调增部分资金，导致预决算存在差异。</w:t>
      </w:r>
    </w:p>
    <w:p w14:paraId="3EAC7496">
      <w:pPr>
        <w:spacing w:line="640" w:lineRule="exact"/>
        <w:ind w:firstLine="640"/>
        <w:jc w:val="both"/>
        <w:outlineLvl w:val="2"/>
      </w:pPr>
      <w:r>
        <w:rPr>
          <w:rFonts w:ascii="黑体" w:hAnsi="黑体" w:eastAsia="黑体"/>
          <w:sz w:val="32"/>
        </w:rPr>
        <w:t>五、一般公共预算财政拨款支出决算情况说明</w:t>
      </w:r>
    </w:p>
    <w:p w14:paraId="6A2363AC">
      <w:pPr>
        <w:spacing w:line="640" w:lineRule="exact"/>
        <w:ind w:firstLine="640"/>
        <w:jc w:val="both"/>
        <w:outlineLvl w:val="3"/>
      </w:pPr>
      <w:r>
        <w:rPr>
          <w:rFonts w:ascii="楷体_GB2312" w:hAnsi="楷体_GB2312" w:eastAsia="楷体_GB2312"/>
          <w:b/>
          <w:sz w:val="32"/>
        </w:rPr>
        <w:t>（一）一般公共预算财政拨款支出决算总体情况</w:t>
      </w:r>
    </w:p>
    <w:p w14:paraId="6565CD48">
      <w:pPr>
        <w:spacing w:line="580" w:lineRule="exact"/>
        <w:ind w:firstLine="640"/>
        <w:jc w:val="both"/>
      </w:pPr>
      <w:r>
        <w:rPr>
          <w:rFonts w:ascii="仿宋_GB2312" w:hAnsi="仿宋_GB2312" w:eastAsia="仿宋_GB2312"/>
          <w:b/>
          <w:sz w:val="32"/>
        </w:rPr>
        <w:t>2024年度一般公共预算财政拨款支出149.46万元，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减少4.84万元，下降3.14%，主要原因是：本年在职人员减少，相关人员经费较上年减少。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年初预算数132.05万元，决算数149.46万元，预决算差异率13.18%，主要原因是：年中追加人员工资、社保、公积金基数调增部分资金，导致预决算存在差异。</w:t>
      </w:r>
    </w:p>
    <w:p w14:paraId="4983D040">
      <w:pPr>
        <w:spacing w:line="640" w:lineRule="exact"/>
        <w:ind w:firstLine="640"/>
        <w:jc w:val="both"/>
        <w:outlineLvl w:val="3"/>
      </w:pPr>
      <w:r>
        <w:rPr>
          <w:rFonts w:ascii="楷体_GB2312" w:hAnsi="楷体_GB2312" w:eastAsia="楷体_GB2312"/>
          <w:b/>
          <w:sz w:val="32"/>
        </w:rPr>
        <w:t>（二）一般公共预算财政拨款支出决算结构情况</w:t>
      </w:r>
    </w:p>
    <w:p w14:paraId="794ACEB2">
      <w:pPr>
        <w:spacing w:line="580" w:lineRule="exact"/>
        <w:ind w:firstLine="640"/>
        <w:jc w:val="both"/>
      </w:pPr>
      <w:r>
        <w:rPr>
          <w:rFonts w:ascii="仿宋_GB2312" w:hAnsi="仿宋_GB2312" w:eastAsia="仿宋_GB2312"/>
          <w:b w:val="0"/>
          <w:sz w:val="32"/>
        </w:rPr>
        <w:t>1.一般公共服务支出(类)102.48万元,占68.57%。</w:t>
      </w:r>
    </w:p>
    <w:p w14:paraId="3B1CE073">
      <w:pPr>
        <w:spacing w:line="580" w:lineRule="exact"/>
        <w:ind w:firstLine="640"/>
        <w:jc w:val="both"/>
      </w:pPr>
      <w:r>
        <w:rPr>
          <w:rFonts w:ascii="仿宋_GB2312" w:hAnsi="仿宋_GB2312" w:eastAsia="仿宋_GB2312"/>
          <w:b w:val="0"/>
          <w:sz w:val="32"/>
        </w:rPr>
        <w:t>2.社会保障和就业支出(类)20.80万元,占13.92%。</w:t>
      </w:r>
    </w:p>
    <w:p w14:paraId="1F83B669">
      <w:pPr>
        <w:spacing w:line="580" w:lineRule="exact"/>
        <w:ind w:firstLine="640"/>
        <w:jc w:val="both"/>
      </w:pPr>
      <w:r>
        <w:rPr>
          <w:rFonts w:ascii="仿宋_GB2312" w:hAnsi="仿宋_GB2312" w:eastAsia="仿宋_GB2312"/>
          <w:b w:val="0"/>
          <w:sz w:val="32"/>
        </w:rPr>
        <w:t>3.卫生健康支出(类)8.86万元,占5.93%。</w:t>
      </w:r>
    </w:p>
    <w:p w14:paraId="165B3E5F">
      <w:pPr>
        <w:spacing w:line="580" w:lineRule="exact"/>
        <w:ind w:firstLine="640"/>
        <w:jc w:val="both"/>
      </w:pPr>
      <w:r>
        <w:rPr>
          <w:rFonts w:ascii="仿宋_GB2312" w:hAnsi="仿宋_GB2312" w:eastAsia="仿宋_GB2312"/>
          <w:b w:val="0"/>
          <w:sz w:val="32"/>
        </w:rPr>
        <w:t>4.住房保障支出(类)10.18万元,占6.81%。</w:t>
      </w:r>
    </w:p>
    <w:p w14:paraId="2791DF01">
      <w:pPr>
        <w:spacing w:line="580" w:lineRule="exact"/>
        <w:ind w:firstLine="640"/>
        <w:jc w:val="both"/>
      </w:pPr>
      <w:r>
        <w:rPr>
          <w:rFonts w:ascii="仿宋_GB2312" w:hAnsi="仿宋_GB2312" w:eastAsia="仿宋_GB2312"/>
          <w:b w:val="0"/>
          <w:sz w:val="32"/>
        </w:rPr>
        <w:t>5.其他支出(类)7.15万元,占4.78%。</w:t>
      </w:r>
    </w:p>
    <w:p w14:paraId="1A1F5070">
      <w:pPr>
        <w:spacing w:line="640" w:lineRule="exact"/>
        <w:ind w:firstLine="640"/>
        <w:jc w:val="both"/>
        <w:outlineLvl w:val="3"/>
      </w:pPr>
      <w:r>
        <w:rPr>
          <w:rFonts w:ascii="楷体_GB2312" w:hAnsi="楷体_GB2312" w:eastAsia="楷体_GB2312"/>
          <w:b/>
          <w:sz w:val="32"/>
        </w:rPr>
        <w:t>（三）一般公共预算财政拨款支出决算具体情况</w:t>
      </w:r>
    </w:p>
    <w:p w14:paraId="7CE7E14C">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102.48万元，比上年决算减少29.61万元，下降22.42%,主要原因是：1.本年在职人员减少，相关人员经费较上年减少。2.本年功能科目调整，行政单位离退休经费，行政单位医疗，公务员医疗补助，住房公积金上年度在主科目列支，本年单独列支，导致经费较上年减少。</w:t>
      </w:r>
    </w:p>
    <w:p w14:paraId="23E2F7CF">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6.65万元，比上年决算增加6.65万元，增长100.00%,主要原因是：本年功能科目调整，行政单位离退休上年度在主科目列支，本年单独列支，导致经费较上年增加。</w:t>
      </w:r>
    </w:p>
    <w:p w14:paraId="6E129CC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14.14万元，比上年决算增加1.92万元，增长15.71%,主要原因是：本年在职人员工资基数调增，养老缴费基数上涨，相应支出增加。</w:t>
      </w:r>
    </w:p>
    <w:p w14:paraId="563FE1B3">
      <w:pPr>
        <w:spacing w:line="580" w:lineRule="exact"/>
        <w:ind w:firstLine="640"/>
        <w:jc w:val="both"/>
      </w:pPr>
      <w:r>
        <w:rPr>
          <w:rFonts w:ascii="仿宋_GB2312" w:hAnsi="仿宋_GB2312" w:eastAsia="仿宋_GB2312"/>
          <w:b w:val="0"/>
          <w:sz w:val="32"/>
        </w:rPr>
        <w:t>4.卫生健康支出(类)行政事业单位医疗(款)行政单位医疗(项):支出决算数为5.75万元，比上年决算增加5.75万元，增长100.00%,主要原因是：本年功能科目调整，行政单位医疗支出上年度在主科目列支，本年单独列支，导致经费较上年增加。</w:t>
      </w:r>
    </w:p>
    <w:p w14:paraId="18C141CC">
      <w:pPr>
        <w:spacing w:line="580" w:lineRule="exact"/>
        <w:ind w:firstLine="640"/>
        <w:jc w:val="both"/>
      </w:pPr>
      <w:r>
        <w:rPr>
          <w:rFonts w:ascii="仿宋_GB2312" w:hAnsi="仿宋_GB2312" w:eastAsia="仿宋_GB2312"/>
          <w:b w:val="0"/>
          <w:sz w:val="32"/>
        </w:rPr>
        <w:t>5.卫生健康支出(类)行政事业单位医疗(款)公务员医疗补助(项):支出决算数为3.11万元，比上年决算增加3.11万元，增长100.00%,主要原因是：本年功能科目调整，公务员医疗补助上年度在主科目列支，本年单独列支，导致经费较上年增加。</w:t>
      </w:r>
    </w:p>
    <w:p w14:paraId="20C9F08E">
      <w:pPr>
        <w:spacing w:line="580" w:lineRule="exact"/>
        <w:ind w:firstLine="640"/>
        <w:jc w:val="both"/>
      </w:pPr>
      <w:r>
        <w:rPr>
          <w:rFonts w:ascii="仿宋_GB2312" w:hAnsi="仿宋_GB2312" w:eastAsia="仿宋_GB2312"/>
          <w:b w:val="0"/>
          <w:sz w:val="32"/>
        </w:rPr>
        <w:t>6.住房保障支出(类)住房改革支出(款)住房公积金(项):支出决算数为10.18万元，比上年决算增加10.18万元，增长100.00%,主要原因是：本年功能科目调整，住房公积金上年度在主科目列支，本年单独列支，导致经费较上年增加。</w:t>
      </w:r>
    </w:p>
    <w:p w14:paraId="595AF5FD">
      <w:pPr>
        <w:spacing w:line="580" w:lineRule="exact"/>
        <w:ind w:firstLine="640"/>
        <w:jc w:val="both"/>
      </w:pPr>
      <w:r>
        <w:rPr>
          <w:rFonts w:ascii="仿宋_GB2312" w:hAnsi="仿宋_GB2312" w:eastAsia="仿宋_GB2312"/>
          <w:b w:val="0"/>
          <w:sz w:val="32"/>
        </w:rPr>
        <w:t>7.其他支出(类)其他支出(款)其他支出(项):支出决算数为7.15万元，比上年决算减少2.84万元，下降28.43%,主要原因是：本年减少为民办实事经费。</w:t>
      </w:r>
    </w:p>
    <w:p w14:paraId="66287C3D">
      <w:pPr>
        <w:spacing w:line="640" w:lineRule="exact"/>
        <w:ind w:firstLine="640"/>
        <w:jc w:val="both"/>
        <w:outlineLvl w:val="2"/>
      </w:pPr>
      <w:r>
        <w:rPr>
          <w:rFonts w:ascii="黑体" w:hAnsi="黑体" w:eastAsia="黑体"/>
          <w:sz w:val="32"/>
        </w:rPr>
        <w:t>六、一般公共预算财政拨款基本支出决算情况说明</w:t>
      </w:r>
    </w:p>
    <w:p w14:paraId="565D33A0">
      <w:pPr>
        <w:spacing w:line="580" w:lineRule="exact"/>
        <w:ind w:firstLine="640"/>
        <w:jc w:val="both"/>
      </w:pPr>
      <w:r>
        <w:rPr>
          <w:rFonts w:ascii="仿宋_GB2312" w:hAnsi="仿宋_GB2312" w:eastAsia="仿宋_GB2312"/>
          <w:b w:val="0"/>
          <w:sz w:val="32"/>
        </w:rPr>
        <w:t>2024年度一般公共预算财政拨款基本支出142.31万元，其中：</w:t>
      </w:r>
      <w:r>
        <w:rPr>
          <w:rFonts w:ascii="仿宋_GB2312" w:hAnsi="仿宋_GB2312" w:eastAsia="仿宋_GB2312"/>
          <w:b/>
          <w:sz w:val="32"/>
        </w:rPr>
        <w:t>人员经费140.24万元，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6847B200">
      <w:pPr>
        <w:spacing w:line="580" w:lineRule="exact"/>
        <w:ind w:firstLine="640"/>
        <w:jc w:val="both"/>
      </w:pPr>
      <w:r>
        <w:rPr>
          <w:rFonts w:ascii="仿宋_GB2312" w:hAnsi="仿宋_GB2312" w:eastAsia="仿宋_GB2312"/>
          <w:b/>
          <w:sz w:val="32"/>
        </w:rPr>
        <w:t>公用经费2.07万元，</w:t>
      </w:r>
      <w:r>
        <w:rPr>
          <w:rFonts w:ascii="仿宋_GB2312" w:hAnsi="仿宋_GB2312" w:eastAsia="仿宋_GB2312"/>
          <w:b w:val="0"/>
          <w:sz w:val="32"/>
        </w:rPr>
        <w:t>包括：办公费、邮电费、差旅费、工会经费。</w:t>
      </w:r>
    </w:p>
    <w:p w14:paraId="26E315CE">
      <w:pPr>
        <w:spacing w:line="640" w:lineRule="exact"/>
        <w:ind w:firstLine="640"/>
        <w:jc w:val="both"/>
        <w:outlineLvl w:val="2"/>
      </w:pPr>
      <w:r>
        <w:rPr>
          <w:rFonts w:ascii="黑体" w:hAnsi="黑体" w:eastAsia="黑体"/>
          <w:sz w:val="32"/>
        </w:rPr>
        <w:t>七、政府性基金预算财政拨款收入支出决算情况说明</w:t>
      </w:r>
    </w:p>
    <w:p w14:paraId="3BCBE9B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F946910">
      <w:pPr>
        <w:spacing w:line="640" w:lineRule="exact"/>
        <w:ind w:firstLine="640"/>
        <w:jc w:val="both"/>
        <w:outlineLvl w:val="2"/>
      </w:pPr>
      <w:r>
        <w:rPr>
          <w:rFonts w:ascii="黑体" w:hAnsi="黑体" w:eastAsia="黑体"/>
          <w:sz w:val="32"/>
        </w:rPr>
        <w:t>八、国有资本经营预算财政拨款收入支出决算情况说明</w:t>
      </w:r>
    </w:p>
    <w:p w14:paraId="10F5ED0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BED9A0">
      <w:pPr>
        <w:spacing w:line="640" w:lineRule="exact"/>
        <w:ind w:firstLine="640"/>
        <w:jc w:val="both"/>
        <w:outlineLvl w:val="2"/>
      </w:pPr>
      <w:r>
        <w:rPr>
          <w:rFonts w:ascii="黑体" w:hAnsi="黑体" w:eastAsia="黑体"/>
          <w:sz w:val="32"/>
        </w:rPr>
        <w:t>九、财政拨款“三公”经费支出决算情况说明</w:t>
      </w:r>
    </w:p>
    <w:p w14:paraId="5E9B130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592DDDD">
      <w:pPr>
        <w:spacing w:line="580" w:lineRule="exact"/>
        <w:ind w:firstLine="640"/>
        <w:jc w:val="both"/>
      </w:pPr>
      <w:r>
        <w:rPr>
          <w:rFonts w:ascii="仿宋_GB2312" w:hAnsi="仿宋_GB2312" w:eastAsia="仿宋_GB2312"/>
          <w:b/>
          <w:sz w:val="32"/>
        </w:rPr>
        <w:t>具体情况如下：</w:t>
      </w:r>
    </w:p>
    <w:p w14:paraId="631DC53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11D72D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44C1E95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4219B6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76BFD45">
      <w:pPr>
        <w:spacing w:line="640" w:lineRule="exact"/>
        <w:ind w:firstLine="640"/>
        <w:jc w:val="both"/>
        <w:outlineLvl w:val="2"/>
      </w:pPr>
      <w:r>
        <w:rPr>
          <w:rFonts w:ascii="黑体" w:hAnsi="黑体" w:eastAsia="黑体"/>
          <w:sz w:val="32"/>
        </w:rPr>
        <w:t>十、其他重要事项的情况说明</w:t>
      </w:r>
    </w:p>
    <w:p w14:paraId="7DBEEF7B">
      <w:pPr>
        <w:spacing w:line="640" w:lineRule="exact"/>
        <w:ind w:firstLine="640"/>
        <w:jc w:val="both"/>
        <w:outlineLvl w:val="3"/>
      </w:pPr>
      <w:r>
        <w:rPr>
          <w:rFonts w:ascii="楷体_GB2312" w:hAnsi="楷体_GB2312" w:eastAsia="楷体_GB2312"/>
          <w:b/>
          <w:sz w:val="32"/>
        </w:rPr>
        <w:t>（一）机关运行经费及公用经费支出情况</w:t>
      </w:r>
    </w:p>
    <w:p w14:paraId="6AA40BA8">
      <w:pPr>
        <w:spacing w:line="580" w:lineRule="exact"/>
        <w:ind w:firstLine="640"/>
        <w:jc w:val="both"/>
      </w:pPr>
      <w:r>
        <w:rPr>
          <w:rFonts w:ascii="仿宋_GB2312" w:hAnsi="仿宋_GB2312" w:eastAsia="仿宋_GB2312"/>
          <w:b w:val="0"/>
          <w:sz w:val="32"/>
        </w:rPr>
        <w:t>2024年度中共洛浦县直属机关工作委员会（行政单位和参照公务员法管理事业单位）机关运行经费支出2.07万元，比上年增加0.84万元，增长68.29%，主要原因是：本年更新、维护补充办公用品，导致机关运行经费较上年增加。</w:t>
      </w:r>
    </w:p>
    <w:p w14:paraId="41218F95">
      <w:pPr>
        <w:spacing w:line="640" w:lineRule="exact"/>
        <w:ind w:firstLine="640"/>
        <w:jc w:val="both"/>
        <w:outlineLvl w:val="3"/>
      </w:pPr>
      <w:r>
        <w:rPr>
          <w:rFonts w:ascii="楷体_GB2312" w:hAnsi="楷体_GB2312" w:eastAsia="楷体_GB2312"/>
          <w:b/>
          <w:sz w:val="32"/>
        </w:rPr>
        <w:t>（二）政府采购情况</w:t>
      </w:r>
    </w:p>
    <w:p w14:paraId="16998719">
      <w:pPr>
        <w:spacing w:line="580" w:lineRule="exact"/>
        <w:ind w:firstLine="640"/>
        <w:jc w:val="both"/>
      </w:pPr>
      <w:r>
        <w:rPr>
          <w:rFonts w:ascii="仿宋_GB2312" w:hAnsi="仿宋_GB2312" w:eastAsia="仿宋_GB2312"/>
          <w:b w:val="0"/>
          <w:sz w:val="32"/>
        </w:rPr>
        <w:t>2024年度政府采购支出总额0.31万元，其中：政府采购货物支出0.16万元、政府采购工程支出0.00万元、政府采购服务支出0.15万元。</w:t>
      </w:r>
    </w:p>
    <w:p w14:paraId="53B5C50C">
      <w:pPr>
        <w:spacing w:line="580" w:lineRule="exact"/>
        <w:ind w:firstLine="640"/>
        <w:jc w:val="both"/>
      </w:pPr>
      <w:r>
        <w:rPr>
          <w:rFonts w:ascii="仿宋_GB2312" w:hAnsi="仿宋_GB2312" w:eastAsia="仿宋_GB2312"/>
          <w:b w:val="0"/>
          <w:sz w:val="32"/>
        </w:rPr>
        <w:t>授予中小企业合同金额0.31万元，占政府采购支出总额的100.00%，其中：授予小微企业合同金额0.16万元，占政府采购支出总额的51.61%。</w:t>
      </w:r>
    </w:p>
    <w:p w14:paraId="2BF415E3">
      <w:pPr>
        <w:spacing w:line="640" w:lineRule="exact"/>
        <w:ind w:firstLine="640"/>
        <w:jc w:val="both"/>
        <w:outlineLvl w:val="3"/>
      </w:pPr>
      <w:r>
        <w:rPr>
          <w:rFonts w:ascii="楷体_GB2312" w:hAnsi="楷体_GB2312" w:eastAsia="楷体_GB2312"/>
          <w:b/>
          <w:sz w:val="32"/>
        </w:rPr>
        <w:t>（三）国有资产占用情况说明</w:t>
      </w:r>
    </w:p>
    <w:p w14:paraId="7957ADD2">
      <w:pPr>
        <w:spacing w:line="580" w:lineRule="exact"/>
        <w:ind w:firstLine="640"/>
        <w:jc w:val="both"/>
      </w:pPr>
      <w:bookmarkStart w:id="0" w:name="_GoBack"/>
      <w:r>
        <w:rPr>
          <w:rFonts w:ascii="仿宋_GB2312" w:hAnsi="仿宋_GB2312" w:eastAsia="仿宋_GB2312"/>
          <w:b w:val="0"/>
          <w:sz w:val="32"/>
        </w:rPr>
        <w:t>截至2024年12月31日，房屋0.00平方米，价值0.00万</w:t>
      </w:r>
      <w:bookmarkEnd w:id="0"/>
      <w:r>
        <w:rPr>
          <w:rFonts w:ascii="仿宋_GB2312" w:hAnsi="仿宋_GB2312" w:eastAsia="仿宋_GB2312"/>
          <w:b w:val="0"/>
          <w:sz w:val="32"/>
        </w:rPr>
        <w:t>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A63612C">
      <w:pPr>
        <w:spacing w:line="640" w:lineRule="exact"/>
        <w:ind w:firstLine="640"/>
        <w:jc w:val="both"/>
        <w:outlineLvl w:val="2"/>
      </w:pPr>
      <w:r>
        <w:rPr>
          <w:rFonts w:ascii="黑体" w:hAnsi="黑体" w:eastAsia="黑体"/>
          <w:sz w:val="32"/>
        </w:rPr>
        <w:t>十一、预算绩效的情况说明</w:t>
      </w:r>
    </w:p>
    <w:p w14:paraId="2B428C8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根据预算绩效管理要求，本单位2024年度预算绩效管理形成整体支出绩效自评表1个，全年预算总额149.46万元，实际执行总额149.46万元；预算绩效评价项目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7.15</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7.15</w:t>
      </w:r>
      <w:r>
        <w:rPr>
          <w:rFonts w:ascii="仿宋_GB2312" w:hAnsi="仿宋_GB2312" w:eastAsia="仿宋_GB2312"/>
          <w:b w:val="0"/>
          <w:sz w:val="32"/>
        </w:rPr>
        <w:t>万元。预算绩效管理取得的成效：一是确保资金的高效使用，切实发挥财政资金的使用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w:t>
      </w:r>
    </w:p>
    <w:p w14:paraId="2768F6D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A13020">
        <w:tblPrEx>
          <w:tblCellMar>
            <w:top w:w="0" w:type="dxa"/>
            <w:left w:w="108" w:type="dxa"/>
            <w:bottom w:w="0" w:type="dxa"/>
            <w:right w:w="108" w:type="dxa"/>
          </w:tblCellMar>
        </w:tblPrEx>
        <w:tc>
          <w:tcPr>
            <w:tcW w:w="8847" w:type="dxa"/>
            <w:gridSpan w:val="9"/>
            <w:vAlign w:val="center"/>
          </w:tcPr>
          <w:p w14:paraId="4F0ACBE7">
            <w:pPr>
              <w:jc w:val="center"/>
            </w:pPr>
            <w:r>
              <w:rPr>
                <w:rFonts w:ascii="宋体" w:hAnsi="宋体" w:eastAsia="宋体"/>
                <w:sz w:val="24"/>
              </w:rPr>
              <w:t>单位整体支出绩效自评表</w:t>
            </w:r>
          </w:p>
        </w:tc>
      </w:tr>
      <w:tr w14:paraId="16338C5C">
        <w:tblPrEx>
          <w:tblCellMar>
            <w:top w:w="0" w:type="dxa"/>
            <w:left w:w="108" w:type="dxa"/>
            <w:bottom w:w="0" w:type="dxa"/>
            <w:right w:w="108" w:type="dxa"/>
          </w:tblCellMar>
        </w:tblPrEx>
        <w:tc>
          <w:tcPr>
            <w:tcW w:w="8847" w:type="dxa"/>
            <w:gridSpan w:val="9"/>
            <w:vAlign w:val="center"/>
          </w:tcPr>
          <w:p w14:paraId="5DE7F7F1">
            <w:pPr>
              <w:jc w:val="center"/>
            </w:pPr>
            <w:r>
              <w:rPr>
                <w:rFonts w:ascii="宋体" w:hAnsi="宋体" w:eastAsia="宋体"/>
                <w:sz w:val="24"/>
              </w:rPr>
              <w:t>（2024年度）</w:t>
            </w:r>
          </w:p>
        </w:tc>
      </w:tr>
      <w:tr w14:paraId="788323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9AEE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A6839A">
            <w:pPr>
              <w:jc w:val="center"/>
            </w:pPr>
            <w:r>
              <w:rPr>
                <w:rFonts w:ascii="宋体" w:hAnsi="宋体" w:eastAsia="宋体"/>
                <w:sz w:val="16"/>
              </w:rPr>
              <w:t>中共洛浦县直属机关工作委员会</w:t>
            </w:r>
          </w:p>
        </w:tc>
      </w:tr>
      <w:tr w14:paraId="08AB54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4A21B">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874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C1D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8AF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0E7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1E70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5ED7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9D841">
            <w:pPr>
              <w:jc w:val="center"/>
            </w:pPr>
            <w:r>
              <w:rPr>
                <w:rFonts w:ascii="宋体" w:hAnsi="宋体" w:eastAsia="宋体"/>
                <w:sz w:val="16"/>
              </w:rPr>
              <w:t>得分</w:t>
            </w:r>
          </w:p>
        </w:tc>
      </w:tr>
      <w:tr w14:paraId="037949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6C1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2BF9B">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6E23E">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DAE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CCC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4BC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47A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7F7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0343D">
            <w:pPr>
              <w:jc w:val="center"/>
            </w:pPr>
            <w:r>
              <w:rPr>
                <w:rFonts w:ascii="宋体" w:hAnsi="宋体" w:eastAsia="宋体"/>
                <w:sz w:val="16"/>
              </w:rPr>
              <w:t>-</w:t>
            </w:r>
          </w:p>
        </w:tc>
      </w:tr>
      <w:tr w14:paraId="686214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A48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CDE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7AD2">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1500E">
            <w:pPr>
              <w:jc w:val="center"/>
            </w:pPr>
            <w:r>
              <w:rPr>
                <w:rFonts w:ascii="宋体" w:hAnsi="宋体" w:eastAsia="宋体"/>
                <w:sz w:val="16"/>
              </w:rPr>
              <w:t>132.05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6A553">
            <w:pPr>
              <w:jc w:val="center"/>
            </w:pPr>
            <w:r>
              <w:rPr>
                <w:rFonts w:ascii="宋体" w:hAnsi="宋体" w:eastAsia="宋体"/>
                <w:sz w:val="16"/>
              </w:rPr>
              <w:t>149.46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354D7">
            <w:pPr>
              <w:jc w:val="center"/>
            </w:pPr>
            <w:r>
              <w:rPr>
                <w:rFonts w:ascii="宋体" w:hAnsi="宋体" w:eastAsia="宋体"/>
                <w:sz w:val="16"/>
              </w:rPr>
              <w:t>149.46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B56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D02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2C9D">
            <w:pPr>
              <w:jc w:val="center"/>
            </w:pPr>
            <w:r>
              <w:rPr>
                <w:rFonts w:ascii="宋体" w:hAnsi="宋体" w:eastAsia="宋体"/>
                <w:sz w:val="16"/>
              </w:rPr>
              <w:t>-</w:t>
            </w:r>
          </w:p>
        </w:tc>
      </w:tr>
      <w:tr w14:paraId="1087F6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362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4E3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906E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C64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F32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8D9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B2C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865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D376">
            <w:pPr>
              <w:jc w:val="center"/>
            </w:pPr>
            <w:r>
              <w:rPr>
                <w:rFonts w:ascii="宋体" w:hAnsi="宋体" w:eastAsia="宋体"/>
                <w:sz w:val="16"/>
              </w:rPr>
              <w:t>-</w:t>
            </w:r>
          </w:p>
        </w:tc>
      </w:tr>
      <w:tr w14:paraId="23A05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116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A3E9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13E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39CCC">
            <w:pPr>
              <w:jc w:val="center"/>
            </w:pPr>
            <w:r>
              <w:rPr>
                <w:rFonts w:ascii="宋体" w:hAnsi="宋体" w:eastAsia="宋体"/>
                <w:sz w:val="16"/>
              </w:rPr>
              <w:t>132.05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060B6">
            <w:pPr>
              <w:jc w:val="center"/>
            </w:pPr>
            <w:r>
              <w:rPr>
                <w:rFonts w:ascii="宋体" w:hAnsi="宋体" w:eastAsia="宋体"/>
                <w:sz w:val="16"/>
              </w:rPr>
              <w:t>149.46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6FA1">
            <w:pPr>
              <w:jc w:val="center"/>
            </w:pPr>
            <w:r>
              <w:rPr>
                <w:rFonts w:ascii="宋体" w:hAnsi="宋体" w:eastAsia="宋体"/>
                <w:sz w:val="16"/>
              </w:rPr>
              <w:t>149.46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76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F325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4AB22">
            <w:pPr>
              <w:jc w:val="center"/>
            </w:pPr>
            <w:r>
              <w:rPr>
                <w:rFonts w:ascii="宋体" w:hAnsi="宋体" w:eastAsia="宋体"/>
                <w:sz w:val="16"/>
              </w:rPr>
              <w:t>10</w:t>
            </w:r>
          </w:p>
        </w:tc>
      </w:tr>
      <w:tr w14:paraId="48021B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7894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9ECC9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05CDCC">
            <w:pPr>
              <w:jc w:val="center"/>
            </w:pPr>
            <w:r>
              <w:rPr>
                <w:rFonts w:ascii="宋体" w:hAnsi="宋体" w:eastAsia="宋体"/>
                <w:sz w:val="16"/>
              </w:rPr>
              <w:t>实际完成情况</w:t>
            </w:r>
          </w:p>
        </w:tc>
      </w:tr>
      <w:tr w14:paraId="1F3A5C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1D85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0D4824">
            <w:pPr>
              <w:jc w:val="both"/>
            </w:pPr>
            <w:r>
              <w:rPr>
                <w:rFonts w:ascii="宋体" w:hAnsi="宋体" w:eastAsia="宋体"/>
                <w:sz w:val="16"/>
              </w:rPr>
              <w:t>目标1：保障单位在职7人，退休4人的工资福利及各项补助正常发放及部门正常运转。                                          目标2：以机关“四个走在前列”为抓手，深化“五个好”标准化规范化党支部创建和“四个合格”党员先锋引领行动，持续开展让党中央放心、让人民满意模范机关创建活动，推动基层党建整体提升、高质量发展，为建设团结和谐、繁荣富裕、文明进步的社会主义现代化洛浦提供坚强政治组织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F85FE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已保障单位在职7人，退休4人的工资福利及各项补助正常发放及部门正常运转，发展党员66个。 以机关“四个走在前列”为抓手，深化“五个好”标准化规范化党支部创建和“四个合格”党员先锋引领行动，持续开展让党中央放心、让人民满意模范机关创建活动，推动基层党建整体提升、高质量发展，为建设团结和谐、繁荣富裕、文明进步的社会主义现代化洛浦提供坚强政治组织保障。</w:t>
            </w:r>
          </w:p>
        </w:tc>
      </w:tr>
      <w:tr w14:paraId="104A68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C55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1F8E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F5EB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CD71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4F03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B5E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FA9F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574D">
            <w:pPr>
              <w:jc w:val="center"/>
            </w:pPr>
            <w:r>
              <w:rPr>
                <w:rFonts w:ascii="宋体" w:hAnsi="宋体" w:eastAsia="宋体"/>
                <w:sz w:val="16"/>
              </w:rPr>
              <w:t>得分</w:t>
            </w:r>
          </w:p>
        </w:tc>
      </w:tr>
      <w:tr w14:paraId="3C10A9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824B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F14D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37C29">
            <w:pPr>
              <w:jc w:val="center"/>
            </w:pPr>
            <w:r>
              <w:rPr>
                <w:rFonts w:ascii="宋体" w:hAnsi="宋体" w:eastAsia="宋体"/>
                <w:sz w:val="16"/>
              </w:rPr>
              <w:t>党员集中学习培训时间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5C155">
            <w:pPr>
              <w:jc w:val="center"/>
            </w:pPr>
            <w:r>
              <w:rPr>
                <w:rFonts w:ascii="宋体" w:hAnsi="宋体" w:eastAsia="宋体"/>
                <w:sz w:val="16"/>
              </w:rPr>
              <w:t>=56学时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7CB2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49A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E57B8">
            <w:pPr>
              <w:jc w:val="center"/>
            </w:pPr>
            <w:r>
              <w:rPr>
                <w:rFonts w:ascii="宋体" w:hAnsi="宋体" w:eastAsia="宋体"/>
                <w:sz w:val="16"/>
              </w:rPr>
              <w:t>56学时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B595">
            <w:pPr>
              <w:jc w:val="center"/>
            </w:pPr>
            <w:r>
              <w:rPr>
                <w:rFonts w:ascii="宋体" w:hAnsi="宋体" w:eastAsia="宋体"/>
                <w:sz w:val="16"/>
              </w:rPr>
              <w:t>20</w:t>
            </w:r>
          </w:p>
        </w:tc>
      </w:tr>
      <w:tr w14:paraId="526F7C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594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0B7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6497">
            <w:pPr>
              <w:jc w:val="center"/>
            </w:pPr>
            <w:r>
              <w:rPr>
                <w:rFonts w:ascii="宋体" w:hAnsi="宋体" w:eastAsia="宋体"/>
                <w:sz w:val="16"/>
              </w:rPr>
              <w:t>五个“好”党支部创建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76B4">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328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39F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EE10C">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11BFD">
            <w:pPr>
              <w:jc w:val="center"/>
            </w:pPr>
            <w:r>
              <w:rPr>
                <w:rFonts w:ascii="宋体" w:hAnsi="宋体" w:eastAsia="宋体"/>
                <w:sz w:val="16"/>
              </w:rPr>
              <w:t>20</w:t>
            </w:r>
          </w:p>
        </w:tc>
      </w:tr>
      <w:tr w14:paraId="4B46F8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1F4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1CF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2C41F">
            <w:pPr>
              <w:jc w:val="center"/>
            </w:pPr>
            <w:r>
              <w:rPr>
                <w:rFonts w:ascii="宋体" w:hAnsi="宋体" w:eastAsia="宋体"/>
                <w:sz w:val="16"/>
              </w:rPr>
              <w:t>发展党员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A274E">
            <w:pPr>
              <w:jc w:val="center"/>
            </w:pPr>
            <w:r>
              <w:rPr>
                <w:rFonts w:ascii="宋体" w:hAnsi="宋体" w:eastAsia="宋体"/>
                <w:sz w:val="16"/>
              </w:rPr>
              <w:t>&gt;=70个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66CF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4E3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74A7E">
            <w:pPr>
              <w:jc w:val="center"/>
            </w:pPr>
            <w:r>
              <w:rPr>
                <w:rFonts w:ascii="宋体" w:hAnsi="宋体" w:eastAsia="宋体"/>
                <w:sz w:val="16"/>
              </w:rPr>
              <w:t>66个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EDB3A">
            <w:pPr>
              <w:jc w:val="center"/>
            </w:pPr>
            <w:r>
              <w:rPr>
                <w:rFonts w:ascii="宋体" w:hAnsi="宋体" w:eastAsia="宋体"/>
                <w:sz w:val="16"/>
              </w:rPr>
              <w:t>18.86</w:t>
            </w:r>
          </w:p>
        </w:tc>
      </w:tr>
      <w:tr w14:paraId="557B34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4179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F33A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1EEC">
            <w:pPr>
              <w:jc w:val="center"/>
            </w:pPr>
            <w:r>
              <w:rPr>
                <w:rFonts w:ascii="宋体" w:hAnsi="宋体" w:eastAsia="宋体"/>
                <w:sz w:val="16"/>
              </w:rPr>
              <w:t>补助资金发放到位率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765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A85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8F7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F66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9C6A8">
            <w:pPr>
              <w:jc w:val="center"/>
            </w:pPr>
            <w:r>
              <w:rPr>
                <w:rFonts w:ascii="宋体" w:hAnsi="宋体" w:eastAsia="宋体"/>
                <w:sz w:val="16"/>
              </w:rPr>
              <w:t>20</w:t>
            </w:r>
          </w:p>
        </w:tc>
      </w:tr>
      <w:tr w14:paraId="2D8CD1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40D4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0C0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50A79">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BE4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CFFF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232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995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7A7FF">
            <w:pPr>
              <w:jc w:val="center"/>
            </w:pPr>
            <w:r>
              <w:rPr>
                <w:rFonts w:ascii="宋体" w:hAnsi="宋体" w:eastAsia="宋体"/>
                <w:sz w:val="16"/>
              </w:rPr>
              <w:t>10</w:t>
            </w:r>
          </w:p>
        </w:tc>
      </w:tr>
    </w:tbl>
    <w:p w14:paraId="0D3AAEF1">
      <w:r>
        <w:br w:type="page"/>
      </w:r>
    </w:p>
    <w:p w14:paraId="77CD2E71">
      <w:pPr>
        <w:spacing w:line="640" w:lineRule="exact"/>
        <w:ind w:firstLine="640"/>
        <w:jc w:val="both"/>
        <w:outlineLvl w:val="2"/>
      </w:pPr>
      <w:r>
        <w:rPr>
          <w:rFonts w:ascii="黑体" w:hAnsi="黑体" w:eastAsia="黑体"/>
          <w:sz w:val="32"/>
        </w:rPr>
        <w:t>十二、其他需说明的事项</w:t>
      </w:r>
    </w:p>
    <w:p w14:paraId="601A8B38">
      <w:pPr>
        <w:spacing w:line="580" w:lineRule="exact"/>
        <w:ind w:firstLine="640"/>
        <w:jc w:val="both"/>
      </w:pPr>
      <w:r>
        <w:rPr>
          <w:rFonts w:ascii="仿宋_GB2312" w:hAnsi="仿宋_GB2312" w:eastAsia="仿宋_GB2312"/>
          <w:b w:val="0"/>
          <w:sz w:val="32"/>
        </w:rPr>
        <w:t>本年本单位SM项目1个，全年预算数7.15万元，全年执行数7.15万元。</w:t>
      </w:r>
    </w:p>
    <w:p w14:paraId="183DF31C">
      <w:r>
        <w:br w:type="page"/>
      </w:r>
    </w:p>
    <w:p w14:paraId="4E502DDA">
      <w:pPr>
        <w:spacing w:line="240" w:lineRule="auto"/>
        <w:jc w:val="center"/>
        <w:outlineLvl w:val="1"/>
      </w:pPr>
      <w:r>
        <w:rPr>
          <w:rFonts w:ascii="黑体" w:hAnsi="黑体" w:eastAsia="黑体"/>
          <w:sz w:val="32"/>
        </w:rPr>
        <w:t>第三部分 专业名词解释</w:t>
      </w:r>
    </w:p>
    <w:p w14:paraId="5484F54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F3433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505821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A598F4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ECC64B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4DB68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E2BA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54D89C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8B9B9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F30B70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0F9A3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E6037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0FF57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1A39E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F31159">
      <w:r>
        <w:br w:type="page"/>
      </w:r>
    </w:p>
    <w:p w14:paraId="3B0508CA">
      <w:pPr>
        <w:spacing w:line="240" w:lineRule="auto"/>
        <w:jc w:val="center"/>
        <w:outlineLvl w:val="1"/>
      </w:pPr>
      <w:r>
        <w:rPr>
          <w:rFonts w:ascii="黑体" w:hAnsi="黑体" w:eastAsia="黑体"/>
          <w:sz w:val="32"/>
        </w:rPr>
        <w:t>第四部分 部门决算报表（见附表）</w:t>
      </w:r>
    </w:p>
    <w:p w14:paraId="182DDD75">
      <w:pPr>
        <w:spacing w:line="240" w:lineRule="auto"/>
        <w:ind w:firstLine="640"/>
        <w:jc w:val="both"/>
      </w:pPr>
      <w:r>
        <w:rPr>
          <w:rFonts w:ascii="仿宋_GB2312" w:hAnsi="仿宋_GB2312" w:eastAsia="仿宋_GB2312"/>
          <w:b w:val="0"/>
          <w:sz w:val="32"/>
        </w:rPr>
        <w:t>一、《收入支出决算总表》</w:t>
      </w:r>
    </w:p>
    <w:p w14:paraId="19C75708">
      <w:pPr>
        <w:spacing w:line="240" w:lineRule="auto"/>
        <w:ind w:firstLine="640"/>
        <w:jc w:val="both"/>
      </w:pPr>
      <w:r>
        <w:rPr>
          <w:rFonts w:ascii="仿宋_GB2312" w:hAnsi="仿宋_GB2312" w:eastAsia="仿宋_GB2312"/>
          <w:b w:val="0"/>
          <w:sz w:val="32"/>
        </w:rPr>
        <w:t>二、《收入决算表》</w:t>
      </w:r>
    </w:p>
    <w:p w14:paraId="76F9C1E1">
      <w:pPr>
        <w:spacing w:line="240" w:lineRule="auto"/>
        <w:ind w:firstLine="640"/>
        <w:jc w:val="both"/>
      </w:pPr>
      <w:r>
        <w:rPr>
          <w:rFonts w:ascii="仿宋_GB2312" w:hAnsi="仿宋_GB2312" w:eastAsia="仿宋_GB2312"/>
          <w:b w:val="0"/>
          <w:sz w:val="32"/>
        </w:rPr>
        <w:t>三、《支出决算表》</w:t>
      </w:r>
    </w:p>
    <w:p w14:paraId="7F8D2A1C">
      <w:pPr>
        <w:spacing w:line="240" w:lineRule="auto"/>
        <w:ind w:firstLine="640"/>
        <w:jc w:val="both"/>
      </w:pPr>
      <w:r>
        <w:rPr>
          <w:rFonts w:ascii="仿宋_GB2312" w:hAnsi="仿宋_GB2312" w:eastAsia="仿宋_GB2312"/>
          <w:b w:val="0"/>
          <w:sz w:val="32"/>
        </w:rPr>
        <w:t>四、《财政拨款收入支出决算总表》</w:t>
      </w:r>
    </w:p>
    <w:p w14:paraId="24AA2A80">
      <w:pPr>
        <w:spacing w:line="240" w:lineRule="auto"/>
        <w:ind w:firstLine="640"/>
        <w:jc w:val="both"/>
      </w:pPr>
      <w:r>
        <w:rPr>
          <w:rFonts w:ascii="仿宋_GB2312" w:hAnsi="仿宋_GB2312" w:eastAsia="仿宋_GB2312"/>
          <w:b w:val="0"/>
          <w:sz w:val="32"/>
        </w:rPr>
        <w:t>五、《一般公共预算财政拨款支出决算表》</w:t>
      </w:r>
    </w:p>
    <w:p w14:paraId="457B040C">
      <w:pPr>
        <w:spacing w:line="240" w:lineRule="auto"/>
        <w:ind w:firstLine="640"/>
        <w:jc w:val="both"/>
      </w:pPr>
      <w:r>
        <w:rPr>
          <w:rFonts w:ascii="仿宋_GB2312" w:hAnsi="仿宋_GB2312" w:eastAsia="仿宋_GB2312"/>
          <w:b w:val="0"/>
          <w:sz w:val="32"/>
        </w:rPr>
        <w:t>六、《一般公共预算财政拨款基本支出决算表》</w:t>
      </w:r>
    </w:p>
    <w:p w14:paraId="25F4FBC5">
      <w:pPr>
        <w:spacing w:line="240" w:lineRule="auto"/>
        <w:ind w:firstLine="640"/>
        <w:jc w:val="both"/>
      </w:pPr>
      <w:r>
        <w:rPr>
          <w:rFonts w:ascii="仿宋_GB2312" w:hAnsi="仿宋_GB2312" w:eastAsia="仿宋_GB2312"/>
          <w:b w:val="0"/>
          <w:sz w:val="32"/>
        </w:rPr>
        <w:t>七、《政府性基金预算财政拨款收入支出决算表》</w:t>
      </w:r>
    </w:p>
    <w:p w14:paraId="56987F90">
      <w:pPr>
        <w:spacing w:line="240" w:lineRule="auto"/>
        <w:ind w:firstLine="640"/>
        <w:jc w:val="both"/>
      </w:pPr>
      <w:r>
        <w:rPr>
          <w:rFonts w:ascii="仿宋_GB2312" w:hAnsi="仿宋_GB2312" w:eastAsia="仿宋_GB2312"/>
          <w:b w:val="0"/>
          <w:sz w:val="32"/>
        </w:rPr>
        <w:t>八、《国有资本经营预算财政拨款收入支出决算表》</w:t>
      </w:r>
    </w:p>
    <w:p w14:paraId="64CE3719">
      <w:pPr>
        <w:spacing w:line="240" w:lineRule="auto"/>
        <w:ind w:firstLine="640"/>
        <w:jc w:val="both"/>
      </w:pPr>
      <w:r>
        <w:rPr>
          <w:rFonts w:ascii="仿宋_GB2312" w:hAnsi="仿宋_GB2312" w:eastAsia="仿宋_GB2312"/>
          <w:b w:val="0"/>
          <w:sz w:val="32"/>
        </w:rPr>
        <w:t>九、《财政拨款“三公”经费支出决算表》</w:t>
      </w:r>
    </w:p>
    <w:p w14:paraId="7B95C63D">
      <w:pPr>
        <w:spacing w:line="240" w:lineRule="auto"/>
        <w:ind w:firstLine="640"/>
        <w:jc w:val="both"/>
      </w:pPr>
    </w:p>
    <w:p w14:paraId="6EEEF948">
      <w:pPr>
        <w:spacing w:line="240" w:lineRule="auto"/>
        <w:ind w:firstLine="640"/>
        <w:jc w:val="both"/>
      </w:pPr>
    </w:p>
    <w:p w14:paraId="007A7AF6">
      <w:pPr>
        <w:spacing w:line="240" w:lineRule="auto"/>
        <w:ind w:firstLine="640"/>
        <w:jc w:val="both"/>
      </w:pPr>
    </w:p>
    <w:p w14:paraId="58B02EB7">
      <w:pPr>
        <w:spacing w:line="240" w:lineRule="auto"/>
        <w:ind w:firstLine="640"/>
        <w:jc w:val="both"/>
      </w:pPr>
    </w:p>
    <w:p w14:paraId="3DCFF17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B03959"/>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C8B276E"/>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6505</Words>
  <Characters>7260</Characters>
  <Lines>0</Lines>
  <Paragraphs>0</Paragraphs>
  <TotalTime>4</TotalTime>
  <ScaleCrop>false</ScaleCrop>
  <LinksUpToDate>false</LinksUpToDate>
  <CharactersWithSpaces>7313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2025-09-17T09:59:02Z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