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中共洛浦县委统战部2024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3FC120">
      <w:r>
        <w:br w:type="page"/>
      </w:r>
    </w:p>
    <w:p w14:paraId="01D39E28">
      <w:pPr>
        <w:spacing w:line="640" w:lineRule="exact"/>
        <w:jc w:val="center"/>
        <w:outlineLvl w:val="1"/>
      </w:pPr>
      <w:r>
        <w:rPr>
          <w:rFonts w:ascii="黑体" w:hAnsi="黑体" w:eastAsia="黑体"/>
          <w:sz w:val="32"/>
        </w:rPr>
        <w:t>第一部分 单位概况</w:t>
      </w:r>
    </w:p>
    <w:p w14:paraId="051A873F">
      <w:pPr>
        <w:spacing w:line="640" w:lineRule="exact"/>
        <w:ind w:firstLine="640"/>
        <w:jc w:val="both"/>
        <w:outlineLvl w:val="2"/>
      </w:pPr>
      <w:r>
        <w:rPr>
          <w:rFonts w:ascii="黑体" w:hAnsi="黑体" w:eastAsia="黑体"/>
          <w:sz w:val="32"/>
        </w:rPr>
        <w:t>一、主要职能</w:t>
      </w:r>
    </w:p>
    <w:p w14:paraId="79CD6FC4">
      <w:pPr>
        <w:spacing w:line="580" w:lineRule="exact"/>
        <w:ind w:firstLine="640"/>
        <w:jc w:val="both"/>
      </w:pPr>
      <w:r>
        <w:rPr>
          <w:rFonts w:ascii="仿宋_GB2312" w:hAnsi="仿宋_GB2312" w:eastAsia="仿宋_GB2312"/>
          <w:sz w:val="32"/>
        </w:rPr>
        <w:t>本单位主要职能SM不予公开。</w:t>
      </w:r>
    </w:p>
    <w:p w14:paraId="2DB62668">
      <w:pPr>
        <w:spacing w:line="640" w:lineRule="exact"/>
        <w:ind w:firstLine="640"/>
        <w:jc w:val="both"/>
        <w:outlineLvl w:val="2"/>
      </w:pPr>
      <w:r>
        <w:rPr>
          <w:rFonts w:ascii="黑体" w:hAnsi="黑体" w:eastAsia="黑体"/>
          <w:sz w:val="32"/>
        </w:rPr>
        <w:t>二、机构设置及人员情况</w:t>
      </w:r>
    </w:p>
    <w:p w14:paraId="16667DA5">
      <w:pPr>
        <w:spacing w:line="580" w:lineRule="exact"/>
        <w:ind w:firstLine="640"/>
        <w:jc w:val="both"/>
      </w:pPr>
      <w:r>
        <w:rPr>
          <w:rFonts w:ascii="仿宋_GB2312" w:hAnsi="仿宋_GB2312" w:eastAsia="仿宋_GB2312"/>
          <w:sz w:val="32"/>
        </w:rPr>
        <w:t>本单位机构设置及人员情况SM不予公开。</w:t>
      </w:r>
    </w:p>
    <w:p w14:paraId="152808AA">
      <w:r>
        <w:br w:type="page"/>
      </w:r>
    </w:p>
    <w:p w14:paraId="35A15322">
      <w:pPr>
        <w:spacing w:line="240" w:lineRule="auto"/>
        <w:jc w:val="center"/>
        <w:outlineLvl w:val="1"/>
      </w:pPr>
      <w:r>
        <w:rPr>
          <w:rFonts w:ascii="黑体" w:hAnsi="黑体" w:eastAsia="黑体"/>
          <w:sz w:val="32"/>
        </w:rPr>
        <w:t>第二部分 部门决算情况说明</w:t>
      </w:r>
    </w:p>
    <w:p w14:paraId="678905D5">
      <w:pPr>
        <w:spacing w:line="640" w:lineRule="exact"/>
        <w:ind w:firstLine="640"/>
        <w:jc w:val="both"/>
        <w:outlineLvl w:val="2"/>
      </w:pPr>
      <w:r>
        <w:rPr>
          <w:rFonts w:ascii="黑体" w:hAnsi="黑体" w:eastAsia="黑体"/>
          <w:sz w:val="32"/>
        </w:rPr>
        <w:t>一、收入支出决算总体情况说明</w:t>
      </w:r>
    </w:p>
    <w:p w14:paraId="522B5A58">
      <w:pPr>
        <w:spacing w:line="580" w:lineRule="exact"/>
        <w:ind w:firstLine="640"/>
        <w:jc w:val="both"/>
      </w:pPr>
      <w:r>
        <w:rPr>
          <w:rFonts w:ascii="仿宋_GB2312" w:hAnsi="仿宋_GB2312" w:eastAsia="仿宋_GB2312"/>
          <w:b/>
          <w:sz w:val="32"/>
        </w:rPr>
        <w:t>2024年度收入总计1,526.70万元，</w:t>
      </w:r>
      <w:r>
        <w:rPr>
          <w:rFonts w:ascii="仿宋_GB2312" w:hAnsi="仿宋_GB2312" w:eastAsia="仿宋_GB2312"/>
          <w:b w:val="0"/>
          <w:sz w:val="32"/>
        </w:rPr>
        <w:t>其中：本年收入合计1,526.70万元，使用非财政拨款结余（含专用结余）0.00万元，年初结转和结余0.00万元。</w:t>
      </w:r>
    </w:p>
    <w:p w14:paraId="52BC6F97">
      <w:pPr>
        <w:spacing w:line="580" w:lineRule="exact"/>
        <w:ind w:firstLine="640"/>
        <w:jc w:val="both"/>
      </w:pPr>
      <w:r>
        <w:rPr>
          <w:rFonts w:ascii="仿宋_GB2312" w:hAnsi="仿宋_GB2312" w:eastAsia="仿宋_GB2312"/>
          <w:b/>
          <w:sz w:val="32"/>
        </w:rPr>
        <w:t>2024年度支出总计1,526.70万元，</w:t>
      </w:r>
      <w:r>
        <w:rPr>
          <w:rFonts w:ascii="仿宋_GB2312" w:hAnsi="仿宋_GB2312" w:eastAsia="仿宋_GB2312"/>
          <w:b w:val="0"/>
          <w:sz w:val="32"/>
        </w:rPr>
        <w:t>其中：本年支出合计1,526.70万元，结余分配0.00万元，年末结转和结余0.00万元。</w:t>
      </w:r>
    </w:p>
    <w:p w14:paraId="660B2D3A">
      <w:pPr>
        <w:spacing w:line="580" w:lineRule="exact"/>
        <w:ind w:firstLine="640"/>
        <w:jc w:val="both"/>
        <w:rPr>
          <w:rFonts w:hint="eastAsia" w:eastAsia="仿宋_GB2312"/>
          <w:lang w:eastAsia="zh-CN"/>
        </w:rPr>
      </w:pPr>
      <w:r>
        <w:rPr>
          <w:rFonts w:ascii="仿宋_GB2312" w:hAnsi="仿宋_GB2312" w:eastAsia="仿宋_GB2312"/>
          <w:b w:val="0"/>
          <w:sz w:val="32"/>
        </w:rPr>
        <w:t>收入支出总体与上年相比，减少448.77万元，下降22.72%，主要原因是：本年减少教职人员生活补贴资金、干部生活补贴、民贸民品企业贴息资金。</w:t>
      </w:r>
      <w:r>
        <w:rPr>
          <w:rFonts w:hint="eastAsia" w:ascii="仿宋_GB2312" w:hAnsi="仿宋_GB2312" w:eastAsia="仿宋_GB2312"/>
          <w:b w:val="0"/>
          <w:sz w:val="32"/>
          <w:lang w:val="en-US" w:eastAsia="zh-CN"/>
        </w:rPr>
        <w:t>较上年减少</w:t>
      </w:r>
      <w:r>
        <w:rPr>
          <w:rFonts w:hint="eastAsia" w:ascii="仿宋_GB2312" w:hAnsi="仿宋_GB2312" w:eastAsia="仿宋_GB2312"/>
          <w:b w:val="0"/>
          <w:sz w:val="32"/>
        </w:rPr>
        <w:t>援疆项目-洛浦县社会各界优秀代表能力提升项目资金</w:t>
      </w:r>
      <w:r>
        <w:rPr>
          <w:rFonts w:hint="eastAsia" w:ascii="仿宋_GB2312" w:hAnsi="仿宋_GB2312" w:eastAsia="仿宋_GB2312"/>
          <w:b w:val="0"/>
          <w:sz w:val="32"/>
          <w:lang w:eastAsia="zh-CN"/>
        </w:rPr>
        <w:t>。</w:t>
      </w:r>
    </w:p>
    <w:p w14:paraId="4B1629D0">
      <w:pPr>
        <w:spacing w:line="640" w:lineRule="exact"/>
        <w:ind w:firstLine="640"/>
        <w:jc w:val="both"/>
        <w:outlineLvl w:val="2"/>
      </w:pPr>
      <w:r>
        <w:rPr>
          <w:rFonts w:ascii="黑体" w:hAnsi="黑体" w:eastAsia="黑体"/>
          <w:sz w:val="32"/>
        </w:rPr>
        <w:t>二、收入决算情况说明</w:t>
      </w:r>
    </w:p>
    <w:p w14:paraId="7B83E3CA">
      <w:pPr>
        <w:spacing w:line="580" w:lineRule="exact"/>
        <w:ind w:firstLine="640"/>
        <w:jc w:val="both"/>
      </w:pPr>
      <w:r>
        <w:rPr>
          <w:rFonts w:ascii="仿宋_GB2312" w:hAnsi="仿宋_GB2312" w:eastAsia="仿宋_GB2312"/>
          <w:b/>
          <w:sz w:val="32"/>
        </w:rPr>
        <w:t>本年收入1,526.70万元，</w:t>
      </w:r>
      <w:r>
        <w:rPr>
          <w:rFonts w:ascii="仿宋_GB2312" w:hAnsi="仿宋_GB2312" w:eastAsia="仿宋_GB2312"/>
          <w:b w:val="0"/>
          <w:sz w:val="32"/>
        </w:rPr>
        <w:t>其中：财政拨款收入1,462.62万元，占95.80%；上级补助收入0.00万元，占0.00%；事业收入0.00万元，占0.00%；经营收入0.00万元，占0.00%；附属单位上缴收入0.00万元，占0.00%；其他收入64.08万元，占4.20%。</w:t>
      </w:r>
    </w:p>
    <w:p w14:paraId="459B3A03">
      <w:pPr>
        <w:spacing w:line="640" w:lineRule="exact"/>
        <w:ind w:firstLine="640"/>
        <w:jc w:val="both"/>
        <w:outlineLvl w:val="2"/>
      </w:pPr>
      <w:r>
        <w:rPr>
          <w:rFonts w:ascii="黑体" w:hAnsi="黑体" w:eastAsia="黑体"/>
          <w:sz w:val="32"/>
        </w:rPr>
        <w:t>三、支出决算情况说明</w:t>
      </w:r>
    </w:p>
    <w:p w14:paraId="0270C12F">
      <w:pPr>
        <w:spacing w:line="580" w:lineRule="exact"/>
        <w:ind w:firstLine="640"/>
        <w:jc w:val="both"/>
      </w:pPr>
      <w:r>
        <w:rPr>
          <w:rFonts w:ascii="仿宋_GB2312" w:hAnsi="仿宋_GB2312" w:eastAsia="仿宋_GB2312"/>
          <w:b/>
          <w:sz w:val="32"/>
        </w:rPr>
        <w:t>本年支出1,526.70万元，</w:t>
      </w:r>
      <w:r>
        <w:rPr>
          <w:rFonts w:ascii="仿宋_GB2312" w:hAnsi="仿宋_GB2312" w:eastAsia="仿宋_GB2312"/>
          <w:b w:val="0"/>
          <w:sz w:val="32"/>
        </w:rPr>
        <w:t>其中：基本支出717.44万元，占46.99%；项目支出809.26万元，占53.01%；上缴上级支出0.00万元，占0.00%；经营支出0.00万元，占0.00%；对附属单位补助支出0.00万元，占0.00%。</w:t>
      </w:r>
    </w:p>
    <w:p w14:paraId="1A86E1AF">
      <w:pPr>
        <w:spacing w:line="640" w:lineRule="exact"/>
        <w:ind w:firstLine="640"/>
        <w:jc w:val="both"/>
        <w:outlineLvl w:val="2"/>
      </w:pPr>
      <w:r>
        <w:rPr>
          <w:rFonts w:ascii="黑体" w:hAnsi="黑体" w:eastAsia="黑体"/>
          <w:sz w:val="32"/>
        </w:rPr>
        <w:t>四、财政拨款收入支出决算总体情况说明</w:t>
      </w:r>
    </w:p>
    <w:p w14:paraId="7D10F4E2">
      <w:pPr>
        <w:spacing w:line="580" w:lineRule="exact"/>
        <w:ind w:firstLine="640"/>
        <w:jc w:val="both"/>
      </w:pPr>
      <w:r>
        <w:rPr>
          <w:rFonts w:ascii="仿宋_GB2312" w:hAnsi="仿宋_GB2312" w:eastAsia="仿宋_GB2312"/>
          <w:b/>
          <w:sz w:val="32"/>
        </w:rPr>
        <w:t>2024年度财政拨款收入总计1,462.62万元，</w:t>
      </w:r>
      <w:r>
        <w:rPr>
          <w:rFonts w:ascii="仿宋_GB2312" w:hAnsi="仿宋_GB2312" w:eastAsia="仿宋_GB2312"/>
          <w:b w:val="0"/>
          <w:sz w:val="32"/>
        </w:rPr>
        <w:t>其中：年初财政拨款结转和结余0.00万元，本年财政拨款收入1,462.62万元。</w:t>
      </w:r>
      <w:r>
        <w:rPr>
          <w:rFonts w:ascii="仿宋_GB2312" w:hAnsi="仿宋_GB2312" w:eastAsia="仿宋_GB2312"/>
          <w:b/>
          <w:sz w:val="32"/>
        </w:rPr>
        <w:t>财政拨款支出总计1,462.62万元，</w:t>
      </w:r>
      <w:r>
        <w:rPr>
          <w:rFonts w:ascii="仿宋_GB2312" w:hAnsi="仿宋_GB2312" w:eastAsia="仿宋_GB2312"/>
          <w:b w:val="0"/>
          <w:sz w:val="32"/>
        </w:rPr>
        <w:t>其中：年末财政拨款结转和结余0.00万元，本年财政拨款支出1,462.62万元。</w:t>
      </w:r>
    </w:p>
    <w:p w14:paraId="6575999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减少340.37万元，下降18.88%，主要原因是：本年减少教职人员生活补贴资金、干部生活补贴、民贸民品企业贴息资金。</w:t>
      </w:r>
      <w:r>
        <w:rPr>
          <w:rFonts w:ascii="仿宋_GB2312" w:hAnsi="仿宋_GB2312" w:eastAsia="仿宋_GB2312"/>
          <w:b/>
          <w:sz w:val="32"/>
        </w:rPr>
        <w:t>与年初预算相比，</w:t>
      </w:r>
      <w:r>
        <w:rPr>
          <w:rFonts w:ascii="仿宋_GB2312" w:hAnsi="仿宋_GB2312" w:eastAsia="仿宋_GB2312"/>
          <w:b w:val="0"/>
          <w:sz w:val="32"/>
        </w:rPr>
        <w:t>年初预算数993.37万元，决算数1,462.62万元，预决算差异率47.24%，主要原因是：年中追加人员工资、社保、公积金基数调增部分资金；年中追加教职人员生活补贴资金、管委会工作及人员经费、教职人员意外伤害险、活动场所修缮经费，导致预决算存在差异。</w:t>
      </w:r>
    </w:p>
    <w:p w14:paraId="77B48B28">
      <w:pPr>
        <w:spacing w:line="640" w:lineRule="exact"/>
        <w:ind w:firstLine="640"/>
        <w:jc w:val="both"/>
        <w:outlineLvl w:val="2"/>
      </w:pPr>
      <w:r>
        <w:rPr>
          <w:rFonts w:ascii="黑体" w:hAnsi="黑体" w:eastAsia="黑体"/>
          <w:sz w:val="32"/>
        </w:rPr>
        <w:t>五、一般公共预算财政拨款支出决算情况说明</w:t>
      </w:r>
    </w:p>
    <w:p w14:paraId="470DB1CB">
      <w:pPr>
        <w:spacing w:line="640" w:lineRule="exact"/>
        <w:ind w:firstLine="640"/>
        <w:jc w:val="both"/>
        <w:outlineLvl w:val="3"/>
      </w:pPr>
      <w:r>
        <w:rPr>
          <w:rFonts w:ascii="楷体_GB2312" w:hAnsi="楷体_GB2312" w:eastAsia="楷体_GB2312"/>
          <w:b/>
          <w:sz w:val="32"/>
        </w:rPr>
        <w:t>（一）一般公共预算财政拨款支出决算总体情况</w:t>
      </w:r>
    </w:p>
    <w:p w14:paraId="293F9C15">
      <w:pPr>
        <w:spacing w:line="580" w:lineRule="exact"/>
        <w:ind w:firstLine="640"/>
        <w:jc w:val="both"/>
      </w:pPr>
      <w:r>
        <w:rPr>
          <w:rFonts w:ascii="仿宋_GB2312" w:hAnsi="仿宋_GB2312" w:eastAsia="仿宋_GB2312"/>
          <w:b/>
          <w:sz w:val="32"/>
        </w:rPr>
        <w:t>2024年度一般公共预算财政拨款支出1,462.62万元，</w:t>
      </w:r>
      <w:r>
        <w:rPr>
          <w:rFonts w:ascii="仿宋_GB2312" w:hAnsi="仿宋_GB2312" w:eastAsia="仿宋_GB2312"/>
          <w:b w:val="0"/>
          <w:sz w:val="32"/>
        </w:rPr>
        <w:t>占本年支出合计的95.80%。</w:t>
      </w:r>
      <w:r>
        <w:rPr>
          <w:rFonts w:ascii="仿宋_GB2312" w:hAnsi="仿宋_GB2312" w:eastAsia="仿宋_GB2312"/>
          <w:b/>
          <w:sz w:val="32"/>
        </w:rPr>
        <w:t>与上年相比，</w:t>
      </w:r>
      <w:r>
        <w:rPr>
          <w:rFonts w:ascii="仿宋_GB2312" w:hAnsi="仿宋_GB2312" w:eastAsia="仿宋_GB2312"/>
          <w:b w:val="0"/>
          <w:sz w:val="32"/>
        </w:rPr>
        <w:t>减少340.37万元，下降18.88%，主要原因是：本年减少教职人员生活补贴资金、干部生活补贴、民贸民品企业贴息资金。</w:t>
      </w:r>
      <w:r>
        <w:rPr>
          <w:rFonts w:ascii="仿宋_GB2312" w:hAnsi="仿宋_GB2312" w:eastAsia="仿宋_GB2312"/>
          <w:b/>
          <w:sz w:val="32"/>
        </w:rPr>
        <w:t>与年初预算相比,</w:t>
      </w:r>
      <w:r>
        <w:rPr>
          <w:rFonts w:ascii="仿宋_GB2312" w:hAnsi="仿宋_GB2312" w:eastAsia="仿宋_GB2312"/>
          <w:b w:val="0"/>
          <w:sz w:val="32"/>
        </w:rPr>
        <w:t>年初预算数993.37万元，决算数1,462.62万元，预决算差异率47.24%，主要原因是：年中追加人员工资、社保、公积金基数调增部分资金；追加教职人员生活补贴资金、管委会工作及人员经费、教职人员意外伤害险、活动场所修缮经费，导致预决算存在差异。</w:t>
      </w:r>
    </w:p>
    <w:p w14:paraId="065D1BBD">
      <w:pPr>
        <w:spacing w:line="640" w:lineRule="exact"/>
        <w:ind w:firstLine="640"/>
        <w:jc w:val="both"/>
        <w:outlineLvl w:val="3"/>
      </w:pPr>
      <w:r>
        <w:rPr>
          <w:rFonts w:ascii="楷体_GB2312" w:hAnsi="楷体_GB2312" w:eastAsia="楷体_GB2312"/>
          <w:b/>
          <w:sz w:val="32"/>
        </w:rPr>
        <w:t>（二）一般公共预算财政拨款支出决算结构情况</w:t>
      </w:r>
    </w:p>
    <w:p w14:paraId="04A60C5D">
      <w:pPr>
        <w:spacing w:line="580" w:lineRule="exact"/>
        <w:ind w:firstLine="640"/>
        <w:jc w:val="both"/>
      </w:pPr>
      <w:r>
        <w:rPr>
          <w:rFonts w:ascii="仿宋_GB2312" w:hAnsi="仿宋_GB2312" w:eastAsia="仿宋_GB2312"/>
          <w:b w:val="0"/>
          <w:sz w:val="32"/>
        </w:rPr>
        <w:t>1.一般公共服务支出(类)1,168.50万元,占79.89%。</w:t>
      </w:r>
    </w:p>
    <w:p w14:paraId="49EC5408">
      <w:pPr>
        <w:spacing w:line="580" w:lineRule="exact"/>
        <w:ind w:firstLine="640"/>
        <w:jc w:val="both"/>
      </w:pPr>
      <w:r>
        <w:rPr>
          <w:rFonts w:ascii="仿宋_GB2312" w:hAnsi="仿宋_GB2312" w:eastAsia="仿宋_GB2312"/>
          <w:b w:val="0"/>
          <w:sz w:val="32"/>
        </w:rPr>
        <w:t>2.社会保障和就业支出(类)90.03万元,占6.16%。</w:t>
      </w:r>
    </w:p>
    <w:p w14:paraId="61503787">
      <w:pPr>
        <w:spacing w:line="580" w:lineRule="exact"/>
        <w:ind w:firstLine="640"/>
        <w:jc w:val="both"/>
      </w:pPr>
      <w:r>
        <w:rPr>
          <w:rFonts w:ascii="仿宋_GB2312" w:hAnsi="仿宋_GB2312" w:eastAsia="仿宋_GB2312"/>
          <w:b w:val="0"/>
          <w:sz w:val="32"/>
        </w:rPr>
        <w:t>3.卫生健康支出(类)37.86万元,占2.59%。</w:t>
      </w:r>
    </w:p>
    <w:p w14:paraId="03B8C2C2">
      <w:pPr>
        <w:spacing w:line="580" w:lineRule="exact"/>
        <w:ind w:firstLine="640"/>
        <w:jc w:val="both"/>
      </w:pPr>
      <w:r>
        <w:rPr>
          <w:rFonts w:ascii="仿宋_GB2312" w:hAnsi="仿宋_GB2312" w:eastAsia="仿宋_GB2312"/>
          <w:b w:val="0"/>
          <w:sz w:val="32"/>
        </w:rPr>
        <w:t>4.农林水支出(类)47.62万元,占3.26%。</w:t>
      </w:r>
    </w:p>
    <w:p w14:paraId="74353978">
      <w:pPr>
        <w:spacing w:line="580" w:lineRule="exact"/>
        <w:ind w:firstLine="640"/>
        <w:jc w:val="both"/>
      </w:pPr>
      <w:r>
        <w:rPr>
          <w:rFonts w:ascii="仿宋_GB2312" w:hAnsi="仿宋_GB2312" w:eastAsia="仿宋_GB2312"/>
          <w:b w:val="0"/>
          <w:sz w:val="32"/>
        </w:rPr>
        <w:t>5.商业服务业等支出(类)53.48万元,占3.66%。</w:t>
      </w:r>
    </w:p>
    <w:p w14:paraId="70984BD5">
      <w:pPr>
        <w:spacing w:line="580" w:lineRule="exact"/>
        <w:ind w:firstLine="640"/>
        <w:jc w:val="both"/>
      </w:pPr>
      <w:r>
        <w:rPr>
          <w:rFonts w:ascii="仿宋_GB2312" w:hAnsi="仿宋_GB2312" w:eastAsia="仿宋_GB2312"/>
          <w:b w:val="0"/>
          <w:sz w:val="32"/>
        </w:rPr>
        <w:t>6.住房保障支出(类)51.75万元,占3.54%。</w:t>
      </w:r>
    </w:p>
    <w:p w14:paraId="14F883E9">
      <w:pPr>
        <w:spacing w:line="580" w:lineRule="exact"/>
        <w:ind w:firstLine="640"/>
        <w:jc w:val="both"/>
      </w:pPr>
      <w:r>
        <w:rPr>
          <w:rFonts w:ascii="仿宋_GB2312" w:hAnsi="仿宋_GB2312" w:eastAsia="仿宋_GB2312"/>
          <w:b w:val="0"/>
          <w:sz w:val="32"/>
        </w:rPr>
        <w:t>7.其他支出(类)13.38万元,占0.91%。</w:t>
      </w:r>
    </w:p>
    <w:p w14:paraId="04776281">
      <w:pPr>
        <w:spacing w:line="640" w:lineRule="exact"/>
        <w:ind w:firstLine="640"/>
        <w:jc w:val="both"/>
        <w:outlineLvl w:val="3"/>
      </w:pPr>
      <w:r>
        <w:rPr>
          <w:rFonts w:ascii="楷体_GB2312" w:hAnsi="楷体_GB2312" w:eastAsia="楷体_GB2312"/>
          <w:b/>
          <w:sz w:val="32"/>
        </w:rPr>
        <w:t>（三）一般公共预算财政拨款支出决算具体情况</w:t>
      </w:r>
    </w:p>
    <w:p w14:paraId="74D4FC6E">
      <w:pPr>
        <w:spacing w:line="580" w:lineRule="exact"/>
        <w:ind w:firstLine="640"/>
        <w:jc w:val="both"/>
      </w:pPr>
      <w:r>
        <w:rPr>
          <w:rFonts w:ascii="仿宋_GB2312" w:hAnsi="仿宋_GB2312" w:eastAsia="仿宋_GB2312"/>
          <w:b w:val="0"/>
          <w:sz w:val="32"/>
        </w:rPr>
        <w:t>1.一般公共服务支出(类)统战事务(款)行政运行(项):支出决算数为537.77万元，比上年决算减少194.05万元，下降26.52%,主要原因是：本年功能科目调整，行政单位离退休经费、行政单位医疗、公务员医疗补助、住房公积金上年度在主科目列支，本年单独列支，导致经费较上年减少。</w:t>
      </w:r>
    </w:p>
    <w:p w14:paraId="0C5600B8">
      <w:pPr>
        <w:spacing w:line="580" w:lineRule="exact"/>
        <w:ind w:firstLine="640"/>
        <w:jc w:val="both"/>
      </w:pPr>
      <w:r>
        <w:rPr>
          <w:rFonts w:ascii="仿宋_GB2312" w:hAnsi="仿宋_GB2312" w:eastAsia="仿宋_GB2312"/>
          <w:b w:val="0"/>
          <w:sz w:val="32"/>
        </w:rPr>
        <w:t>2.一般公共服务支出(类)统战事务(款)宗教事务(项):支出决算数为630.73万元，比上年决算减少132.94万元，下降17.41%,主要原因是：本年减少教职人员生活补贴资金。</w:t>
      </w:r>
    </w:p>
    <w:p w14:paraId="78C692DD">
      <w:pPr>
        <w:spacing w:line="580" w:lineRule="exact"/>
        <w:ind w:firstLine="640"/>
        <w:jc w:val="both"/>
      </w:pPr>
      <w:r>
        <w:rPr>
          <w:rFonts w:ascii="仿宋_GB2312" w:hAnsi="仿宋_GB2312" w:eastAsia="仿宋_GB2312"/>
          <w:b w:val="0"/>
          <w:sz w:val="32"/>
        </w:rPr>
        <w:t>3.一般公共服务支出(类)统战事务(款)其他统战事务支出(项):支出决算数为0.00万元，比上年决算减少62.82万元，下降100.00%,主要原因是：本年减少干部生活补贴。</w:t>
      </w:r>
    </w:p>
    <w:p w14:paraId="56DC2CDD">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9.69万元，比上年决算增加9.69万元，增长100.00%,主要原因是：本年功能科目调整，行政单位离退休上年度在主科目列支，本年单独列支，导致经费较上年增加。</w:t>
      </w:r>
    </w:p>
    <w:p w14:paraId="5D1FC42D">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71.30万元，比上年决算增加8.49万元，增长13.52%,主要原因是：本年在职人员工资基数调增，养老缴费基数上涨，相应支出增加。</w:t>
      </w:r>
    </w:p>
    <w:p w14:paraId="59E1D5F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9.04万元，比上年决算减少9.25万元，下降50.57%,主要原因是：本年新增退休人员较上年减少，职业年金缴费较上年减少。</w:t>
      </w:r>
    </w:p>
    <w:p w14:paraId="65AF379C">
      <w:pPr>
        <w:spacing w:line="580" w:lineRule="exact"/>
        <w:ind w:firstLine="640"/>
        <w:jc w:val="both"/>
      </w:pPr>
      <w:r>
        <w:rPr>
          <w:rFonts w:ascii="仿宋_GB2312" w:hAnsi="仿宋_GB2312" w:eastAsia="仿宋_GB2312"/>
          <w:b w:val="0"/>
          <w:sz w:val="32"/>
        </w:rPr>
        <w:t>7.卫生健康支出(类)行政事业单位医疗(款)行政单位医疗(项):支出决算数为28.97万元，比上年决算增加28.97万元，增长100.00%,主要原因是：本年功能科目调整，行政单位医疗支出上年度在主科目列支，本年单独列支，导致经费较上年增加。</w:t>
      </w:r>
    </w:p>
    <w:p w14:paraId="4ED88E11">
      <w:pPr>
        <w:spacing w:line="580" w:lineRule="exact"/>
        <w:ind w:firstLine="640"/>
        <w:jc w:val="both"/>
      </w:pPr>
      <w:r>
        <w:rPr>
          <w:rFonts w:ascii="仿宋_GB2312" w:hAnsi="仿宋_GB2312" w:eastAsia="仿宋_GB2312"/>
          <w:b w:val="0"/>
          <w:sz w:val="32"/>
        </w:rPr>
        <w:t>8.卫生健康支出(类)行政事业单位医疗(款)公务员医疗补助(项):支出决算数为8.89万元，比上年决算增加8.89万元，增长100.00%,主要原因是：本年功能科目调整，公务员医疗补助上年度在主科目列支，本年单独列支，导致经费较上年增加。</w:t>
      </w:r>
    </w:p>
    <w:p w14:paraId="162C01E1">
      <w:pPr>
        <w:spacing w:line="580" w:lineRule="exact"/>
        <w:ind w:firstLine="640"/>
        <w:jc w:val="both"/>
      </w:pPr>
      <w:r>
        <w:rPr>
          <w:rFonts w:ascii="仿宋_GB2312" w:hAnsi="仿宋_GB2312" w:eastAsia="仿宋_GB2312"/>
          <w:b w:val="0"/>
          <w:sz w:val="32"/>
        </w:rPr>
        <w:t>9.农林水支出(类)巩固脱贫攻坚成果衔接乡村振兴(款)生产发展(项):支出决算数为0.00万元，比上年决算减少47.19万元，下降100.00%,主要原因是：本年科目调整，洛浦县“边销茶”入户项目资金上年在本科目列支，本年在农林水支出(类)巩固脱贫攻坚成果衔接乡村振兴(款)其他</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成果衔接乡村振兴支出(项)列支，导致经费较上年减少。</w:t>
      </w:r>
    </w:p>
    <w:p w14:paraId="43F39843">
      <w:pPr>
        <w:spacing w:line="580" w:lineRule="exact"/>
        <w:ind w:firstLine="640"/>
        <w:jc w:val="both"/>
      </w:pPr>
      <w:r>
        <w:rPr>
          <w:rFonts w:ascii="仿宋_GB2312" w:hAnsi="仿宋_GB2312" w:eastAsia="仿宋_GB2312"/>
          <w:b w:val="0"/>
          <w:sz w:val="32"/>
        </w:rPr>
        <w:t>10.农林水支出(类)巩固脱贫攻坚成果衔接乡村振兴(款)其他巩固脱贫攻坚成果衔接乡村振兴支出(项):支出决算数为47.62万元，比上年决算增加47.62万元，增长100.00%,主要原因是：本年科目调整，洛浦县“边销茶”入户项目资金上年在生产发展(项)列支，本年在此科目列支，导致经费增加。</w:t>
      </w:r>
    </w:p>
    <w:p w14:paraId="336D37CA">
      <w:pPr>
        <w:spacing w:line="580" w:lineRule="exact"/>
        <w:ind w:firstLine="640"/>
        <w:jc w:val="both"/>
      </w:pPr>
      <w:r>
        <w:rPr>
          <w:rFonts w:ascii="仿宋_GB2312" w:hAnsi="仿宋_GB2312" w:eastAsia="仿宋_GB2312"/>
          <w:b w:val="0"/>
          <w:sz w:val="32"/>
        </w:rPr>
        <w:t>11.商业服务业等支出(类)商业流通事务(款)民贸民品贷款贴息(项):支出决算数为53.48万元，比上年决算减少55.65万元，下降50.99%,主要原因是：本年减少民贸民品企业贴息资金。</w:t>
      </w:r>
    </w:p>
    <w:p w14:paraId="7772D219">
      <w:pPr>
        <w:spacing w:line="580" w:lineRule="exact"/>
        <w:ind w:firstLine="640"/>
        <w:jc w:val="both"/>
      </w:pPr>
      <w:r>
        <w:rPr>
          <w:rFonts w:ascii="仿宋_GB2312" w:hAnsi="仿宋_GB2312" w:eastAsia="仿宋_GB2312"/>
          <w:b w:val="0"/>
          <w:sz w:val="32"/>
        </w:rPr>
        <w:t>12.住房保障支出(类)住房改革支出(款)住房公积金(项):支出决算数为51.75万元，比上年决算增加51.75万元，增长100.00%,主要原因是：本年功能科目调整，住房公积金上年度在主科目列支，本年单独列支，导致经费较上年增加。</w:t>
      </w:r>
    </w:p>
    <w:p w14:paraId="74436E07">
      <w:pPr>
        <w:spacing w:line="580" w:lineRule="exact"/>
        <w:ind w:firstLine="640"/>
        <w:jc w:val="both"/>
      </w:pPr>
      <w:r>
        <w:rPr>
          <w:rFonts w:ascii="仿宋_GB2312" w:hAnsi="仿宋_GB2312" w:eastAsia="仿宋_GB2312"/>
          <w:b w:val="0"/>
          <w:sz w:val="32"/>
        </w:rPr>
        <w:t>13.其他支出(类)其他支出(款)其他支出(项):支出决算数为13.38万元，比上年决算增加6.12万元，增长84.30%,主要原因是：本年增加为民办实事经费。</w:t>
      </w:r>
    </w:p>
    <w:p w14:paraId="710642D9">
      <w:pPr>
        <w:spacing w:line="640" w:lineRule="exact"/>
        <w:ind w:firstLine="640"/>
        <w:jc w:val="both"/>
        <w:outlineLvl w:val="2"/>
      </w:pPr>
      <w:r>
        <w:rPr>
          <w:rFonts w:ascii="黑体" w:hAnsi="黑体" w:eastAsia="黑体"/>
          <w:sz w:val="32"/>
        </w:rPr>
        <w:t>六、一般公共预算财政拨款基本支出决算情况说明</w:t>
      </w:r>
    </w:p>
    <w:p w14:paraId="74BC496E">
      <w:pPr>
        <w:spacing w:line="580" w:lineRule="exact"/>
        <w:ind w:firstLine="640"/>
        <w:jc w:val="both"/>
      </w:pPr>
      <w:r>
        <w:rPr>
          <w:rFonts w:ascii="仿宋_GB2312" w:hAnsi="仿宋_GB2312" w:eastAsia="仿宋_GB2312"/>
          <w:b w:val="0"/>
          <w:sz w:val="32"/>
        </w:rPr>
        <w:t>2024年度一般公共预算财政拨款基本支出717.41万元，其中：</w:t>
      </w:r>
      <w:r>
        <w:rPr>
          <w:rFonts w:ascii="仿宋_GB2312" w:hAnsi="仿宋_GB2312" w:eastAsia="仿宋_GB2312"/>
          <w:b/>
          <w:sz w:val="32"/>
        </w:rPr>
        <w:t>人员经费683.78万元，</w:t>
      </w:r>
      <w:r>
        <w:rPr>
          <w:rFonts w:ascii="仿宋_GB2312" w:hAnsi="仿宋_GB2312" w:eastAsia="仿宋_GB2312"/>
          <w:b w:val="0"/>
          <w:sz w:val="32"/>
        </w:rPr>
        <w:t>包括：基本工资、津贴补贴、奖金、机关事业单位基本养老保险缴费、职业年金缴费、职工基本医疗保险缴费、公务员医疗补助缴费、住房公积金、退休费。</w:t>
      </w:r>
    </w:p>
    <w:p w14:paraId="24A17A11">
      <w:pPr>
        <w:spacing w:line="580" w:lineRule="exact"/>
        <w:ind w:firstLine="640"/>
        <w:jc w:val="both"/>
      </w:pPr>
      <w:r>
        <w:rPr>
          <w:rFonts w:ascii="仿宋_GB2312" w:hAnsi="仿宋_GB2312" w:eastAsia="仿宋_GB2312"/>
          <w:b/>
          <w:sz w:val="32"/>
        </w:rPr>
        <w:t>公用经费33.63万元，</w:t>
      </w:r>
      <w:r>
        <w:rPr>
          <w:rFonts w:ascii="仿宋_GB2312" w:hAnsi="仿宋_GB2312" w:eastAsia="仿宋_GB2312"/>
          <w:b w:val="0"/>
          <w:sz w:val="32"/>
        </w:rPr>
        <w:t>包括：办公费、印刷费、手续费、水费、电费、邮电费、取暖费、差旅费、工会经费、公务用车运行维护费、其他交通费用。</w:t>
      </w:r>
    </w:p>
    <w:p w14:paraId="1F46C872">
      <w:pPr>
        <w:spacing w:line="640" w:lineRule="exact"/>
        <w:ind w:firstLine="640"/>
        <w:jc w:val="both"/>
        <w:outlineLvl w:val="2"/>
      </w:pPr>
      <w:r>
        <w:rPr>
          <w:rFonts w:ascii="黑体" w:hAnsi="黑体" w:eastAsia="黑体"/>
          <w:sz w:val="32"/>
        </w:rPr>
        <w:t>七、政府性基金预算财政拨款收入支出决算情况说明</w:t>
      </w:r>
    </w:p>
    <w:p w14:paraId="3611596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A62AD93">
      <w:pPr>
        <w:spacing w:line="640" w:lineRule="exact"/>
        <w:ind w:firstLine="640"/>
        <w:jc w:val="both"/>
        <w:outlineLvl w:val="2"/>
      </w:pPr>
      <w:r>
        <w:rPr>
          <w:rFonts w:ascii="黑体" w:hAnsi="黑体" w:eastAsia="黑体"/>
          <w:sz w:val="32"/>
        </w:rPr>
        <w:t>八、国有资本经营预算财政拨款收入支出决算情况说明</w:t>
      </w:r>
    </w:p>
    <w:p w14:paraId="656892B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71D56DE">
      <w:pPr>
        <w:spacing w:line="640" w:lineRule="exact"/>
        <w:ind w:firstLine="640"/>
        <w:jc w:val="both"/>
        <w:outlineLvl w:val="2"/>
      </w:pPr>
      <w:r>
        <w:rPr>
          <w:rFonts w:ascii="黑体" w:hAnsi="黑体" w:eastAsia="黑体"/>
          <w:sz w:val="32"/>
        </w:rPr>
        <w:t>九、财政拨款“三公”经费支出决算情况说明</w:t>
      </w:r>
    </w:p>
    <w:p w14:paraId="0DC74423">
      <w:pPr>
        <w:spacing w:line="580" w:lineRule="exact"/>
        <w:ind w:firstLine="640"/>
        <w:jc w:val="both"/>
      </w:pPr>
      <w:r>
        <w:rPr>
          <w:rFonts w:ascii="仿宋_GB2312" w:hAnsi="仿宋_GB2312" w:eastAsia="仿宋_GB2312"/>
          <w:b/>
          <w:sz w:val="32"/>
        </w:rPr>
        <w:t>2024年度财政拨款“三公”经费支出3.57万元，</w:t>
      </w:r>
      <w:r>
        <w:rPr>
          <w:rFonts w:ascii="仿宋_GB2312" w:hAnsi="仿宋_GB2312" w:eastAsia="仿宋_GB2312"/>
          <w:b w:val="0"/>
          <w:sz w:val="32"/>
        </w:rPr>
        <w:t>比上年增加0.05万元，增长1.42%，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3.57万元，占100.00%，比上年增加0.05万元，增长1.42%，主要原因是：本年因业务需求，用车次数增加，燃油费增加，导致公务用车运行维护费较上年增加。公务接待费支出0.00万元，占0.00%，比上年增加0.00万元，增长0.00%，主要原因是：2023年与2024年均未安排公务接待费支出。</w:t>
      </w:r>
    </w:p>
    <w:p w14:paraId="7C1AB3A4">
      <w:pPr>
        <w:spacing w:line="580" w:lineRule="exact"/>
        <w:ind w:firstLine="640"/>
        <w:jc w:val="both"/>
      </w:pPr>
      <w:r>
        <w:rPr>
          <w:rFonts w:ascii="仿宋_GB2312" w:hAnsi="仿宋_GB2312" w:eastAsia="仿宋_GB2312"/>
          <w:b/>
          <w:sz w:val="32"/>
        </w:rPr>
        <w:t>具体情况如下：</w:t>
      </w:r>
    </w:p>
    <w:p w14:paraId="6B0BA2A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4DD3AAA">
      <w:pPr>
        <w:spacing w:line="580" w:lineRule="exact"/>
        <w:ind w:firstLine="640"/>
        <w:jc w:val="both"/>
      </w:pPr>
      <w:r>
        <w:rPr>
          <w:rFonts w:ascii="仿宋_GB2312" w:hAnsi="仿宋_GB2312" w:eastAsia="仿宋_GB2312"/>
          <w:b w:val="0"/>
          <w:sz w:val="32"/>
        </w:rPr>
        <w:t>公务用车购置及运行维护费3.57万元，其中：公务用车购置费0.00万元，公务用车运行维护费3.57万元。公务用车运行维护费开支内容包括车辆加油费、维修费、保险费、审车费。公务用车购置数0辆，公务用车保有量13辆。国有资产占用情况中固定资产车辆13辆，与公务用车保有量差异原因是：本单位固定资产车辆与公务用车保有量一致无差异。</w:t>
      </w:r>
    </w:p>
    <w:p w14:paraId="715CFCC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E51097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3.57万元，决算数3.57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3.57万元，决算数3.57万元，预决算差异率0.00%，主要原因是：严格按照预算执行，预决算无差异。公务接待费全年预算数0.00万元，决算数0.00万元，预决算差异率0.00%，主要原因是：本单位无公务接待费。</w:t>
      </w:r>
    </w:p>
    <w:p w14:paraId="33524BF7">
      <w:pPr>
        <w:spacing w:line="640" w:lineRule="exact"/>
        <w:ind w:firstLine="640"/>
        <w:jc w:val="both"/>
        <w:outlineLvl w:val="2"/>
      </w:pPr>
      <w:r>
        <w:rPr>
          <w:rFonts w:ascii="黑体" w:hAnsi="黑体" w:eastAsia="黑体"/>
          <w:sz w:val="32"/>
        </w:rPr>
        <w:t>十、其他重要事项的情况说明</w:t>
      </w:r>
    </w:p>
    <w:p w14:paraId="4784AC90">
      <w:pPr>
        <w:spacing w:line="640" w:lineRule="exact"/>
        <w:ind w:firstLine="640"/>
        <w:jc w:val="both"/>
        <w:outlineLvl w:val="3"/>
      </w:pPr>
      <w:r>
        <w:rPr>
          <w:rFonts w:ascii="楷体_GB2312" w:hAnsi="楷体_GB2312" w:eastAsia="楷体_GB2312"/>
          <w:b/>
          <w:sz w:val="32"/>
        </w:rPr>
        <w:t>（一）机关运行经费及公用经费支出情况</w:t>
      </w:r>
    </w:p>
    <w:p w14:paraId="2F28F35F">
      <w:pPr>
        <w:spacing w:line="580" w:lineRule="exact"/>
        <w:ind w:firstLine="640"/>
        <w:jc w:val="both"/>
      </w:pPr>
      <w:r>
        <w:rPr>
          <w:rFonts w:ascii="仿宋_GB2312" w:hAnsi="仿宋_GB2312" w:eastAsia="仿宋_GB2312"/>
          <w:b w:val="0"/>
          <w:sz w:val="32"/>
        </w:rPr>
        <w:t>2024年度中共洛浦县委统战部（行政单位和参照公务员法管理事业单位）机关运行经费支出33.63万元，比上年减少30.67万元，下降47.70%，主要原因是：本年减少劳务费支出，导致机关运行经费支出减少。</w:t>
      </w:r>
    </w:p>
    <w:p w14:paraId="6A17415B">
      <w:pPr>
        <w:spacing w:line="640" w:lineRule="exact"/>
        <w:ind w:firstLine="640"/>
        <w:jc w:val="both"/>
        <w:outlineLvl w:val="3"/>
      </w:pPr>
      <w:r>
        <w:rPr>
          <w:rFonts w:ascii="楷体_GB2312" w:hAnsi="楷体_GB2312" w:eastAsia="楷体_GB2312"/>
          <w:b/>
          <w:sz w:val="32"/>
        </w:rPr>
        <w:t>（二）政府采购情况</w:t>
      </w:r>
    </w:p>
    <w:p w14:paraId="64B2CAC4">
      <w:pPr>
        <w:spacing w:line="580" w:lineRule="exact"/>
        <w:ind w:firstLine="640"/>
        <w:jc w:val="both"/>
      </w:pPr>
      <w:r>
        <w:rPr>
          <w:rFonts w:ascii="仿宋_GB2312" w:hAnsi="仿宋_GB2312" w:eastAsia="仿宋_GB2312"/>
          <w:b w:val="0"/>
          <w:sz w:val="32"/>
        </w:rPr>
        <w:t>2024年度政府采购支出总额111.64万元，其中：政府采购货物支出14.52万元、政府采购工程支出0.00万元、政府采购服务支出97.12万元。</w:t>
      </w:r>
    </w:p>
    <w:p w14:paraId="54303324">
      <w:pPr>
        <w:spacing w:line="580" w:lineRule="exact"/>
        <w:ind w:firstLine="640"/>
        <w:jc w:val="both"/>
      </w:pPr>
      <w:r>
        <w:rPr>
          <w:rFonts w:ascii="仿宋_GB2312" w:hAnsi="仿宋_GB2312" w:eastAsia="仿宋_GB2312"/>
          <w:b w:val="0"/>
          <w:sz w:val="32"/>
        </w:rPr>
        <w:t>授予中小企业合同金额111.64万元，占政府采购支出总额的100.00%，其中：授予小微企业合同金额109.78万元，占政府采购支出总额的98.33%。</w:t>
      </w:r>
    </w:p>
    <w:p w14:paraId="28171189">
      <w:pPr>
        <w:spacing w:line="640" w:lineRule="exact"/>
        <w:ind w:firstLine="640"/>
        <w:jc w:val="both"/>
        <w:outlineLvl w:val="3"/>
      </w:pPr>
      <w:r>
        <w:rPr>
          <w:rFonts w:ascii="楷体_GB2312" w:hAnsi="楷体_GB2312" w:eastAsia="楷体_GB2312"/>
          <w:b/>
          <w:sz w:val="32"/>
        </w:rPr>
        <w:t>（三）国有资产占用情况说明</w:t>
      </w:r>
    </w:p>
    <w:p w14:paraId="1BF97B4E">
      <w:pPr>
        <w:spacing w:line="580" w:lineRule="exact"/>
        <w:ind w:firstLine="640"/>
        <w:jc w:val="both"/>
      </w:pPr>
      <w:r>
        <w:rPr>
          <w:rFonts w:ascii="仿宋_GB2312" w:hAnsi="仿宋_GB2312" w:eastAsia="仿宋_GB2312"/>
          <w:b w:val="0"/>
          <w:sz w:val="32"/>
        </w:rPr>
        <w:t>截至2024年12月31日，房屋5,641.92平方米，价值787.65万元。车辆13辆，价值92.86万元，其中：副部（省）级及以上领导用车0辆、主要负责人用车0辆、机要通信用车0辆、应急保障用车0辆、执法执勤用车0辆、特种专业技术用车0辆、离退休干部服务用车0辆、其他用车13辆，其他用车主要是：一般公务用车。单价100万元（含）以上设备（不含车辆）1台（套）。</w:t>
      </w:r>
    </w:p>
    <w:p w14:paraId="5469FDB0">
      <w:pPr>
        <w:spacing w:line="640" w:lineRule="exact"/>
        <w:ind w:firstLine="640"/>
        <w:jc w:val="both"/>
        <w:outlineLvl w:val="2"/>
      </w:pPr>
      <w:r>
        <w:rPr>
          <w:rFonts w:ascii="黑体" w:hAnsi="黑体" w:eastAsia="黑体"/>
          <w:sz w:val="32"/>
        </w:rPr>
        <w:t>十一、预算绩效的情况说明</w:t>
      </w:r>
    </w:p>
    <w:p w14:paraId="2E7AC64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lang w:val="en-US" w:eastAsia="zh-CN"/>
        </w:rPr>
        <w:t>1,526.70</w:t>
      </w:r>
      <w:r>
        <w:rPr>
          <w:rFonts w:ascii="仿宋_GB2312" w:hAnsi="仿宋_GB2312" w:eastAsia="仿宋_GB2312"/>
          <w:b w:val="0"/>
          <w:sz w:val="32"/>
        </w:rPr>
        <w:t>万元，实际执行总额</w:t>
      </w:r>
      <w:r>
        <w:rPr>
          <w:rFonts w:hint="eastAsia" w:ascii="仿宋_GB2312" w:hAnsi="仿宋_GB2312" w:eastAsia="仿宋_GB2312"/>
          <w:b w:val="0"/>
          <w:sz w:val="32"/>
          <w:lang w:val="en-US" w:eastAsia="zh-CN"/>
        </w:rPr>
        <w:t>1,526.70</w:t>
      </w:r>
      <w:r>
        <w:rPr>
          <w:rFonts w:ascii="仿宋_GB2312" w:hAnsi="仿宋_GB2312" w:eastAsia="仿宋_GB2312"/>
          <w:b w:val="0"/>
          <w:sz w:val="32"/>
        </w:rPr>
        <w:t>万元；预算绩效评价项目</w:t>
      </w:r>
      <w:r>
        <w:rPr>
          <w:rFonts w:hint="eastAsia" w:ascii="仿宋_GB2312" w:hAnsi="仿宋_GB2312" w:eastAsia="仿宋_GB2312"/>
          <w:b w:val="0"/>
          <w:sz w:val="32"/>
          <w:lang w:val="en-US" w:eastAsia="zh-CN"/>
        </w:rPr>
        <w:t>8</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808.30</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697.60</w:t>
      </w:r>
      <w:r>
        <w:rPr>
          <w:rFonts w:ascii="仿宋_GB2312" w:hAnsi="仿宋_GB2312" w:eastAsia="仿宋_GB2312"/>
          <w:b w:val="0"/>
          <w:sz w:val="32"/>
        </w:rPr>
        <w:t>万元。预算绩效管理取得的成效：一是预算绩效管理基本制度框架不断完善。二是全方位预算绩效管理加快推动。组织对所有中央本级项目、中央对地方专项转移支付、中央与地方共同事权转移支付全面实施绩效管理；在地方层面也参照中央做法，对本级支出和对下补助支出全面实施绩效管理。三是</w:t>
      </w:r>
      <w:r>
        <w:rPr>
          <w:rFonts w:hint="eastAsia" w:ascii="仿宋_GB2312" w:hAnsi="仿宋_GB2312" w:eastAsia="仿宋_GB2312"/>
          <w:b w:val="0"/>
          <w:sz w:val="32"/>
          <w:lang w:eastAsia="zh-CN"/>
        </w:rPr>
        <w:t>预算绩效管理</w:t>
      </w:r>
      <w:r>
        <w:rPr>
          <w:rFonts w:ascii="仿宋_GB2312" w:hAnsi="仿宋_GB2312" w:eastAsia="仿宋_GB2312"/>
          <w:b w:val="0"/>
          <w:sz w:val="32"/>
        </w:rPr>
        <w:t>一体化不断推进。绩效管理不断融入预算编制、执行、监督全过程，不断加大事前绩效评估力度，严格绩效目标管理，开展绩效运行监</w:t>
      </w:r>
      <w:r>
        <w:rPr>
          <w:rFonts w:hint="eastAsia" w:ascii="仿宋_GB2312" w:hAnsi="仿宋_GB2312" w:eastAsia="仿宋_GB2312"/>
          <w:b w:val="0"/>
          <w:sz w:val="32"/>
          <w:lang w:val="en-US" w:eastAsia="zh-CN"/>
        </w:rPr>
        <w:t>管</w:t>
      </w:r>
      <w:r>
        <w:rPr>
          <w:rFonts w:ascii="仿宋_GB2312" w:hAnsi="仿宋_GB2312" w:eastAsia="仿宋_GB2312"/>
          <w:b w:val="0"/>
          <w:sz w:val="32"/>
        </w:rPr>
        <w:t>，完善绩效自评机制。发现的问题及原因：预算绩效管理理念尚未牢固树立</w:t>
      </w:r>
      <w:r>
        <w:rPr>
          <w:rFonts w:hint="eastAsia" w:ascii="仿宋_GB2312" w:hAnsi="仿宋_GB2312" w:eastAsia="仿宋_GB2312"/>
          <w:b w:val="0"/>
          <w:sz w:val="32"/>
          <w:lang w:eastAsia="zh-CN"/>
        </w:rPr>
        <w:t>，</w:t>
      </w:r>
      <w:r>
        <w:rPr>
          <w:rFonts w:ascii="仿宋_GB2312" w:hAnsi="仿宋_GB2312" w:eastAsia="仿宋_GB2312"/>
          <w:b w:val="0"/>
          <w:sz w:val="32"/>
        </w:rPr>
        <w:t>对加强预算绩效管理工作还不够重视，仅仅把此项工作当作完成任务的“规定动作”，导致在实际操作过程中，绩效目标设置不科学、运行监控不落实、评价工作不客观、评价结果不运用，使得预算绩效管理仅仅流于形式，未能真正发挥提高资金使用效益和提升政府治理水平的作用。下一步改进措施：一是加强政府内部预算绩效管理队伍建设。借鉴中央部门、先进地区等经验做法，通过组织培训和经验交流等，加强业务人员绩效意识，提高绩效评价技能，提升业务能力。二是借助社会第三方专业技术力量。选取专业能力突出、资质优良的第三方机构参与绩效管理工作，指导部门和单位设立科学合理的绩效目标、收集评价基础资料并形成评估报告，保证绩效评价结果的客观性，提高预算绩效管理工作质量，提升社会各界对绩效管理结果的认可度。</w:t>
      </w:r>
    </w:p>
    <w:p w14:paraId="310E7741">
      <w:r>
        <w:br w:type="page"/>
      </w:r>
    </w:p>
    <w:p w14:paraId="0DA910CC">
      <w:pPr>
        <w:spacing w:line="640" w:lineRule="exact"/>
        <w:ind w:firstLine="640"/>
        <w:jc w:val="both"/>
        <w:outlineLvl w:val="2"/>
      </w:pPr>
      <w:r>
        <w:rPr>
          <w:rFonts w:ascii="黑体" w:hAnsi="黑体" w:eastAsia="黑体"/>
          <w:sz w:val="32"/>
        </w:rPr>
        <w:t>十二、其他需说明的事项</w:t>
      </w:r>
    </w:p>
    <w:p w14:paraId="1EF2736E">
      <w:pPr>
        <w:spacing w:line="580" w:lineRule="exact"/>
        <w:ind w:firstLine="640"/>
        <w:jc w:val="both"/>
      </w:pPr>
      <w:r>
        <w:rPr>
          <w:rFonts w:ascii="仿宋_GB2312" w:hAnsi="仿宋_GB2312" w:eastAsia="仿宋_GB2312"/>
          <w:b w:val="0"/>
          <w:sz w:val="32"/>
        </w:rPr>
        <w:t>本年度本单位整体绩效自评表不予公开。</w:t>
      </w:r>
    </w:p>
    <w:p w14:paraId="6F42CA22">
      <w:pPr>
        <w:spacing w:line="580" w:lineRule="exact"/>
        <w:ind w:firstLine="640"/>
        <w:jc w:val="both"/>
      </w:pPr>
      <w:r>
        <w:rPr>
          <w:rFonts w:ascii="仿宋_GB2312" w:hAnsi="仿宋_GB2312" w:eastAsia="仿宋_GB2312"/>
          <w:b w:val="0"/>
          <w:sz w:val="32"/>
        </w:rPr>
        <w:t>本年本单位SM项目8个，全年预算数808.30万元，全年执行数697.60万元。</w:t>
      </w:r>
    </w:p>
    <w:p w14:paraId="4C899147">
      <w:r>
        <w:br w:type="page"/>
      </w:r>
    </w:p>
    <w:p w14:paraId="73FE4B00">
      <w:pPr>
        <w:spacing w:line="240" w:lineRule="auto"/>
        <w:jc w:val="center"/>
        <w:outlineLvl w:val="1"/>
      </w:pPr>
      <w:r>
        <w:rPr>
          <w:rFonts w:ascii="黑体" w:hAnsi="黑体" w:eastAsia="黑体"/>
          <w:sz w:val="32"/>
        </w:rPr>
        <w:t>第三部分 专业名词解释</w:t>
      </w:r>
    </w:p>
    <w:p w14:paraId="5CCF7B5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C86B9E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40FCFA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AC3D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B9460A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6BA4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0428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C00D09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6D4F6F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DF7EB9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AEAA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B0E89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654355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50D70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1ABACD">
      <w:r>
        <w:br w:type="page"/>
      </w:r>
    </w:p>
    <w:p w14:paraId="798468A5">
      <w:pPr>
        <w:spacing w:line="240" w:lineRule="auto"/>
        <w:jc w:val="center"/>
        <w:outlineLvl w:val="1"/>
      </w:pPr>
      <w:r>
        <w:rPr>
          <w:rFonts w:ascii="黑体" w:hAnsi="黑体" w:eastAsia="黑体"/>
          <w:sz w:val="32"/>
        </w:rPr>
        <w:t>第四部分 部门决算报表（见附表）</w:t>
      </w:r>
    </w:p>
    <w:p w14:paraId="7B3373BA">
      <w:pPr>
        <w:spacing w:line="240" w:lineRule="auto"/>
        <w:ind w:firstLine="640"/>
        <w:jc w:val="both"/>
      </w:pPr>
      <w:r>
        <w:rPr>
          <w:rFonts w:ascii="仿宋_GB2312" w:hAnsi="仿宋_GB2312" w:eastAsia="仿宋_GB2312"/>
          <w:b w:val="0"/>
          <w:sz w:val="32"/>
        </w:rPr>
        <w:t>一、《收入支出决算总表》</w:t>
      </w:r>
    </w:p>
    <w:p w14:paraId="3DDD72DB">
      <w:pPr>
        <w:spacing w:line="240" w:lineRule="auto"/>
        <w:ind w:firstLine="640"/>
        <w:jc w:val="both"/>
      </w:pPr>
      <w:r>
        <w:rPr>
          <w:rFonts w:ascii="仿宋_GB2312" w:hAnsi="仿宋_GB2312" w:eastAsia="仿宋_GB2312"/>
          <w:b w:val="0"/>
          <w:sz w:val="32"/>
        </w:rPr>
        <w:t>二、《收入决算表》</w:t>
      </w:r>
    </w:p>
    <w:p w14:paraId="64EC4934">
      <w:pPr>
        <w:spacing w:line="240" w:lineRule="auto"/>
        <w:ind w:firstLine="640"/>
        <w:jc w:val="both"/>
      </w:pPr>
      <w:r>
        <w:rPr>
          <w:rFonts w:ascii="仿宋_GB2312" w:hAnsi="仿宋_GB2312" w:eastAsia="仿宋_GB2312"/>
          <w:b w:val="0"/>
          <w:sz w:val="32"/>
        </w:rPr>
        <w:t>三、《支出决算表》</w:t>
      </w:r>
    </w:p>
    <w:p w14:paraId="5022C758">
      <w:pPr>
        <w:spacing w:line="240" w:lineRule="auto"/>
        <w:ind w:firstLine="640"/>
        <w:jc w:val="both"/>
      </w:pPr>
      <w:r>
        <w:rPr>
          <w:rFonts w:ascii="仿宋_GB2312" w:hAnsi="仿宋_GB2312" w:eastAsia="仿宋_GB2312"/>
          <w:b w:val="0"/>
          <w:sz w:val="32"/>
        </w:rPr>
        <w:t>四、《财政拨款收入支出决算总表》</w:t>
      </w:r>
    </w:p>
    <w:p w14:paraId="34AB88D3">
      <w:pPr>
        <w:spacing w:line="240" w:lineRule="auto"/>
        <w:ind w:firstLine="640"/>
        <w:jc w:val="both"/>
      </w:pPr>
      <w:r>
        <w:rPr>
          <w:rFonts w:ascii="仿宋_GB2312" w:hAnsi="仿宋_GB2312" w:eastAsia="仿宋_GB2312"/>
          <w:b w:val="0"/>
          <w:sz w:val="32"/>
        </w:rPr>
        <w:t>五、《一般公共预算财政拨款支出决算表》</w:t>
      </w:r>
    </w:p>
    <w:p w14:paraId="46900053">
      <w:pPr>
        <w:spacing w:line="240" w:lineRule="auto"/>
        <w:ind w:firstLine="640"/>
        <w:jc w:val="both"/>
      </w:pPr>
      <w:r>
        <w:rPr>
          <w:rFonts w:ascii="仿宋_GB2312" w:hAnsi="仿宋_GB2312" w:eastAsia="仿宋_GB2312"/>
          <w:b w:val="0"/>
          <w:sz w:val="32"/>
        </w:rPr>
        <w:t>六、《一般公共预算财政拨款基本支出决算表》</w:t>
      </w:r>
    </w:p>
    <w:p w14:paraId="05F7BE3C">
      <w:pPr>
        <w:spacing w:line="240" w:lineRule="auto"/>
        <w:ind w:firstLine="640"/>
        <w:jc w:val="both"/>
      </w:pPr>
      <w:r>
        <w:rPr>
          <w:rFonts w:ascii="仿宋_GB2312" w:hAnsi="仿宋_GB2312" w:eastAsia="仿宋_GB2312"/>
          <w:b w:val="0"/>
          <w:sz w:val="32"/>
        </w:rPr>
        <w:t>七、《政府性基金预算财政拨款收入支出决算表》</w:t>
      </w:r>
    </w:p>
    <w:p w14:paraId="665570D4">
      <w:pPr>
        <w:spacing w:line="240" w:lineRule="auto"/>
        <w:ind w:firstLine="640"/>
        <w:jc w:val="both"/>
      </w:pPr>
      <w:r>
        <w:rPr>
          <w:rFonts w:ascii="仿宋_GB2312" w:hAnsi="仿宋_GB2312" w:eastAsia="仿宋_GB2312"/>
          <w:b w:val="0"/>
          <w:sz w:val="32"/>
        </w:rPr>
        <w:t>八、《国有资本经营预算财政拨款收入支出决算表》</w:t>
      </w:r>
    </w:p>
    <w:p w14:paraId="5C50CEA0">
      <w:pPr>
        <w:spacing w:line="240" w:lineRule="auto"/>
        <w:ind w:firstLine="640"/>
        <w:jc w:val="both"/>
      </w:pPr>
      <w:r>
        <w:rPr>
          <w:rFonts w:ascii="仿宋_GB2312" w:hAnsi="仿宋_GB2312" w:eastAsia="仿宋_GB2312"/>
          <w:b w:val="0"/>
          <w:sz w:val="32"/>
        </w:rPr>
        <w:t>九、《财政拨款“三公”经费支出决算表》</w:t>
      </w:r>
    </w:p>
    <w:p w14:paraId="5214A262">
      <w:pPr>
        <w:spacing w:line="240" w:lineRule="auto"/>
        <w:ind w:firstLine="640"/>
        <w:jc w:val="both"/>
      </w:pPr>
    </w:p>
    <w:p w14:paraId="32FDDC23">
      <w:pPr>
        <w:spacing w:line="240" w:lineRule="auto"/>
        <w:ind w:firstLine="640"/>
        <w:jc w:val="both"/>
      </w:pPr>
    </w:p>
    <w:p w14:paraId="0799C6DB">
      <w:pPr>
        <w:spacing w:line="240" w:lineRule="auto"/>
        <w:ind w:firstLine="640"/>
        <w:jc w:val="both"/>
      </w:pPr>
    </w:p>
    <w:p w14:paraId="691F62FF">
      <w:pPr>
        <w:spacing w:line="240" w:lineRule="auto"/>
        <w:ind w:firstLine="640"/>
        <w:jc w:val="both"/>
      </w:pPr>
    </w:p>
    <w:p w14:paraId="1633874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784912-5FDB-4DFF-961B-A6765CF0F8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248954DD-C062-45E8-8A42-75DDA9C957F3}"/>
  </w:font>
  <w:font w:name="仿宋_GB2312">
    <w:panose1 w:val="02010609030101010101"/>
    <w:charset w:val="86"/>
    <w:family w:val="modern"/>
    <w:pitch w:val="default"/>
    <w:sig w:usb0="00000001" w:usb1="080E0000" w:usb2="00000000" w:usb3="00000000" w:csb0="00040000" w:csb1="00000000"/>
    <w:embedRegular r:id="rId3" w:fontKey="{859A3C1B-40EC-439F-8412-88540D72343B}"/>
  </w:font>
  <w:font w:name="楷体_GB2312">
    <w:panose1 w:val="02010609030101010101"/>
    <w:charset w:val="86"/>
    <w:family w:val="auto"/>
    <w:pitch w:val="default"/>
    <w:sig w:usb0="00000001" w:usb1="080E0000" w:usb2="00000000" w:usb3="00000000" w:csb0="00040000" w:csb1="00000000"/>
    <w:embedRegular r:id="rId4" w:fontKey="{D9918433-E714-4AB2-B663-4CDCF97497C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F41CA6"/>
    <w:rsid w:val="38006E2C"/>
    <w:rsid w:val="3914510A"/>
    <w:rsid w:val="3B1220C9"/>
    <w:rsid w:val="3D5275AC"/>
    <w:rsid w:val="3EA7725F"/>
    <w:rsid w:val="3EC014A1"/>
    <w:rsid w:val="40834692"/>
    <w:rsid w:val="423A32B2"/>
    <w:rsid w:val="423C0CB4"/>
    <w:rsid w:val="427B5743"/>
    <w:rsid w:val="42E64542"/>
    <w:rsid w:val="459A2A36"/>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6592</Words>
  <Characters>7400</Characters>
  <Lines>0</Lines>
  <Paragraphs>0</Paragraphs>
  <TotalTime>4</TotalTime>
  <ScaleCrop>false</ScaleCrop>
  <LinksUpToDate>false</LinksUpToDate>
  <CharactersWithSpaces>7410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2025-09-18T04:01:44Z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