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中共洛浦县委机构编制委员会办公室2024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52BFAF4">
      <w:r>
        <w:br w:type="page"/>
      </w:r>
    </w:p>
    <w:p w14:paraId="39A98671">
      <w:pPr>
        <w:spacing w:line="640" w:lineRule="exact"/>
        <w:jc w:val="center"/>
        <w:outlineLvl w:val="1"/>
      </w:pPr>
      <w:r>
        <w:rPr>
          <w:rFonts w:ascii="黑体" w:hAnsi="黑体" w:eastAsia="黑体"/>
          <w:sz w:val="32"/>
        </w:rPr>
        <w:t>第一部分 单位概况</w:t>
      </w:r>
    </w:p>
    <w:p w14:paraId="0487ED90">
      <w:pPr>
        <w:spacing w:line="640" w:lineRule="exact"/>
        <w:ind w:firstLine="640"/>
        <w:jc w:val="both"/>
        <w:outlineLvl w:val="2"/>
      </w:pPr>
      <w:r>
        <w:rPr>
          <w:rFonts w:ascii="黑体" w:hAnsi="黑体" w:eastAsia="黑体"/>
          <w:sz w:val="32"/>
        </w:rPr>
        <w:t>一、主要职能</w:t>
      </w:r>
    </w:p>
    <w:p w14:paraId="6C66EDE6">
      <w:pPr>
        <w:spacing w:line="580" w:lineRule="exact"/>
        <w:ind w:firstLine="640"/>
        <w:jc w:val="both"/>
      </w:pPr>
      <w:r>
        <w:rPr>
          <w:rFonts w:ascii="仿宋_GB2312" w:hAnsi="仿宋_GB2312" w:eastAsia="仿宋_GB2312"/>
          <w:sz w:val="32"/>
        </w:rPr>
        <w:t>（一）贯彻执行中央和国务院关于行政管理体制改革、机构改革和机构编制管理的方针、政策和法规，研究拟订全县行政管理体制改革、机构改革和机构编制管理的办法等并负责组织实施。</w:t>
      </w:r>
    </w:p>
    <w:p w14:paraId="032F7BB0">
      <w:pPr>
        <w:spacing w:line="580" w:lineRule="exact"/>
        <w:ind w:firstLine="640"/>
        <w:jc w:val="both"/>
      </w:pPr>
      <w:r>
        <w:rPr>
          <w:rFonts w:ascii="仿宋_GB2312" w:hAnsi="仿宋_GB2312" w:eastAsia="仿宋_GB2312"/>
          <w:sz w:val="32"/>
        </w:rPr>
        <w:t>（二）研究拟订全县行政管理体制与机构改革的总体方案,并负责组织实施。</w:t>
      </w:r>
    </w:p>
    <w:p w14:paraId="770B4AB0">
      <w:pPr>
        <w:spacing w:line="580" w:lineRule="exact"/>
        <w:ind w:firstLine="640"/>
        <w:jc w:val="both"/>
      </w:pPr>
      <w:r>
        <w:rPr>
          <w:rFonts w:ascii="仿宋_GB2312" w:hAnsi="仿宋_GB2312" w:eastAsia="仿宋_GB2312"/>
          <w:sz w:val="32"/>
        </w:rPr>
        <w:t>（三）研究拟订全县事业单位管理体制和机构改革方案，制定事业单位机构编制发展规划，审核或审批股级事业单位的机构设置，职责任务，人员编制，领导职数，人员结构及经费开支渠道，指导全县事业单位体制改革工作。</w:t>
      </w:r>
    </w:p>
    <w:p w14:paraId="79829083">
      <w:pPr>
        <w:spacing w:line="580" w:lineRule="exact"/>
        <w:ind w:firstLine="640"/>
        <w:jc w:val="both"/>
      </w:pPr>
      <w:r>
        <w:rPr>
          <w:rFonts w:ascii="仿宋_GB2312" w:hAnsi="仿宋_GB2312" w:eastAsia="仿宋_GB2312"/>
          <w:sz w:val="32"/>
        </w:rPr>
        <w:t>（四）审核全县党政机关及人大、政协、法院、检察机关，各人民团体机关的机构改革方案；审核全县党委、政府机构改革方案；指导乡（镇）行政管理体制改革、机构改革以及机构编制管理工作。</w:t>
      </w:r>
    </w:p>
    <w:p w14:paraId="330A3D34">
      <w:pPr>
        <w:spacing w:line="580" w:lineRule="exact"/>
        <w:ind w:firstLine="640"/>
        <w:jc w:val="both"/>
      </w:pPr>
      <w:r>
        <w:rPr>
          <w:rFonts w:ascii="仿宋_GB2312" w:hAnsi="仿宋_GB2312" w:eastAsia="仿宋_GB2312"/>
          <w:sz w:val="32"/>
        </w:rPr>
        <w:t>（五）审核全县党政机关、事业单位的机构设置、人员编制与领导职数的核定，全面贯彻党政机关“三定”规定和事业单位“十定”方案的落实。</w:t>
      </w:r>
    </w:p>
    <w:p w14:paraId="55A51A48">
      <w:pPr>
        <w:spacing w:line="580" w:lineRule="exact"/>
        <w:ind w:firstLine="640"/>
        <w:jc w:val="both"/>
      </w:pPr>
      <w:r>
        <w:rPr>
          <w:rFonts w:ascii="仿宋_GB2312" w:hAnsi="仿宋_GB2312" w:eastAsia="仿宋_GB2312"/>
          <w:sz w:val="32"/>
        </w:rPr>
        <w:t>（六）统一管理全县各级党政机关、人大、政协、法院、检察机关、人民团体机关及事业单位的机构编制管理工作，并负责全县党政机关各部门职能配置和调整工作。</w:t>
      </w:r>
    </w:p>
    <w:p w14:paraId="136032B0">
      <w:pPr>
        <w:spacing w:line="580" w:lineRule="exact"/>
        <w:ind w:firstLine="640"/>
        <w:jc w:val="both"/>
      </w:pPr>
      <w:r>
        <w:rPr>
          <w:rFonts w:ascii="仿宋_GB2312" w:hAnsi="仿宋_GB2312" w:eastAsia="仿宋_GB2312"/>
          <w:sz w:val="32"/>
        </w:rPr>
        <w:t>（七）监督检查全县行政管理体制改革、机构改革以及机构编制的执行情况，适时上报机构编制委员会及县委、县政府，为领导决策提供依据，充分发挥参谋助手作用。</w:t>
      </w:r>
    </w:p>
    <w:p w14:paraId="151E4B7E">
      <w:pPr>
        <w:spacing w:line="580" w:lineRule="exact"/>
        <w:ind w:firstLine="640"/>
        <w:jc w:val="both"/>
      </w:pPr>
      <w:r>
        <w:rPr>
          <w:rFonts w:ascii="仿宋_GB2312" w:hAnsi="仿宋_GB2312" w:eastAsia="仿宋_GB2312"/>
          <w:sz w:val="32"/>
        </w:rPr>
        <w:t>（八）配合组织人事和财政部门做好党政机关、事业单位财政统发工资</w:t>
      </w:r>
      <w:r>
        <w:rPr>
          <w:rFonts w:hint="eastAsia" w:ascii="仿宋_GB2312" w:hAnsi="仿宋_GB2312" w:eastAsia="仿宋_GB2312"/>
          <w:sz w:val="32"/>
          <w:lang w:eastAsia="zh-CN"/>
        </w:rPr>
        <w:t>的</w:t>
      </w:r>
      <w:r>
        <w:rPr>
          <w:rFonts w:ascii="仿宋_GB2312" w:hAnsi="仿宋_GB2312" w:eastAsia="仿宋_GB2312"/>
          <w:sz w:val="32"/>
        </w:rPr>
        <w:t>审批工作和其他相关工作。</w:t>
      </w:r>
    </w:p>
    <w:p w14:paraId="3B7B8B54">
      <w:pPr>
        <w:spacing w:line="580" w:lineRule="exact"/>
        <w:ind w:firstLine="640"/>
        <w:jc w:val="both"/>
      </w:pPr>
      <w:r>
        <w:rPr>
          <w:rFonts w:ascii="仿宋_GB2312" w:hAnsi="仿宋_GB2312" w:eastAsia="仿宋_GB2312"/>
          <w:sz w:val="32"/>
        </w:rPr>
        <w:t>（九）负责全县党政机关、事业单位的机构、编制、人员的统计分析与上报。</w:t>
      </w:r>
    </w:p>
    <w:p w14:paraId="60D13474">
      <w:pPr>
        <w:spacing w:line="580" w:lineRule="exact"/>
        <w:ind w:firstLine="640"/>
        <w:jc w:val="both"/>
      </w:pPr>
      <w:r>
        <w:rPr>
          <w:rFonts w:ascii="仿宋_GB2312" w:hAnsi="仿宋_GB2312" w:eastAsia="仿宋_GB2312"/>
          <w:sz w:val="32"/>
        </w:rPr>
        <w:t>（十）负责机构编制管理、行政管理体制改革、机构改革工作的调研及信息上报工作。</w:t>
      </w:r>
    </w:p>
    <w:p w14:paraId="5751913E">
      <w:pPr>
        <w:spacing w:line="580" w:lineRule="exact"/>
        <w:ind w:firstLine="640"/>
        <w:jc w:val="both"/>
      </w:pPr>
      <w:r>
        <w:rPr>
          <w:rFonts w:ascii="仿宋_GB2312" w:hAnsi="仿宋_GB2312" w:eastAsia="仿宋_GB2312"/>
          <w:sz w:val="32"/>
        </w:rPr>
        <w:t>（十一）负责机构编制日常管理，做好《机构编制管理证</w:t>
      </w:r>
      <w:r>
        <w:rPr>
          <w:rFonts w:hint="eastAsia" w:ascii="仿宋_GB2312" w:hAnsi="仿宋_GB2312" w:eastAsia="仿宋_GB2312"/>
          <w:sz w:val="32"/>
          <w:lang w:eastAsia="zh-CN"/>
        </w:rPr>
        <w:t>》《</w:t>
      </w:r>
      <w:r>
        <w:rPr>
          <w:rFonts w:ascii="仿宋_GB2312" w:hAnsi="仿宋_GB2312" w:eastAsia="仿宋_GB2312"/>
          <w:sz w:val="32"/>
        </w:rPr>
        <w:t>机构编制</w:t>
      </w:r>
      <w:r>
        <w:rPr>
          <w:rFonts w:hint="eastAsia" w:ascii="仿宋_GB2312" w:hAnsi="仿宋_GB2312" w:eastAsia="仿宋_GB2312"/>
          <w:sz w:val="32"/>
          <w:lang w:eastAsia="zh-CN"/>
        </w:rPr>
        <w:t>管理台账》《</w:t>
      </w:r>
      <w:r>
        <w:rPr>
          <w:rFonts w:ascii="仿宋_GB2312" w:hAnsi="仿宋_GB2312" w:eastAsia="仿宋_GB2312"/>
          <w:sz w:val="32"/>
        </w:rPr>
        <w:t>机构编制实名制管理》信息库的建立和维护。</w:t>
      </w:r>
    </w:p>
    <w:p w14:paraId="2CFBE5B1">
      <w:pPr>
        <w:spacing w:line="580" w:lineRule="exact"/>
        <w:ind w:firstLine="640"/>
        <w:jc w:val="both"/>
      </w:pPr>
      <w:r>
        <w:rPr>
          <w:rFonts w:ascii="仿宋_GB2312" w:hAnsi="仿宋_GB2312" w:eastAsia="仿宋_GB2312"/>
          <w:sz w:val="32"/>
        </w:rPr>
        <w:t>（十二）深入贯彻落实事业单位登记管理政策法规；负责全县独立股级以上事业单位的初始登记、变更登记、注销登记、年度检验及《事业单位法人证书》的打印、发放等管理工作，并做好事业单位动态管理和跟踪调查。</w:t>
      </w:r>
    </w:p>
    <w:p w14:paraId="37FB0EC2">
      <w:pPr>
        <w:spacing w:line="580" w:lineRule="exact"/>
        <w:ind w:firstLine="640"/>
        <w:jc w:val="both"/>
      </w:pPr>
      <w:r>
        <w:rPr>
          <w:rFonts w:ascii="仿宋_GB2312" w:hAnsi="仿宋_GB2312" w:eastAsia="仿宋_GB2312"/>
          <w:sz w:val="32"/>
        </w:rPr>
        <w:t>（十三）负责全县党政机关、事业单位</w:t>
      </w:r>
      <w:bookmarkStart w:id="0" w:name="_GoBack"/>
      <w:bookmarkEnd w:id="0"/>
      <w:r>
        <w:rPr>
          <w:rFonts w:ascii="仿宋_GB2312" w:hAnsi="仿宋_GB2312" w:eastAsia="仿宋_GB2312"/>
          <w:sz w:val="32"/>
        </w:rPr>
        <w:t>的中文域名注册管理工作。</w:t>
      </w:r>
    </w:p>
    <w:p w14:paraId="3FDFBB04">
      <w:pPr>
        <w:spacing w:line="580" w:lineRule="exact"/>
        <w:ind w:firstLine="640"/>
        <w:jc w:val="both"/>
      </w:pPr>
      <w:r>
        <w:rPr>
          <w:rFonts w:ascii="仿宋_GB2312" w:hAnsi="仿宋_GB2312" w:eastAsia="仿宋_GB2312"/>
          <w:sz w:val="32"/>
        </w:rPr>
        <w:t>（十四）会同组织、人事部门负责机关、事业单位新增工作人员的申报工作，负责人才储备工作人员的申报和专项编制人员管理。</w:t>
      </w:r>
    </w:p>
    <w:p w14:paraId="793C6238">
      <w:pPr>
        <w:spacing w:line="580" w:lineRule="exact"/>
        <w:ind w:firstLine="640"/>
        <w:jc w:val="both"/>
      </w:pPr>
      <w:r>
        <w:rPr>
          <w:rFonts w:ascii="仿宋_GB2312" w:hAnsi="仿宋_GB2312" w:eastAsia="仿宋_GB2312"/>
          <w:sz w:val="32"/>
        </w:rPr>
        <w:t>（十五）负责处理县直各部门、各乡镇上报的关于机构编制事宜的请示或报告。</w:t>
      </w:r>
    </w:p>
    <w:p w14:paraId="763CAF31">
      <w:pPr>
        <w:spacing w:line="580" w:lineRule="exact"/>
        <w:ind w:firstLine="640"/>
        <w:jc w:val="both"/>
      </w:pPr>
      <w:r>
        <w:rPr>
          <w:rFonts w:ascii="仿宋_GB2312" w:hAnsi="仿宋_GB2312" w:eastAsia="仿宋_GB2312"/>
          <w:sz w:val="32"/>
        </w:rPr>
        <w:t>（十六）承办洛浦县委交办的其他事项。</w:t>
      </w:r>
    </w:p>
    <w:p w14:paraId="4F5B9910">
      <w:pPr>
        <w:spacing w:line="640" w:lineRule="exact"/>
        <w:ind w:firstLine="640"/>
        <w:jc w:val="both"/>
        <w:outlineLvl w:val="2"/>
      </w:pPr>
      <w:r>
        <w:rPr>
          <w:rFonts w:ascii="黑体" w:hAnsi="黑体" w:eastAsia="黑体"/>
          <w:sz w:val="32"/>
        </w:rPr>
        <w:t>二、机构设置及人员情况</w:t>
      </w:r>
    </w:p>
    <w:p w14:paraId="72E34845">
      <w:pPr>
        <w:spacing w:line="580" w:lineRule="exact"/>
        <w:ind w:firstLine="640"/>
        <w:jc w:val="both"/>
      </w:pPr>
      <w:r>
        <w:rPr>
          <w:rFonts w:ascii="仿宋_GB2312" w:hAnsi="仿宋_GB2312" w:eastAsia="仿宋_GB2312"/>
          <w:sz w:val="32"/>
        </w:rPr>
        <w:t>中共洛浦县委机构编制委员会办公室2024年度，实有人数12人，其中：在职人员12人，增加0人；离休人员0人，增加0人；退休人员0人,增加0人。</w:t>
      </w:r>
    </w:p>
    <w:p w14:paraId="0BBD887D">
      <w:pPr>
        <w:spacing w:line="580" w:lineRule="exact"/>
        <w:ind w:firstLine="640"/>
        <w:jc w:val="both"/>
      </w:pPr>
      <w:r>
        <w:rPr>
          <w:rFonts w:ascii="仿宋_GB2312" w:hAnsi="仿宋_GB2312" w:eastAsia="仿宋_GB2312"/>
          <w:sz w:val="32"/>
        </w:rPr>
        <w:t>中共洛浦县委机构编制委员会办公室无下属预算单位，下设2个科室，分别是：501机构编制室、503事业单位登记管理财务室。</w:t>
      </w:r>
    </w:p>
    <w:p w14:paraId="6F860E1F">
      <w:r>
        <w:br w:type="page"/>
      </w:r>
    </w:p>
    <w:p w14:paraId="2D1EB2AD">
      <w:pPr>
        <w:spacing w:line="240" w:lineRule="auto"/>
        <w:jc w:val="center"/>
        <w:outlineLvl w:val="1"/>
      </w:pPr>
      <w:r>
        <w:rPr>
          <w:rFonts w:ascii="黑体" w:hAnsi="黑体" w:eastAsia="黑体"/>
          <w:sz w:val="32"/>
        </w:rPr>
        <w:t>第二部分 部门决算情况说明</w:t>
      </w:r>
    </w:p>
    <w:p w14:paraId="46292621">
      <w:pPr>
        <w:spacing w:line="640" w:lineRule="exact"/>
        <w:ind w:firstLine="640"/>
        <w:jc w:val="both"/>
        <w:outlineLvl w:val="2"/>
      </w:pPr>
      <w:r>
        <w:rPr>
          <w:rFonts w:ascii="黑体" w:hAnsi="黑体" w:eastAsia="黑体"/>
          <w:sz w:val="32"/>
        </w:rPr>
        <w:t>一、收入支出决算总体情况说明</w:t>
      </w:r>
    </w:p>
    <w:p w14:paraId="6B65114D">
      <w:pPr>
        <w:spacing w:line="580" w:lineRule="exact"/>
        <w:ind w:firstLine="640"/>
        <w:jc w:val="both"/>
      </w:pPr>
      <w:r>
        <w:rPr>
          <w:rFonts w:ascii="仿宋_GB2312" w:hAnsi="仿宋_GB2312" w:eastAsia="仿宋_GB2312"/>
          <w:b/>
          <w:sz w:val="32"/>
        </w:rPr>
        <w:t>2024年度收入总计215.76万元，</w:t>
      </w:r>
      <w:r>
        <w:rPr>
          <w:rFonts w:ascii="仿宋_GB2312" w:hAnsi="仿宋_GB2312" w:eastAsia="仿宋_GB2312"/>
          <w:b w:val="0"/>
          <w:sz w:val="32"/>
        </w:rPr>
        <w:t>其中：本年收入合计212.71万元，使用非财政拨款结余（含专用结余）0.00万元，年初结转和结余3.05万元。</w:t>
      </w:r>
    </w:p>
    <w:p w14:paraId="7459B156">
      <w:pPr>
        <w:spacing w:line="580" w:lineRule="exact"/>
        <w:ind w:firstLine="640"/>
        <w:jc w:val="both"/>
      </w:pPr>
      <w:r>
        <w:rPr>
          <w:rFonts w:ascii="仿宋_GB2312" w:hAnsi="仿宋_GB2312" w:eastAsia="仿宋_GB2312"/>
          <w:b/>
          <w:sz w:val="32"/>
        </w:rPr>
        <w:t>2024年度支出总计215.76万元，</w:t>
      </w:r>
      <w:r>
        <w:rPr>
          <w:rFonts w:ascii="仿宋_GB2312" w:hAnsi="仿宋_GB2312" w:eastAsia="仿宋_GB2312"/>
          <w:b w:val="0"/>
          <w:sz w:val="32"/>
        </w:rPr>
        <w:t>其中：本年支出合计212.71万元，结余分配0.00万元，年末结转和结余3.05万元。</w:t>
      </w:r>
    </w:p>
    <w:p w14:paraId="64349531">
      <w:pPr>
        <w:spacing w:line="580" w:lineRule="exact"/>
        <w:ind w:firstLine="640"/>
        <w:jc w:val="both"/>
      </w:pPr>
      <w:r>
        <w:rPr>
          <w:rFonts w:ascii="仿宋_GB2312" w:hAnsi="仿宋_GB2312" w:eastAsia="仿宋_GB2312"/>
          <w:b w:val="0"/>
          <w:sz w:val="32"/>
        </w:rPr>
        <w:t>收入支出总体与上年相比，减少14.76万元，下降6.40%，主要原因是：本年1月调出1人，10月调入1人，相关人员经费较上年减少。</w:t>
      </w:r>
    </w:p>
    <w:p w14:paraId="4B77E719">
      <w:pPr>
        <w:spacing w:line="640" w:lineRule="exact"/>
        <w:ind w:firstLine="640"/>
        <w:jc w:val="both"/>
        <w:outlineLvl w:val="2"/>
      </w:pPr>
      <w:r>
        <w:rPr>
          <w:rFonts w:ascii="黑体" w:hAnsi="黑体" w:eastAsia="黑体"/>
          <w:sz w:val="32"/>
        </w:rPr>
        <w:t>二、收入决算情况说明</w:t>
      </w:r>
    </w:p>
    <w:p w14:paraId="58AF79D6">
      <w:pPr>
        <w:spacing w:line="580" w:lineRule="exact"/>
        <w:ind w:firstLine="640"/>
        <w:jc w:val="both"/>
      </w:pPr>
      <w:r>
        <w:rPr>
          <w:rFonts w:ascii="仿宋_GB2312" w:hAnsi="仿宋_GB2312" w:eastAsia="仿宋_GB2312"/>
          <w:b/>
          <w:sz w:val="32"/>
        </w:rPr>
        <w:t>本年收入212.71万元，</w:t>
      </w:r>
      <w:r>
        <w:rPr>
          <w:rFonts w:ascii="仿宋_GB2312" w:hAnsi="仿宋_GB2312" w:eastAsia="仿宋_GB2312"/>
          <w:b w:val="0"/>
          <w:sz w:val="32"/>
        </w:rPr>
        <w:t>其中：财政拨款收入212.71万元，占100.00%；上级补助收入0.00万元，占0.00%；事业收入0.00万元，占0.00%；经营收入0.00万元，占0.00%；附属单位上缴收入0.00万元，占0.00%；其他收入0.00万元，占0.00%。</w:t>
      </w:r>
    </w:p>
    <w:p w14:paraId="618BFB7C">
      <w:pPr>
        <w:spacing w:line="640" w:lineRule="exact"/>
        <w:ind w:firstLine="640"/>
        <w:jc w:val="both"/>
        <w:outlineLvl w:val="2"/>
      </w:pPr>
      <w:r>
        <w:rPr>
          <w:rFonts w:ascii="黑体" w:hAnsi="黑体" w:eastAsia="黑体"/>
          <w:sz w:val="32"/>
        </w:rPr>
        <w:t>三、支出决算情况说明</w:t>
      </w:r>
    </w:p>
    <w:p w14:paraId="047CEB60">
      <w:pPr>
        <w:spacing w:line="580" w:lineRule="exact"/>
        <w:ind w:firstLine="640"/>
        <w:jc w:val="both"/>
      </w:pPr>
      <w:r>
        <w:rPr>
          <w:rFonts w:ascii="仿宋_GB2312" w:hAnsi="仿宋_GB2312" w:eastAsia="仿宋_GB2312"/>
          <w:b/>
          <w:sz w:val="32"/>
        </w:rPr>
        <w:t>本年支出212.71万元，</w:t>
      </w:r>
      <w:r>
        <w:rPr>
          <w:rFonts w:ascii="仿宋_GB2312" w:hAnsi="仿宋_GB2312" w:eastAsia="仿宋_GB2312"/>
          <w:b w:val="0"/>
          <w:sz w:val="32"/>
        </w:rPr>
        <w:t>其中：基本支出205.82万元，占96.76%；项目支出6.89万元，占3.24%；上缴上级支出0.00万元，占0.00%；经营支出0.00万元，占0.00%；对附属单位补助支出0.00万元，占0.00%。</w:t>
      </w:r>
    </w:p>
    <w:p w14:paraId="6E0E2AF7">
      <w:pPr>
        <w:spacing w:line="640" w:lineRule="exact"/>
        <w:ind w:firstLine="640"/>
        <w:jc w:val="both"/>
        <w:outlineLvl w:val="2"/>
      </w:pPr>
      <w:r>
        <w:rPr>
          <w:rFonts w:ascii="黑体" w:hAnsi="黑体" w:eastAsia="黑体"/>
          <w:sz w:val="32"/>
        </w:rPr>
        <w:t>四、财政拨款收入支出决算总体情况说明</w:t>
      </w:r>
    </w:p>
    <w:p w14:paraId="1591902D">
      <w:pPr>
        <w:spacing w:line="580" w:lineRule="exact"/>
        <w:ind w:firstLine="640"/>
        <w:jc w:val="both"/>
      </w:pPr>
      <w:r>
        <w:rPr>
          <w:rFonts w:ascii="仿宋_GB2312" w:hAnsi="仿宋_GB2312" w:eastAsia="仿宋_GB2312"/>
          <w:b/>
          <w:sz w:val="32"/>
        </w:rPr>
        <w:t>2024年度财政拨款收入总计212.71万元，</w:t>
      </w:r>
      <w:r>
        <w:rPr>
          <w:rFonts w:ascii="仿宋_GB2312" w:hAnsi="仿宋_GB2312" w:eastAsia="仿宋_GB2312"/>
          <w:b w:val="0"/>
          <w:sz w:val="32"/>
        </w:rPr>
        <w:t>其中：年初财政拨款结转和结余0.00万元，本年财政拨款收入212.71万元。</w:t>
      </w:r>
      <w:r>
        <w:rPr>
          <w:rFonts w:ascii="仿宋_GB2312" w:hAnsi="仿宋_GB2312" w:eastAsia="仿宋_GB2312"/>
          <w:b/>
          <w:sz w:val="32"/>
        </w:rPr>
        <w:t>财政拨款支出总计212.71万元，</w:t>
      </w:r>
      <w:r>
        <w:rPr>
          <w:rFonts w:ascii="仿宋_GB2312" w:hAnsi="仿宋_GB2312" w:eastAsia="仿宋_GB2312"/>
          <w:b w:val="0"/>
          <w:sz w:val="32"/>
        </w:rPr>
        <w:t>其中：年末财政拨款结转和结余0.00万元，本年财政拨款支出212.71万元。</w:t>
      </w:r>
    </w:p>
    <w:p w14:paraId="43B7F08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减少14.76万元，下降6.49%，主要原因是：本年1月调出1人，10月调入1人，相关人员经费较上年减少。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年初预算数263.27万元，决算数212.71万元，预决算差异率-19.20%，主要原因是：本年1月调出1人，10月调入1人，年中调减人员经费，为民办实事经费，导致预决算存在差异。</w:t>
      </w:r>
    </w:p>
    <w:p w14:paraId="366E9F7B">
      <w:pPr>
        <w:spacing w:line="640" w:lineRule="exact"/>
        <w:ind w:firstLine="640"/>
        <w:jc w:val="both"/>
        <w:outlineLvl w:val="2"/>
      </w:pPr>
      <w:r>
        <w:rPr>
          <w:rFonts w:ascii="黑体" w:hAnsi="黑体" w:eastAsia="黑体"/>
          <w:sz w:val="32"/>
        </w:rPr>
        <w:t>五、一般公共预算财政拨款支出决算情况说明</w:t>
      </w:r>
    </w:p>
    <w:p w14:paraId="0841BCEB">
      <w:pPr>
        <w:spacing w:line="640" w:lineRule="exact"/>
        <w:ind w:firstLine="640"/>
        <w:jc w:val="both"/>
        <w:outlineLvl w:val="3"/>
      </w:pPr>
      <w:r>
        <w:rPr>
          <w:rFonts w:ascii="楷体_GB2312" w:hAnsi="楷体_GB2312" w:eastAsia="楷体_GB2312"/>
          <w:b/>
          <w:sz w:val="32"/>
        </w:rPr>
        <w:t>（一）一般公共预算财政拨款支出决算总体情况</w:t>
      </w:r>
    </w:p>
    <w:p w14:paraId="4F89566C">
      <w:pPr>
        <w:spacing w:line="580" w:lineRule="exact"/>
        <w:ind w:firstLine="640"/>
        <w:jc w:val="both"/>
      </w:pPr>
      <w:r>
        <w:rPr>
          <w:rFonts w:ascii="仿宋_GB2312" w:hAnsi="仿宋_GB2312" w:eastAsia="仿宋_GB2312"/>
          <w:b/>
          <w:sz w:val="32"/>
        </w:rPr>
        <w:t>2024年度一般公共预算财政拨款支出212.71万元，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减少14.76万元，下降6.49%，主要原因是：本年1月调出1人，10月调入1人，相关人员经费较上年减少。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年初预算数263.27万元，决算数212.71万元，预决算差异率-19.20%，主要原因是：本年1月调出1人，10月调入1人，年中调减人员经费，为民办实事经费，导致预决算存在差异。</w:t>
      </w:r>
    </w:p>
    <w:p w14:paraId="619F4F0F">
      <w:pPr>
        <w:spacing w:line="640" w:lineRule="exact"/>
        <w:ind w:firstLine="640"/>
        <w:jc w:val="both"/>
        <w:outlineLvl w:val="3"/>
      </w:pPr>
      <w:r>
        <w:rPr>
          <w:rFonts w:ascii="楷体_GB2312" w:hAnsi="楷体_GB2312" w:eastAsia="楷体_GB2312"/>
          <w:b/>
          <w:sz w:val="32"/>
        </w:rPr>
        <w:t>（二）一般公共预算财政拨款支出决算结构情况</w:t>
      </w:r>
    </w:p>
    <w:p w14:paraId="0EEBD5FA">
      <w:pPr>
        <w:spacing w:line="580" w:lineRule="exact"/>
        <w:ind w:firstLine="640"/>
        <w:jc w:val="both"/>
      </w:pPr>
      <w:r>
        <w:rPr>
          <w:rFonts w:ascii="仿宋_GB2312" w:hAnsi="仿宋_GB2312" w:eastAsia="仿宋_GB2312"/>
          <w:b w:val="0"/>
          <w:sz w:val="32"/>
        </w:rPr>
        <w:t>1.一般公共服务支出(类)157.61万元,占74.10%。</w:t>
      </w:r>
    </w:p>
    <w:p w14:paraId="5C7C15F9">
      <w:pPr>
        <w:spacing w:line="580" w:lineRule="exact"/>
        <w:ind w:firstLine="640"/>
        <w:jc w:val="both"/>
      </w:pPr>
      <w:r>
        <w:rPr>
          <w:rFonts w:ascii="仿宋_GB2312" w:hAnsi="仿宋_GB2312" w:eastAsia="仿宋_GB2312"/>
          <w:b w:val="0"/>
          <w:sz w:val="32"/>
        </w:rPr>
        <w:t>2.社会保障和就业支出(类)20.96万元,占9.85%。</w:t>
      </w:r>
    </w:p>
    <w:p w14:paraId="63915595">
      <w:pPr>
        <w:spacing w:line="580" w:lineRule="exact"/>
        <w:ind w:firstLine="640"/>
        <w:jc w:val="both"/>
      </w:pPr>
      <w:r>
        <w:rPr>
          <w:rFonts w:ascii="仿宋_GB2312" w:hAnsi="仿宋_GB2312" w:eastAsia="仿宋_GB2312"/>
          <w:b w:val="0"/>
          <w:sz w:val="32"/>
        </w:rPr>
        <w:t>3.卫生健康支出(类)11.14万元,占5.24%。</w:t>
      </w:r>
    </w:p>
    <w:p w14:paraId="14410876">
      <w:pPr>
        <w:spacing w:line="580" w:lineRule="exact"/>
        <w:ind w:firstLine="640"/>
        <w:jc w:val="both"/>
      </w:pPr>
      <w:r>
        <w:rPr>
          <w:rFonts w:ascii="仿宋_GB2312" w:hAnsi="仿宋_GB2312" w:eastAsia="仿宋_GB2312"/>
          <w:b w:val="0"/>
          <w:sz w:val="32"/>
        </w:rPr>
        <w:t>4.住房保障支出(类)16.11万元,占7.57%。</w:t>
      </w:r>
    </w:p>
    <w:p w14:paraId="243D804F">
      <w:pPr>
        <w:spacing w:line="580" w:lineRule="exact"/>
        <w:ind w:firstLine="640"/>
        <w:jc w:val="both"/>
      </w:pPr>
      <w:r>
        <w:rPr>
          <w:rFonts w:ascii="仿宋_GB2312" w:hAnsi="仿宋_GB2312" w:eastAsia="仿宋_GB2312"/>
          <w:b w:val="0"/>
          <w:sz w:val="32"/>
        </w:rPr>
        <w:t>5.其他支出(类)6.89万元,占3.24%。</w:t>
      </w:r>
    </w:p>
    <w:p w14:paraId="7EA53185">
      <w:pPr>
        <w:spacing w:line="640" w:lineRule="exact"/>
        <w:ind w:firstLine="640"/>
        <w:jc w:val="both"/>
        <w:outlineLvl w:val="3"/>
      </w:pPr>
      <w:r>
        <w:rPr>
          <w:rFonts w:ascii="楷体_GB2312" w:hAnsi="楷体_GB2312" w:eastAsia="楷体_GB2312"/>
          <w:b/>
          <w:sz w:val="32"/>
        </w:rPr>
        <w:t>（三）一般公共预算财政拨款支出决算具体情况</w:t>
      </w:r>
    </w:p>
    <w:p w14:paraId="240CE6E5">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157.61万元，比上年决算减少46.71万元，下降22.86%,主要原因是：一是本年1月调出1人，10月调入1人，相关人员经费较上年减少；二是上年度在职人员医疗缴费、公务员医疗补助、住房公积金上年度在主科目列支，本年单独列支，导致本科目经费减少。</w:t>
      </w:r>
    </w:p>
    <w:p w14:paraId="17E81604">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20.96万元，比上年决算增加0.45万元，增长2.19%,主要原因是：本年在职人员工资基数调增，养老缴费基数上涨，相应支出增加。</w:t>
      </w:r>
    </w:p>
    <w:p w14:paraId="7CF8F17B">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2.58万元，下降100.00%,主要原因是：本年新增辞职调出人员较上年减少，职业年金缴费较上年减少。</w:t>
      </w:r>
    </w:p>
    <w:p w14:paraId="07FEC14B">
      <w:pPr>
        <w:spacing w:line="580" w:lineRule="exact"/>
        <w:ind w:firstLine="640"/>
        <w:jc w:val="both"/>
      </w:pPr>
      <w:r>
        <w:rPr>
          <w:rFonts w:ascii="仿宋_GB2312" w:hAnsi="仿宋_GB2312" w:eastAsia="仿宋_GB2312"/>
          <w:b w:val="0"/>
          <w:sz w:val="32"/>
        </w:rPr>
        <w:t>4.卫生健康支出(类)行政事业单位医疗(款)行政单位医疗(项):支出决算数为8.51万元，比上年决算增加8.51万元，增长100.00%,主要原因是：本年功能科目调整，行政单位医疗上年度在主科目列支，本年单独列支，导致经费较上年增加。</w:t>
      </w:r>
    </w:p>
    <w:p w14:paraId="3D91233F">
      <w:pPr>
        <w:spacing w:line="580" w:lineRule="exact"/>
        <w:ind w:firstLine="640"/>
        <w:jc w:val="both"/>
      </w:pPr>
      <w:r>
        <w:rPr>
          <w:rFonts w:ascii="仿宋_GB2312" w:hAnsi="仿宋_GB2312" w:eastAsia="仿宋_GB2312"/>
          <w:b w:val="0"/>
          <w:sz w:val="32"/>
        </w:rPr>
        <w:t>5.卫生健康支出(类)行政事业单位医疗(款)公务员医疗补助(项):支出决算数为2.63万元，比上年决算增加2.63万元，增长100.00%,主要原因是：本年功能科目调整，公务员医疗补助上年度在主科目列支，本年单独列支，导致经费较上年增加。</w:t>
      </w:r>
    </w:p>
    <w:p w14:paraId="50910AA1">
      <w:pPr>
        <w:spacing w:line="580" w:lineRule="exact"/>
        <w:ind w:firstLine="640"/>
        <w:jc w:val="both"/>
      </w:pPr>
      <w:r>
        <w:rPr>
          <w:rFonts w:ascii="仿宋_GB2312" w:hAnsi="仿宋_GB2312" w:eastAsia="仿宋_GB2312"/>
          <w:b w:val="0"/>
          <w:sz w:val="32"/>
        </w:rPr>
        <w:t>6.住房保障支出(类)住房改革支出(款)住房公积金(项):支出决算数为16.11万元，比上年决算增加16.11万元，增长100.00%,主要原因是：本年功能科目调整，住房公积金上年度在主科目列支，本年单独列支，导致经费较上年增加。</w:t>
      </w:r>
    </w:p>
    <w:p w14:paraId="125B8F52">
      <w:pPr>
        <w:spacing w:line="580" w:lineRule="exact"/>
        <w:ind w:firstLine="640"/>
        <w:jc w:val="both"/>
      </w:pPr>
      <w:r>
        <w:rPr>
          <w:rFonts w:ascii="仿宋_GB2312" w:hAnsi="仿宋_GB2312" w:eastAsia="仿宋_GB2312"/>
          <w:b w:val="0"/>
          <w:sz w:val="32"/>
        </w:rPr>
        <w:t>7.其他支出(类)其他支出(款)其他支出(项):支出决算数为6.89万元，比上年决算增加6.83万元，增长11,383.33%,主要原因是：本单位为民办实事经费较上年增加。</w:t>
      </w:r>
    </w:p>
    <w:p w14:paraId="3404D196">
      <w:pPr>
        <w:spacing w:line="640" w:lineRule="exact"/>
        <w:ind w:firstLine="640"/>
        <w:jc w:val="both"/>
        <w:outlineLvl w:val="2"/>
      </w:pPr>
      <w:r>
        <w:rPr>
          <w:rFonts w:ascii="黑体" w:hAnsi="黑体" w:eastAsia="黑体"/>
          <w:sz w:val="32"/>
        </w:rPr>
        <w:t>六、一般公共预算财政拨款基本支出决算情况说明</w:t>
      </w:r>
    </w:p>
    <w:p w14:paraId="5621C16C">
      <w:pPr>
        <w:spacing w:line="580" w:lineRule="exact"/>
        <w:ind w:firstLine="640"/>
        <w:jc w:val="both"/>
      </w:pPr>
      <w:r>
        <w:rPr>
          <w:rFonts w:ascii="仿宋_GB2312" w:hAnsi="仿宋_GB2312" w:eastAsia="仿宋_GB2312"/>
          <w:b w:val="0"/>
          <w:sz w:val="32"/>
        </w:rPr>
        <w:t>2024年度一般公共预算财政拨款基本支出205.82万元，其中：</w:t>
      </w:r>
      <w:r>
        <w:rPr>
          <w:rFonts w:ascii="仿宋_GB2312" w:hAnsi="仿宋_GB2312" w:eastAsia="仿宋_GB2312"/>
          <w:b/>
          <w:sz w:val="32"/>
        </w:rPr>
        <w:t>人员经费202.83万元，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w:t>
      </w:r>
    </w:p>
    <w:p w14:paraId="2A4ED904">
      <w:pPr>
        <w:spacing w:line="580" w:lineRule="exact"/>
        <w:ind w:firstLine="640"/>
        <w:jc w:val="both"/>
      </w:pPr>
      <w:r>
        <w:rPr>
          <w:rFonts w:ascii="仿宋_GB2312" w:hAnsi="仿宋_GB2312" w:eastAsia="仿宋_GB2312"/>
          <w:b/>
          <w:sz w:val="32"/>
        </w:rPr>
        <w:t>公用经费2.99万元，</w:t>
      </w:r>
      <w:r>
        <w:rPr>
          <w:rFonts w:ascii="仿宋_GB2312" w:hAnsi="仿宋_GB2312" w:eastAsia="仿宋_GB2312"/>
          <w:b w:val="0"/>
          <w:sz w:val="32"/>
        </w:rPr>
        <w:t>包括：办公费、邮电费、差旅费、工会经费。</w:t>
      </w:r>
    </w:p>
    <w:p w14:paraId="3A3E6EAD">
      <w:pPr>
        <w:spacing w:line="640" w:lineRule="exact"/>
        <w:ind w:firstLine="640"/>
        <w:jc w:val="both"/>
        <w:outlineLvl w:val="2"/>
      </w:pPr>
      <w:r>
        <w:rPr>
          <w:rFonts w:ascii="黑体" w:hAnsi="黑体" w:eastAsia="黑体"/>
          <w:sz w:val="32"/>
        </w:rPr>
        <w:t>七、政府性基金预算财政拨款收入支出决算情况说明</w:t>
      </w:r>
    </w:p>
    <w:p w14:paraId="269033F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00E36FE">
      <w:pPr>
        <w:spacing w:line="640" w:lineRule="exact"/>
        <w:ind w:firstLine="640"/>
        <w:jc w:val="both"/>
        <w:outlineLvl w:val="2"/>
      </w:pPr>
      <w:r>
        <w:rPr>
          <w:rFonts w:ascii="黑体" w:hAnsi="黑体" w:eastAsia="黑体"/>
          <w:sz w:val="32"/>
        </w:rPr>
        <w:t>八、国有资本经营预算财政拨款收入支出决算情况说明</w:t>
      </w:r>
    </w:p>
    <w:p w14:paraId="7BCB8A6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A664619">
      <w:pPr>
        <w:spacing w:line="640" w:lineRule="exact"/>
        <w:ind w:firstLine="640"/>
        <w:jc w:val="both"/>
        <w:outlineLvl w:val="2"/>
      </w:pPr>
      <w:r>
        <w:rPr>
          <w:rFonts w:ascii="黑体" w:hAnsi="黑体" w:eastAsia="黑体"/>
          <w:sz w:val="32"/>
        </w:rPr>
        <w:t>九、财政拨款“三公”经费支出决算情况说明</w:t>
      </w:r>
    </w:p>
    <w:p w14:paraId="528580F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0.68万元，下降100.00%，主要原因是：本单位公务用车报废，本年无公务用车运行维护费。其中：因公出国（境）费支出0.00万元，占0.00%，比上年增加0.00万元，增长0.00%，主要原因是：2023年与2024年均未安排因公出国（境）费支出。公务用车购置及运行维护费支出0.00万元，占0.00%，比上年减少0.68万元，下降100.00%，主要原因是：本单位公务用车报废，本年无公务用车运行维护费。公务接待费支出0.00万元，占0.00%，比上年增加0.00万元，增长0.00%，主要原因是：2023年与2024年均未安排公务接待费支出。</w:t>
      </w:r>
    </w:p>
    <w:p w14:paraId="2BD520D6">
      <w:pPr>
        <w:spacing w:line="580" w:lineRule="exact"/>
        <w:ind w:firstLine="640"/>
        <w:jc w:val="both"/>
      </w:pPr>
      <w:r>
        <w:rPr>
          <w:rFonts w:ascii="仿宋_GB2312" w:hAnsi="仿宋_GB2312" w:eastAsia="仿宋_GB2312"/>
          <w:b/>
          <w:sz w:val="32"/>
        </w:rPr>
        <w:t>具体情况如下：</w:t>
      </w:r>
    </w:p>
    <w:p w14:paraId="5FD7347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B5AE66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416A24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DB7030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1BFB74D">
      <w:pPr>
        <w:spacing w:line="640" w:lineRule="exact"/>
        <w:ind w:firstLine="640"/>
        <w:jc w:val="both"/>
        <w:outlineLvl w:val="2"/>
      </w:pPr>
      <w:r>
        <w:rPr>
          <w:rFonts w:ascii="黑体" w:hAnsi="黑体" w:eastAsia="黑体"/>
          <w:sz w:val="32"/>
        </w:rPr>
        <w:t>十、其他重要事项的情况说明</w:t>
      </w:r>
    </w:p>
    <w:p w14:paraId="32C2908B">
      <w:pPr>
        <w:spacing w:line="640" w:lineRule="exact"/>
        <w:ind w:firstLine="640"/>
        <w:jc w:val="both"/>
        <w:outlineLvl w:val="3"/>
      </w:pPr>
      <w:r>
        <w:rPr>
          <w:rFonts w:ascii="楷体_GB2312" w:hAnsi="楷体_GB2312" w:eastAsia="楷体_GB2312"/>
          <w:b/>
          <w:sz w:val="32"/>
        </w:rPr>
        <w:t>（一）机关运行经费及公用经费支出情况</w:t>
      </w:r>
    </w:p>
    <w:p w14:paraId="4FC3EB9E">
      <w:pPr>
        <w:spacing w:line="580" w:lineRule="exact"/>
        <w:ind w:firstLine="640"/>
        <w:jc w:val="both"/>
      </w:pPr>
      <w:r>
        <w:rPr>
          <w:rFonts w:ascii="仿宋_GB2312" w:hAnsi="仿宋_GB2312" w:eastAsia="仿宋_GB2312"/>
          <w:b w:val="0"/>
          <w:sz w:val="32"/>
        </w:rPr>
        <w:t>2024年度中共洛浦县委机构编制委员会办公室（行政单位和参照公务员法管理事业单位）机关运行经费支出2.99万元，比上年增加1.19万元，增长66.11%，主要原因是：本年更新、维护补充办公用品，导致机关运行经费较上年增加。</w:t>
      </w:r>
    </w:p>
    <w:p w14:paraId="4E058304">
      <w:pPr>
        <w:spacing w:line="640" w:lineRule="exact"/>
        <w:ind w:firstLine="640"/>
        <w:jc w:val="both"/>
        <w:outlineLvl w:val="3"/>
      </w:pPr>
      <w:r>
        <w:rPr>
          <w:rFonts w:ascii="楷体_GB2312" w:hAnsi="楷体_GB2312" w:eastAsia="楷体_GB2312"/>
          <w:b/>
          <w:sz w:val="32"/>
        </w:rPr>
        <w:t>（二）政府采购情况</w:t>
      </w:r>
    </w:p>
    <w:p w14:paraId="478F37B6">
      <w:pPr>
        <w:spacing w:line="580" w:lineRule="exact"/>
        <w:ind w:firstLine="640"/>
        <w:jc w:val="both"/>
      </w:pPr>
      <w:r>
        <w:rPr>
          <w:rFonts w:ascii="仿宋_GB2312" w:hAnsi="仿宋_GB2312" w:eastAsia="仿宋_GB2312"/>
          <w:b w:val="0"/>
          <w:sz w:val="32"/>
        </w:rPr>
        <w:t>2024年度政府采购支出总额10.05万元，其中：政府采购货物支出4.98万元、政府采购工程支出3.81万元、政府采购服务支出1.26万元。</w:t>
      </w:r>
    </w:p>
    <w:p w14:paraId="736B4988">
      <w:pPr>
        <w:spacing w:line="580" w:lineRule="exact"/>
        <w:ind w:firstLine="640"/>
        <w:jc w:val="both"/>
      </w:pPr>
      <w:r>
        <w:rPr>
          <w:rFonts w:ascii="仿宋_GB2312" w:hAnsi="仿宋_GB2312" w:eastAsia="仿宋_GB2312"/>
          <w:b w:val="0"/>
          <w:sz w:val="32"/>
        </w:rPr>
        <w:t>授予中小企业合同金额10.05万元，占政府采购支出总额的100.00%，其中：授予小微企业合同金额10.05万元，占政府采购支出总额的100.00%。</w:t>
      </w:r>
    </w:p>
    <w:p w14:paraId="67A973A3">
      <w:pPr>
        <w:spacing w:line="640" w:lineRule="exact"/>
        <w:ind w:firstLine="640"/>
        <w:jc w:val="both"/>
        <w:outlineLvl w:val="3"/>
      </w:pPr>
      <w:r>
        <w:rPr>
          <w:rFonts w:ascii="楷体_GB2312" w:hAnsi="楷体_GB2312" w:eastAsia="楷体_GB2312"/>
          <w:b/>
          <w:sz w:val="32"/>
        </w:rPr>
        <w:t>（三）国有资产占用情况说明</w:t>
      </w:r>
    </w:p>
    <w:p w14:paraId="0E13B3CE">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74C92E7">
      <w:pPr>
        <w:spacing w:line="640" w:lineRule="exact"/>
        <w:ind w:firstLine="640"/>
        <w:jc w:val="both"/>
        <w:outlineLvl w:val="2"/>
      </w:pPr>
      <w:r>
        <w:rPr>
          <w:rFonts w:ascii="黑体" w:hAnsi="黑体" w:eastAsia="黑体"/>
          <w:sz w:val="32"/>
        </w:rPr>
        <w:t>十一、预算绩效的情况说明</w:t>
      </w:r>
    </w:p>
    <w:p w14:paraId="03302A5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根据预算绩效管理要求，本单位2024年度预算绩效管理形成整体支出绩效自评表1个，全年预算总额215.76万元，实际执行总额215.76万元；预算绩效评价项目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w:t>
      </w:r>
      <w:r>
        <w:rPr>
          <w:rFonts w:hint="eastAsia" w:ascii="仿宋_GB2312" w:hAnsi="仿宋_GB2312" w:eastAsia="仿宋_GB2312"/>
          <w:b w:val="0"/>
          <w:sz w:val="32"/>
        </w:rPr>
        <w:t>6.89</w:t>
      </w:r>
      <w:r>
        <w:rPr>
          <w:rFonts w:ascii="仿宋_GB2312" w:hAnsi="仿宋_GB2312" w:eastAsia="仿宋_GB2312"/>
          <w:b w:val="0"/>
          <w:sz w:val="32"/>
        </w:rPr>
        <w:t>万元，全年执行数</w:t>
      </w:r>
      <w:r>
        <w:rPr>
          <w:rFonts w:hint="eastAsia" w:ascii="仿宋_GB2312" w:hAnsi="仿宋_GB2312" w:eastAsia="仿宋_GB2312"/>
          <w:b w:val="0"/>
          <w:sz w:val="32"/>
        </w:rPr>
        <w:t>6.89</w:t>
      </w:r>
      <w:r>
        <w:rPr>
          <w:rFonts w:ascii="仿宋_GB2312" w:hAnsi="仿宋_GB2312" w:eastAsia="仿宋_GB2312"/>
          <w:b w:val="0"/>
          <w:sz w:val="32"/>
        </w:rPr>
        <w:t>万元。预算绩效管理取得的成效：一是提升了单位预算执行效率，通过预算绩效管理，可以</w:t>
      </w:r>
      <w:r>
        <w:rPr>
          <w:rFonts w:hint="eastAsia" w:ascii="仿宋_GB2312" w:hAnsi="仿宋_GB2312" w:eastAsia="仿宋_GB2312"/>
          <w:b w:val="0"/>
          <w:sz w:val="32"/>
          <w:lang w:eastAsia="zh-CN"/>
        </w:rPr>
        <w:t>保证</w:t>
      </w:r>
      <w:r>
        <w:rPr>
          <w:rFonts w:ascii="仿宋_GB2312" w:hAnsi="仿宋_GB2312" w:eastAsia="仿宋_GB2312"/>
          <w:b w:val="0"/>
          <w:sz w:val="32"/>
        </w:rPr>
        <w:t>资金执行过程中准确及时；二是优化了单位资源配置；三是减少了单位实际开支；四是增强了单位干部责任意识，增加了工作能力。发现的问题及原因：如何科学整合全单位绩效目标比较困难；目标设定后如何科学设定考核评价标准，特别是对于不能量化的目标如何评价。下一步改进措施：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具体附整体支出绩效自评表。</w:t>
      </w:r>
    </w:p>
    <w:p w14:paraId="7E84F3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13DA54">
        <w:tblPrEx>
          <w:tblCellMar>
            <w:top w:w="0" w:type="dxa"/>
            <w:left w:w="108" w:type="dxa"/>
            <w:bottom w:w="0" w:type="dxa"/>
            <w:right w:w="108" w:type="dxa"/>
          </w:tblCellMar>
        </w:tblPrEx>
        <w:tc>
          <w:tcPr>
            <w:tcW w:w="8847" w:type="dxa"/>
            <w:gridSpan w:val="9"/>
            <w:vAlign w:val="center"/>
          </w:tcPr>
          <w:p w14:paraId="5E423C82">
            <w:pPr>
              <w:jc w:val="center"/>
            </w:pPr>
            <w:r>
              <w:rPr>
                <w:rFonts w:ascii="宋体" w:hAnsi="宋体" w:eastAsia="宋体"/>
                <w:sz w:val="24"/>
              </w:rPr>
              <w:t>单位整体支出绩效自评表</w:t>
            </w:r>
          </w:p>
        </w:tc>
      </w:tr>
      <w:tr w14:paraId="2A99A196">
        <w:tblPrEx>
          <w:tblCellMar>
            <w:top w:w="0" w:type="dxa"/>
            <w:left w:w="108" w:type="dxa"/>
            <w:bottom w:w="0" w:type="dxa"/>
            <w:right w:w="108" w:type="dxa"/>
          </w:tblCellMar>
        </w:tblPrEx>
        <w:tc>
          <w:tcPr>
            <w:tcW w:w="8847" w:type="dxa"/>
            <w:gridSpan w:val="9"/>
            <w:vAlign w:val="center"/>
          </w:tcPr>
          <w:p w14:paraId="5E74D7B1">
            <w:pPr>
              <w:jc w:val="center"/>
            </w:pPr>
            <w:r>
              <w:rPr>
                <w:rFonts w:ascii="宋体" w:hAnsi="宋体" w:eastAsia="宋体"/>
                <w:sz w:val="24"/>
              </w:rPr>
              <w:t>（2024年度）</w:t>
            </w:r>
          </w:p>
        </w:tc>
      </w:tr>
      <w:tr w14:paraId="2A8A78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4851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4350399">
            <w:pPr>
              <w:jc w:val="center"/>
            </w:pPr>
            <w:r>
              <w:rPr>
                <w:rFonts w:ascii="宋体" w:hAnsi="宋体" w:eastAsia="宋体"/>
                <w:sz w:val="16"/>
              </w:rPr>
              <w:t>中共洛浦县委机构编制委员会办公室</w:t>
            </w:r>
          </w:p>
        </w:tc>
      </w:tr>
      <w:tr w14:paraId="0C4CB5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908EF">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150AF">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A66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149D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4002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5CA5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21E0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1972E">
            <w:pPr>
              <w:jc w:val="center"/>
            </w:pPr>
            <w:r>
              <w:rPr>
                <w:rFonts w:ascii="宋体" w:hAnsi="宋体" w:eastAsia="宋体"/>
                <w:sz w:val="16"/>
              </w:rPr>
              <w:t>得分</w:t>
            </w:r>
          </w:p>
        </w:tc>
      </w:tr>
      <w:tr w14:paraId="5EE8CE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DE4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745CB">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4A156">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85A09">
            <w:pPr>
              <w:jc w:val="center"/>
            </w:pPr>
            <w:r>
              <w:rPr>
                <w:rFonts w:ascii="宋体" w:hAnsi="宋体" w:eastAsia="宋体"/>
                <w:sz w:val="16"/>
              </w:rPr>
              <w:t>19.15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809A1">
            <w:pPr>
              <w:jc w:val="center"/>
            </w:pPr>
            <w:r>
              <w:rPr>
                <w:rFonts w:ascii="宋体" w:hAnsi="宋体" w:eastAsia="宋体"/>
                <w:sz w:val="16"/>
              </w:rPr>
              <w:t>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02365">
            <w:pPr>
              <w:jc w:val="center"/>
            </w:pPr>
            <w:r>
              <w:rPr>
                <w:rFonts w:ascii="宋体" w:hAnsi="宋体" w:eastAsia="宋体"/>
                <w:sz w:val="16"/>
              </w:rPr>
              <w:t>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6FC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978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7D343">
            <w:pPr>
              <w:jc w:val="center"/>
            </w:pPr>
            <w:r>
              <w:rPr>
                <w:rFonts w:ascii="宋体" w:hAnsi="宋体" w:eastAsia="宋体"/>
                <w:sz w:val="16"/>
              </w:rPr>
              <w:t>-</w:t>
            </w:r>
          </w:p>
        </w:tc>
      </w:tr>
      <w:tr w14:paraId="0C408F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804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195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60E1A">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25F75">
            <w:pPr>
              <w:jc w:val="center"/>
            </w:pPr>
            <w:r>
              <w:rPr>
                <w:rFonts w:ascii="宋体" w:hAnsi="宋体" w:eastAsia="宋体"/>
                <w:sz w:val="16"/>
              </w:rPr>
              <w:t>244.12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57B97">
            <w:pPr>
              <w:jc w:val="center"/>
            </w:pPr>
            <w:r>
              <w:rPr>
                <w:rFonts w:ascii="宋体" w:hAnsi="宋体" w:eastAsia="宋体"/>
                <w:sz w:val="16"/>
              </w:rPr>
              <w:t>208.87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25CAC">
            <w:pPr>
              <w:jc w:val="center"/>
            </w:pPr>
            <w:r>
              <w:rPr>
                <w:rFonts w:ascii="宋体" w:hAnsi="宋体" w:eastAsia="宋体"/>
                <w:sz w:val="16"/>
              </w:rPr>
              <w:t>208.87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750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54E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2D8AF">
            <w:pPr>
              <w:jc w:val="center"/>
            </w:pPr>
            <w:r>
              <w:rPr>
                <w:rFonts w:ascii="宋体" w:hAnsi="宋体" w:eastAsia="宋体"/>
                <w:sz w:val="16"/>
              </w:rPr>
              <w:t>-</w:t>
            </w:r>
          </w:p>
        </w:tc>
      </w:tr>
      <w:tr w14:paraId="2E1DC2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F1B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286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4B4A3">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1ED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B35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FF0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BD5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6AC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00351">
            <w:pPr>
              <w:jc w:val="center"/>
            </w:pPr>
            <w:r>
              <w:rPr>
                <w:rFonts w:ascii="宋体" w:hAnsi="宋体" w:eastAsia="宋体"/>
                <w:sz w:val="16"/>
              </w:rPr>
              <w:t>-</w:t>
            </w:r>
          </w:p>
        </w:tc>
      </w:tr>
      <w:tr w14:paraId="6B31F7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CC0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3C3C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4E2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22DF9">
            <w:pPr>
              <w:jc w:val="center"/>
            </w:pPr>
            <w:r>
              <w:rPr>
                <w:rFonts w:ascii="宋体" w:hAnsi="宋体" w:eastAsia="宋体"/>
                <w:sz w:val="16"/>
              </w:rPr>
              <w:t>263.27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200FB">
            <w:pPr>
              <w:jc w:val="center"/>
            </w:pPr>
            <w:r>
              <w:rPr>
                <w:rFonts w:ascii="宋体" w:hAnsi="宋体" w:eastAsia="宋体"/>
                <w:sz w:val="16"/>
              </w:rPr>
              <w:t>215.76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3A540">
            <w:pPr>
              <w:jc w:val="center"/>
            </w:pPr>
            <w:r>
              <w:rPr>
                <w:rFonts w:ascii="宋体" w:hAnsi="宋体" w:eastAsia="宋体"/>
                <w:sz w:val="16"/>
              </w:rPr>
              <w:t>215.76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9B7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DDF2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5F8ED">
            <w:pPr>
              <w:jc w:val="center"/>
            </w:pPr>
            <w:r>
              <w:rPr>
                <w:rFonts w:ascii="宋体" w:hAnsi="宋体" w:eastAsia="宋体"/>
                <w:sz w:val="16"/>
              </w:rPr>
              <w:t>10</w:t>
            </w:r>
          </w:p>
        </w:tc>
      </w:tr>
      <w:tr w14:paraId="28E695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F78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5A27B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3E8877">
            <w:pPr>
              <w:jc w:val="center"/>
            </w:pPr>
            <w:r>
              <w:rPr>
                <w:rFonts w:ascii="宋体" w:hAnsi="宋体" w:eastAsia="宋体"/>
                <w:sz w:val="16"/>
              </w:rPr>
              <w:t>实际完成情况</w:t>
            </w:r>
          </w:p>
        </w:tc>
      </w:tr>
      <w:tr w14:paraId="738625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8EC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E6E8D0">
            <w:pPr>
              <w:jc w:val="both"/>
            </w:pPr>
            <w:r>
              <w:rPr>
                <w:rFonts w:ascii="宋体" w:hAnsi="宋体" w:eastAsia="宋体"/>
                <w:sz w:val="16"/>
              </w:rPr>
              <w:t>主要内容：1.做好178个事业单位登记管理。2.慰问后盾村、包联户1个。3.举办机构编制部门业务培训2次。4.完成35个党政机构改革。做好新时代机构编制工作的一系列重要论述，坚持加强乡村治理能力建设，开展事业单位登记管理工作，加强重点领域</w:t>
            </w:r>
            <w:r>
              <w:rPr>
                <w:rFonts w:hint="eastAsia" w:ascii="宋体" w:hAnsi="宋体"/>
                <w:sz w:val="16"/>
                <w:lang w:eastAsia="zh-CN"/>
              </w:rPr>
              <w:t>体制</w:t>
            </w:r>
            <w:r>
              <w:rPr>
                <w:rFonts w:ascii="宋体" w:hAnsi="宋体" w:eastAsia="宋体"/>
                <w:sz w:val="16"/>
              </w:rPr>
              <w:t>机制改革，稳步推进事业单位改革，规范完善各级组织机构设置与职能配置，深入开展调查研究，加强和改进机关党的建设，持之以恒建强机构编制队伍，举办编制部门业务骨干培训，积极发挥后盾作用，加强对本单位“</w:t>
            </w:r>
            <w:r>
              <w:rPr>
                <w:rFonts w:hint="eastAsia" w:ascii="宋体" w:hAnsi="宋体"/>
                <w:sz w:val="16"/>
                <w:lang w:eastAsia="zh-CN"/>
              </w:rPr>
              <w:t>为民办实事</w:t>
            </w:r>
            <w:r>
              <w:rPr>
                <w:rFonts w:ascii="宋体" w:hAnsi="宋体" w:eastAsia="宋体"/>
                <w:sz w:val="16"/>
              </w:rPr>
              <w:t>”工作指导，加大对</w:t>
            </w:r>
            <w:r>
              <w:rPr>
                <w:rFonts w:hint="eastAsia" w:ascii="宋体" w:hAnsi="宋体"/>
                <w:sz w:val="16"/>
                <w:lang w:eastAsia="zh-CN"/>
              </w:rPr>
              <w:t>为民办实事</w:t>
            </w:r>
            <w:r>
              <w:rPr>
                <w:rFonts w:ascii="宋体" w:hAnsi="宋体" w:eastAsia="宋体"/>
                <w:sz w:val="16"/>
              </w:rPr>
              <w:t>干部、包联户的关心关爱。</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E33840">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178个事业单位登记管理；慰问后盾村、包联户1个；举办机构编制部门业务培训2次；完成35个党政机构改革。做好新时代机构编制工作的一系列重要论述，坚持加强乡村治理能力建设，开展事业单位登记管理工作，加强重点领域</w:t>
            </w:r>
            <w:r>
              <w:rPr>
                <w:rFonts w:hint="eastAsia" w:ascii="宋体" w:hAnsi="宋体"/>
                <w:sz w:val="16"/>
                <w:lang w:eastAsia="zh-CN"/>
              </w:rPr>
              <w:t>体制</w:t>
            </w:r>
            <w:r>
              <w:rPr>
                <w:rFonts w:ascii="宋体" w:hAnsi="宋体" w:eastAsia="宋体"/>
                <w:sz w:val="16"/>
              </w:rPr>
              <w:t>机制改革，稳步推进事业单位改革，规范完善各级组织机构设置与职能配置，深入开展调查研究，加强和改进机关党的建设，持之以恒建强机构编制队伍，举办编制部门业务骨干培训，积极发挥后盾作用，加强对本单位“</w:t>
            </w:r>
            <w:r>
              <w:rPr>
                <w:rFonts w:hint="eastAsia" w:ascii="宋体" w:hAnsi="宋体"/>
                <w:sz w:val="16"/>
                <w:lang w:eastAsia="zh-CN"/>
              </w:rPr>
              <w:t>为民办实事</w:t>
            </w:r>
            <w:r>
              <w:rPr>
                <w:rFonts w:ascii="宋体" w:hAnsi="宋体" w:eastAsia="宋体"/>
                <w:sz w:val="16"/>
              </w:rPr>
              <w:t>”工作指导，加大对</w:t>
            </w:r>
            <w:r>
              <w:rPr>
                <w:rFonts w:hint="eastAsia" w:ascii="宋体" w:hAnsi="宋体"/>
                <w:sz w:val="16"/>
                <w:lang w:eastAsia="zh-CN"/>
              </w:rPr>
              <w:t>为民办实事</w:t>
            </w:r>
            <w:r>
              <w:rPr>
                <w:rFonts w:ascii="宋体" w:hAnsi="宋体" w:eastAsia="宋体"/>
                <w:sz w:val="16"/>
              </w:rPr>
              <w:t>干部、包联户的关心关爱。</w:t>
            </w:r>
          </w:p>
        </w:tc>
      </w:tr>
      <w:tr w14:paraId="095743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751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2FACB">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6779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BF27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2267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8E55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4BAC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BCFE1">
            <w:pPr>
              <w:jc w:val="center"/>
            </w:pPr>
            <w:r>
              <w:rPr>
                <w:rFonts w:ascii="宋体" w:hAnsi="宋体" w:eastAsia="宋体"/>
                <w:sz w:val="16"/>
              </w:rPr>
              <w:t>得分</w:t>
            </w:r>
          </w:p>
        </w:tc>
      </w:tr>
      <w:tr w14:paraId="2F2113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FBD0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3A381">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2AFE7">
            <w:pPr>
              <w:jc w:val="center"/>
            </w:pPr>
            <w:r>
              <w:rPr>
                <w:rFonts w:ascii="宋体" w:hAnsi="宋体" w:eastAsia="宋体"/>
                <w:sz w:val="16"/>
              </w:rPr>
              <w:t>做好事业单位登记管理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68376">
            <w:pPr>
              <w:jc w:val="center"/>
            </w:pPr>
            <w:r>
              <w:rPr>
                <w:rFonts w:ascii="宋体" w:hAnsi="宋体" w:eastAsia="宋体"/>
                <w:sz w:val="16"/>
              </w:rPr>
              <w:t>&gt;=178个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52A1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D950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27D84">
            <w:pPr>
              <w:jc w:val="center"/>
            </w:pPr>
            <w:r>
              <w:rPr>
                <w:rFonts w:ascii="宋体" w:hAnsi="宋体" w:eastAsia="宋体"/>
                <w:sz w:val="16"/>
              </w:rPr>
              <w:t>178个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51A02">
            <w:pPr>
              <w:jc w:val="center"/>
            </w:pPr>
            <w:r>
              <w:rPr>
                <w:rFonts w:ascii="宋体" w:hAnsi="宋体" w:eastAsia="宋体"/>
                <w:sz w:val="16"/>
              </w:rPr>
              <w:t>30</w:t>
            </w:r>
          </w:p>
        </w:tc>
      </w:tr>
      <w:tr w14:paraId="36DC69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062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F4A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7E2DE">
            <w:pPr>
              <w:jc w:val="center"/>
            </w:pPr>
            <w:r>
              <w:rPr>
                <w:rFonts w:ascii="宋体" w:hAnsi="宋体" w:eastAsia="宋体"/>
                <w:sz w:val="16"/>
              </w:rPr>
              <w:t>慰问后盾村、包联户次数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1BB66">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739C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369C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19C2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44BB4">
            <w:pPr>
              <w:jc w:val="center"/>
            </w:pPr>
            <w:r>
              <w:rPr>
                <w:rFonts w:ascii="宋体" w:hAnsi="宋体" w:eastAsia="宋体"/>
                <w:sz w:val="16"/>
              </w:rPr>
              <w:t>20</w:t>
            </w:r>
          </w:p>
        </w:tc>
      </w:tr>
      <w:tr w14:paraId="264143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C95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A52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476D">
            <w:pPr>
              <w:jc w:val="center"/>
            </w:pPr>
            <w:r>
              <w:rPr>
                <w:rFonts w:ascii="宋体" w:hAnsi="宋体" w:eastAsia="宋体"/>
                <w:sz w:val="16"/>
              </w:rPr>
              <w:t>举办机构编制部门业务培训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F60B1">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47E4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C4E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7A825">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1504E">
            <w:pPr>
              <w:jc w:val="center"/>
            </w:pPr>
            <w:r>
              <w:rPr>
                <w:rFonts w:ascii="宋体" w:hAnsi="宋体" w:eastAsia="宋体"/>
                <w:sz w:val="16"/>
              </w:rPr>
              <w:t>5</w:t>
            </w:r>
          </w:p>
        </w:tc>
      </w:tr>
      <w:tr w14:paraId="46595E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345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F3B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BE302">
            <w:pPr>
              <w:jc w:val="center"/>
            </w:pPr>
            <w:r>
              <w:rPr>
                <w:rFonts w:ascii="宋体" w:hAnsi="宋体" w:eastAsia="宋体"/>
                <w:sz w:val="16"/>
              </w:rPr>
              <w:t>完成党政机构改革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40FB4">
            <w:pPr>
              <w:jc w:val="center"/>
            </w:pPr>
            <w:r>
              <w:rPr>
                <w:rFonts w:ascii="宋体" w:hAnsi="宋体" w:eastAsia="宋体"/>
                <w:sz w:val="16"/>
              </w:rPr>
              <w:t>&gt;=35个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B491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4A820">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0595D">
            <w:pPr>
              <w:jc w:val="center"/>
            </w:pPr>
            <w:r>
              <w:rPr>
                <w:rFonts w:ascii="宋体" w:hAnsi="宋体" w:eastAsia="宋体"/>
                <w:sz w:val="16"/>
              </w:rPr>
              <w:t>35个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32667">
            <w:pPr>
              <w:jc w:val="center"/>
            </w:pPr>
            <w:r>
              <w:rPr>
                <w:rFonts w:ascii="宋体" w:hAnsi="宋体" w:eastAsia="宋体"/>
                <w:sz w:val="16"/>
              </w:rPr>
              <w:t>30</w:t>
            </w:r>
          </w:p>
        </w:tc>
      </w:tr>
    </w:tbl>
    <w:p w14:paraId="367E0107">
      <w:r>
        <w:br w:type="page"/>
      </w:r>
    </w:p>
    <w:p w14:paraId="592E22E8">
      <w:pPr>
        <w:spacing w:line="640" w:lineRule="exact"/>
        <w:ind w:firstLine="640"/>
        <w:jc w:val="both"/>
        <w:outlineLvl w:val="2"/>
      </w:pPr>
      <w:r>
        <w:rPr>
          <w:rFonts w:ascii="黑体" w:hAnsi="黑体" w:eastAsia="黑体"/>
          <w:sz w:val="32"/>
        </w:rPr>
        <w:t>十二、其他需说明的事项</w:t>
      </w:r>
    </w:p>
    <w:p w14:paraId="38314070">
      <w:pPr>
        <w:spacing w:line="580" w:lineRule="exact"/>
        <w:ind w:firstLine="640"/>
        <w:jc w:val="both"/>
      </w:pPr>
      <w:r>
        <w:rPr>
          <w:rFonts w:ascii="仿宋_GB2312" w:hAnsi="仿宋_GB2312" w:eastAsia="仿宋_GB2312"/>
          <w:b w:val="0"/>
          <w:sz w:val="32"/>
        </w:rPr>
        <w:t>本年本单位SM项目1个，全年预算数6.89万元，全年执行数6.89万元。</w:t>
      </w:r>
    </w:p>
    <w:p w14:paraId="7A08FB80">
      <w:r>
        <w:br w:type="page"/>
      </w:r>
    </w:p>
    <w:p w14:paraId="40581A35">
      <w:pPr>
        <w:spacing w:line="240" w:lineRule="auto"/>
        <w:jc w:val="center"/>
        <w:outlineLvl w:val="1"/>
      </w:pPr>
      <w:r>
        <w:rPr>
          <w:rFonts w:ascii="黑体" w:hAnsi="黑体" w:eastAsia="黑体"/>
          <w:sz w:val="32"/>
        </w:rPr>
        <w:t>第三部分 专业名词解释</w:t>
      </w:r>
    </w:p>
    <w:p w14:paraId="7D3ADD3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B629FE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FB01E1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A466AB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D38F51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7169F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DC630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52E8C7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4D8C0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EA75D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FCBE08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28BDC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34603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DF192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3EE71E8">
      <w:r>
        <w:br w:type="page"/>
      </w:r>
    </w:p>
    <w:p w14:paraId="3EAB4CB3">
      <w:pPr>
        <w:spacing w:line="240" w:lineRule="auto"/>
        <w:jc w:val="center"/>
        <w:outlineLvl w:val="1"/>
      </w:pPr>
      <w:r>
        <w:rPr>
          <w:rFonts w:ascii="黑体" w:hAnsi="黑体" w:eastAsia="黑体"/>
          <w:sz w:val="32"/>
        </w:rPr>
        <w:t>第四部分 部门决算报表（见附表）</w:t>
      </w:r>
    </w:p>
    <w:p w14:paraId="37E29D79">
      <w:pPr>
        <w:spacing w:line="240" w:lineRule="auto"/>
        <w:ind w:firstLine="640"/>
        <w:jc w:val="both"/>
      </w:pPr>
      <w:r>
        <w:rPr>
          <w:rFonts w:ascii="仿宋_GB2312" w:hAnsi="仿宋_GB2312" w:eastAsia="仿宋_GB2312"/>
          <w:b w:val="0"/>
          <w:sz w:val="32"/>
        </w:rPr>
        <w:t>一、《收入支出决算总表》</w:t>
      </w:r>
    </w:p>
    <w:p w14:paraId="5B7F4CE2">
      <w:pPr>
        <w:spacing w:line="240" w:lineRule="auto"/>
        <w:ind w:firstLine="640"/>
        <w:jc w:val="both"/>
      </w:pPr>
      <w:r>
        <w:rPr>
          <w:rFonts w:ascii="仿宋_GB2312" w:hAnsi="仿宋_GB2312" w:eastAsia="仿宋_GB2312"/>
          <w:b w:val="0"/>
          <w:sz w:val="32"/>
        </w:rPr>
        <w:t>二、《收入决算表》</w:t>
      </w:r>
    </w:p>
    <w:p w14:paraId="703412EB">
      <w:pPr>
        <w:spacing w:line="240" w:lineRule="auto"/>
        <w:ind w:firstLine="640"/>
        <w:jc w:val="both"/>
      </w:pPr>
      <w:r>
        <w:rPr>
          <w:rFonts w:ascii="仿宋_GB2312" w:hAnsi="仿宋_GB2312" w:eastAsia="仿宋_GB2312"/>
          <w:b w:val="0"/>
          <w:sz w:val="32"/>
        </w:rPr>
        <w:t>三、《支出决算表》</w:t>
      </w:r>
    </w:p>
    <w:p w14:paraId="29B38A4B">
      <w:pPr>
        <w:spacing w:line="240" w:lineRule="auto"/>
        <w:ind w:firstLine="640"/>
        <w:jc w:val="both"/>
      </w:pPr>
      <w:r>
        <w:rPr>
          <w:rFonts w:ascii="仿宋_GB2312" w:hAnsi="仿宋_GB2312" w:eastAsia="仿宋_GB2312"/>
          <w:b w:val="0"/>
          <w:sz w:val="32"/>
        </w:rPr>
        <w:t>四、《财政拨款收入支出决算总表》</w:t>
      </w:r>
    </w:p>
    <w:p w14:paraId="2D50E4E2">
      <w:pPr>
        <w:spacing w:line="240" w:lineRule="auto"/>
        <w:ind w:firstLine="640"/>
        <w:jc w:val="both"/>
      </w:pPr>
      <w:r>
        <w:rPr>
          <w:rFonts w:ascii="仿宋_GB2312" w:hAnsi="仿宋_GB2312" w:eastAsia="仿宋_GB2312"/>
          <w:b w:val="0"/>
          <w:sz w:val="32"/>
        </w:rPr>
        <w:t>五、《一般公共预算财政拨款支出决算表》</w:t>
      </w:r>
    </w:p>
    <w:p w14:paraId="4B03969E">
      <w:pPr>
        <w:spacing w:line="240" w:lineRule="auto"/>
        <w:ind w:firstLine="640"/>
        <w:jc w:val="both"/>
      </w:pPr>
      <w:r>
        <w:rPr>
          <w:rFonts w:ascii="仿宋_GB2312" w:hAnsi="仿宋_GB2312" w:eastAsia="仿宋_GB2312"/>
          <w:b w:val="0"/>
          <w:sz w:val="32"/>
        </w:rPr>
        <w:t>六、《一般公共预算财政拨款基本支出决算表》</w:t>
      </w:r>
    </w:p>
    <w:p w14:paraId="35ABCD51">
      <w:pPr>
        <w:spacing w:line="240" w:lineRule="auto"/>
        <w:ind w:firstLine="640"/>
        <w:jc w:val="both"/>
      </w:pPr>
      <w:r>
        <w:rPr>
          <w:rFonts w:ascii="仿宋_GB2312" w:hAnsi="仿宋_GB2312" w:eastAsia="仿宋_GB2312"/>
          <w:b w:val="0"/>
          <w:sz w:val="32"/>
        </w:rPr>
        <w:t>七、《政府性基金预算财政拨款收入支出决算表》</w:t>
      </w:r>
    </w:p>
    <w:p w14:paraId="4AB4200A">
      <w:pPr>
        <w:spacing w:line="240" w:lineRule="auto"/>
        <w:ind w:firstLine="640"/>
        <w:jc w:val="both"/>
      </w:pPr>
      <w:r>
        <w:rPr>
          <w:rFonts w:ascii="仿宋_GB2312" w:hAnsi="仿宋_GB2312" w:eastAsia="仿宋_GB2312"/>
          <w:b w:val="0"/>
          <w:sz w:val="32"/>
        </w:rPr>
        <w:t>八、《国有资本经营预算财政拨款收入支出决算表》</w:t>
      </w:r>
    </w:p>
    <w:p w14:paraId="5AEC804F">
      <w:pPr>
        <w:spacing w:line="240" w:lineRule="auto"/>
        <w:ind w:firstLine="640"/>
        <w:jc w:val="both"/>
      </w:pPr>
      <w:r>
        <w:rPr>
          <w:rFonts w:ascii="仿宋_GB2312" w:hAnsi="仿宋_GB2312" w:eastAsia="仿宋_GB2312"/>
          <w:b w:val="0"/>
          <w:sz w:val="32"/>
        </w:rPr>
        <w:t>九、《财政拨款“三公”经费支出决算表》</w:t>
      </w:r>
    </w:p>
    <w:p w14:paraId="5E14802B">
      <w:pPr>
        <w:spacing w:line="240" w:lineRule="auto"/>
        <w:ind w:firstLine="640"/>
        <w:jc w:val="both"/>
      </w:pPr>
    </w:p>
    <w:p w14:paraId="54CACBC0">
      <w:pPr>
        <w:spacing w:line="240" w:lineRule="auto"/>
        <w:ind w:firstLine="640"/>
        <w:jc w:val="both"/>
      </w:pPr>
    </w:p>
    <w:p w14:paraId="634611DA">
      <w:pPr>
        <w:spacing w:line="240" w:lineRule="auto"/>
        <w:ind w:firstLine="640"/>
        <w:jc w:val="both"/>
      </w:pPr>
    </w:p>
    <w:p w14:paraId="716AAF93">
      <w:pPr>
        <w:spacing w:line="240" w:lineRule="auto"/>
        <w:ind w:firstLine="640"/>
        <w:jc w:val="both"/>
      </w:pPr>
    </w:p>
    <w:p w14:paraId="4F2327A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6C4B5F4-86D6-4373-BBEC-975404A0213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1953DD0-174A-4FC1-BB30-D5114EB209F4}"/>
  </w:font>
  <w:font w:name="仿宋_GB2312">
    <w:panose1 w:val="02010609030101010101"/>
    <w:charset w:val="86"/>
    <w:family w:val="modern"/>
    <w:pitch w:val="default"/>
    <w:sig w:usb0="00000001" w:usb1="080E0000" w:usb2="00000000" w:usb3="00000000" w:csb0="00040000" w:csb1="00000000"/>
    <w:embedRegular r:id="rId3" w:fontKey="{3CC33139-B3B7-4450-9413-BB6F60E60E84}"/>
  </w:font>
  <w:font w:name="楷体_GB2312">
    <w:panose1 w:val="02010609030101010101"/>
    <w:charset w:val="86"/>
    <w:family w:val="auto"/>
    <w:pitch w:val="default"/>
    <w:sig w:usb0="00000001" w:usb1="080E0000" w:usb2="00000000" w:usb3="00000000" w:csb0="00040000" w:csb1="00000000"/>
    <w:embedRegular r:id="rId4" w:fontKey="{8776FF5F-EE91-4A11-A1B1-CAF1D730CAA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7334D5"/>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216444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2255</Words>
  <Characters>2463</Characters>
  <Lines>0</Lines>
  <Paragraphs>0</Paragraphs>
  <TotalTime>6</TotalTime>
  <ScaleCrop>false</ScaleCrop>
  <LinksUpToDate>false</LinksUpToDate>
  <CharactersWithSpaces>2471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2025-09-18T04:19:51Z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