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中共洛浦县委政法委员会2024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51A1669">
      <w:r>
        <w:br w:type="page"/>
      </w:r>
    </w:p>
    <w:p w14:paraId="7923FBB8">
      <w:pPr>
        <w:spacing w:line="640" w:lineRule="exact"/>
        <w:jc w:val="center"/>
        <w:outlineLvl w:val="1"/>
      </w:pPr>
      <w:r>
        <w:rPr>
          <w:rFonts w:ascii="黑体" w:hAnsi="黑体" w:eastAsia="黑体"/>
          <w:sz w:val="32"/>
        </w:rPr>
        <w:t>第一部分 单位概况</w:t>
      </w:r>
    </w:p>
    <w:p w14:paraId="64E36401">
      <w:pPr>
        <w:spacing w:line="640" w:lineRule="exact"/>
        <w:ind w:firstLine="640"/>
        <w:jc w:val="both"/>
        <w:outlineLvl w:val="2"/>
      </w:pPr>
      <w:r>
        <w:rPr>
          <w:rFonts w:ascii="黑体" w:hAnsi="黑体" w:eastAsia="黑体"/>
          <w:sz w:val="32"/>
        </w:rPr>
        <w:t>一、主要职能</w:t>
      </w:r>
    </w:p>
    <w:p w14:paraId="1AA5ECA7">
      <w:pPr>
        <w:spacing w:line="580" w:lineRule="exact"/>
        <w:ind w:firstLine="640"/>
        <w:jc w:val="both"/>
      </w:pPr>
      <w:r>
        <w:rPr>
          <w:rFonts w:hint="eastAsia" w:ascii="仿宋_GB2312" w:hAnsi="仿宋_GB2312" w:eastAsia="仿宋_GB2312"/>
          <w:sz w:val="32"/>
          <w:lang w:val="en-US" w:eastAsia="zh-CN"/>
        </w:rPr>
        <w:t>1.</w:t>
      </w:r>
      <w:r>
        <w:rPr>
          <w:rFonts w:ascii="仿宋_GB2312" w:hAnsi="仿宋_GB2312" w:eastAsia="仿宋_GB2312"/>
          <w:sz w:val="32"/>
        </w:rPr>
        <w:t>中共洛浦县委政法委员会主要职能：贯彻落实中央和省、市委有关政法工作、政法干部队伍建设和社会治安综合治理工作的方针、政策、指示，根据上级政法委员会、社会治安综合治理委员会和县委、县政府的部署，指导政法各部门和综合治理成员单位的工作。围绕县委、县政府改革和发展的中心工作，对一定时期内的政法工作和社会治安综合治理工作作出部署，并督促贯彻落实；参与依法治县方针的实施、组织、协调、指导维护社会稳定工作，督促有关部门抓好落实。</w:t>
      </w:r>
    </w:p>
    <w:p w14:paraId="4B784E73">
      <w:pPr>
        <w:spacing w:line="580" w:lineRule="exact"/>
        <w:ind w:firstLine="640"/>
        <w:jc w:val="both"/>
      </w:pPr>
      <w:r>
        <w:rPr>
          <w:rFonts w:hint="eastAsia" w:ascii="仿宋_GB2312" w:hAnsi="仿宋_GB2312" w:eastAsia="仿宋_GB2312"/>
          <w:sz w:val="32"/>
          <w:lang w:val="en-US" w:eastAsia="zh-CN"/>
        </w:rPr>
        <w:t>2.</w:t>
      </w:r>
      <w:r>
        <w:rPr>
          <w:rFonts w:ascii="仿宋_GB2312" w:hAnsi="仿宋_GB2312" w:eastAsia="仿宋_GB2312"/>
          <w:sz w:val="32"/>
        </w:rPr>
        <w:t>洛浦县流动人口服务中心主要职能：具体负责指导和督促各乡镇、各相关单位做好流动人口服务工作；及时掌握动态信息，定期进行数据分析和数据统计，做好流动人口服务的基础工作，为流动人口提出建议；负责指导和督促各相关单位开展流动人口法治宣传、子女教育等工作，维护流动人口合法权益。</w:t>
      </w:r>
    </w:p>
    <w:p w14:paraId="257581A5">
      <w:pPr>
        <w:spacing w:line="580" w:lineRule="exact"/>
        <w:ind w:firstLine="640"/>
        <w:jc w:val="both"/>
      </w:pPr>
      <w:r>
        <w:rPr>
          <w:rFonts w:hint="eastAsia" w:ascii="仿宋_GB2312" w:hAnsi="仿宋_GB2312" w:eastAsia="仿宋_GB2312"/>
          <w:sz w:val="32"/>
          <w:lang w:val="en-US" w:eastAsia="zh-CN"/>
        </w:rPr>
        <w:t>3.</w:t>
      </w:r>
      <w:r>
        <w:rPr>
          <w:rFonts w:ascii="仿宋_GB2312" w:hAnsi="仿宋_GB2312" w:eastAsia="仿宋_GB2312"/>
          <w:sz w:val="32"/>
        </w:rPr>
        <w:t>洛浦县网格化服务管理中心主要职能：社会治安分析研判，通过定期排查、街面巡查、入户走访等全面排查辖区内各类矛盾纠纷，第一时间予以化解处置，积极协调有关组织和职能部门开展调处；平安创建组织发动。组织开展政策</w:t>
      </w:r>
      <w:r>
        <w:rPr>
          <w:rFonts w:hint="eastAsia" w:ascii="仿宋_GB2312" w:hAnsi="仿宋_GB2312" w:eastAsia="仿宋_GB2312"/>
          <w:sz w:val="32"/>
          <w:lang w:eastAsia="zh-CN"/>
        </w:rPr>
        <w:t>法治宣传教育</w:t>
      </w:r>
      <w:r>
        <w:rPr>
          <w:rFonts w:ascii="仿宋_GB2312" w:hAnsi="仿宋_GB2312" w:eastAsia="仿宋_GB2312"/>
          <w:sz w:val="32"/>
        </w:rPr>
        <w:t>，发动辖区群众积极参与</w:t>
      </w:r>
      <w:r>
        <w:rPr>
          <w:rFonts w:hint="eastAsia" w:ascii="仿宋_GB2312" w:hAnsi="仿宋_GB2312" w:eastAsia="仿宋_GB2312"/>
          <w:sz w:val="32"/>
          <w:lang w:eastAsia="zh-CN"/>
        </w:rPr>
        <w:t>投</w:t>
      </w:r>
      <w:r>
        <w:rPr>
          <w:rFonts w:ascii="仿宋_GB2312" w:hAnsi="仿宋_GB2312" w:eastAsia="仿宋_GB2312"/>
          <w:sz w:val="32"/>
        </w:rPr>
        <w:t>票；平安创建活动，对辖区群众提供社会化服务；社会</w:t>
      </w:r>
      <w:r>
        <w:rPr>
          <w:rFonts w:hint="eastAsia" w:ascii="仿宋_GB2312" w:hAnsi="仿宋_GB2312" w:eastAsia="仿宋_GB2312"/>
          <w:sz w:val="32"/>
          <w:lang w:eastAsia="zh-CN"/>
        </w:rPr>
        <w:t>心理</w:t>
      </w:r>
      <w:r>
        <w:rPr>
          <w:rFonts w:ascii="仿宋_GB2312" w:hAnsi="仿宋_GB2312" w:eastAsia="仿宋_GB2312"/>
          <w:sz w:val="32"/>
        </w:rPr>
        <w:t>疏导服务。及时掌握辖区居民的心理健康状况，对矛盾突出、生活失意、心态失衡、行为失常人群进行人文关怀和帮扶。</w:t>
      </w:r>
    </w:p>
    <w:p w14:paraId="337C4462">
      <w:pPr>
        <w:spacing w:line="580" w:lineRule="exact"/>
        <w:ind w:firstLine="640"/>
        <w:jc w:val="both"/>
      </w:pPr>
      <w:r>
        <w:rPr>
          <w:rFonts w:hint="eastAsia" w:ascii="仿宋_GB2312" w:hAnsi="仿宋_GB2312" w:eastAsia="仿宋_GB2312"/>
          <w:sz w:val="32"/>
          <w:lang w:val="en-US" w:eastAsia="zh-CN"/>
        </w:rPr>
        <w:t>4.</w:t>
      </w:r>
      <w:r>
        <w:rPr>
          <w:rFonts w:ascii="仿宋_GB2312" w:hAnsi="仿宋_GB2312" w:eastAsia="仿宋_GB2312"/>
          <w:sz w:val="32"/>
        </w:rPr>
        <w:t>洛浦县维稳指挥中心主要职能：通过网络视频调度系统对突发处置事件预警处理，调度、巡视乡村两级维稳指挥部并负责系统的维护工作，对乡村两级维稳指挥部工作人员进行业务培训。充分发挥技防设施的作用，对县域监控进行视频巡逻，负责下发上级部门推送</w:t>
      </w:r>
      <w:r>
        <w:rPr>
          <w:rFonts w:hint="eastAsia" w:ascii="仿宋_GB2312" w:hAnsi="仿宋_GB2312" w:eastAsia="仿宋_GB2312"/>
          <w:sz w:val="32"/>
          <w:lang w:eastAsia="zh-CN"/>
        </w:rPr>
        <w:t>的</w:t>
      </w:r>
      <w:r>
        <w:rPr>
          <w:rFonts w:ascii="仿宋_GB2312" w:hAnsi="仿宋_GB2312" w:eastAsia="仿宋_GB2312"/>
          <w:sz w:val="32"/>
        </w:rPr>
        <w:t>线索并督促核实；协同相关部门处置重大紧急事件、突发事件；协同相关部门对物流物品进行监管；协调相关部门处理矛盾纠纷调解工作；负责对“9+X”系统的运行维护工作，并协调和督促各相关单位数据采集录入工作。</w:t>
      </w:r>
    </w:p>
    <w:p w14:paraId="5B6F9344">
      <w:pPr>
        <w:spacing w:line="640" w:lineRule="exact"/>
        <w:ind w:firstLine="640"/>
        <w:jc w:val="both"/>
        <w:outlineLvl w:val="2"/>
      </w:pPr>
      <w:r>
        <w:rPr>
          <w:rFonts w:ascii="黑体" w:hAnsi="黑体" w:eastAsia="黑体"/>
          <w:sz w:val="32"/>
        </w:rPr>
        <w:t>二、机构设置及人员情况</w:t>
      </w:r>
    </w:p>
    <w:p w14:paraId="2B1A6E98">
      <w:pPr>
        <w:spacing w:line="580" w:lineRule="exact"/>
        <w:ind w:firstLine="640"/>
        <w:jc w:val="both"/>
      </w:pPr>
      <w:r>
        <w:rPr>
          <w:rFonts w:ascii="仿宋_GB2312" w:hAnsi="仿宋_GB2312" w:eastAsia="仿宋_GB2312"/>
          <w:sz w:val="32"/>
        </w:rPr>
        <w:t>中共洛浦县委政法委员会2024年度，实有人数36人，其中：在职人员29人，减少4人；离休人员0人，增加0人；退休人员7人,增加1人。</w:t>
      </w:r>
    </w:p>
    <w:p w14:paraId="419A1A32">
      <w:pPr>
        <w:spacing w:line="580" w:lineRule="exact"/>
        <w:ind w:firstLine="640"/>
        <w:jc w:val="both"/>
      </w:pPr>
      <w:r>
        <w:rPr>
          <w:rFonts w:ascii="仿宋_GB2312" w:hAnsi="仿宋_GB2312" w:eastAsia="仿宋_GB2312"/>
          <w:sz w:val="32"/>
        </w:rPr>
        <w:t>中共洛浦县委政法委员会无下属预算单位，下设6个科室，分别是：办公室、维稳科室、社会督促、财务室、副书记办公室、书记办公室。</w:t>
      </w:r>
    </w:p>
    <w:p w14:paraId="6D502CD8">
      <w:r>
        <w:br w:type="page"/>
      </w:r>
    </w:p>
    <w:p w14:paraId="31591E4E">
      <w:pPr>
        <w:spacing w:line="240" w:lineRule="auto"/>
        <w:jc w:val="center"/>
        <w:outlineLvl w:val="1"/>
      </w:pPr>
      <w:r>
        <w:rPr>
          <w:rFonts w:ascii="黑体" w:hAnsi="黑体" w:eastAsia="黑体"/>
          <w:sz w:val="32"/>
        </w:rPr>
        <w:t>第二部分 部门决算情况说明</w:t>
      </w:r>
    </w:p>
    <w:p w14:paraId="0AB9FD49">
      <w:pPr>
        <w:spacing w:line="640" w:lineRule="exact"/>
        <w:ind w:firstLine="640"/>
        <w:jc w:val="both"/>
        <w:outlineLvl w:val="2"/>
      </w:pPr>
      <w:r>
        <w:rPr>
          <w:rFonts w:ascii="黑体" w:hAnsi="黑体" w:eastAsia="黑体"/>
          <w:sz w:val="32"/>
        </w:rPr>
        <w:t>一、收入支出决算总体情况说明</w:t>
      </w:r>
    </w:p>
    <w:p w14:paraId="7061CBB0">
      <w:pPr>
        <w:spacing w:line="580" w:lineRule="exact"/>
        <w:ind w:firstLine="640"/>
        <w:jc w:val="both"/>
      </w:pPr>
      <w:r>
        <w:rPr>
          <w:rFonts w:ascii="仿宋_GB2312" w:hAnsi="仿宋_GB2312" w:eastAsia="仿宋_GB2312"/>
          <w:b/>
          <w:sz w:val="32"/>
        </w:rPr>
        <w:t>2024年度收入总计736.10万元，</w:t>
      </w:r>
      <w:r>
        <w:rPr>
          <w:rFonts w:ascii="仿宋_GB2312" w:hAnsi="仿宋_GB2312" w:eastAsia="仿宋_GB2312"/>
          <w:b w:val="0"/>
          <w:sz w:val="32"/>
        </w:rPr>
        <w:t>其中：本年收入合计710.97万元，使用非财政拨款结余（含专用结余）0.00万元，年初结转和结余25.12万元。</w:t>
      </w:r>
    </w:p>
    <w:p w14:paraId="01F48663">
      <w:pPr>
        <w:spacing w:line="580" w:lineRule="exact"/>
        <w:ind w:firstLine="640"/>
        <w:jc w:val="both"/>
      </w:pPr>
      <w:r>
        <w:rPr>
          <w:rFonts w:ascii="仿宋_GB2312" w:hAnsi="仿宋_GB2312" w:eastAsia="仿宋_GB2312"/>
          <w:b/>
          <w:sz w:val="32"/>
        </w:rPr>
        <w:t>2024年度支出总计736.10万元，</w:t>
      </w:r>
      <w:r>
        <w:rPr>
          <w:rFonts w:ascii="仿宋_GB2312" w:hAnsi="仿宋_GB2312" w:eastAsia="仿宋_GB2312"/>
          <w:b w:val="0"/>
          <w:sz w:val="32"/>
        </w:rPr>
        <w:t>其中：本年支出合计710.97万元，结余分配0.00万元，年末结转和结余25.12万元。</w:t>
      </w:r>
    </w:p>
    <w:p w14:paraId="40977B1E">
      <w:pPr>
        <w:spacing w:line="580" w:lineRule="exact"/>
        <w:ind w:firstLine="640"/>
        <w:jc w:val="both"/>
      </w:pPr>
      <w:r>
        <w:rPr>
          <w:rFonts w:ascii="仿宋_GB2312" w:hAnsi="仿宋_GB2312" w:eastAsia="仿宋_GB2312"/>
          <w:b w:val="0"/>
          <w:sz w:val="32"/>
        </w:rPr>
        <w:t>收入支出总体与上年相比，减少270.96万元，下降26.91%，主要原因是：本年减少村村通电费项目、扫黑除恶经费项目、专项项目经费、司法救助资金。</w:t>
      </w:r>
    </w:p>
    <w:p w14:paraId="6E9F6BAF">
      <w:pPr>
        <w:spacing w:line="640" w:lineRule="exact"/>
        <w:ind w:firstLine="640"/>
        <w:jc w:val="both"/>
        <w:outlineLvl w:val="2"/>
      </w:pPr>
      <w:r>
        <w:rPr>
          <w:rFonts w:ascii="黑体" w:hAnsi="黑体" w:eastAsia="黑体"/>
          <w:sz w:val="32"/>
        </w:rPr>
        <w:t>二、收入决算情况说明</w:t>
      </w:r>
    </w:p>
    <w:p w14:paraId="485A3838">
      <w:pPr>
        <w:spacing w:line="580" w:lineRule="exact"/>
        <w:ind w:firstLine="640"/>
        <w:jc w:val="both"/>
      </w:pPr>
      <w:r>
        <w:rPr>
          <w:rFonts w:ascii="仿宋_GB2312" w:hAnsi="仿宋_GB2312" w:eastAsia="仿宋_GB2312"/>
          <w:b/>
          <w:sz w:val="32"/>
        </w:rPr>
        <w:t>本年收入710.97万元，</w:t>
      </w:r>
      <w:r>
        <w:rPr>
          <w:rFonts w:ascii="仿宋_GB2312" w:hAnsi="仿宋_GB2312" w:eastAsia="仿宋_GB2312"/>
          <w:b w:val="0"/>
          <w:sz w:val="32"/>
        </w:rPr>
        <w:t>其中：财政拨款收入710.97万元，占100.00%；上级补助收入0.00万元，占0.00%；事业收入0.00万元，占0.00%；经营收入0.00万元，占0.00%；附属单位上缴收入0.00万元，占0.00%；其他收入0.00万元，占0.00%。</w:t>
      </w:r>
    </w:p>
    <w:p w14:paraId="7FA6DEC4">
      <w:pPr>
        <w:spacing w:line="640" w:lineRule="exact"/>
        <w:ind w:firstLine="640"/>
        <w:jc w:val="both"/>
        <w:outlineLvl w:val="2"/>
      </w:pPr>
      <w:r>
        <w:rPr>
          <w:rFonts w:ascii="黑体" w:hAnsi="黑体" w:eastAsia="黑体"/>
          <w:sz w:val="32"/>
        </w:rPr>
        <w:t>三、支出决算情况说明</w:t>
      </w:r>
    </w:p>
    <w:p w14:paraId="63ABA089">
      <w:pPr>
        <w:spacing w:line="580" w:lineRule="exact"/>
        <w:ind w:firstLine="640"/>
        <w:jc w:val="both"/>
      </w:pPr>
      <w:r>
        <w:rPr>
          <w:rFonts w:ascii="仿宋_GB2312" w:hAnsi="仿宋_GB2312" w:eastAsia="仿宋_GB2312"/>
          <w:b/>
          <w:sz w:val="32"/>
        </w:rPr>
        <w:t>本年支出710.97万元，</w:t>
      </w:r>
      <w:r>
        <w:rPr>
          <w:rFonts w:ascii="仿宋_GB2312" w:hAnsi="仿宋_GB2312" w:eastAsia="仿宋_GB2312"/>
          <w:b w:val="0"/>
          <w:sz w:val="32"/>
        </w:rPr>
        <w:t>其中：基本支出626.88万元，占88.17%；项目支出84.09万元，占11.83%；上缴上级支出0.00万元，占0.00%；经营支出0.00万元，占0.00%；对附属单位补助支出0.00万元，占0.00%。</w:t>
      </w:r>
    </w:p>
    <w:p w14:paraId="788C3890">
      <w:pPr>
        <w:spacing w:line="640" w:lineRule="exact"/>
        <w:ind w:firstLine="640"/>
        <w:jc w:val="both"/>
        <w:outlineLvl w:val="2"/>
      </w:pPr>
      <w:r>
        <w:rPr>
          <w:rFonts w:ascii="黑体" w:hAnsi="黑体" w:eastAsia="黑体"/>
          <w:sz w:val="32"/>
        </w:rPr>
        <w:t>四、财政拨款收入支出决算总体情况说明</w:t>
      </w:r>
    </w:p>
    <w:p w14:paraId="56731DD0">
      <w:pPr>
        <w:spacing w:line="580" w:lineRule="exact"/>
        <w:ind w:firstLine="640"/>
        <w:jc w:val="both"/>
      </w:pPr>
      <w:r>
        <w:rPr>
          <w:rFonts w:ascii="仿宋_GB2312" w:hAnsi="仿宋_GB2312" w:eastAsia="仿宋_GB2312"/>
          <w:b/>
          <w:sz w:val="32"/>
        </w:rPr>
        <w:t>2024年度财政拨款收入总计711.26万元，</w:t>
      </w:r>
      <w:r>
        <w:rPr>
          <w:rFonts w:ascii="仿宋_GB2312" w:hAnsi="仿宋_GB2312" w:eastAsia="仿宋_GB2312"/>
          <w:b w:val="0"/>
          <w:sz w:val="32"/>
        </w:rPr>
        <w:t>其中：年初财政拨款结转和结余0.29万元，本年财政拨款收入710.97万元。</w:t>
      </w:r>
      <w:r>
        <w:rPr>
          <w:rFonts w:ascii="仿宋_GB2312" w:hAnsi="仿宋_GB2312" w:eastAsia="仿宋_GB2312"/>
          <w:b/>
          <w:sz w:val="32"/>
        </w:rPr>
        <w:t>财政拨款支出总计711.26万元，</w:t>
      </w:r>
      <w:r>
        <w:rPr>
          <w:rFonts w:ascii="仿宋_GB2312" w:hAnsi="仿宋_GB2312" w:eastAsia="仿宋_GB2312"/>
          <w:b w:val="0"/>
          <w:sz w:val="32"/>
        </w:rPr>
        <w:t>其中：年末财政拨款结转和结余0.29万元，本年财政拨款支出710.97万元。</w:t>
      </w:r>
    </w:p>
    <w:p w14:paraId="1014F7A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减少247.00万元，下降25.78%，主要原因是：本年减少村村通电费项目、扫黑除恶经费项目、专项项目经费。</w:t>
      </w:r>
      <w:r>
        <w:rPr>
          <w:rFonts w:ascii="仿宋_GB2312" w:hAnsi="仿宋_GB2312" w:eastAsia="仿宋_GB2312"/>
          <w:b/>
          <w:sz w:val="32"/>
        </w:rPr>
        <w:t>与年初预算相比，</w:t>
      </w:r>
      <w:r>
        <w:rPr>
          <w:rFonts w:ascii="仿宋_GB2312" w:hAnsi="仿宋_GB2312" w:eastAsia="仿宋_GB2312"/>
          <w:b w:val="0"/>
          <w:sz w:val="32"/>
        </w:rPr>
        <w:t>年初预算数775.25万元，决算数711.26万元，预决算差异率-8.25%，主要原因是：本年在职人员减少，年中调减人员经费，导致预决算存在差异。</w:t>
      </w:r>
    </w:p>
    <w:p w14:paraId="24C7F893">
      <w:pPr>
        <w:spacing w:line="640" w:lineRule="exact"/>
        <w:ind w:firstLine="640"/>
        <w:jc w:val="both"/>
        <w:outlineLvl w:val="2"/>
      </w:pPr>
      <w:r>
        <w:rPr>
          <w:rFonts w:ascii="黑体" w:hAnsi="黑体" w:eastAsia="黑体"/>
          <w:sz w:val="32"/>
        </w:rPr>
        <w:t>五、一般公共预算财政拨款支出决算情况说明</w:t>
      </w:r>
    </w:p>
    <w:p w14:paraId="4995DDC7">
      <w:pPr>
        <w:spacing w:line="640" w:lineRule="exact"/>
        <w:ind w:firstLine="640"/>
        <w:jc w:val="both"/>
        <w:outlineLvl w:val="3"/>
      </w:pPr>
      <w:r>
        <w:rPr>
          <w:rFonts w:ascii="楷体_GB2312" w:hAnsi="楷体_GB2312" w:eastAsia="楷体_GB2312"/>
          <w:b/>
          <w:sz w:val="32"/>
        </w:rPr>
        <w:t>（一）一般公共预算财政拨款支出决算总体情况</w:t>
      </w:r>
    </w:p>
    <w:p w14:paraId="16B3698D">
      <w:pPr>
        <w:spacing w:line="580" w:lineRule="exact"/>
        <w:ind w:firstLine="640"/>
        <w:jc w:val="both"/>
      </w:pPr>
      <w:r>
        <w:rPr>
          <w:rFonts w:ascii="仿宋_GB2312" w:hAnsi="仿宋_GB2312" w:eastAsia="仿宋_GB2312"/>
          <w:b/>
          <w:sz w:val="32"/>
        </w:rPr>
        <w:t>2024年度一般公共预算财政拨款支出709.53万元，</w:t>
      </w:r>
      <w:r>
        <w:rPr>
          <w:rFonts w:ascii="仿宋_GB2312" w:hAnsi="仿宋_GB2312" w:eastAsia="仿宋_GB2312"/>
          <w:b w:val="0"/>
          <w:sz w:val="32"/>
        </w:rPr>
        <w:t>占本年支出合计的99.80%。</w:t>
      </w:r>
      <w:r>
        <w:rPr>
          <w:rFonts w:ascii="仿宋_GB2312" w:hAnsi="仿宋_GB2312" w:eastAsia="仿宋_GB2312"/>
          <w:b/>
          <w:sz w:val="32"/>
        </w:rPr>
        <w:t>与上年相比，</w:t>
      </w:r>
      <w:r>
        <w:rPr>
          <w:rFonts w:ascii="仿宋_GB2312" w:hAnsi="仿宋_GB2312" w:eastAsia="仿宋_GB2312"/>
          <w:b w:val="0"/>
          <w:sz w:val="32"/>
        </w:rPr>
        <w:t>减少248.44万元，下降25.93%，主要原因是：本年减少村村通电费项目、扫黑除恶经费项目、专项项目经费。</w:t>
      </w:r>
      <w:r>
        <w:rPr>
          <w:rFonts w:ascii="仿宋_GB2312" w:hAnsi="仿宋_GB2312" w:eastAsia="仿宋_GB2312"/>
          <w:b/>
          <w:sz w:val="32"/>
        </w:rPr>
        <w:t>与年初预算相比,</w:t>
      </w:r>
      <w:r>
        <w:rPr>
          <w:rFonts w:ascii="仿宋_GB2312" w:hAnsi="仿宋_GB2312" w:eastAsia="仿宋_GB2312"/>
          <w:b w:val="0"/>
          <w:sz w:val="32"/>
        </w:rPr>
        <w:t>年初预算数775.25万元，决算数709.53万元，预决算差异率-8.48%，主要原因是：本年在职人员减少，年中调减人员经费，导致预决算存在差异。</w:t>
      </w:r>
    </w:p>
    <w:p w14:paraId="3DD6F049">
      <w:pPr>
        <w:spacing w:line="640" w:lineRule="exact"/>
        <w:ind w:firstLine="640"/>
        <w:jc w:val="both"/>
        <w:outlineLvl w:val="3"/>
      </w:pPr>
      <w:r>
        <w:rPr>
          <w:rFonts w:ascii="楷体_GB2312" w:hAnsi="楷体_GB2312" w:eastAsia="楷体_GB2312"/>
          <w:b/>
          <w:sz w:val="32"/>
        </w:rPr>
        <w:t>（二）一般公共预算财政拨款支出决算结构情况</w:t>
      </w:r>
    </w:p>
    <w:p w14:paraId="07299E11">
      <w:pPr>
        <w:spacing w:line="580" w:lineRule="exact"/>
        <w:ind w:firstLine="640"/>
        <w:jc w:val="both"/>
      </w:pPr>
      <w:r>
        <w:rPr>
          <w:rFonts w:ascii="仿宋_GB2312" w:hAnsi="仿宋_GB2312" w:eastAsia="仿宋_GB2312"/>
          <w:b w:val="0"/>
          <w:sz w:val="32"/>
        </w:rPr>
        <w:t>1.一般公共服务支出(类)547.25万元,占77.13%。</w:t>
      </w:r>
    </w:p>
    <w:p w14:paraId="26722249">
      <w:pPr>
        <w:spacing w:line="580" w:lineRule="exact"/>
        <w:ind w:firstLine="640"/>
        <w:jc w:val="both"/>
      </w:pPr>
      <w:r>
        <w:rPr>
          <w:rFonts w:ascii="仿宋_GB2312" w:hAnsi="仿宋_GB2312" w:eastAsia="仿宋_GB2312"/>
          <w:b w:val="0"/>
          <w:sz w:val="32"/>
        </w:rPr>
        <w:t>2.科学技术支出(类)10.00万元,占1.41%。</w:t>
      </w:r>
    </w:p>
    <w:p w14:paraId="1773480C">
      <w:pPr>
        <w:spacing w:line="580" w:lineRule="exact"/>
        <w:ind w:firstLine="640"/>
        <w:jc w:val="both"/>
      </w:pPr>
      <w:r>
        <w:rPr>
          <w:rFonts w:ascii="仿宋_GB2312" w:hAnsi="仿宋_GB2312" w:eastAsia="仿宋_GB2312"/>
          <w:b w:val="0"/>
          <w:sz w:val="32"/>
        </w:rPr>
        <w:t>3.社会保障和就业支出(类)67.39万元,占9.50%。</w:t>
      </w:r>
    </w:p>
    <w:p w14:paraId="1E4DCF2A">
      <w:pPr>
        <w:spacing w:line="580" w:lineRule="exact"/>
        <w:ind w:firstLine="640"/>
        <w:jc w:val="both"/>
      </w:pPr>
      <w:r>
        <w:rPr>
          <w:rFonts w:ascii="仿宋_GB2312" w:hAnsi="仿宋_GB2312" w:eastAsia="仿宋_GB2312"/>
          <w:b w:val="0"/>
          <w:sz w:val="32"/>
        </w:rPr>
        <w:t>4.卫生健康支出(类)30.80万元,占4.34%。</w:t>
      </w:r>
    </w:p>
    <w:p w14:paraId="1ECF64C2">
      <w:pPr>
        <w:spacing w:line="580" w:lineRule="exact"/>
        <w:ind w:firstLine="640"/>
        <w:jc w:val="both"/>
      </w:pPr>
      <w:r>
        <w:rPr>
          <w:rFonts w:ascii="仿宋_GB2312" w:hAnsi="仿宋_GB2312" w:eastAsia="仿宋_GB2312"/>
          <w:b w:val="0"/>
          <w:sz w:val="32"/>
        </w:rPr>
        <w:t>5.住房保障支出(类)44.93万元,占6.33%。</w:t>
      </w:r>
    </w:p>
    <w:p w14:paraId="78F730F2">
      <w:pPr>
        <w:spacing w:line="580" w:lineRule="exact"/>
        <w:ind w:firstLine="640"/>
        <w:jc w:val="both"/>
      </w:pPr>
      <w:r>
        <w:rPr>
          <w:rFonts w:ascii="仿宋_GB2312" w:hAnsi="仿宋_GB2312" w:eastAsia="仿宋_GB2312"/>
          <w:b w:val="0"/>
          <w:sz w:val="32"/>
        </w:rPr>
        <w:t>6.其他支出(类)9.17万元,占1.29%。</w:t>
      </w:r>
    </w:p>
    <w:p w14:paraId="3012A980">
      <w:pPr>
        <w:spacing w:line="640" w:lineRule="exact"/>
        <w:ind w:firstLine="640"/>
        <w:jc w:val="both"/>
        <w:outlineLvl w:val="3"/>
      </w:pPr>
      <w:r>
        <w:rPr>
          <w:rFonts w:ascii="楷体_GB2312" w:hAnsi="楷体_GB2312" w:eastAsia="楷体_GB2312"/>
          <w:b/>
          <w:sz w:val="32"/>
        </w:rPr>
        <w:t>（三）一般公共预算财政拨款支出决算具体情况</w:t>
      </w:r>
    </w:p>
    <w:p w14:paraId="2FF51F2C">
      <w:pPr>
        <w:spacing w:line="580" w:lineRule="exact"/>
        <w:ind w:firstLine="640"/>
        <w:jc w:val="both"/>
      </w:pPr>
      <w:r>
        <w:rPr>
          <w:rFonts w:ascii="仿宋_GB2312" w:hAnsi="仿宋_GB2312" w:eastAsia="仿宋_GB2312"/>
          <w:b w:val="0"/>
          <w:sz w:val="32"/>
        </w:rPr>
        <w:t>1.一般公共服务支出(类)党委办公厅（室）及相关机构事务(款)行政运行(项):支出决算数为483.77万元，比上年决算减少162.86万元，下降25.19%,主要原因是：1.本年在职人员减少，相应人员经费较上年减少。2.本年功能科目调整，行政单位离退休经费，行政单位医疗，公务员医疗补助，住房公积金上年度在主科目列支，本年单独列支，导致经费较上年减少。</w:t>
      </w:r>
    </w:p>
    <w:p w14:paraId="4400956E">
      <w:pPr>
        <w:spacing w:line="580" w:lineRule="exact"/>
        <w:ind w:firstLine="640"/>
        <w:jc w:val="both"/>
      </w:pPr>
      <w:r>
        <w:rPr>
          <w:rFonts w:ascii="仿宋_GB2312" w:hAnsi="仿宋_GB2312" w:eastAsia="仿宋_GB2312"/>
          <w:b w:val="0"/>
          <w:sz w:val="32"/>
        </w:rPr>
        <w:t>2.一般公共服务支出(类)党委办公厅（室）及相关机构事务(款)其他党委办公厅（室）及相关机构事务支出(项):支出决算数为63.48万元，比上年决算减少124.93万元，下降66.31%,主要原因是：本年减少村村通电费项目、扫黑除恶经费项目、专项项目经费。</w:t>
      </w:r>
    </w:p>
    <w:p w14:paraId="375CD695">
      <w:pPr>
        <w:spacing w:line="580" w:lineRule="exact"/>
        <w:ind w:firstLine="640"/>
        <w:jc w:val="both"/>
      </w:pPr>
      <w:r>
        <w:rPr>
          <w:rFonts w:ascii="仿宋_GB2312" w:hAnsi="仿宋_GB2312" w:eastAsia="仿宋_GB2312"/>
          <w:b w:val="0"/>
          <w:sz w:val="32"/>
        </w:rPr>
        <w:t>3.科学技术支出(类)技术研究与开发(款)其他技术研究与开发支出(项):支出决算数为10.00万元，比上年决算减少15.72万元，下降61.12%,主要原因是：本年无监控设备经费。</w:t>
      </w:r>
    </w:p>
    <w:p w14:paraId="54B3B322">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8.49万元，比上年决算增加8.49万元，增长100.00%,主要原因是：本年功能科目调整，行政单位离退休上年度在主科目列支，本年单独列支，导致经费较上年增加。</w:t>
      </w:r>
    </w:p>
    <w:p w14:paraId="58B1AB04">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58.90万元，比上年决算增加0.21万元，增长0.36%,主要原因是：本年在职人员工资基数调增，养老缴费基数上涨，相应支出增加。</w:t>
      </w:r>
    </w:p>
    <w:p w14:paraId="06ECCB89">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0.00万元，比上年决算减少20.99万元，下降100.00%,主要原因是：本年退休人员职业年金次年做实，导致职业年金缴费较上年下降。</w:t>
      </w:r>
    </w:p>
    <w:p w14:paraId="047B4584">
      <w:pPr>
        <w:spacing w:line="580" w:lineRule="exact"/>
        <w:ind w:firstLine="640"/>
        <w:jc w:val="both"/>
      </w:pPr>
      <w:r>
        <w:rPr>
          <w:rFonts w:ascii="仿宋_GB2312" w:hAnsi="仿宋_GB2312" w:eastAsia="仿宋_GB2312"/>
          <w:b w:val="0"/>
          <w:sz w:val="32"/>
        </w:rPr>
        <w:t>7.卫生健康支出(类)行政事业单位医疗(款)行政单位医疗(项):支出决算数为23.93万元，比上年决算增加23.93万元，增长100.00%,主要原因是：本年功能科目调整，行政单位医疗支出上年度在主科目列支，本年单独列支，导致经费较上年增加。</w:t>
      </w:r>
    </w:p>
    <w:p w14:paraId="4C79B7F3">
      <w:pPr>
        <w:spacing w:line="580" w:lineRule="exact"/>
        <w:ind w:firstLine="640"/>
        <w:jc w:val="both"/>
      </w:pPr>
      <w:r>
        <w:rPr>
          <w:rFonts w:ascii="仿宋_GB2312" w:hAnsi="仿宋_GB2312" w:eastAsia="仿宋_GB2312"/>
          <w:b w:val="0"/>
          <w:sz w:val="32"/>
        </w:rPr>
        <w:t>8.卫生健康支出(类)行政事业单位医疗(款)公务员医疗补助(项):支出决算数为6.87万元，比上年决算增加6.87万元，增长100.00%,主要原因是：本年功能科目调整，公务员医疗补助上年度在主科目列支，本年单独列支，导致经费较上年增加。</w:t>
      </w:r>
    </w:p>
    <w:p w14:paraId="41A1ED9F">
      <w:pPr>
        <w:spacing w:line="580" w:lineRule="exact"/>
        <w:ind w:firstLine="640"/>
        <w:jc w:val="both"/>
      </w:pPr>
      <w:r>
        <w:rPr>
          <w:rFonts w:ascii="仿宋_GB2312" w:hAnsi="仿宋_GB2312" w:eastAsia="仿宋_GB2312"/>
          <w:b w:val="0"/>
          <w:sz w:val="32"/>
        </w:rPr>
        <w:t>9.住房保障支出(类)住房改革支出(款)住房公积金(项):支出决算数为44.93万元，比上年决算增加44.93万元，增长100.00%,主要原因是：本年功能科目调整，住房公积金上年度在主科目列支，本年单独列支，导致经费较上年增加。</w:t>
      </w:r>
    </w:p>
    <w:p w14:paraId="6166030C">
      <w:pPr>
        <w:spacing w:line="580" w:lineRule="exact"/>
        <w:ind w:firstLine="640"/>
        <w:jc w:val="both"/>
      </w:pPr>
      <w:r>
        <w:rPr>
          <w:rFonts w:ascii="仿宋_GB2312" w:hAnsi="仿宋_GB2312" w:eastAsia="仿宋_GB2312"/>
          <w:b w:val="0"/>
          <w:sz w:val="32"/>
        </w:rPr>
        <w:t>10.其他支出(类)其他支出(款)其他支出(项):支出决算数为9.17万元，比上年决算减少8.36万元，下降47.69%,主要原因是：本年无物流园观摩点经费。</w:t>
      </w:r>
    </w:p>
    <w:p w14:paraId="29DD9A7A">
      <w:pPr>
        <w:spacing w:line="640" w:lineRule="exact"/>
        <w:ind w:firstLine="640"/>
        <w:jc w:val="both"/>
        <w:outlineLvl w:val="2"/>
      </w:pPr>
      <w:r>
        <w:rPr>
          <w:rFonts w:ascii="黑体" w:hAnsi="黑体" w:eastAsia="黑体"/>
          <w:sz w:val="32"/>
        </w:rPr>
        <w:t>六、一般公共预算财政拨款基本支出决算情况说明</w:t>
      </w:r>
    </w:p>
    <w:p w14:paraId="42415C9A">
      <w:pPr>
        <w:spacing w:line="580" w:lineRule="exact"/>
        <w:ind w:firstLine="640"/>
        <w:jc w:val="both"/>
      </w:pPr>
      <w:r>
        <w:rPr>
          <w:rFonts w:ascii="仿宋_GB2312" w:hAnsi="仿宋_GB2312" w:eastAsia="仿宋_GB2312"/>
          <w:b w:val="0"/>
          <w:sz w:val="32"/>
        </w:rPr>
        <w:t>2024年度一般公共预算财政拨款基本支出626.88万元，其中：</w:t>
      </w:r>
      <w:r>
        <w:rPr>
          <w:rFonts w:ascii="仿宋_GB2312" w:hAnsi="仿宋_GB2312" w:eastAsia="仿宋_GB2312"/>
          <w:b/>
          <w:sz w:val="32"/>
        </w:rPr>
        <w:t>人员经费582.64万元，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w:t>
      </w:r>
    </w:p>
    <w:p w14:paraId="5E776CAA">
      <w:pPr>
        <w:spacing w:line="580" w:lineRule="exact"/>
        <w:ind w:firstLine="640"/>
        <w:jc w:val="both"/>
      </w:pPr>
      <w:r>
        <w:rPr>
          <w:rFonts w:ascii="仿宋_GB2312" w:hAnsi="仿宋_GB2312" w:eastAsia="仿宋_GB2312"/>
          <w:b/>
          <w:sz w:val="32"/>
        </w:rPr>
        <w:t>公用经费44.24万元，</w:t>
      </w:r>
      <w:r>
        <w:rPr>
          <w:rFonts w:ascii="仿宋_GB2312" w:hAnsi="仿宋_GB2312" w:eastAsia="仿宋_GB2312"/>
          <w:b w:val="0"/>
          <w:sz w:val="32"/>
        </w:rPr>
        <w:t>包括：办公费、印刷费、水费、电费、邮电费、取暖费、差旅费、维修（护）费、工会经费、公务用车运行维护费、其他交通费用、其他商品和服务支出。</w:t>
      </w:r>
    </w:p>
    <w:p w14:paraId="1BFB958C">
      <w:pPr>
        <w:spacing w:line="640" w:lineRule="exact"/>
        <w:ind w:firstLine="640"/>
        <w:jc w:val="both"/>
        <w:outlineLvl w:val="2"/>
      </w:pPr>
      <w:r>
        <w:rPr>
          <w:rFonts w:ascii="黑体" w:hAnsi="黑体" w:eastAsia="黑体"/>
          <w:sz w:val="32"/>
        </w:rPr>
        <w:t>七、政府性基金预算财政拨款收入支出决算情况说明</w:t>
      </w:r>
    </w:p>
    <w:p w14:paraId="5E46D9F4">
      <w:pPr>
        <w:spacing w:line="580" w:lineRule="exact"/>
        <w:ind w:firstLine="640"/>
        <w:jc w:val="both"/>
      </w:pPr>
      <w:r>
        <w:rPr>
          <w:rFonts w:ascii="仿宋_GB2312" w:hAnsi="仿宋_GB2312" w:eastAsia="仿宋_GB2312"/>
          <w:b/>
          <w:sz w:val="32"/>
        </w:rPr>
        <w:t>2024年度政府性基金预算财政拨款收入总计1.44万元，</w:t>
      </w:r>
      <w:r>
        <w:rPr>
          <w:rFonts w:ascii="仿宋_GB2312" w:hAnsi="仿宋_GB2312" w:eastAsia="仿宋_GB2312"/>
          <w:b w:val="0"/>
          <w:sz w:val="32"/>
        </w:rPr>
        <w:t>其中：年初结转和结余0.00万元，本年收入1.44万元。</w:t>
      </w:r>
      <w:r>
        <w:rPr>
          <w:rFonts w:ascii="仿宋_GB2312" w:hAnsi="仿宋_GB2312" w:eastAsia="仿宋_GB2312"/>
          <w:b/>
          <w:sz w:val="32"/>
        </w:rPr>
        <w:t>政府性基金预算财政拨款支出总计1.44万元，</w:t>
      </w:r>
      <w:r>
        <w:rPr>
          <w:rFonts w:ascii="仿宋_GB2312" w:hAnsi="仿宋_GB2312" w:eastAsia="仿宋_GB2312"/>
          <w:b w:val="0"/>
          <w:sz w:val="32"/>
        </w:rPr>
        <w:t>其中：年末结转和结余0.00万元，本年支出1.44万元。</w:t>
      </w:r>
    </w:p>
    <w:p w14:paraId="03EDD714">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增加1.44万元，增长100.00%，主要原因是：本年增加乌昌工作站及带队干部生活补助资金。</w:t>
      </w:r>
      <w:r>
        <w:rPr>
          <w:rFonts w:ascii="仿宋_GB2312" w:hAnsi="仿宋_GB2312" w:eastAsia="仿宋_GB2312"/>
          <w:b/>
          <w:sz w:val="32"/>
        </w:rPr>
        <w:t>与年初预算相比，</w:t>
      </w:r>
      <w:r>
        <w:rPr>
          <w:rFonts w:ascii="仿宋_GB2312" w:hAnsi="仿宋_GB2312" w:eastAsia="仿宋_GB2312"/>
          <w:b w:val="0"/>
          <w:sz w:val="32"/>
        </w:rPr>
        <w:t>年初预算数0.00万元，决算数1.44万元，预决算差异率100.00%，主要原因是：年中追加乌昌工作站及带队干部生活补助资金，导致预决算存在差异。</w:t>
      </w:r>
    </w:p>
    <w:p w14:paraId="3AB6DB27">
      <w:pPr>
        <w:spacing w:line="580" w:lineRule="exact"/>
        <w:ind w:firstLine="640"/>
        <w:jc w:val="both"/>
      </w:pPr>
      <w:r>
        <w:rPr>
          <w:rFonts w:ascii="仿宋_GB2312" w:hAnsi="仿宋_GB2312" w:eastAsia="仿宋_GB2312"/>
          <w:b w:val="0"/>
          <w:sz w:val="32"/>
        </w:rPr>
        <w:t>政府性基金预算财政拨款支出1.44万元。</w:t>
      </w:r>
    </w:p>
    <w:p w14:paraId="7D26AC1E">
      <w:pPr>
        <w:spacing w:line="580" w:lineRule="exact"/>
        <w:ind w:firstLine="640"/>
        <w:jc w:val="both"/>
      </w:pPr>
      <w:r>
        <w:rPr>
          <w:rFonts w:ascii="仿宋_GB2312" w:hAnsi="仿宋_GB2312" w:eastAsia="仿宋_GB2312"/>
          <w:b w:val="0"/>
          <w:sz w:val="32"/>
        </w:rPr>
        <w:t>1.城乡社区支出(类)国有土地使用权出让收入安排的支出(款)其他国有土地使用权出让收入安排的支出(项):支出决算数为1.44万元，比上年决算增加1.44万元，增长100.00%,主要原因是：本年增加乌昌工作站及带队干部生活补助资金。</w:t>
      </w:r>
    </w:p>
    <w:p w14:paraId="1BF7AE18">
      <w:pPr>
        <w:spacing w:line="640" w:lineRule="exact"/>
        <w:ind w:firstLine="640"/>
        <w:jc w:val="both"/>
        <w:outlineLvl w:val="2"/>
      </w:pPr>
      <w:r>
        <w:rPr>
          <w:rFonts w:ascii="黑体" w:hAnsi="黑体" w:eastAsia="黑体"/>
          <w:sz w:val="32"/>
        </w:rPr>
        <w:t>八、国有资本经营预算财政拨款收入支出决算情况说明</w:t>
      </w:r>
    </w:p>
    <w:p w14:paraId="51F5408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C0BA334">
      <w:pPr>
        <w:spacing w:line="640" w:lineRule="exact"/>
        <w:ind w:firstLine="640"/>
        <w:jc w:val="both"/>
        <w:outlineLvl w:val="2"/>
      </w:pPr>
      <w:r>
        <w:rPr>
          <w:rFonts w:ascii="黑体" w:hAnsi="黑体" w:eastAsia="黑体"/>
          <w:sz w:val="32"/>
        </w:rPr>
        <w:t>九、财政拨款“三公”经费支出决算情况说明</w:t>
      </w:r>
    </w:p>
    <w:p w14:paraId="6655DE16">
      <w:pPr>
        <w:spacing w:line="580" w:lineRule="exact"/>
        <w:ind w:firstLine="640"/>
        <w:jc w:val="both"/>
      </w:pPr>
      <w:r>
        <w:rPr>
          <w:rFonts w:ascii="仿宋_GB2312" w:hAnsi="仿宋_GB2312" w:eastAsia="仿宋_GB2312"/>
          <w:b/>
          <w:sz w:val="32"/>
        </w:rPr>
        <w:t>2024年度财政拨款“三公”经费支出11.14万元，</w:t>
      </w:r>
      <w:r>
        <w:rPr>
          <w:rFonts w:ascii="仿宋_GB2312" w:hAnsi="仿宋_GB2312" w:eastAsia="仿宋_GB2312"/>
          <w:b w:val="0"/>
          <w:sz w:val="32"/>
        </w:rPr>
        <w:t>比上年减少9.86万元，下降46.95%，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11.14万元，占100.00%，比上年减少9.86万元，下降46.95%，主要原因是：严格落实中央八项规定精神，厉行节约，减少公务用车运行维护费。公务接待费支出0.00万元，占0.00%，比上年增加0.00万元，增长0.00%，主要原因是：2023年与2024年均未安排公务接待费支出。</w:t>
      </w:r>
    </w:p>
    <w:p w14:paraId="1143C8FD">
      <w:pPr>
        <w:spacing w:line="580" w:lineRule="exact"/>
        <w:ind w:firstLine="640"/>
        <w:jc w:val="both"/>
      </w:pPr>
      <w:r>
        <w:rPr>
          <w:rFonts w:ascii="仿宋_GB2312" w:hAnsi="仿宋_GB2312" w:eastAsia="仿宋_GB2312"/>
          <w:b/>
          <w:sz w:val="32"/>
        </w:rPr>
        <w:t>具体情况如下：</w:t>
      </w:r>
    </w:p>
    <w:p w14:paraId="42BA94D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21B0EAE">
      <w:pPr>
        <w:spacing w:line="580" w:lineRule="exact"/>
        <w:ind w:firstLine="640"/>
        <w:jc w:val="both"/>
      </w:pPr>
      <w:r>
        <w:rPr>
          <w:rFonts w:ascii="仿宋_GB2312" w:hAnsi="仿宋_GB2312" w:eastAsia="仿宋_GB2312"/>
          <w:b w:val="0"/>
          <w:sz w:val="32"/>
        </w:rPr>
        <w:t>公务用车购置及运行维护费11.14万元，其中：公务用车购置费0.00万元，公务用车运行维护费11.14万元。公务用车运行维护费开支内容包括车辆加油费、维修费、保险费、审车费、过路费。公务用车购置数0辆，公务用车保有量7辆。国有资产占用情况中固定资产车辆7辆，与公务用车保有量差异原因是：本单位固定资产车辆与公务用车保有量一致无差异。</w:t>
      </w:r>
    </w:p>
    <w:p w14:paraId="2E20CC8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11545A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11.14万元，决算数11.14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11.14万元，决算数11.14万元，预决算差异率0.00%，主要原因是：严格按照预算执行，预决算无差异。公务接待费全年预算数0.00万元，决算数0.00万元，预决算差异率0.00%，主要原因是：本单位无公务接待费。</w:t>
      </w:r>
    </w:p>
    <w:p w14:paraId="50C76ED3">
      <w:pPr>
        <w:spacing w:line="640" w:lineRule="exact"/>
        <w:ind w:firstLine="640"/>
        <w:jc w:val="both"/>
        <w:outlineLvl w:val="2"/>
      </w:pPr>
      <w:r>
        <w:rPr>
          <w:rFonts w:ascii="黑体" w:hAnsi="黑体" w:eastAsia="黑体"/>
          <w:sz w:val="32"/>
        </w:rPr>
        <w:t>十、其他重要事项的情况说明</w:t>
      </w:r>
    </w:p>
    <w:p w14:paraId="553D456E">
      <w:pPr>
        <w:spacing w:line="640" w:lineRule="exact"/>
        <w:ind w:firstLine="640"/>
        <w:jc w:val="both"/>
        <w:outlineLvl w:val="3"/>
      </w:pPr>
      <w:r>
        <w:rPr>
          <w:rFonts w:ascii="楷体_GB2312" w:hAnsi="楷体_GB2312" w:eastAsia="楷体_GB2312"/>
          <w:b/>
          <w:sz w:val="32"/>
        </w:rPr>
        <w:t>（一）机关运行经费及公用经费支出情况</w:t>
      </w:r>
    </w:p>
    <w:p w14:paraId="3466579B">
      <w:pPr>
        <w:spacing w:line="580" w:lineRule="exact"/>
        <w:ind w:firstLine="640"/>
        <w:jc w:val="both"/>
      </w:pPr>
      <w:r>
        <w:rPr>
          <w:rFonts w:ascii="仿宋_GB2312" w:hAnsi="仿宋_GB2312" w:eastAsia="仿宋_GB2312"/>
          <w:b w:val="0"/>
          <w:sz w:val="32"/>
        </w:rPr>
        <w:t>2024年度中共洛浦县委政法委员会（行政单位和参照公务员法管理事业单位）机关运行经费支出44.24万元，比上年减少22.17万元，下降33.38%，主要原因是：本年办公费</w:t>
      </w:r>
      <w:r>
        <w:rPr>
          <w:rFonts w:hint="eastAsia" w:ascii="仿宋_GB2312" w:hAnsi="仿宋_GB2312" w:eastAsia="仿宋_GB2312"/>
          <w:b w:val="0"/>
          <w:sz w:val="32"/>
          <w:lang w:eastAsia="zh-CN"/>
        </w:rPr>
        <w:t>、</w:t>
      </w:r>
      <w:r>
        <w:rPr>
          <w:rFonts w:ascii="仿宋_GB2312" w:hAnsi="仿宋_GB2312" w:eastAsia="仿宋_GB2312"/>
          <w:b w:val="0"/>
          <w:sz w:val="32"/>
        </w:rPr>
        <w:t>电费减少，导致机关运行经费支出减少。</w:t>
      </w:r>
    </w:p>
    <w:p w14:paraId="6FF76574">
      <w:pPr>
        <w:spacing w:line="640" w:lineRule="exact"/>
        <w:ind w:firstLine="640"/>
        <w:jc w:val="both"/>
        <w:outlineLvl w:val="3"/>
      </w:pPr>
      <w:r>
        <w:rPr>
          <w:rFonts w:ascii="楷体_GB2312" w:hAnsi="楷体_GB2312" w:eastAsia="楷体_GB2312"/>
          <w:b/>
          <w:sz w:val="32"/>
        </w:rPr>
        <w:t>（二）政府采购情况</w:t>
      </w:r>
    </w:p>
    <w:p w14:paraId="2678627A">
      <w:pPr>
        <w:spacing w:line="580" w:lineRule="exact"/>
        <w:ind w:firstLine="640"/>
        <w:jc w:val="both"/>
      </w:pPr>
      <w:r>
        <w:rPr>
          <w:rFonts w:ascii="仿宋_GB2312" w:hAnsi="仿宋_GB2312" w:eastAsia="仿宋_GB2312"/>
          <w:b w:val="0"/>
          <w:sz w:val="32"/>
        </w:rPr>
        <w:t>2024年度政府采购支出总额8.37万元，其中：政府采购货物支出0.54万元、政府采购工程支出4.76万元、政府采购服务支出3.07万元。</w:t>
      </w:r>
    </w:p>
    <w:p w14:paraId="3119B1AD">
      <w:pPr>
        <w:spacing w:line="580" w:lineRule="exact"/>
        <w:ind w:firstLine="640"/>
        <w:jc w:val="both"/>
      </w:pPr>
      <w:r>
        <w:rPr>
          <w:rFonts w:ascii="仿宋_GB2312" w:hAnsi="仿宋_GB2312" w:eastAsia="仿宋_GB2312"/>
          <w:b w:val="0"/>
          <w:sz w:val="32"/>
        </w:rPr>
        <w:t>授予中小企业合同金额8.37万元，占政府采购支出总额的100.00%，其中：授予小微企业合同金额5.43万元，占政府采购支出总额的64.87%。</w:t>
      </w:r>
    </w:p>
    <w:p w14:paraId="62A40068">
      <w:pPr>
        <w:spacing w:line="640" w:lineRule="exact"/>
        <w:ind w:firstLine="640"/>
        <w:jc w:val="both"/>
        <w:outlineLvl w:val="3"/>
      </w:pPr>
      <w:r>
        <w:rPr>
          <w:rFonts w:ascii="楷体_GB2312" w:hAnsi="楷体_GB2312" w:eastAsia="楷体_GB2312"/>
          <w:b/>
          <w:sz w:val="32"/>
        </w:rPr>
        <w:t>（三）国有资产占用情况说明</w:t>
      </w:r>
    </w:p>
    <w:p w14:paraId="37D60301">
      <w:pPr>
        <w:spacing w:line="580" w:lineRule="exact"/>
        <w:ind w:firstLine="640"/>
        <w:jc w:val="both"/>
      </w:pPr>
      <w:r>
        <w:rPr>
          <w:rFonts w:ascii="仿宋_GB2312" w:hAnsi="仿宋_GB2312" w:eastAsia="仿宋_GB2312"/>
          <w:b w:val="0"/>
          <w:sz w:val="32"/>
        </w:rPr>
        <w:t>截至2024年12月31日，房屋0.00平方米，价值0.00万元。车辆7辆，价值81.28万元，其中：副部（省）级及以上领导用车0辆、主要负责人用车0辆、机要通信用车0辆、应急保障用车0辆、执法执勤用车0辆、特种专业技术用车0辆、离退休干部服务用车0辆、其他用车7辆，其他用车主要是：一般公务用车。单价100万元（含）以上设备（不含车辆）0台（套）。</w:t>
      </w:r>
    </w:p>
    <w:p w14:paraId="1D112D9F">
      <w:pPr>
        <w:spacing w:line="640" w:lineRule="exact"/>
        <w:ind w:firstLine="640"/>
        <w:jc w:val="both"/>
        <w:outlineLvl w:val="2"/>
      </w:pPr>
      <w:r>
        <w:rPr>
          <w:rFonts w:ascii="黑体" w:hAnsi="黑体" w:eastAsia="黑体"/>
          <w:sz w:val="32"/>
        </w:rPr>
        <w:t>十一、预算绩效的情况说明</w:t>
      </w:r>
    </w:p>
    <w:p w14:paraId="1EE8F21E">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根据预算绩效管理要求，本单位2024年度预算绩效管理形成整体支出绩效自评表1个，全年预算总额736.09万元，实际执行总额710.97万元；预算绩效评价项目</w:t>
      </w:r>
      <w:r>
        <w:rPr>
          <w:rFonts w:hint="eastAsia" w:ascii="仿宋_GB2312" w:hAnsi="仿宋_GB2312" w:eastAsia="仿宋_GB2312"/>
          <w:b w:val="0"/>
          <w:sz w:val="32"/>
          <w:lang w:val="en-US" w:eastAsia="zh-CN"/>
        </w:rPr>
        <w:t>7</w:t>
      </w:r>
      <w:r>
        <w:rPr>
          <w:rFonts w:ascii="仿宋_GB2312" w:hAnsi="仿宋_GB2312" w:eastAsia="仿宋_GB2312"/>
          <w:b w:val="0"/>
          <w:sz w:val="32"/>
        </w:rPr>
        <w:t>个，全年预算数</w:t>
      </w:r>
      <w:r>
        <w:rPr>
          <w:rFonts w:hint="eastAsia" w:ascii="仿宋_GB2312" w:hAnsi="仿宋_GB2312" w:eastAsia="仿宋_GB2312"/>
          <w:b w:val="0"/>
          <w:sz w:val="32"/>
          <w:lang w:val="en-US" w:eastAsia="zh-CN"/>
        </w:rPr>
        <w:t>85.48</w:t>
      </w:r>
      <w:r>
        <w:rPr>
          <w:rFonts w:ascii="仿宋_GB2312" w:hAnsi="仿宋_GB2312" w:eastAsia="仿宋_GB2312"/>
          <w:b w:val="0"/>
          <w:sz w:val="32"/>
        </w:rPr>
        <w:t>万元，全年执行数</w:t>
      </w:r>
      <w:r>
        <w:rPr>
          <w:rFonts w:hint="eastAsia" w:ascii="仿宋_GB2312" w:hAnsi="仿宋_GB2312" w:eastAsia="仿宋_GB2312"/>
          <w:b w:val="0"/>
          <w:sz w:val="32"/>
          <w:lang w:val="en-US" w:eastAsia="zh-CN"/>
        </w:rPr>
        <w:t>84.10</w:t>
      </w:r>
      <w:r>
        <w:rPr>
          <w:rFonts w:ascii="仿宋_GB2312" w:hAnsi="仿宋_GB2312" w:eastAsia="仿宋_GB2312"/>
          <w:b w:val="0"/>
          <w:sz w:val="32"/>
        </w:rPr>
        <w:t>万元。预算绩效管理取得的成效：一是领导高度重视，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发现的问题及原因：一是对于目标设定需要分科室单位分解,汇总后制定整体目标，如何科学整合全单位绩效目标比较困难；目标设定后如何科学设定考核评价标准，特别是对于不能量化的目标如何评价；二是财务管理方面，会计核算还不够细致,对于有些能够细分的工作,未能详细分类核算,绩效评价基础数据不够精准。下一步改进措施：一是加强新行政单位会计制度和新预算法学习培训，规范账务处理，加强新《中华人民共和国预算法》《行政单位会计制度》《</w:t>
      </w:r>
      <w:r>
        <w:rPr>
          <w:rFonts w:hint="eastAsia" w:ascii="仿宋_GB2312" w:hAnsi="仿宋_GB2312" w:eastAsia="仿宋_GB2312"/>
          <w:b w:val="0"/>
          <w:sz w:val="32"/>
          <w:lang w:eastAsia="zh-CN"/>
        </w:rPr>
        <w:t>中华人民共和国会计法</w:t>
      </w:r>
      <w:r>
        <w:rPr>
          <w:rFonts w:ascii="仿宋_GB2312" w:hAnsi="仿宋_GB2312" w:eastAsia="仿宋_GB2312"/>
          <w:b w:val="0"/>
          <w:sz w:val="32"/>
        </w:rPr>
        <w:t>》《行政单位财务规则》等学习培训</w:t>
      </w:r>
      <w:bookmarkStart w:id="0" w:name="_GoBack"/>
      <w:r>
        <w:rPr>
          <w:rFonts w:ascii="仿宋_GB2312" w:hAnsi="仿宋_GB2312" w:eastAsia="仿宋_GB2312"/>
          <w:b w:val="0"/>
          <w:sz w:val="32"/>
        </w:rPr>
        <w:t>,</w:t>
      </w:r>
      <w:bookmarkEnd w:id="0"/>
      <w:r>
        <w:rPr>
          <w:rFonts w:ascii="仿宋_GB2312" w:hAnsi="仿宋_GB2312" w:eastAsia="仿宋_GB2312"/>
          <w:b w:val="0"/>
          <w:sz w:val="32"/>
        </w:rPr>
        <w:t>规范单位预算收支核算。制定和完善基本支出、项目支出等各项支出标准,严格按项目和进度执行预算,增强预算的约束力和严肃性；落实预算执行分析,及时了解预算执行差异,合理调整、纠正预算执行偏差，切实提高单位预算收支管理水平。尽可能地做到决算与预算相衔接。二是完善管理制度,进一步加强资产管理；严格按照《固定资产管理办法》的规定加强固定资产管理,及时登记、更新台账，加强资产卡片管理,对各类实物资产进行全面盘点,确保账账、账实相符。具体附整体支出绩效自评表，项目支出绩效自评表和评价报告。</w:t>
      </w:r>
    </w:p>
    <w:p w14:paraId="33841F5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EE847E3">
        <w:tblPrEx>
          <w:tblCellMar>
            <w:top w:w="0" w:type="dxa"/>
            <w:left w:w="108" w:type="dxa"/>
            <w:bottom w:w="0" w:type="dxa"/>
            <w:right w:w="108" w:type="dxa"/>
          </w:tblCellMar>
        </w:tblPrEx>
        <w:tc>
          <w:tcPr>
            <w:tcW w:w="8847" w:type="dxa"/>
            <w:gridSpan w:val="9"/>
            <w:vAlign w:val="center"/>
          </w:tcPr>
          <w:p w14:paraId="42FE4C7A">
            <w:pPr>
              <w:jc w:val="center"/>
            </w:pPr>
            <w:r>
              <w:rPr>
                <w:rFonts w:ascii="宋体" w:hAnsi="宋体" w:eastAsia="宋体"/>
                <w:sz w:val="24"/>
              </w:rPr>
              <w:t>单位整体支出绩效自评表</w:t>
            </w:r>
          </w:p>
        </w:tc>
      </w:tr>
      <w:tr w14:paraId="63639920">
        <w:tblPrEx>
          <w:tblCellMar>
            <w:top w:w="0" w:type="dxa"/>
            <w:left w:w="108" w:type="dxa"/>
            <w:bottom w:w="0" w:type="dxa"/>
            <w:right w:w="108" w:type="dxa"/>
          </w:tblCellMar>
        </w:tblPrEx>
        <w:tc>
          <w:tcPr>
            <w:tcW w:w="8847" w:type="dxa"/>
            <w:gridSpan w:val="9"/>
            <w:vAlign w:val="center"/>
          </w:tcPr>
          <w:p w14:paraId="1CC41BF5">
            <w:pPr>
              <w:jc w:val="center"/>
            </w:pPr>
            <w:r>
              <w:rPr>
                <w:rFonts w:ascii="宋体" w:hAnsi="宋体" w:eastAsia="宋体"/>
                <w:sz w:val="24"/>
              </w:rPr>
              <w:t>（2024年度）</w:t>
            </w:r>
          </w:p>
        </w:tc>
      </w:tr>
      <w:tr w14:paraId="2A59ED6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B8C12">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40A570D">
            <w:pPr>
              <w:jc w:val="center"/>
            </w:pPr>
            <w:r>
              <w:rPr>
                <w:rFonts w:ascii="宋体" w:hAnsi="宋体" w:eastAsia="宋体"/>
                <w:sz w:val="16"/>
              </w:rPr>
              <w:t>中共洛浦县委政法委员会</w:t>
            </w:r>
          </w:p>
        </w:tc>
      </w:tr>
      <w:tr w14:paraId="187F8F4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D10283">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61393">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CEA0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217D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A659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D367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5074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9CA86">
            <w:pPr>
              <w:jc w:val="center"/>
            </w:pPr>
            <w:r>
              <w:rPr>
                <w:rFonts w:ascii="宋体" w:hAnsi="宋体" w:eastAsia="宋体"/>
                <w:sz w:val="16"/>
              </w:rPr>
              <w:t>得分</w:t>
            </w:r>
          </w:p>
        </w:tc>
      </w:tr>
      <w:tr w14:paraId="45930B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38706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3ABFAB">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C9431">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8BCF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1887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38C9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5DC0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EE1A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448B2">
            <w:pPr>
              <w:jc w:val="center"/>
            </w:pPr>
            <w:r>
              <w:rPr>
                <w:rFonts w:ascii="宋体" w:hAnsi="宋体" w:eastAsia="宋体"/>
                <w:sz w:val="16"/>
              </w:rPr>
              <w:t>-</w:t>
            </w:r>
          </w:p>
        </w:tc>
      </w:tr>
      <w:tr w14:paraId="7FC397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8EAF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07A33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F0C67">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B9A19">
            <w:pPr>
              <w:jc w:val="center"/>
            </w:pPr>
            <w:r>
              <w:rPr>
                <w:rFonts w:ascii="宋体" w:hAnsi="宋体" w:eastAsia="宋体"/>
                <w:sz w:val="16"/>
              </w:rPr>
              <w:t>805.25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93D5F">
            <w:pPr>
              <w:jc w:val="center"/>
            </w:pPr>
            <w:r>
              <w:rPr>
                <w:rFonts w:ascii="宋体" w:hAnsi="宋体" w:eastAsia="宋体"/>
                <w:sz w:val="16"/>
              </w:rPr>
              <w:t>736.09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997B7">
            <w:pPr>
              <w:jc w:val="center"/>
            </w:pPr>
            <w:r>
              <w:rPr>
                <w:rFonts w:ascii="宋体" w:hAnsi="宋体" w:eastAsia="宋体"/>
                <w:sz w:val="16"/>
              </w:rPr>
              <w:t>710.97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998C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60EA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D222E">
            <w:pPr>
              <w:jc w:val="center"/>
            </w:pPr>
            <w:r>
              <w:rPr>
                <w:rFonts w:ascii="宋体" w:hAnsi="宋体" w:eastAsia="宋体"/>
                <w:sz w:val="16"/>
              </w:rPr>
              <w:t>-</w:t>
            </w:r>
          </w:p>
        </w:tc>
      </w:tr>
      <w:tr w14:paraId="10AB1E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2A94C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2204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217A7">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B427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3853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7E11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FCE2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90B1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75581">
            <w:pPr>
              <w:jc w:val="center"/>
            </w:pPr>
            <w:r>
              <w:rPr>
                <w:rFonts w:ascii="宋体" w:hAnsi="宋体" w:eastAsia="宋体"/>
                <w:sz w:val="16"/>
              </w:rPr>
              <w:t>-</w:t>
            </w:r>
          </w:p>
        </w:tc>
      </w:tr>
      <w:tr w14:paraId="108E38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DB52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E29ED">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E363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E148C">
            <w:pPr>
              <w:jc w:val="center"/>
            </w:pPr>
            <w:r>
              <w:rPr>
                <w:rFonts w:ascii="宋体" w:hAnsi="宋体" w:eastAsia="宋体"/>
                <w:sz w:val="16"/>
              </w:rPr>
              <w:t>805.25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9BB62">
            <w:pPr>
              <w:jc w:val="center"/>
            </w:pPr>
            <w:r>
              <w:rPr>
                <w:rFonts w:ascii="宋体" w:hAnsi="宋体" w:eastAsia="宋体"/>
                <w:sz w:val="16"/>
              </w:rPr>
              <w:t>736.09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EA014">
            <w:pPr>
              <w:jc w:val="center"/>
            </w:pPr>
            <w:r>
              <w:rPr>
                <w:rFonts w:ascii="宋体" w:hAnsi="宋体" w:eastAsia="宋体"/>
                <w:sz w:val="16"/>
              </w:rPr>
              <w:t>710.97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4C2E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75062">
            <w:pPr>
              <w:jc w:val="center"/>
            </w:pPr>
            <w:r>
              <w:rPr>
                <w:rFonts w:ascii="宋体" w:hAnsi="宋体" w:eastAsia="宋体"/>
                <w:sz w:val="16"/>
              </w:rPr>
              <w:t>96.59%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8F7BE">
            <w:pPr>
              <w:jc w:val="center"/>
            </w:pPr>
            <w:r>
              <w:rPr>
                <w:rFonts w:ascii="宋体" w:hAnsi="宋体" w:eastAsia="宋体"/>
                <w:sz w:val="16"/>
              </w:rPr>
              <w:t>9.66</w:t>
            </w:r>
          </w:p>
        </w:tc>
      </w:tr>
      <w:tr w14:paraId="5F7D42F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C3787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010FF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5B07C9">
            <w:pPr>
              <w:jc w:val="center"/>
            </w:pPr>
            <w:r>
              <w:rPr>
                <w:rFonts w:ascii="宋体" w:hAnsi="宋体" w:eastAsia="宋体"/>
                <w:sz w:val="16"/>
              </w:rPr>
              <w:t>实际完成情况</w:t>
            </w:r>
          </w:p>
        </w:tc>
      </w:tr>
      <w:tr w14:paraId="095EDA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DCA49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88EC2BA">
            <w:pPr>
              <w:jc w:val="both"/>
            </w:pPr>
            <w:r>
              <w:rPr>
                <w:rFonts w:ascii="宋体" w:hAnsi="宋体" w:eastAsia="宋体"/>
                <w:sz w:val="16"/>
              </w:rPr>
              <w:t>单位基本职能:贯彻落实中央和省、市委有关政法工作、政法干部队伍建设和社会治安综合治理工作的方针、政策、指示，根据上级政法委员会、社会治安综合治理委员会和县委、县政府的部署，指导政法各部门和综合治理成员单位的工作。围绕县委、县政府改革和发展的中心工作，对一定时期内的政法工作和社会治安综合治理工作作出部署，并督促贯彻落实;参与依法治县方针的实施、组织、协调、指导维护社会稳定工作，督促有关部门抓好落实。</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机构设置及人员配置：无下属预算单位，编制数28，实有人数29人，在职30人，退休7人。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中长期规划：根据自治区、地区政法委员会、社会治安综合治理委员会和县委、县政府的部署，指导政法各部门和综合治理成员单位的工作，围绕改革和发展，对政法工作和社会治安综合治理工作作出部署，并督促贯彻落实，指导维护社会稳定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目标1.保障29名职工工资福利按时发放，保障部门正常运转及6辆公务车正常使用。</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ADEA01">
            <w:pPr>
              <w:jc w:val="both"/>
            </w:pPr>
            <w:r>
              <w:rPr>
                <w:rFonts w:hint="eastAsia" w:ascii="宋体" w:hAnsi="宋体"/>
                <w:sz w:val="16"/>
                <w:lang w:eastAsia="zh-CN"/>
              </w:rPr>
              <w:t>截至</w:t>
            </w:r>
            <w:r>
              <w:rPr>
                <w:rFonts w:ascii="宋体" w:hAnsi="宋体" w:eastAsia="宋体"/>
                <w:sz w:val="16"/>
              </w:rPr>
              <w:t>2024年12月31日，我单位已保障29名职工工资福利按时发放，保障部门正常运转及6辆公务车正常使用，完成情报信息收集100条，开展扫黑除恶培训3场次，开展社会稳定风险评估单位数量100个。机构设置及人员配置：无下属预算单位，编制数28，实有人数29人，在职29人，退休7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中长期规划：根据自治区、地区政法委员会、社会治安综合治理委员会和县委、县政府的部署，指导政法各部门和综合治理成员单位的工作，围绕改革和发展，对政法工作和社会治安综合治理工作作出部署，并督促贯彻落实，指导维护社会稳定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目标1.保障29名职工工资福利按时发放，保障部门正常运转及6辆公务车正常使用。</w:t>
            </w:r>
          </w:p>
        </w:tc>
      </w:tr>
      <w:tr w14:paraId="11B080C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B4A8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CE884">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4596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97596">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F18C8">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A748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A9ADF">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7FB89">
            <w:pPr>
              <w:jc w:val="center"/>
            </w:pPr>
            <w:r>
              <w:rPr>
                <w:rFonts w:ascii="宋体" w:hAnsi="宋体" w:eastAsia="宋体"/>
                <w:sz w:val="16"/>
              </w:rPr>
              <w:t>得分</w:t>
            </w:r>
          </w:p>
        </w:tc>
      </w:tr>
      <w:tr w14:paraId="7722DDB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9AE85C">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F5C516">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4DECA">
            <w:pPr>
              <w:jc w:val="center"/>
            </w:pPr>
            <w:r>
              <w:rPr>
                <w:rFonts w:ascii="宋体" w:hAnsi="宋体" w:eastAsia="宋体"/>
                <w:sz w:val="16"/>
              </w:rPr>
              <w:t>保障公务车运行数量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76735">
            <w:pPr>
              <w:jc w:val="center"/>
            </w:pPr>
            <w:r>
              <w:rPr>
                <w:rFonts w:ascii="宋体" w:hAnsi="宋体" w:eastAsia="宋体"/>
                <w:sz w:val="16"/>
              </w:rPr>
              <w:t>&gt;=6辆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36490">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112B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59E47">
            <w:pPr>
              <w:jc w:val="center"/>
            </w:pPr>
            <w:r>
              <w:rPr>
                <w:rFonts w:ascii="宋体" w:hAnsi="宋体" w:eastAsia="宋体"/>
                <w:sz w:val="16"/>
              </w:rPr>
              <w:t>6辆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88869">
            <w:pPr>
              <w:jc w:val="center"/>
            </w:pPr>
            <w:r>
              <w:rPr>
                <w:rFonts w:ascii="宋体" w:hAnsi="宋体" w:eastAsia="宋体"/>
                <w:sz w:val="16"/>
              </w:rPr>
              <w:t>20</w:t>
            </w:r>
          </w:p>
        </w:tc>
      </w:tr>
      <w:tr w14:paraId="51CCA2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1167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30B55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9EC1E">
            <w:pPr>
              <w:jc w:val="center"/>
            </w:pPr>
            <w:r>
              <w:rPr>
                <w:rFonts w:ascii="宋体" w:hAnsi="宋体" w:eastAsia="宋体"/>
                <w:sz w:val="16"/>
              </w:rPr>
              <w:t>保障单位职工工资发放人员数量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61FE2">
            <w:pPr>
              <w:jc w:val="center"/>
            </w:pPr>
            <w:r>
              <w:rPr>
                <w:rFonts w:ascii="宋体" w:hAnsi="宋体" w:eastAsia="宋体"/>
                <w:sz w:val="16"/>
              </w:rPr>
              <w:t>&lt;=29人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A32FB">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EE23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16D6E">
            <w:pPr>
              <w:jc w:val="center"/>
            </w:pPr>
            <w:r>
              <w:rPr>
                <w:rFonts w:ascii="宋体" w:hAnsi="宋体" w:eastAsia="宋体"/>
                <w:sz w:val="16"/>
              </w:rPr>
              <w:t>29人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EFB28">
            <w:pPr>
              <w:jc w:val="center"/>
            </w:pPr>
            <w:r>
              <w:rPr>
                <w:rFonts w:ascii="宋体" w:hAnsi="宋体" w:eastAsia="宋体"/>
                <w:sz w:val="16"/>
              </w:rPr>
              <w:t>20</w:t>
            </w:r>
          </w:p>
        </w:tc>
      </w:tr>
      <w:tr w14:paraId="2E1FF6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440AF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40E4A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2377C">
            <w:pPr>
              <w:jc w:val="center"/>
            </w:pPr>
            <w:r>
              <w:rPr>
                <w:rFonts w:ascii="宋体" w:hAnsi="宋体" w:eastAsia="宋体"/>
                <w:sz w:val="16"/>
              </w:rPr>
              <w:t>情报信息收集数量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48615">
            <w:pPr>
              <w:jc w:val="center"/>
            </w:pPr>
            <w:r>
              <w:rPr>
                <w:rFonts w:ascii="宋体" w:hAnsi="宋体" w:eastAsia="宋体"/>
                <w:sz w:val="16"/>
              </w:rPr>
              <w:t>&gt;=20条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6FB24">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3CBD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1B667">
            <w:pPr>
              <w:jc w:val="center"/>
            </w:pPr>
            <w:r>
              <w:rPr>
                <w:rFonts w:ascii="宋体" w:hAnsi="宋体" w:eastAsia="宋体"/>
                <w:sz w:val="16"/>
              </w:rPr>
              <w:t>100条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2EC24">
            <w:pPr>
              <w:jc w:val="center"/>
            </w:pPr>
            <w:r>
              <w:rPr>
                <w:rFonts w:ascii="宋体" w:hAnsi="宋体" w:eastAsia="宋体"/>
                <w:sz w:val="16"/>
              </w:rPr>
              <w:t>20</w:t>
            </w:r>
          </w:p>
        </w:tc>
      </w:tr>
      <w:tr w14:paraId="155607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9B835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7D971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D5407">
            <w:pPr>
              <w:jc w:val="center"/>
            </w:pPr>
            <w:r>
              <w:rPr>
                <w:rFonts w:ascii="宋体" w:hAnsi="宋体" w:eastAsia="宋体"/>
                <w:sz w:val="16"/>
              </w:rPr>
              <w:t>扫黑除恶培训开展场次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E63D1">
            <w:pPr>
              <w:jc w:val="center"/>
            </w:pPr>
            <w:r>
              <w:rPr>
                <w:rFonts w:ascii="宋体" w:hAnsi="宋体" w:eastAsia="宋体"/>
                <w:sz w:val="16"/>
              </w:rPr>
              <w:t>&gt;=3场次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FA334">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A5C0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F6A63">
            <w:pPr>
              <w:jc w:val="center"/>
            </w:pPr>
            <w:r>
              <w:rPr>
                <w:rFonts w:ascii="宋体" w:hAnsi="宋体" w:eastAsia="宋体"/>
                <w:sz w:val="16"/>
              </w:rPr>
              <w:t>3场次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8F277">
            <w:pPr>
              <w:jc w:val="center"/>
            </w:pPr>
            <w:r>
              <w:rPr>
                <w:rFonts w:ascii="宋体" w:hAnsi="宋体" w:eastAsia="宋体"/>
                <w:sz w:val="16"/>
              </w:rPr>
              <w:t>20</w:t>
            </w:r>
          </w:p>
        </w:tc>
      </w:tr>
      <w:tr w14:paraId="4868F0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272E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39CBA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81DD1">
            <w:pPr>
              <w:jc w:val="center"/>
            </w:pPr>
            <w:r>
              <w:rPr>
                <w:rFonts w:ascii="宋体" w:hAnsi="宋体" w:eastAsia="宋体"/>
                <w:sz w:val="16"/>
              </w:rPr>
              <w:t>社会稳定风险评估开展单位数量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C4078">
            <w:pPr>
              <w:jc w:val="center"/>
            </w:pPr>
            <w:r>
              <w:rPr>
                <w:rFonts w:ascii="宋体" w:hAnsi="宋体" w:eastAsia="宋体"/>
                <w:sz w:val="16"/>
              </w:rPr>
              <w:t>&gt;=100个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8DAE0">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1A64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DF0F8">
            <w:pPr>
              <w:jc w:val="center"/>
            </w:pPr>
            <w:r>
              <w:rPr>
                <w:rFonts w:ascii="宋体" w:hAnsi="宋体" w:eastAsia="宋体"/>
                <w:sz w:val="16"/>
              </w:rPr>
              <w:t>100个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9588D">
            <w:pPr>
              <w:jc w:val="center"/>
            </w:pPr>
            <w:r>
              <w:rPr>
                <w:rFonts w:ascii="宋体" w:hAnsi="宋体" w:eastAsia="宋体"/>
                <w:sz w:val="16"/>
              </w:rPr>
              <w:t>10</w:t>
            </w:r>
          </w:p>
        </w:tc>
      </w:tr>
    </w:tbl>
    <w:p w14:paraId="61B42A5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398D5C8">
        <w:tblPrEx>
          <w:tblCellMar>
            <w:top w:w="0" w:type="dxa"/>
            <w:left w:w="108" w:type="dxa"/>
            <w:bottom w:w="0" w:type="dxa"/>
            <w:right w:w="108" w:type="dxa"/>
          </w:tblCellMar>
        </w:tblPrEx>
        <w:tc>
          <w:tcPr>
            <w:tcW w:w="8847" w:type="dxa"/>
            <w:gridSpan w:val="9"/>
            <w:vAlign w:val="center"/>
          </w:tcPr>
          <w:p w14:paraId="2594F5BE">
            <w:pPr>
              <w:jc w:val="center"/>
            </w:pPr>
            <w:r>
              <w:rPr>
                <w:rFonts w:ascii="宋体" w:hAnsi="宋体" w:eastAsia="宋体"/>
                <w:sz w:val="24"/>
              </w:rPr>
              <w:t>项目支出绩效自评表</w:t>
            </w:r>
          </w:p>
        </w:tc>
      </w:tr>
      <w:tr w14:paraId="4D3E8AA4">
        <w:tblPrEx>
          <w:tblCellMar>
            <w:top w:w="0" w:type="dxa"/>
            <w:left w:w="108" w:type="dxa"/>
            <w:bottom w:w="0" w:type="dxa"/>
            <w:right w:w="108" w:type="dxa"/>
          </w:tblCellMar>
        </w:tblPrEx>
        <w:tc>
          <w:tcPr>
            <w:tcW w:w="8847" w:type="dxa"/>
            <w:gridSpan w:val="9"/>
            <w:vAlign w:val="center"/>
          </w:tcPr>
          <w:p w14:paraId="29EFED7E">
            <w:pPr>
              <w:jc w:val="center"/>
            </w:pPr>
            <w:r>
              <w:rPr>
                <w:rFonts w:ascii="宋体" w:hAnsi="宋体" w:eastAsia="宋体"/>
                <w:sz w:val="24"/>
              </w:rPr>
              <w:t>(2024年度)</w:t>
            </w:r>
          </w:p>
        </w:tc>
      </w:tr>
      <w:tr w14:paraId="4C5E650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7E5F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7BA55E2">
            <w:pPr>
              <w:jc w:val="center"/>
            </w:pPr>
            <w:r>
              <w:rPr>
                <w:rFonts w:ascii="宋体" w:hAnsi="宋体" w:eastAsia="宋体"/>
                <w:sz w:val="16"/>
              </w:rPr>
              <w:t>2019年监控设备运维辅材采购</w:t>
            </w:r>
          </w:p>
        </w:tc>
      </w:tr>
      <w:tr w14:paraId="442388B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1F1C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AA0F256">
            <w:pPr>
              <w:jc w:val="center"/>
            </w:pPr>
            <w:r>
              <w:rPr>
                <w:rFonts w:ascii="宋体" w:hAnsi="宋体" w:eastAsia="宋体"/>
                <w:sz w:val="16"/>
              </w:rPr>
              <w:t>中共洛浦县委政法委员会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3518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56FCACA">
            <w:pPr>
              <w:jc w:val="center"/>
            </w:pPr>
            <w:r>
              <w:rPr>
                <w:rFonts w:ascii="宋体" w:hAnsi="宋体" w:eastAsia="宋体"/>
                <w:sz w:val="16"/>
              </w:rPr>
              <w:t>中共洛浦县委政法委员会</w:t>
            </w:r>
          </w:p>
        </w:tc>
      </w:tr>
      <w:tr w14:paraId="16AA8D8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4B7C1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EF74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0DE5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FA28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B980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1CF2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8316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C053A">
            <w:pPr>
              <w:jc w:val="center"/>
            </w:pPr>
            <w:r>
              <w:rPr>
                <w:rFonts w:ascii="宋体" w:hAnsi="宋体" w:eastAsia="宋体"/>
                <w:sz w:val="16"/>
              </w:rPr>
              <w:t>得分</w:t>
            </w:r>
          </w:p>
        </w:tc>
      </w:tr>
      <w:tr w14:paraId="03B881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A2CB3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A49B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C88C6">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3D88D">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96122">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C830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E3859">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B979E">
            <w:pPr>
              <w:jc w:val="center"/>
            </w:pPr>
            <w:r>
              <w:rPr>
                <w:rFonts w:ascii="宋体" w:hAnsi="宋体" w:eastAsia="宋体"/>
                <w:sz w:val="16"/>
              </w:rPr>
              <w:t>10.00分</w:t>
            </w:r>
          </w:p>
        </w:tc>
      </w:tr>
      <w:tr w14:paraId="1BE48D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8A188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A57E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649DA">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9A840">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997DF">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32D3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8EA7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008B5">
            <w:pPr>
              <w:jc w:val="center"/>
            </w:pPr>
            <w:r>
              <w:rPr>
                <w:rFonts w:ascii="宋体" w:hAnsi="宋体" w:eastAsia="宋体"/>
                <w:sz w:val="16"/>
              </w:rPr>
              <w:t>—</w:t>
            </w:r>
          </w:p>
        </w:tc>
      </w:tr>
      <w:tr w14:paraId="17052F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19CD3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1323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B08C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CCCC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5CF3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DC80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867C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056B2">
            <w:pPr>
              <w:jc w:val="center"/>
            </w:pPr>
            <w:r>
              <w:rPr>
                <w:rFonts w:ascii="宋体" w:hAnsi="宋体" w:eastAsia="宋体"/>
                <w:sz w:val="16"/>
              </w:rPr>
              <w:t>—</w:t>
            </w:r>
          </w:p>
        </w:tc>
      </w:tr>
      <w:tr w14:paraId="39FB20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31733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2D2B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D898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2975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4895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12B6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B45C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00C8F">
            <w:pPr>
              <w:jc w:val="center"/>
            </w:pPr>
            <w:r>
              <w:rPr>
                <w:rFonts w:ascii="宋体" w:hAnsi="宋体" w:eastAsia="宋体"/>
                <w:sz w:val="16"/>
              </w:rPr>
              <w:t>—</w:t>
            </w:r>
          </w:p>
        </w:tc>
      </w:tr>
      <w:tr w14:paraId="40B5DF7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33D21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B9E9FE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9B4216">
            <w:pPr>
              <w:jc w:val="center"/>
            </w:pPr>
            <w:r>
              <w:rPr>
                <w:rFonts w:ascii="宋体" w:hAnsi="宋体" w:eastAsia="宋体"/>
                <w:sz w:val="16"/>
              </w:rPr>
              <w:t>实际完成情况</w:t>
            </w:r>
          </w:p>
        </w:tc>
      </w:tr>
      <w:tr w14:paraId="660BC0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76EBE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1F733E9">
            <w:pPr>
              <w:jc w:val="both"/>
            </w:pPr>
            <w:r>
              <w:rPr>
                <w:rFonts w:ascii="宋体" w:hAnsi="宋体" w:eastAsia="宋体"/>
                <w:sz w:val="16"/>
              </w:rPr>
              <w:t>根据财经委员会（洛财纪字</w:t>
            </w:r>
            <w:r>
              <w:rPr>
                <w:rFonts w:hint="eastAsia" w:ascii="宋体" w:hAnsi="宋体"/>
                <w:sz w:val="16"/>
                <w:lang w:eastAsia="zh-CN"/>
              </w:rPr>
              <w:t>〔2024〕9号</w:t>
            </w:r>
            <w:r>
              <w:rPr>
                <w:rFonts w:ascii="宋体" w:hAnsi="宋体" w:eastAsia="宋体"/>
                <w:sz w:val="16"/>
              </w:rPr>
              <w:t>），为提高洛浦县域内视频监控上线率，项目总投资为71.57万元，本次支付10万元，项目完成时间为2024年12月；通过本项目实施，有效提高洛浦县域内视频监控上线率，第一时间发现问题、解决问题，维护洛浦县域内稳定，争取使受益干部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9FCB1C">
            <w:pPr>
              <w:jc w:val="both"/>
            </w:pPr>
            <w:r>
              <w:rPr>
                <w:rFonts w:hint="eastAsia" w:ascii="宋体" w:hAnsi="宋体"/>
                <w:sz w:val="16"/>
                <w:lang w:eastAsia="zh-CN"/>
              </w:rPr>
              <w:t>截至</w:t>
            </w:r>
            <w:r>
              <w:rPr>
                <w:rFonts w:ascii="宋体" w:hAnsi="宋体" w:eastAsia="宋体"/>
                <w:sz w:val="16"/>
              </w:rPr>
              <w:t>自评节点，该项目已完成。项目主要完成对摄像头电源普通500个，摄像头电源特殊100个。项目资金已支付10万元。通过本项目实施，有效维护洛浦县域内稳定，受益干部满意度达98.89%</w:t>
            </w:r>
          </w:p>
        </w:tc>
      </w:tr>
      <w:tr w14:paraId="415E0C5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94CFB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5D8C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A57A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FF1D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851D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CF2C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C21C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6F22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B2086">
            <w:pPr>
              <w:jc w:val="center"/>
            </w:pPr>
            <w:r>
              <w:rPr>
                <w:rFonts w:ascii="宋体" w:hAnsi="宋体" w:eastAsia="宋体"/>
                <w:sz w:val="16"/>
              </w:rPr>
              <w:t>偏差原因分析及改进措施</w:t>
            </w:r>
          </w:p>
        </w:tc>
      </w:tr>
      <w:tr w14:paraId="3671123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E7A88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EE4356">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21650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CC224">
            <w:pPr>
              <w:jc w:val="center"/>
            </w:pPr>
            <w:r>
              <w:rPr>
                <w:rFonts w:ascii="宋体" w:hAnsi="宋体" w:eastAsia="宋体"/>
                <w:sz w:val="16"/>
              </w:rPr>
              <w:t>摄像头电源普通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4350D">
            <w:pPr>
              <w:jc w:val="center"/>
            </w:pPr>
            <w:r>
              <w:rPr>
                <w:rFonts w:ascii="宋体" w:hAnsi="宋体" w:eastAsia="宋体"/>
                <w:sz w:val="16"/>
              </w:rPr>
              <w:t>&gt;=500个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FDA66">
            <w:pPr>
              <w:jc w:val="center"/>
            </w:pPr>
            <w:r>
              <w:rPr>
                <w:rFonts w:ascii="宋体" w:hAnsi="宋体" w:eastAsia="宋体"/>
                <w:sz w:val="16"/>
              </w:rPr>
              <w:t>=500个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0A02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64AC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84A10">
            <w:pPr>
              <w:jc w:val="center"/>
            </w:pPr>
          </w:p>
        </w:tc>
      </w:tr>
      <w:tr w14:paraId="73B0BD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C6E7B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9A343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3EDE8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52004">
            <w:pPr>
              <w:jc w:val="center"/>
            </w:pPr>
            <w:r>
              <w:rPr>
                <w:rFonts w:ascii="宋体" w:hAnsi="宋体" w:eastAsia="宋体"/>
                <w:sz w:val="16"/>
              </w:rPr>
              <w:t>摄像头电源特殊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80EEC">
            <w:pPr>
              <w:jc w:val="center"/>
            </w:pPr>
            <w:r>
              <w:rPr>
                <w:rFonts w:ascii="宋体" w:hAnsi="宋体" w:eastAsia="宋体"/>
                <w:sz w:val="16"/>
              </w:rPr>
              <w:t>&gt;=100个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8EA59">
            <w:pPr>
              <w:jc w:val="center"/>
            </w:pPr>
            <w:r>
              <w:rPr>
                <w:rFonts w:ascii="宋体" w:hAnsi="宋体" w:eastAsia="宋体"/>
                <w:sz w:val="16"/>
              </w:rPr>
              <w:t>=100个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4E50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C4DC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22B0B">
            <w:pPr>
              <w:jc w:val="center"/>
            </w:pPr>
          </w:p>
        </w:tc>
      </w:tr>
      <w:tr w14:paraId="037DCF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2491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4E177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9FAF9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F5E63">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FEE5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D49A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7D35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393C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943AA">
            <w:pPr>
              <w:jc w:val="center"/>
            </w:pPr>
          </w:p>
        </w:tc>
      </w:tr>
      <w:tr w14:paraId="605E9E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2287D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40413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5EE9F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B49E6">
            <w:pPr>
              <w:jc w:val="center"/>
            </w:pPr>
            <w:r>
              <w:rPr>
                <w:rFonts w:ascii="宋体" w:hAnsi="宋体" w:eastAsia="宋体"/>
                <w:sz w:val="16"/>
              </w:rPr>
              <w:t>设备验收合格率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2217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52B2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0214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CA0C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D2DC3">
            <w:pPr>
              <w:jc w:val="center"/>
            </w:pPr>
          </w:p>
        </w:tc>
      </w:tr>
      <w:tr w14:paraId="0D71A7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7B12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FE965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F816E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26964">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54B1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487F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C3D4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A418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FE647">
            <w:pPr>
              <w:jc w:val="center"/>
            </w:pPr>
          </w:p>
        </w:tc>
      </w:tr>
      <w:tr w14:paraId="73265E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519D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C26A2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16F6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AC60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62E2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7ABD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47A1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6BD1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AD1BD">
            <w:pPr>
              <w:jc w:val="center"/>
            </w:pPr>
          </w:p>
        </w:tc>
      </w:tr>
      <w:tr w14:paraId="08CEA1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E6101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018E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EB29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BE264">
            <w:pPr>
              <w:jc w:val="center"/>
            </w:pPr>
            <w:r>
              <w:rPr>
                <w:rFonts w:ascii="宋体" w:hAnsi="宋体" w:eastAsia="宋体"/>
                <w:sz w:val="16"/>
              </w:rPr>
              <w:t>支付辅材总金额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2AD42">
            <w:pPr>
              <w:jc w:val="center"/>
            </w:pPr>
            <w:r>
              <w:rPr>
                <w:rFonts w:ascii="宋体" w:hAnsi="宋体" w:eastAsia="宋体"/>
                <w:sz w:val="16"/>
              </w:rPr>
              <w:t>&lt;=10万元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36DED">
            <w:pPr>
              <w:jc w:val="center"/>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F271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0B29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EF855">
            <w:pPr>
              <w:jc w:val="center"/>
            </w:pPr>
          </w:p>
        </w:tc>
      </w:tr>
      <w:tr w14:paraId="6CBB9F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79422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4710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2EC8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51D86">
            <w:pPr>
              <w:jc w:val="center"/>
            </w:pPr>
            <w:r>
              <w:rPr>
                <w:rFonts w:ascii="宋体" w:hAnsi="宋体" w:eastAsia="宋体"/>
                <w:sz w:val="16"/>
              </w:rPr>
              <w:t>维护洛浦县域内稳定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3FA84">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2FD31">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997B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E75A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9ECEF">
            <w:pPr>
              <w:jc w:val="center"/>
            </w:pPr>
          </w:p>
        </w:tc>
      </w:tr>
      <w:tr w14:paraId="47D0C7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6D64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61CB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C3DE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B4575">
            <w:pPr>
              <w:jc w:val="center"/>
            </w:pPr>
            <w:r>
              <w:rPr>
                <w:rFonts w:ascii="宋体" w:hAnsi="宋体" w:eastAsia="宋体"/>
                <w:sz w:val="16"/>
              </w:rPr>
              <w:t>受益干部满意度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CCD3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0403B">
            <w:pPr>
              <w:jc w:val="center"/>
            </w:pPr>
            <w:r>
              <w:rPr>
                <w:rFonts w:ascii="宋体" w:hAnsi="宋体" w:eastAsia="宋体"/>
                <w:sz w:val="16"/>
              </w:rPr>
              <w:t>=98.89%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B3F2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C456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647D1">
            <w:pPr>
              <w:jc w:val="center"/>
            </w:pPr>
          </w:p>
        </w:tc>
      </w:tr>
      <w:tr w14:paraId="37C4171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57597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4684E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C8CE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275C4">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535DDCD"/>
        </w:tc>
      </w:tr>
    </w:tbl>
    <w:p w14:paraId="0155DC8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8F73BD7">
        <w:tblPrEx>
          <w:tblCellMar>
            <w:top w:w="0" w:type="dxa"/>
            <w:left w:w="108" w:type="dxa"/>
            <w:bottom w:w="0" w:type="dxa"/>
            <w:right w:w="108" w:type="dxa"/>
          </w:tblCellMar>
        </w:tblPrEx>
        <w:tc>
          <w:tcPr>
            <w:tcW w:w="8847" w:type="dxa"/>
            <w:gridSpan w:val="9"/>
            <w:vAlign w:val="center"/>
          </w:tcPr>
          <w:p w14:paraId="69D3AEF7">
            <w:pPr>
              <w:jc w:val="center"/>
            </w:pPr>
            <w:r>
              <w:rPr>
                <w:rFonts w:ascii="宋体" w:hAnsi="宋体" w:eastAsia="宋体"/>
                <w:sz w:val="24"/>
              </w:rPr>
              <w:t>项目支出绩效自评表</w:t>
            </w:r>
          </w:p>
        </w:tc>
      </w:tr>
      <w:tr w14:paraId="71398FD7">
        <w:tblPrEx>
          <w:tblCellMar>
            <w:top w:w="0" w:type="dxa"/>
            <w:left w:w="108" w:type="dxa"/>
            <w:bottom w:w="0" w:type="dxa"/>
            <w:right w:w="108" w:type="dxa"/>
          </w:tblCellMar>
        </w:tblPrEx>
        <w:tc>
          <w:tcPr>
            <w:tcW w:w="8847" w:type="dxa"/>
            <w:gridSpan w:val="9"/>
            <w:vAlign w:val="center"/>
          </w:tcPr>
          <w:p w14:paraId="2E353E97">
            <w:pPr>
              <w:jc w:val="center"/>
            </w:pPr>
            <w:r>
              <w:rPr>
                <w:rFonts w:ascii="宋体" w:hAnsi="宋体" w:eastAsia="宋体"/>
                <w:sz w:val="24"/>
              </w:rPr>
              <w:t>(2024年度)</w:t>
            </w:r>
          </w:p>
        </w:tc>
      </w:tr>
      <w:tr w14:paraId="31C28DE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B18B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14E170A">
            <w:pPr>
              <w:jc w:val="center"/>
            </w:pPr>
            <w:r>
              <w:rPr>
                <w:rFonts w:ascii="宋体" w:hAnsi="宋体" w:eastAsia="宋体"/>
                <w:sz w:val="16"/>
              </w:rPr>
              <w:t>乌昌工作站及带队干部生活补助</w:t>
            </w:r>
          </w:p>
        </w:tc>
      </w:tr>
      <w:tr w14:paraId="66F0410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8E40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B6C7007">
            <w:pPr>
              <w:jc w:val="center"/>
            </w:pPr>
            <w:r>
              <w:rPr>
                <w:rFonts w:ascii="宋体" w:hAnsi="宋体" w:eastAsia="宋体"/>
                <w:sz w:val="16"/>
              </w:rPr>
              <w:t>中共洛浦县委政法委员会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F3CC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5B576B3">
            <w:pPr>
              <w:jc w:val="center"/>
            </w:pPr>
            <w:r>
              <w:rPr>
                <w:rFonts w:ascii="宋体" w:hAnsi="宋体" w:eastAsia="宋体"/>
                <w:sz w:val="16"/>
              </w:rPr>
              <w:t>中共洛浦县委政法委员会</w:t>
            </w:r>
          </w:p>
        </w:tc>
      </w:tr>
      <w:tr w14:paraId="33B6036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3CC33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94AE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2FC7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FC86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2C73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BB50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ADF6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BB32B">
            <w:pPr>
              <w:jc w:val="center"/>
            </w:pPr>
            <w:r>
              <w:rPr>
                <w:rFonts w:ascii="宋体" w:hAnsi="宋体" w:eastAsia="宋体"/>
                <w:sz w:val="16"/>
              </w:rPr>
              <w:t>得分</w:t>
            </w:r>
          </w:p>
        </w:tc>
      </w:tr>
      <w:tr w14:paraId="6AB309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AF380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1E2A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D1D89">
            <w:pPr>
              <w:jc w:val="center"/>
            </w:pPr>
            <w:r>
              <w:rPr>
                <w:rFonts w:ascii="宋体" w:hAnsi="宋体" w:eastAsia="宋体"/>
                <w:sz w:val="16"/>
              </w:rPr>
              <w:t>4.83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F912C">
            <w:pPr>
              <w:jc w:val="center"/>
            </w:pPr>
            <w:r>
              <w:rPr>
                <w:rFonts w:ascii="宋体" w:hAnsi="宋体" w:eastAsia="宋体"/>
                <w:sz w:val="16"/>
              </w:rPr>
              <w:t>13.29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C647E">
            <w:pPr>
              <w:jc w:val="center"/>
            </w:pPr>
            <w:r>
              <w:rPr>
                <w:rFonts w:ascii="宋体" w:hAnsi="宋体" w:eastAsia="宋体"/>
                <w:sz w:val="16"/>
              </w:rPr>
              <w:t>11.91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C691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27A51">
            <w:pPr>
              <w:jc w:val="center"/>
            </w:pPr>
            <w:r>
              <w:rPr>
                <w:rFonts w:ascii="宋体" w:hAnsi="宋体" w:eastAsia="宋体"/>
                <w:sz w:val="16"/>
              </w:rPr>
              <w:t xml:space="preserve">89.62%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A5F7A">
            <w:pPr>
              <w:jc w:val="center"/>
            </w:pPr>
            <w:r>
              <w:rPr>
                <w:rFonts w:ascii="宋体" w:hAnsi="宋体" w:eastAsia="宋体"/>
                <w:sz w:val="16"/>
              </w:rPr>
              <w:t>7.41分</w:t>
            </w:r>
          </w:p>
        </w:tc>
      </w:tr>
      <w:tr w14:paraId="792A7C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3B719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FD53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4E663">
            <w:pPr>
              <w:jc w:val="center"/>
            </w:pPr>
            <w:r>
              <w:rPr>
                <w:rFonts w:ascii="宋体" w:hAnsi="宋体" w:eastAsia="宋体"/>
                <w:sz w:val="16"/>
              </w:rPr>
              <w:t>4.83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BBF8D">
            <w:pPr>
              <w:jc w:val="center"/>
            </w:pPr>
            <w:r>
              <w:rPr>
                <w:rFonts w:ascii="宋体" w:hAnsi="宋体" w:eastAsia="宋体"/>
                <w:sz w:val="16"/>
              </w:rPr>
              <w:t>13.29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E0C44">
            <w:pPr>
              <w:jc w:val="center"/>
            </w:pPr>
            <w:r>
              <w:rPr>
                <w:rFonts w:ascii="宋体" w:hAnsi="宋体" w:eastAsia="宋体"/>
                <w:sz w:val="16"/>
              </w:rPr>
              <w:t>11.91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A81A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2439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E0505">
            <w:pPr>
              <w:jc w:val="center"/>
            </w:pPr>
            <w:r>
              <w:rPr>
                <w:rFonts w:ascii="宋体" w:hAnsi="宋体" w:eastAsia="宋体"/>
                <w:sz w:val="16"/>
              </w:rPr>
              <w:t>—</w:t>
            </w:r>
          </w:p>
        </w:tc>
      </w:tr>
      <w:tr w14:paraId="22AA11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98A04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24E7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1F56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9329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00C7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D236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5774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23DC2">
            <w:pPr>
              <w:jc w:val="center"/>
            </w:pPr>
            <w:r>
              <w:rPr>
                <w:rFonts w:ascii="宋体" w:hAnsi="宋体" w:eastAsia="宋体"/>
                <w:sz w:val="16"/>
              </w:rPr>
              <w:t>—</w:t>
            </w:r>
          </w:p>
        </w:tc>
      </w:tr>
      <w:tr w14:paraId="4A4F92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B4944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D4E7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73D3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B4C4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7F75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AADE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F2E2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64FDF">
            <w:pPr>
              <w:jc w:val="center"/>
            </w:pPr>
            <w:r>
              <w:rPr>
                <w:rFonts w:ascii="宋体" w:hAnsi="宋体" w:eastAsia="宋体"/>
                <w:sz w:val="16"/>
              </w:rPr>
              <w:t>—</w:t>
            </w:r>
          </w:p>
        </w:tc>
      </w:tr>
      <w:tr w14:paraId="06BA487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8BEAC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2F4E0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A30F17">
            <w:pPr>
              <w:jc w:val="center"/>
            </w:pPr>
            <w:r>
              <w:rPr>
                <w:rFonts w:ascii="宋体" w:hAnsi="宋体" w:eastAsia="宋体"/>
                <w:sz w:val="16"/>
              </w:rPr>
              <w:t>实际完成情况</w:t>
            </w:r>
          </w:p>
        </w:tc>
      </w:tr>
      <w:tr w14:paraId="551529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9481B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BCC582E">
            <w:pPr>
              <w:jc w:val="both"/>
            </w:pPr>
            <w:r>
              <w:rPr>
                <w:rFonts w:ascii="宋体" w:hAnsi="宋体" w:eastAsia="宋体"/>
                <w:sz w:val="16"/>
              </w:rPr>
              <w:t>为提高干部工作效率，项目总投资为4.83万元，项目完成时间为2024年12月；通过本项目实施，有效提高干部工作效率，争取使受益干部满意度达到98%以上。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F83A4F">
            <w:pPr>
              <w:jc w:val="both"/>
            </w:pPr>
            <w:r>
              <w:rPr>
                <w:rFonts w:ascii="宋体" w:hAnsi="宋体" w:eastAsia="宋体"/>
                <w:sz w:val="16"/>
              </w:rPr>
              <w:t>截止至自评节点，该项目已完成。项目因人员动态优化，实际主要完成对1-5月11人，6-11月4人的乌昌干部生活补助。项目资金已使用11.91万元。通过项目的实施，有效提高国家干部工作积极性，受益干部满意度达98.33%</w:t>
            </w:r>
          </w:p>
        </w:tc>
      </w:tr>
      <w:tr w14:paraId="7F5A0C2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E59066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889D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CA03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3979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AED1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9D90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DE3C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5516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A9176">
            <w:pPr>
              <w:jc w:val="center"/>
            </w:pPr>
            <w:r>
              <w:rPr>
                <w:rFonts w:ascii="宋体" w:hAnsi="宋体" w:eastAsia="宋体"/>
                <w:sz w:val="16"/>
              </w:rPr>
              <w:t>偏差原因分析及改进措施</w:t>
            </w:r>
          </w:p>
        </w:tc>
      </w:tr>
      <w:tr w14:paraId="4263E3E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42FE9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6B6B34">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B51E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911A0">
            <w:pPr>
              <w:jc w:val="center"/>
            </w:pPr>
            <w:r>
              <w:rPr>
                <w:rFonts w:ascii="宋体" w:hAnsi="宋体" w:eastAsia="宋体"/>
                <w:sz w:val="16"/>
              </w:rPr>
              <w:t>乌昌补贴保障人数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DBDA5">
            <w:pPr>
              <w:jc w:val="center"/>
            </w:pPr>
            <w:r>
              <w:rPr>
                <w:rFonts w:ascii="宋体" w:hAnsi="宋体" w:eastAsia="宋体"/>
                <w:sz w:val="16"/>
              </w:rPr>
              <w:t>&gt;=11人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AF567">
            <w:pPr>
              <w:jc w:val="center"/>
            </w:pPr>
            <w:r>
              <w:rPr>
                <w:rFonts w:ascii="宋体" w:hAnsi="宋体" w:eastAsia="宋体"/>
                <w:sz w:val="16"/>
              </w:rPr>
              <w:t>=11人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D6D6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5A61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CD658">
            <w:pPr>
              <w:jc w:val="center"/>
            </w:pPr>
          </w:p>
        </w:tc>
      </w:tr>
      <w:tr w14:paraId="24F6AF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8706A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9B816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70CE0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CD3C2">
            <w:pPr>
              <w:jc w:val="center"/>
            </w:pPr>
            <w:r>
              <w:rPr>
                <w:rFonts w:ascii="宋体" w:hAnsi="宋体" w:eastAsia="宋体"/>
                <w:sz w:val="16"/>
              </w:rPr>
              <w:t>补贴发放覆盖率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995C3">
            <w:pPr>
              <w:jc w:val="center"/>
            </w:pPr>
            <w:r>
              <w:rPr>
                <w:rFonts w:ascii="宋体" w:hAnsi="宋体" w:eastAsia="宋体"/>
                <w:sz w:val="16"/>
              </w:rPr>
              <w:t>&gt;=100%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A61F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7EE9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429B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43DE8">
            <w:pPr>
              <w:jc w:val="center"/>
            </w:pPr>
          </w:p>
        </w:tc>
      </w:tr>
      <w:tr w14:paraId="72A4BB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7434C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29DB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DE22D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D9953">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55D4F">
            <w:pPr>
              <w:jc w:val="center"/>
            </w:pPr>
            <w:r>
              <w:rPr>
                <w:rFonts w:ascii="宋体" w:hAnsi="宋体" w:eastAsia="宋体"/>
                <w:sz w:val="16"/>
              </w:rPr>
              <w:t>&gt;=100%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46E9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7143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C5A0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D2774">
            <w:pPr>
              <w:jc w:val="center"/>
            </w:pPr>
          </w:p>
        </w:tc>
      </w:tr>
      <w:tr w14:paraId="7812F8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DD610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E41BE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BF8BC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BF602">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38B8F">
            <w:pPr>
              <w:jc w:val="center"/>
            </w:pPr>
            <w:r>
              <w:rPr>
                <w:rFonts w:ascii="宋体" w:hAnsi="宋体" w:eastAsia="宋体"/>
                <w:sz w:val="16"/>
              </w:rPr>
              <w:t>&gt;=100%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4D3A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8CE8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CF6C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89BEE">
            <w:pPr>
              <w:jc w:val="center"/>
            </w:pPr>
          </w:p>
        </w:tc>
      </w:tr>
      <w:tr w14:paraId="167BC7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A7A90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84069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0ED9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8C8CB">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01A1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9EE5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4D1C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7FE5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05BEB">
            <w:pPr>
              <w:jc w:val="center"/>
            </w:pPr>
          </w:p>
        </w:tc>
      </w:tr>
      <w:tr w14:paraId="4A0583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237D7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D4E27">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070F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9DFF1">
            <w:pPr>
              <w:jc w:val="center"/>
            </w:pPr>
            <w:r>
              <w:rPr>
                <w:rFonts w:ascii="宋体" w:hAnsi="宋体" w:eastAsia="宋体"/>
                <w:sz w:val="16"/>
              </w:rPr>
              <w:t>人均乌昌补助金额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45517">
            <w:pPr>
              <w:jc w:val="center"/>
            </w:pPr>
            <w:r>
              <w:rPr>
                <w:rFonts w:ascii="宋体" w:hAnsi="宋体" w:eastAsia="宋体"/>
                <w:sz w:val="16"/>
              </w:rPr>
              <w:t>&lt;=0.15万元/人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0F816">
            <w:pPr>
              <w:jc w:val="center"/>
            </w:pPr>
            <w:r>
              <w:rPr>
                <w:rFonts w:ascii="宋体" w:hAnsi="宋体" w:eastAsia="宋体"/>
                <w:sz w:val="16"/>
              </w:rPr>
              <w:t>=0.15万元/人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A2C6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6CA4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05015">
            <w:pPr>
              <w:jc w:val="center"/>
            </w:pPr>
          </w:p>
        </w:tc>
      </w:tr>
      <w:tr w14:paraId="7AC0C3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FA3FA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4130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AAFA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FB9AB">
            <w:pPr>
              <w:jc w:val="center"/>
            </w:pPr>
            <w:r>
              <w:rPr>
                <w:rFonts w:ascii="宋体" w:hAnsi="宋体" w:eastAsia="宋体"/>
                <w:sz w:val="16"/>
              </w:rPr>
              <w:t>提高国家干部工作积极性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7B1BC">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95741">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8278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58CB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BEE89">
            <w:pPr>
              <w:jc w:val="center"/>
            </w:pPr>
          </w:p>
        </w:tc>
      </w:tr>
      <w:tr w14:paraId="0CBC27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9F034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330F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44E2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307FF">
            <w:pPr>
              <w:jc w:val="center"/>
            </w:pPr>
            <w:r>
              <w:rPr>
                <w:rFonts w:ascii="宋体" w:hAnsi="宋体" w:eastAsia="宋体"/>
                <w:sz w:val="16"/>
              </w:rPr>
              <w:t>受益干部满意度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EE2C2">
            <w:pPr>
              <w:jc w:val="center"/>
            </w:pPr>
            <w:r>
              <w:rPr>
                <w:rFonts w:ascii="宋体" w:hAnsi="宋体" w:eastAsia="宋体"/>
                <w:sz w:val="16"/>
              </w:rPr>
              <w:t>&gt;=98%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362F1">
            <w:pPr>
              <w:jc w:val="center"/>
            </w:pPr>
            <w:r>
              <w:rPr>
                <w:rFonts w:ascii="宋体" w:hAnsi="宋体" w:eastAsia="宋体"/>
                <w:sz w:val="16"/>
              </w:rPr>
              <w:t>=98.33%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F55F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DFBE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71910">
            <w:pPr>
              <w:jc w:val="center"/>
            </w:pPr>
          </w:p>
        </w:tc>
      </w:tr>
      <w:tr w14:paraId="5283B8D6">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306258">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B2FAD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151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52F6F">
            <w:pPr>
              <w:jc w:val="center"/>
            </w:pPr>
            <w:r>
              <w:rPr>
                <w:rFonts w:ascii="宋体" w:hAnsi="宋体" w:eastAsia="宋体"/>
                <w:sz w:val="16"/>
              </w:rPr>
              <w:t>97.41分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4DCD2FB"/>
        </w:tc>
      </w:tr>
    </w:tbl>
    <w:p w14:paraId="6D38AEE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7973A11">
        <w:tblPrEx>
          <w:tblCellMar>
            <w:top w:w="0" w:type="dxa"/>
            <w:left w:w="108" w:type="dxa"/>
            <w:bottom w:w="0" w:type="dxa"/>
            <w:right w:w="108" w:type="dxa"/>
          </w:tblCellMar>
        </w:tblPrEx>
        <w:tc>
          <w:tcPr>
            <w:tcW w:w="8847" w:type="dxa"/>
            <w:gridSpan w:val="9"/>
            <w:vAlign w:val="center"/>
          </w:tcPr>
          <w:p w14:paraId="4A74AAD0">
            <w:pPr>
              <w:jc w:val="center"/>
            </w:pPr>
            <w:r>
              <w:rPr>
                <w:rFonts w:ascii="宋体" w:hAnsi="宋体" w:eastAsia="宋体"/>
                <w:sz w:val="24"/>
              </w:rPr>
              <w:t>项目支出绩效自评表</w:t>
            </w:r>
          </w:p>
        </w:tc>
      </w:tr>
      <w:tr w14:paraId="6CBC8CD6">
        <w:tblPrEx>
          <w:tblCellMar>
            <w:top w:w="0" w:type="dxa"/>
            <w:left w:w="108" w:type="dxa"/>
            <w:bottom w:w="0" w:type="dxa"/>
            <w:right w:w="108" w:type="dxa"/>
          </w:tblCellMar>
        </w:tblPrEx>
        <w:tc>
          <w:tcPr>
            <w:tcW w:w="8847" w:type="dxa"/>
            <w:gridSpan w:val="9"/>
            <w:vAlign w:val="center"/>
          </w:tcPr>
          <w:p w14:paraId="26AD4DD6">
            <w:pPr>
              <w:jc w:val="center"/>
            </w:pPr>
            <w:r>
              <w:rPr>
                <w:rFonts w:ascii="宋体" w:hAnsi="宋体" w:eastAsia="宋体"/>
                <w:sz w:val="24"/>
              </w:rPr>
              <w:t>(2024年度)</w:t>
            </w:r>
          </w:p>
        </w:tc>
      </w:tr>
      <w:tr w14:paraId="51D0482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7DC1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57BC90D">
            <w:pPr>
              <w:jc w:val="center"/>
            </w:pPr>
            <w:r>
              <w:rPr>
                <w:rFonts w:ascii="宋体" w:hAnsi="宋体" w:eastAsia="宋体"/>
                <w:sz w:val="16"/>
              </w:rPr>
              <w:t>洛浦县社会矛盾纠纷调处化解中心改造费</w:t>
            </w:r>
          </w:p>
        </w:tc>
      </w:tr>
      <w:tr w14:paraId="793932F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2DD7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54F4F07">
            <w:pPr>
              <w:jc w:val="center"/>
            </w:pPr>
            <w:r>
              <w:rPr>
                <w:rFonts w:ascii="宋体" w:hAnsi="宋体" w:eastAsia="宋体"/>
                <w:sz w:val="16"/>
              </w:rPr>
              <w:t>中共洛浦县委政法委员会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5B3E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4A7F37">
            <w:pPr>
              <w:jc w:val="center"/>
            </w:pPr>
            <w:r>
              <w:rPr>
                <w:rFonts w:ascii="宋体" w:hAnsi="宋体" w:eastAsia="宋体"/>
                <w:sz w:val="16"/>
              </w:rPr>
              <w:t>中共洛浦县委政法委员会</w:t>
            </w:r>
          </w:p>
        </w:tc>
      </w:tr>
      <w:tr w14:paraId="1044645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47606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398C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5877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DE3A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A333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8B7E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63DC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DE1F1">
            <w:pPr>
              <w:jc w:val="center"/>
            </w:pPr>
            <w:r>
              <w:rPr>
                <w:rFonts w:ascii="宋体" w:hAnsi="宋体" w:eastAsia="宋体"/>
                <w:sz w:val="16"/>
              </w:rPr>
              <w:t>得分</w:t>
            </w:r>
          </w:p>
        </w:tc>
      </w:tr>
      <w:tr w14:paraId="3AFB11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487BC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628A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27FDB">
            <w:pPr>
              <w:jc w:val="center"/>
            </w:pPr>
            <w:r>
              <w:rPr>
                <w:rFonts w:ascii="宋体" w:hAnsi="宋体" w:eastAsia="宋体"/>
                <w:sz w:val="16"/>
              </w:rPr>
              <w:t>4.76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4DF80">
            <w:pPr>
              <w:jc w:val="center"/>
            </w:pPr>
            <w:r>
              <w:rPr>
                <w:rFonts w:ascii="宋体" w:hAnsi="宋体" w:eastAsia="宋体"/>
                <w:sz w:val="16"/>
              </w:rPr>
              <w:t>4.76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8F3E4">
            <w:pPr>
              <w:jc w:val="center"/>
            </w:pPr>
            <w:r>
              <w:rPr>
                <w:rFonts w:ascii="宋体" w:hAnsi="宋体" w:eastAsia="宋体"/>
                <w:sz w:val="16"/>
              </w:rPr>
              <w:t>4.76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585F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4009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16CB4">
            <w:pPr>
              <w:jc w:val="center"/>
            </w:pPr>
            <w:r>
              <w:rPr>
                <w:rFonts w:ascii="宋体" w:hAnsi="宋体" w:eastAsia="宋体"/>
                <w:sz w:val="16"/>
              </w:rPr>
              <w:t>10.00分</w:t>
            </w:r>
          </w:p>
        </w:tc>
      </w:tr>
      <w:tr w14:paraId="20075F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215D5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7327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33286">
            <w:pPr>
              <w:jc w:val="center"/>
            </w:pPr>
            <w:r>
              <w:rPr>
                <w:rFonts w:ascii="宋体" w:hAnsi="宋体" w:eastAsia="宋体"/>
                <w:sz w:val="16"/>
              </w:rPr>
              <w:t>4.76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94511">
            <w:pPr>
              <w:jc w:val="center"/>
            </w:pPr>
            <w:r>
              <w:rPr>
                <w:rFonts w:ascii="宋体" w:hAnsi="宋体" w:eastAsia="宋体"/>
                <w:sz w:val="16"/>
              </w:rPr>
              <w:t>4.76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7FDEE">
            <w:pPr>
              <w:jc w:val="center"/>
            </w:pPr>
            <w:r>
              <w:rPr>
                <w:rFonts w:ascii="宋体" w:hAnsi="宋体" w:eastAsia="宋体"/>
                <w:sz w:val="16"/>
              </w:rPr>
              <w:t>4.76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F75D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F823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673FC">
            <w:pPr>
              <w:jc w:val="center"/>
            </w:pPr>
            <w:r>
              <w:rPr>
                <w:rFonts w:ascii="宋体" w:hAnsi="宋体" w:eastAsia="宋体"/>
                <w:sz w:val="16"/>
              </w:rPr>
              <w:t>—</w:t>
            </w:r>
          </w:p>
        </w:tc>
      </w:tr>
      <w:tr w14:paraId="215F7B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9BBCE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A7DF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30CD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3122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2A47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13B5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D0D8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5A1C4">
            <w:pPr>
              <w:jc w:val="center"/>
            </w:pPr>
            <w:r>
              <w:rPr>
                <w:rFonts w:ascii="宋体" w:hAnsi="宋体" w:eastAsia="宋体"/>
                <w:sz w:val="16"/>
              </w:rPr>
              <w:t>—</w:t>
            </w:r>
          </w:p>
        </w:tc>
      </w:tr>
      <w:tr w14:paraId="35BFDF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8E290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ED74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FE3E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0A2C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8C98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CD51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0C43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DD282">
            <w:pPr>
              <w:jc w:val="center"/>
            </w:pPr>
            <w:r>
              <w:rPr>
                <w:rFonts w:ascii="宋体" w:hAnsi="宋体" w:eastAsia="宋体"/>
                <w:sz w:val="16"/>
              </w:rPr>
              <w:t>—</w:t>
            </w:r>
          </w:p>
        </w:tc>
      </w:tr>
      <w:tr w14:paraId="5C050A4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8C09B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1061EC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19EED5">
            <w:pPr>
              <w:jc w:val="center"/>
            </w:pPr>
            <w:r>
              <w:rPr>
                <w:rFonts w:ascii="宋体" w:hAnsi="宋体" w:eastAsia="宋体"/>
                <w:sz w:val="16"/>
              </w:rPr>
              <w:t>实际完成情况</w:t>
            </w:r>
          </w:p>
        </w:tc>
      </w:tr>
      <w:tr w14:paraId="7C7C78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F35F2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211BAB">
            <w:pPr>
              <w:jc w:val="both"/>
            </w:pPr>
            <w:r>
              <w:rPr>
                <w:rFonts w:ascii="宋体" w:hAnsi="宋体" w:eastAsia="宋体"/>
                <w:sz w:val="16"/>
              </w:rPr>
              <w:t>根据财经委员会（洛财纪字</w:t>
            </w:r>
            <w:r>
              <w:rPr>
                <w:rFonts w:hint="eastAsia" w:ascii="宋体" w:hAnsi="宋体"/>
                <w:sz w:val="16"/>
                <w:lang w:eastAsia="zh-CN"/>
              </w:rPr>
              <w:t>〔2024〕11号</w:t>
            </w:r>
            <w:r>
              <w:rPr>
                <w:rFonts w:ascii="宋体" w:hAnsi="宋体" w:eastAsia="宋体"/>
                <w:sz w:val="16"/>
              </w:rPr>
              <w:t>），为提高干部工作效率，项目资金主要用于维修行政服务中心墙板，项目总投资为4.76万元，项目完成时间为2024年12月；通过本项目实施，有效提高国家干部工作积极性，争取使受益干部满意度达95%以上。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46E397">
            <w:pPr>
              <w:jc w:val="both"/>
            </w:pPr>
            <w:r>
              <w:rPr>
                <w:rFonts w:ascii="宋体" w:hAnsi="宋体" w:eastAsia="宋体"/>
                <w:sz w:val="16"/>
              </w:rPr>
              <w:t>截止至自评节点，该项目已完成。项目主要完成维修行政服务中心墙板33平方米，项目资金已使用4.76万元。通过项目的实施，有效提高国家干部工作积极性，受益干部满意度达98.89%。</w:t>
            </w:r>
          </w:p>
        </w:tc>
      </w:tr>
      <w:tr w14:paraId="5FDB920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A1FD5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D567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7005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BF10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CFA7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FDE9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ED56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B914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28CC2">
            <w:pPr>
              <w:jc w:val="center"/>
            </w:pPr>
            <w:r>
              <w:rPr>
                <w:rFonts w:ascii="宋体" w:hAnsi="宋体" w:eastAsia="宋体"/>
                <w:sz w:val="16"/>
              </w:rPr>
              <w:t>偏差原因分析及改进措施</w:t>
            </w:r>
          </w:p>
        </w:tc>
      </w:tr>
      <w:tr w14:paraId="339A00D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05622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B698DE">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C614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4158B">
            <w:pPr>
              <w:jc w:val="center"/>
            </w:pPr>
            <w:r>
              <w:rPr>
                <w:rFonts w:ascii="宋体" w:hAnsi="宋体" w:eastAsia="宋体"/>
                <w:sz w:val="16"/>
              </w:rPr>
              <w:t>维修行政服务中心墙板</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962F7">
            <w:pPr>
              <w:jc w:val="center"/>
            </w:pPr>
            <w:r>
              <w:rPr>
                <w:rFonts w:ascii="宋体" w:hAnsi="宋体" w:eastAsia="宋体"/>
                <w:sz w:val="16"/>
              </w:rPr>
              <w:t>&gt;=33平方米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0E6B3">
            <w:pPr>
              <w:jc w:val="center"/>
            </w:pPr>
            <w:r>
              <w:rPr>
                <w:rFonts w:ascii="宋体" w:hAnsi="宋体" w:eastAsia="宋体"/>
                <w:sz w:val="16"/>
              </w:rPr>
              <w:t>=33平方米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D19C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616A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0603F">
            <w:pPr>
              <w:jc w:val="center"/>
            </w:pPr>
          </w:p>
        </w:tc>
      </w:tr>
      <w:tr w14:paraId="7AF66F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286CA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581D0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96D4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BECAD">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0819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BD09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085C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D284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AABBD">
            <w:pPr>
              <w:jc w:val="center"/>
            </w:pPr>
          </w:p>
        </w:tc>
      </w:tr>
      <w:tr w14:paraId="5BD690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45BE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FDA4D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A1953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D1612">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92A2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5C44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FD6D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BB62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F7EC0">
            <w:pPr>
              <w:jc w:val="center"/>
            </w:pPr>
          </w:p>
        </w:tc>
      </w:tr>
      <w:tr w14:paraId="30BEB0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B709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350C1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99F5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F948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EC9A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212D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FD79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C00C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62268">
            <w:pPr>
              <w:jc w:val="center"/>
            </w:pPr>
          </w:p>
        </w:tc>
      </w:tr>
      <w:tr w14:paraId="199725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7496E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46F8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C68B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F3042">
            <w:pPr>
              <w:jc w:val="center"/>
            </w:pPr>
            <w:r>
              <w:rPr>
                <w:rFonts w:ascii="宋体" w:hAnsi="宋体" w:eastAsia="宋体"/>
                <w:sz w:val="16"/>
              </w:rPr>
              <w:t>维修金额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3DE54">
            <w:pPr>
              <w:jc w:val="center"/>
            </w:pPr>
            <w:r>
              <w:rPr>
                <w:rFonts w:ascii="宋体" w:hAnsi="宋体" w:eastAsia="宋体"/>
                <w:sz w:val="16"/>
              </w:rPr>
              <w:t>&lt;=4.76万元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00E3C">
            <w:pPr>
              <w:jc w:val="center"/>
            </w:pPr>
            <w:r>
              <w:rPr>
                <w:rFonts w:ascii="宋体" w:hAnsi="宋体" w:eastAsia="宋体"/>
                <w:sz w:val="16"/>
              </w:rPr>
              <w:t>=4.76万元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AC62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BC8E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A59D1">
            <w:pPr>
              <w:jc w:val="center"/>
            </w:pPr>
          </w:p>
        </w:tc>
      </w:tr>
      <w:tr w14:paraId="59375A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3C76C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F6CF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DDBD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21E91">
            <w:pPr>
              <w:jc w:val="center"/>
            </w:pPr>
            <w:r>
              <w:rPr>
                <w:rFonts w:ascii="宋体" w:hAnsi="宋体" w:eastAsia="宋体"/>
                <w:sz w:val="16"/>
              </w:rPr>
              <w:t>提高国家干部工作积极性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EE277">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802D8">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D8FB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993D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99C00">
            <w:pPr>
              <w:jc w:val="center"/>
            </w:pPr>
          </w:p>
        </w:tc>
      </w:tr>
      <w:tr w14:paraId="4242D7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C70CC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4C09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6465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5380F">
            <w:pPr>
              <w:jc w:val="center"/>
            </w:pPr>
            <w:r>
              <w:rPr>
                <w:rFonts w:ascii="宋体" w:hAnsi="宋体" w:eastAsia="宋体"/>
                <w:sz w:val="16"/>
              </w:rPr>
              <w:t>受益干部满意度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92707">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D4115">
            <w:pPr>
              <w:jc w:val="center"/>
            </w:pPr>
            <w:r>
              <w:rPr>
                <w:rFonts w:ascii="宋体" w:hAnsi="宋体" w:eastAsia="宋体"/>
                <w:sz w:val="16"/>
              </w:rPr>
              <w:t>=98.89%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5CB6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12C7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D5C97">
            <w:pPr>
              <w:jc w:val="center"/>
            </w:pPr>
          </w:p>
        </w:tc>
      </w:tr>
      <w:tr w14:paraId="2CB5A9E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730F2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622CE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E84C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4E976">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D613816"/>
        </w:tc>
      </w:tr>
    </w:tbl>
    <w:p w14:paraId="6E5EBBC3">
      <w:r>
        <w:br w:type="page"/>
      </w:r>
    </w:p>
    <w:p w14:paraId="3B843ABA">
      <w:pPr>
        <w:spacing w:line="640" w:lineRule="exact"/>
        <w:ind w:firstLine="640"/>
        <w:jc w:val="both"/>
        <w:outlineLvl w:val="2"/>
      </w:pPr>
      <w:r>
        <w:rPr>
          <w:rFonts w:ascii="黑体" w:hAnsi="黑体" w:eastAsia="黑体"/>
          <w:sz w:val="32"/>
        </w:rPr>
        <w:t>十二、其他需说明的事项</w:t>
      </w:r>
    </w:p>
    <w:p w14:paraId="1E17E238">
      <w:pPr>
        <w:spacing w:line="580" w:lineRule="exact"/>
        <w:ind w:firstLine="640"/>
        <w:jc w:val="both"/>
      </w:pPr>
      <w:r>
        <w:rPr>
          <w:rFonts w:ascii="仿宋_GB2312" w:hAnsi="仿宋_GB2312" w:eastAsia="仿宋_GB2312"/>
          <w:b w:val="0"/>
          <w:sz w:val="32"/>
        </w:rPr>
        <w:t>本年本单位SM项目4个，全年预算数为57.43万元，全年执行数57.43万元。</w:t>
      </w:r>
    </w:p>
    <w:p w14:paraId="09C5BD97">
      <w:r>
        <w:br w:type="page"/>
      </w:r>
    </w:p>
    <w:p w14:paraId="0EEBFB1E">
      <w:pPr>
        <w:spacing w:line="240" w:lineRule="auto"/>
        <w:jc w:val="center"/>
        <w:outlineLvl w:val="1"/>
      </w:pPr>
      <w:r>
        <w:rPr>
          <w:rFonts w:ascii="黑体" w:hAnsi="黑体" w:eastAsia="黑体"/>
          <w:sz w:val="32"/>
        </w:rPr>
        <w:t>第三部分 专业名词解释</w:t>
      </w:r>
    </w:p>
    <w:p w14:paraId="1A4EB8D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2C68C3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0387CA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7F192E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E26441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FD2763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7E35F5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88CF8E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86C112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BAE3D7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79728D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3FAC54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6744B6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81EB92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055FC2D">
      <w:r>
        <w:br w:type="page"/>
      </w:r>
    </w:p>
    <w:p w14:paraId="1AF91B45">
      <w:pPr>
        <w:spacing w:line="240" w:lineRule="auto"/>
        <w:jc w:val="center"/>
        <w:outlineLvl w:val="1"/>
      </w:pPr>
      <w:r>
        <w:rPr>
          <w:rFonts w:ascii="黑体" w:hAnsi="黑体" w:eastAsia="黑体"/>
          <w:sz w:val="32"/>
        </w:rPr>
        <w:t>第四部分 部门决算报表（见附表）</w:t>
      </w:r>
    </w:p>
    <w:p w14:paraId="46DB8BD5">
      <w:pPr>
        <w:spacing w:line="240" w:lineRule="auto"/>
        <w:ind w:firstLine="640"/>
        <w:jc w:val="both"/>
      </w:pPr>
      <w:r>
        <w:rPr>
          <w:rFonts w:ascii="仿宋_GB2312" w:hAnsi="仿宋_GB2312" w:eastAsia="仿宋_GB2312"/>
          <w:b w:val="0"/>
          <w:sz w:val="32"/>
        </w:rPr>
        <w:t>一、《收入支出决算总表》</w:t>
      </w:r>
    </w:p>
    <w:p w14:paraId="17514603">
      <w:pPr>
        <w:spacing w:line="240" w:lineRule="auto"/>
        <w:ind w:firstLine="640"/>
        <w:jc w:val="both"/>
      </w:pPr>
      <w:r>
        <w:rPr>
          <w:rFonts w:ascii="仿宋_GB2312" w:hAnsi="仿宋_GB2312" w:eastAsia="仿宋_GB2312"/>
          <w:b w:val="0"/>
          <w:sz w:val="32"/>
        </w:rPr>
        <w:t>二、《收入决算表》</w:t>
      </w:r>
    </w:p>
    <w:p w14:paraId="620D08D9">
      <w:pPr>
        <w:spacing w:line="240" w:lineRule="auto"/>
        <w:ind w:firstLine="640"/>
        <w:jc w:val="both"/>
      </w:pPr>
      <w:r>
        <w:rPr>
          <w:rFonts w:ascii="仿宋_GB2312" w:hAnsi="仿宋_GB2312" w:eastAsia="仿宋_GB2312"/>
          <w:b w:val="0"/>
          <w:sz w:val="32"/>
        </w:rPr>
        <w:t>三、《支出决算表》</w:t>
      </w:r>
    </w:p>
    <w:p w14:paraId="728AB9F1">
      <w:pPr>
        <w:spacing w:line="240" w:lineRule="auto"/>
        <w:ind w:firstLine="640"/>
        <w:jc w:val="both"/>
      </w:pPr>
      <w:r>
        <w:rPr>
          <w:rFonts w:ascii="仿宋_GB2312" w:hAnsi="仿宋_GB2312" w:eastAsia="仿宋_GB2312"/>
          <w:b w:val="0"/>
          <w:sz w:val="32"/>
        </w:rPr>
        <w:t>四、《财政拨款收入支出决算总表》</w:t>
      </w:r>
    </w:p>
    <w:p w14:paraId="2C0B3E24">
      <w:pPr>
        <w:spacing w:line="240" w:lineRule="auto"/>
        <w:ind w:firstLine="640"/>
        <w:jc w:val="both"/>
      </w:pPr>
      <w:r>
        <w:rPr>
          <w:rFonts w:ascii="仿宋_GB2312" w:hAnsi="仿宋_GB2312" w:eastAsia="仿宋_GB2312"/>
          <w:b w:val="0"/>
          <w:sz w:val="32"/>
        </w:rPr>
        <w:t>五、《一般公共预算财政拨款支出决算表》</w:t>
      </w:r>
    </w:p>
    <w:p w14:paraId="4EEE99E7">
      <w:pPr>
        <w:spacing w:line="240" w:lineRule="auto"/>
        <w:ind w:firstLine="640"/>
        <w:jc w:val="both"/>
      </w:pPr>
      <w:r>
        <w:rPr>
          <w:rFonts w:ascii="仿宋_GB2312" w:hAnsi="仿宋_GB2312" w:eastAsia="仿宋_GB2312"/>
          <w:b w:val="0"/>
          <w:sz w:val="32"/>
        </w:rPr>
        <w:t>六、《一般公共预算财政拨款基本支出决算表》</w:t>
      </w:r>
    </w:p>
    <w:p w14:paraId="2DB9D3C4">
      <w:pPr>
        <w:spacing w:line="240" w:lineRule="auto"/>
        <w:ind w:firstLine="640"/>
        <w:jc w:val="both"/>
      </w:pPr>
      <w:r>
        <w:rPr>
          <w:rFonts w:ascii="仿宋_GB2312" w:hAnsi="仿宋_GB2312" w:eastAsia="仿宋_GB2312"/>
          <w:b w:val="0"/>
          <w:sz w:val="32"/>
        </w:rPr>
        <w:t>七、《政府性基金预算财政拨款收入支出决算表》</w:t>
      </w:r>
    </w:p>
    <w:p w14:paraId="50CAA3E1">
      <w:pPr>
        <w:spacing w:line="240" w:lineRule="auto"/>
        <w:ind w:firstLine="640"/>
        <w:jc w:val="both"/>
      </w:pPr>
      <w:r>
        <w:rPr>
          <w:rFonts w:ascii="仿宋_GB2312" w:hAnsi="仿宋_GB2312" w:eastAsia="仿宋_GB2312"/>
          <w:b w:val="0"/>
          <w:sz w:val="32"/>
        </w:rPr>
        <w:t>八、《国有资本经营预算财政拨款收入支出决算表》</w:t>
      </w:r>
    </w:p>
    <w:p w14:paraId="5BC49BAD">
      <w:pPr>
        <w:spacing w:line="240" w:lineRule="auto"/>
        <w:ind w:firstLine="640"/>
        <w:jc w:val="both"/>
      </w:pPr>
      <w:r>
        <w:rPr>
          <w:rFonts w:ascii="仿宋_GB2312" w:hAnsi="仿宋_GB2312" w:eastAsia="仿宋_GB2312"/>
          <w:b w:val="0"/>
          <w:sz w:val="32"/>
        </w:rPr>
        <w:t>九、《财政拨款“三公”经费支出决算表》</w:t>
      </w:r>
    </w:p>
    <w:p w14:paraId="1A524262">
      <w:pPr>
        <w:spacing w:line="240" w:lineRule="auto"/>
        <w:ind w:firstLine="640"/>
        <w:jc w:val="both"/>
      </w:pPr>
    </w:p>
    <w:p w14:paraId="7B772331">
      <w:pPr>
        <w:spacing w:line="240" w:lineRule="auto"/>
        <w:ind w:firstLine="640"/>
        <w:jc w:val="both"/>
      </w:pPr>
    </w:p>
    <w:p w14:paraId="79F2EC6E">
      <w:pPr>
        <w:spacing w:line="240" w:lineRule="auto"/>
        <w:ind w:firstLine="640"/>
        <w:jc w:val="both"/>
      </w:pPr>
    </w:p>
    <w:p w14:paraId="75371066">
      <w:pPr>
        <w:spacing w:line="240" w:lineRule="auto"/>
        <w:ind w:firstLine="640"/>
        <w:jc w:val="both"/>
      </w:pPr>
    </w:p>
    <w:p w14:paraId="1045C20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46915F8"/>
    <w:rsid w:val="38006E2C"/>
    <w:rsid w:val="3914510A"/>
    <w:rsid w:val="3B1220C9"/>
    <w:rsid w:val="3D5275AC"/>
    <w:rsid w:val="3EA7725F"/>
    <w:rsid w:val="3EC014A1"/>
    <w:rsid w:val="40834692"/>
    <w:rsid w:val="41AA44F5"/>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6030</Words>
  <Characters>6811</Characters>
  <Lines>0</Lines>
  <Paragraphs>0</Paragraphs>
  <TotalTime>9</TotalTime>
  <ScaleCrop>false</ScaleCrop>
  <LinksUpToDate>false</LinksUpToDate>
  <CharactersWithSpaces>6819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2025-09-17T10:18:49Z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eyJoZGlkIjoiYmMxZDY5OGZlYzU4ZGEwZmUyZWNkMmU5NzBiZTFjZWEiLCJ1c2VySWQiOiI0MzE2NzY3NzkifQ==</vt:lpwstr>
  </property>
</Properties>
</file>