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中共洛浦县委员会网络安全和信息化委员会办公室2024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2F9E60F">
      <w:r>
        <w:br w:type="page"/>
      </w:r>
    </w:p>
    <w:p w14:paraId="4637141A">
      <w:pPr>
        <w:spacing w:line="640" w:lineRule="exact"/>
        <w:jc w:val="center"/>
        <w:outlineLvl w:val="1"/>
      </w:pPr>
      <w:r>
        <w:rPr>
          <w:rFonts w:ascii="黑体" w:hAnsi="黑体" w:eastAsia="黑体"/>
          <w:sz w:val="32"/>
        </w:rPr>
        <w:t>第一部分 单位概况</w:t>
      </w:r>
    </w:p>
    <w:p w14:paraId="5BFFAFEA">
      <w:pPr>
        <w:spacing w:line="640" w:lineRule="exact"/>
        <w:ind w:firstLine="640"/>
        <w:jc w:val="both"/>
        <w:outlineLvl w:val="2"/>
      </w:pPr>
      <w:r>
        <w:rPr>
          <w:rFonts w:ascii="黑体" w:hAnsi="黑体" w:eastAsia="黑体"/>
          <w:sz w:val="32"/>
        </w:rPr>
        <w:t>一、主要职能</w:t>
      </w:r>
    </w:p>
    <w:p w14:paraId="24854BD5">
      <w:pPr>
        <w:spacing w:line="580" w:lineRule="exact"/>
        <w:ind w:firstLine="640"/>
        <w:jc w:val="both"/>
      </w:pPr>
      <w:r>
        <w:rPr>
          <w:rFonts w:ascii="仿宋_GB2312" w:hAnsi="仿宋_GB2312" w:eastAsia="仿宋_GB2312"/>
          <w:sz w:val="32"/>
        </w:rPr>
        <w:t>（1）负责处理县委网络安全和信息化委员会日常事务工作；协调督促有关方面落实县委网络安全和信息化委员会的决定事项、工作部署和要求；组织开展涉及全县政治、经济、文化、社会及军事等各个领域的网络安全和信息化重大问题研究，向县委网络安全和信息化委员会提出工作建议。</w:t>
      </w:r>
    </w:p>
    <w:p w14:paraId="7275221E">
      <w:pPr>
        <w:spacing w:line="580" w:lineRule="exact"/>
        <w:ind w:firstLine="640"/>
        <w:jc w:val="both"/>
      </w:pPr>
      <w:r>
        <w:rPr>
          <w:rFonts w:ascii="仿宋_GB2312" w:hAnsi="仿宋_GB2312" w:eastAsia="仿宋_GB2312"/>
          <w:sz w:val="32"/>
        </w:rPr>
        <w:t>（2）承担县委网信工委日常事务工作，协调督促有关方面落实县委网信工委的决定事项、工作部署和要求；负责全县网信领域党的建设和人才队伍建设；指导网信领域党的组织、党的领导、党的作用发挥全覆盖。</w:t>
      </w:r>
    </w:p>
    <w:p w14:paraId="1D196BC7">
      <w:pPr>
        <w:spacing w:line="580" w:lineRule="exact"/>
        <w:ind w:firstLine="640"/>
        <w:jc w:val="both"/>
      </w:pPr>
      <w:r>
        <w:rPr>
          <w:rFonts w:ascii="仿宋_GB2312" w:hAnsi="仿宋_GB2312" w:eastAsia="仿宋_GB2312"/>
          <w:sz w:val="32"/>
        </w:rPr>
        <w:t>（3）研究起草洛浦县网络安全和信息化发展规划和重大政策；统筹推进洛浦县网络安全和信息化法治、标准建设，根据职责权限负责相关规范性文件的实施和监督检查，根据职责权限会同相关部门</w:t>
      </w:r>
      <w:r>
        <w:rPr>
          <w:rFonts w:hint="eastAsia" w:ascii="仿宋_GB2312" w:hAnsi="仿宋_GB2312" w:eastAsia="仿宋_GB2312"/>
          <w:sz w:val="32"/>
          <w:lang w:eastAsia="zh-CN"/>
        </w:rPr>
        <w:t>拟订</w:t>
      </w:r>
      <w:r>
        <w:rPr>
          <w:rFonts w:ascii="仿宋_GB2312" w:hAnsi="仿宋_GB2312" w:eastAsia="仿宋_GB2312"/>
          <w:sz w:val="32"/>
        </w:rPr>
        <w:t>网络安全和信息化领域地方标准并监督实施。</w:t>
      </w:r>
    </w:p>
    <w:p w14:paraId="1E291649">
      <w:pPr>
        <w:spacing w:line="580" w:lineRule="exact"/>
        <w:ind w:firstLine="640"/>
        <w:jc w:val="both"/>
      </w:pPr>
      <w:r>
        <w:rPr>
          <w:rFonts w:ascii="仿宋_GB2312" w:hAnsi="仿宋_GB2312" w:eastAsia="仿宋_GB2312"/>
          <w:sz w:val="32"/>
        </w:rPr>
        <w:t>（4）负责统筹协调全县网络信息安全工作，统筹协调洛浦县网络安全保障体系建设和可信体系建设；指导推进党政军部门、重点行业网络安全保障和信息化工作；组织开展全县网络安全检查和风险评估工作；指导全县网络安全信息共享和通报工作。</w:t>
      </w:r>
    </w:p>
    <w:p w14:paraId="20212FF7">
      <w:pPr>
        <w:spacing w:line="580" w:lineRule="exact"/>
        <w:ind w:firstLine="640"/>
        <w:jc w:val="both"/>
      </w:pPr>
      <w:r>
        <w:rPr>
          <w:rFonts w:ascii="仿宋_GB2312" w:hAnsi="仿宋_GB2312" w:eastAsia="仿宋_GB2312"/>
          <w:sz w:val="32"/>
        </w:rPr>
        <w:t>（5）指导推进全县信息化工作，研究拟订洛浦县信息化发展规划，对全县信息化工作实施监督管理和考核；协调推进信息技术在全县的推广应用；协调推动信息化领域重大科技攻关，统筹推进网信领域军民融合发展；协调推动全县公共服务和社会治理信息化；统筹协调全县重要信息资源的开发利用与共享；推动洛浦县跨行业、跨部门的互联互通。</w:t>
      </w:r>
    </w:p>
    <w:p w14:paraId="465BD4FB">
      <w:pPr>
        <w:spacing w:line="580" w:lineRule="exact"/>
        <w:ind w:firstLine="640"/>
        <w:jc w:val="both"/>
      </w:pPr>
      <w:r>
        <w:rPr>
          <w:rFonts w:ascii="仿宋_GB2312" w:hAnsi="仿宋_GB2312" w:eastAsia="仿宋_GB2312"/>
          <w:sz w:val="32"/>
        </w:rPr>
        <w:t>（6）负责全县互联网信息内容管理，统筹协调组织互联网宣传管理和舆论引导工作，维护涉洛网络意识形态安全；负责全县互联网信息内容监督管理执法，组织开展网络舆论生态治理，处置和封堵网上有害信息，依照有关法律和规定查处有关违法违规行为和网站；负责洛浦县互联网信息服务资本准入和信息网络行业安全审查等工作；依法负责网络新闻业务和论坛、博客、搜索引擎等具有新闻舆论及社会动员功能业务的审批及日常监管；指导有关部门督促电信运营企业、接入服务企业、域名注册服务机构等做好域名注册、网站登记备案、接入以及网络行为主体身份信息核对等基础管理工作；指导推进洛浦县新技术新应用安全评估，统筹协调全县</w:t>
      </w:r>
      <w:r>
        <w:rPr>
          <w:rFonts w:hint="eastAsia" w:ascii="仿宋_GB2312" w:hAnsi="仿宋_GB2312" w:eastAsia="仿宋_GB2312"/>
          <w:sz w:val="32"/>
          <w:lang w:eastAsia="zh-CN"/>
        </w:rPr>
        <w:t>移动</w:t>
      </w:r>
      <w:r>
        <w:rPr>
          <w:rFonts w:ascii="仿宋_GB2312" w:hAnsi="仿宋_GB2312" w:eastAsia="仿宋_GB2312"/>
          <w:sz w:val="32"/>
        </w:rPr>
        <w:t>互联网管理；组织开展全县互联网金融信息服务市场监管。负责指导协调全县网络舆情信息工作，组织。开展涉洛网络舆情信息收集分析研判工作，了解和掌握涉洛网络舆情动态；负责协调处理涉洛网络安全重大突发事件及相关应急工作；依法规范洛浦县互联网舆情服务市场。</w:t>
      </w:r>
    </w:p>
    <w:p w14:paraId="5A8F5AAB">
      <w:pPr>
        <w:spacing w:line="580" w:lineRule="exact"/>
        <w:ind w:firstLine="640"/>
        <w:jc w:val="both"/>
      </w:pPr>
      <w:r>
        <w:rPr>
          <w:rFonts w:ascii="仿宋_GB2312" w:hAnsi="仿宋_GB2312" w:eastAsia="仿宋_GB2312"/>
          <w:sz w:val="32"/>
        </w:rPr>
        <w:t>（7）推动全县网络阵地建设，推动全县网军队伍建设，负责网络社会工作；负责洛浦县重点新闻网站规划建设，指导协调网络游戏、网络视听、网络出版等相关业务，会同有关部门推动全县传统媒体与新兴媒体融合发展；负责网络文化、网络文明建设，指导全县互联网行业自律；研究拟订洛浦县网络评论工作政策并组织实施；组织开展涉洛网络舆论引导工作。</w:t>
      </w:r>
    </w:p>
    <w:p w14:paraId="023A9FD8">
      <w:pPr>
        <w:spacing w:line="580" w:lineRule="exact"/>
        <w:ind w:firstLine="640"/>
        <w:jc w:val="both"/>
      </w:pPr>
      <w:r>
        <w:rPr>
          <w:rFonts w:ascii="仿宋_GB2312" w:hAnsi="仿宋_GB2312" w:eastAsia="仿宋_GB2312"/>
          <w:sz w:val="32"/>
        </w:rPr>
        <w:t>（8）统筹协调全县网络数据开发、利用的安全管理，统筹协调网络数据安全和个人信息保护工作、指导协调网络数据跨境流动安全管理。</w:t>
      </w:r>
    </w:p>
    <w:p w14:paraId="30829E10">
      <w:pPr>
        <w:spacing w:line="580" w:lineRule="exact"/>
        <w:ind w:firstLine="640"/>
        <w:jc w:val="both"/>
      </w:pPr>
      <w:r>
        <w:rPr>
          <w:rFonts w:ascii="仿宋_GB2312" w:hAnsi="仿宋_GB2312" w:eastAsia="仿宋_GB2312"/>
          <w:sz w:val="32"/>
        </w:rPr>
        <w:t>（9）负责全县网络安全和信息化重大专项任务的统筹协调、组织推动、督促落实。</w:t>
      </w:r>
    </w:p>
    <w:p w14:paraId="5F04B9FA">
      <w:pPr>
        <w:spacing w:line="580" w:lineRule="exact"/>
        <w:ind w:firstLine="640"/>
        <w:jc w:val="both"/>
      </w:pPr>
      <w:r>
        <w:rPr>
          <w:rFonts w:ascii="仿宋_GB2312" w:hAnsi="仿宋_GB2312" w:eastAsia="仿宋_GB2312"/>
          <w:sz w:val="32"/>
        </w:rPr>
        <w:t>（10）统筹协调全县网络综合治理体系建设，协调推进全县网络信息内容生态治理工作，推动落实网络意识形态工作责任制，统筹推进洛浦县技术治网体系规划建设。</w:t>
      </w:r>
    </w:p>
    <w:p w14:paraId="533C63F3">
      <w:pPr>
        <w:spacing w:line="580" w:lineRule="exact"/>
        <w:ind w:firstLine="640"/>
        <w:jc w:val="both"/>
      </w:pPr>
      <w:r>
        <w:rPr>
          <w:rFonts w:ascii="仿宋_GB2312" w:hAnsi="仿宋_GB2312" w:eastAsia="仿宋_GB2312"/>
          <w:sz w:val="32"/>
        </w:rPr>
        <w:t>（11）推进上下协同的网信工作体系建设，承担网络部门主要负责同志实行双重管理制度有关工作。</w:t>
      </w:r>
    </w:p>
    <w:p w14:paraId="4FC01F0C">
      <w:pPr>
        <w:spacing w:line="580" w:lineRule="exact"/>
        <w:ind w:firstLine="640"/>
        <w:jc w:val="both"/>
      </w:pPr>
      <w:r>
        <w:rPr>
          <w:rFonts w:ascii="仿宋_GB2312" w:hAnsi="仿宋_GB2312" w:eastAsia="仿宋_GB2312"/>
          <w:sz w:val="32"/>
        </w:rPr>
        <w:t>（12）完成县委、县政府和县委网络安全和信息化委员会、县委网信工委交办的其他事项。</w:t>
      </w:r>
    </w:p>
    <w:p w14:paraId="25B563A8">
      <w:pPr>
        <w:spacing w:line="640" w:lineRule="exact"/>
        <w:ind w:firstLine="640"/>
        <w:jc w:val="both"/>
        <w:outlineLvl w:val="2"/>
      </w:pPr>
      <w:r>
        <w:rPr>
          <w:rFonts w:ascii="黑体" w:hAnsi="黑体" w:eastAsia="黑体"/>
          <w:sz w:val="32"/>
        </w:rPr>
        <w:t>二、机构设置及人员情况</w:t>
      </w:r>
    </w:p>
    <w:p w14:paraId="4BC7DB41">
      <w:pPr>
        <w:spacing w:line="580" w:lineRule="exact"/>
        <w:ind w:firstLine="640"/>
        <w:jc w:val="both"/>
      </w:pPr>
      <w:r>
        <w:rPr>
          <w:rFonts w:ascii="仿宋_GB2312" w:hAnsi="仿宋_GB2312" w:eastAsia="仿宋_GB2312"/>
          <w:sz w:val="32"/>
        </w:rPr>
        <w:t>中共洛浦县委员会网络安全和信息化委员会办公室2024年度，实有人数17人，其中：在职人员17人，增加4人；离休人员0人，增加0人；退休人员0人,增加0人。</w:t>
      </w:r>
    </w:p>
    <w:p w14:paraId="14E97FA8">
      <w:pPr>
        <w:spacing w:line="580" w:lineRule="exact"/>
        <w:ind w:firstLine="640"/>
        <w:jc w:val="both"/>
      </w:pPr>
      <w:r>
        <w:rPr>
          <w:rFonts w:ascii="仿宋_GB2312" w:hAnsi="仿宋_GB2312" w:eastAsia="仿宋_GB2312"/>
          <w:sz w:val="32"/>
        </w:rPr>
        <w:t>中共洛浦县委员会网络安全和信息化委员会办公室无下属预算单位，下设2个科室，分别是：办公室、财务室。</w:t>
      </w:r>
    </w:p>
    <w:p w14:paraId="50B99CFA">
      <w:r>
        <w:br w:type="page"/>
      </w:r>
    </w:p>
    <w:p w14:paraId="753B1DCF">
      <w:pPr>
        <w:spacing w:line="240" w:lineRule="auto"/>
        <w:jc w:val="center"/>
        <w:outlineLvl w:val="1"/>
      </w:pPr>
      <w:r>
        <w:rPr>
          <w:rFonts w:ascii="黑体" w:hAnsi="黑体" w:eastAsia="黑体"/>
          <w:sz w:val="32"/>
        </w:rPr>
        <w:t>第二部分 部门决算情况说明</w:t>
      </w:r>
    </w:p>
    <w:p w14:paraId="6AC4504E">
      <w:pPr>
        <w:spacing w:line="640" w:lineRule="exact"/>
        <w:ind w:firstLine="640"/>
        <w:jc w:val="both"/>
        <w:outlineLvl w:val="2"/>
      </w:pPr>
      <w:r>
        <w:rPr>
          <w:rFonts w:ascii="黑体" w:hAnsi="黑体" w:eastAsia="黑体"/>
          <w:sz w:val="32"/>
        </w:rPr>
        <w:t>一、收入支出决算总体情况说明</w:t>
      </w:r>
    </w:p>
    <w:p w14:paraId="1D0AA011">
      <w:pPr>
        <w:spacing w:line="580" w:lineRule="exact"/>
        <w:ind w:firstLine="640"/>
        <w:jc w:val="both"/>
      </w:pPr>
      <w:r>
        <w:rPr>
          <w:rFonts w:ascii="仿宋_GB2312" w:hAnsi="仿宋_GB2312" w:eastAsia="仿宋_GB2312"/>
          <w:b/>
          <w:sz w:val="32"/>
        </w:rPr>
        <w:t>2024年度收入总计301.75万元，</w:t>
      </w:r>
      <w:r>
        <w:rPr>
          <w:rFonts w:ascii="仿宋_GB2312" w:hAnsi="仿宋_GB2312" w:eastAsia="仿宋_GB2312"/>
          <w:b w:val="0"/>
          <w:sz w:val="32"/>
        </w:rPr>
        <w:t>其中：本年收入合计301.75万元，使用非财政拨款结余（含专用结余）0.00万元，年初结转和结余0.00万元。</w:t>
      </w:r>
    </w:p>
    <w:p w14:paraId="1C7C925D">
      <w:pPr>
        <w:spacing w:line="580" w:lineRule="exact"/>
        <w:ind w:firstLine="640"/>
        <w:jc w:val="both"/>
      </w:pPr>
      <w:r>
        <w:rPr>
          <w:rFonts w:ascii="仿宋_GB2312" w:hAnsi="仿宋_GB2312" w:eastAsia="仿宋_GB2312"/>
          <w:b/>
          <w:sz w:val="32"/>
        </w:rPr>
        <w:t>2024年度支出总计301.75万元，</w:t>
      </w:r>
      <w:r>
        <w:rPr>
          <w:rFonts w:ascii="仿宋_GB2312" w:hAnsi="仿宋_GB2312" w:eastAsia="仿宋_GB2312"/>
          <w:b w:val="0"/>
          <w:sz w:val="32"/>
        </w:rPr>
        <w:t>其中：本年支出合计301.75万元，结余分配0.00万元，年末结转和结余0.00万元。</w:t>
      </w:r>
    </w:p>
    <w:p w14:paraId="2F69938A">
      <w:pPr>
        <w:spacing w:line="580" w:lineRule="exact"/>
        <w:ind w:firstLine="640"/>
        <w:jc w:val="both"/>
      </w:pPr>
      <w:r>
        <w:rPr>
          <w:rFonts w:ascii="仿宋_GB2312" w:hAnsi="仿宋_GB2312" w:eastAsia="仿宋_GB2312"/>
          <w:b w:val="0"/>
          <w:sz w:val="32"/>
        </w:rPr>
        <w:t>收入支出总体与上年相比，增加75.77万元，增长33.53%，主要原因是：本年在职人员增加，在职人员工资调增、社保、公积金基数调增，人员经费增加。</w:t>
      </w:r>
    </w:p>
    <w:p w14:paraId="30AA9273">
      <w:pPr>
        <w:spacing w:line="640" w:lineRule="exact"/>
        <w:ind w:firstLine="640"/>
        <w:jc w:val="both"/>
        <w:outlineLvl w:val="2"/>
      </w:pPr>
      <w:r>
        <w:rPr>
          <w:rFonts w:ascii="黑体" w:hAnsi="黑体" w:eastAsia="黑体"/>
          <w:sz w:val="32"/>
        </w:rPr>
        <w:t>二、收入决算情况说明</w:t>
      </w:r>
    </w:p>
    <w:p w14:paraId="3BA3071B">
      <w:pPr>
        <w:spacing w:line="580" w:lineRule="exact"/>
        <w:ind w:firstLine="640"/>
        <w:jc w:val="both"/>
      </w:pPr>
      <w:r>
        <w:rPr>
          <w:rFonts w:ascii="仿宋_GB2312" w:hAnsi="仿宋_GB2312" w:eastAsia="仿宋_GB2312"/>
          <w:b/>
          <w:sz w:val="32"/>
        </w:rPr>
        <w:t>本年收入301.75万元，</w:t>
      </w:r>
      <w:r>
        <w:rPr>
          <w:rFonts w:ascii="仿宋_GB2312" w:hAnsi="仿宋_GB2312" w:eastAsia="仿宋_GB2312"/>
          <w:b w:val="0"/>
          <w:sz w:val="32"/>
        </w:rPr>
        <w:t>其中：财政拨款收入301.75万元，占100.00%；上级补助收入0.00万元，占0.00%；事业收入0.00万元，占0.00%；经营收入0.00万元，占0.00%；附属单位上缴收入0.00万元，占0.00%；其他收入0.00万元，占0.00%。</w:t>
      </w:r>
    </w:p>
    <w:p w14:paraId="083849AD">
      <w:pPr>
        <w:spacing w:line="640" w:lineRule="exact"/>
        <w:ind w:firstLine="640"/>
        <w:jc w:val="both"/>
        <w:outlineLvl w:val="2"/>
      </w:pPr>
      <w:r>
        <w:rPr>
          <w:rFonts w:ascii="黑体" w:hAnsi="黑体" w:eastAsia="黑体"/>
          <w:sz w:val="32"/>
        </w:rPr>
        <w:t>三、支出决算情况说明</w:t>
      </w:r>
    </w:p>
    <w:p w14:paraId="37C7A917">
      <w:pPr>
        <w:spacing w:line="580" w:lineRule="exact"/>
        <w:ind w:firstLine="640"/>
        <w:jc w:val="both"/>
      </w:pPr>
      <w:r>
        <w:rPr>
          <w:rFonts w:ascii="仿宋_GB2312" w:hAnsi="仿宋_GB2312" w:eastAsia="仿宋_GB2312"/>
          <w:b/>
          <w:sz w:val="32"/>
        </w:rPr>
        <w:t>本年支出301.75万元，</w:t>
      </w:r>
      <w:r>
        <w:rPr>
          <w:rFonts w:ascii="仿宋_GB2312" w:hAnsi="仿宋_GB2312" w:eastAsia="仿宋_GB2312"/>
          <w:b w:val="0"/>
          <w:sz w:val="32"/>
        </w:rPr>
        <w:t>其中：基本支出301.75万元，占100.00%；项目支出0.00万元，占0.00%；上缴上级支出0.00万元，占0.00%；经营支出0.00万元，占0.00%；对附属单位补助支出0.00万元，占0.00%。</w:t>
      </w:r>
    </w:p>
    <w:p w14:paraId="20C0BF5B">
      <w:pPr>
        <w:spacing w:line="640" w:lineRule="exact"/>
        <w:ind w:firstLine="640"/>
        <w:jc w:val="both"/>
        <w:outlineLvl w:val="2"/>
      </w:pPr>
      <w:r>
        <w:rPr>
          <w:rFonts w:ascii="黑体" w:hAnsi="黑体" w:eastAsia="黑体"/>
          <w:sz w:val="32"/>
        </w:rPr>
        <w:t>四、财政拨款收入支出决算总体情况说明</w:t>
      </w:r>
    </w:p>
    <w:p w14:paraId="7B25E0B1">
      <w:pPr>
        <w:spacing w:line="580" w:lineRule="exact"/>
        <w:ind w:firstLine="640"/>
        <w:jc w:val="both"/>
      </w:pPr>
      <w:r>
        <w:rPr>
          <w:rFonts w:ascii="仿宋_GB2312" w:hAnsi="仿宋_GB2312" w:eastAsia="仿宋_GB2312"/>
          <w:b/>
          <w:sz w:val="32"/>
        </w:rPr>
        <w:t>2024年度财政拨款收入总计301.75万元，</w:t>
      </w:r>
      <w:r>
        <w:rPr>
          <w:rFonts w:ascii="仿宋_GB2312" w:hAnsi="仿宋_GB2312" w:eastAsia="仿宋_GB2312"/>
          <w:b w:val="0"/>
          <w:sz w:val="32"/>
        </w:rPr>
        <w:t>其中：年初财政拨款结转和结余0.00万元，本年财政拨款收入301.75万元。</w:t>
      </w:r>
      <w:r>
        <w:rPr>
          <w:rFonts w:ascii="仿宋_GB2312" w:hAnsi="仿宋_GB2312" w:eastAsia="仿宋_GB2312"/>
          <w:b/>
          <w:sz w:val="32"/>
        </w:rPr>
        <w:t>财政拨款支出总计301.75万元，</w:t>
      </w:r>
      <w:r>
        <w:rPr>
          <w:rFonts w:ascii="仿宋_GB2312" w:hAnsi="仿宋_GB2312" w:eastAsia="仿宋_GB2312"/>
          <w:b w:val="0"/>
          <w:sz w:val="32"/>
        </w:rPr>
        <w:t>其中：年末财政拨款结转和结余0.00万元，本年财政拨款支出301.75万元。</w:t>
      </w:r>
    </w:p>
    <w:p w14:paraId="409AAA7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增加75.77万元，增长33.53%，主要原因是：本年在职人员增加，在职人员工资调增、社保、公积金基数调增，人员经费增加。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年初预算数213.25万元，决算数301.75万元，预决算差异率41.50%，主要原因是：年中追加人员工资、社保、公积金基数调增部分资金，导致预决算存在差异。</w:t>
      </w:r>
    </w:p>
    <w:p w14:paraId="51352292">
      <w:pPr>
        <w:spacing w:line="640" w:lineRule="exact"/>
        <w:ind w:firstLine="640"/>
        <w:jc w:val="both"/>
        <w:outlineLvl w:val="2"/>
      </w:pPr>
      <w:r>
        <w:rPr>
          <w:rFonts w:ascii="黑体" w:hAnsi="黑体" w:eastAsia="黑体"/>
          <w:sz w:val="32"/>
        </w:rPr>
        <w:t>五、一般公共预算财政拨款支出决算情况说明</w:t>
      </w:r>
    </w:p>
    <w:p w14:paraId="331567E1">
      <w:pPr>
        <w:spacing w:line="640" w:lineRule="exact"/>
        <w:ind w:firstLine="640"/>
        <w:jc w:val="both"/>
        <w:outlineLvl w:val="3"/>
      </w:pPr>
      <w:r>
        <w:rPr>
          <w:rFonts w:ascii="楷体_GB2312" w:hAnsi="楷体_GB2312" w:eastAsia="楷体_GB2312"/>
          <w:b/>
          <w:sz w:val="32"/>
        </w:rPr>
        <w:t>（一）一般公共预算财政拨款支出决算总体情况</w:t>
      </w:r>
    </w:p>
    <w:p w14:paraId="10557B31">
      <w:pPr>
        <w:spacing w:line="580" w:lineRule="exact"/>
        <w:ind w:firstLine="640"/>
        <w:jc w:val="both"/>
      </w:pPr>
      <w:r>
        <w:rPr>
          <w:rFonts w:ascii="仿宋_GB2312" w:hAnsi="仿宋_GB2312" w:eastAsia="仿宋_GB2312"/>
          <w:b/>
          <w:sz w:val="32"/>
        </w:rPr>
        <w:t>2024年度一般公共预算财政拨款支出301.75万元，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增加75.77万元，增长33.53%，主要原因是：本年在职人员增加，在职人员工资调增、社保、公积金基数调增，人员经费增加。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年初预算数213.25万元，决算数301.75万元，预决算差异率41.50%，主要原因是：年中追加人员工资、社保、公积金基数调增部分资金，导致预决算存在差异。</w:t>
      </w:r>
    </w:p>
    <w:p w14:paraId="318FC5AA">
      <w:pPr>
        <w:spacing w:line="640" w:lineRule="exact"/>
        <w:ind w:firstLine="640"/>
        <w:jc w:val="both"/>
        <w:outlineLvl w:val="3"/>
      </w:pPr>
      <w:r>
        <w:rPr>
          <w:rFonts w:ascii="楷体_GB2312" w:hAnsi="楷体_GB2312" w:eastAsia="楷体_GB2312"/>
          <w:b/>
          <w:sz w:val="32"/>
        </w:rPr>
        <w:t>（二）一般公共预算财政拨款支出决算结构情况</w:t>
      </w:r>
    </w:p>
    <w:p w14:paraId="4C92F794">
      <w:pPr>
        <w:spacing w:line="580" w:lineRule="exact"/>
        <w:ind w:firstLine="640"/>
        <w:jc w:val="both"/>
      </w:pPr>
      <w:r>
        <w:rPr>
          <w:rFonts w:ascii="仿宋_GB2312" w:hAnsi="仿宋_GB2312" w:eastAsia="仿宋_GB2312"/>
          <w:b w:val="0"/>
          <w:sz w:val="32"/>
        </w:rPr>
        <w:t>1.一般公共服务支出(类)229.75万元,占76.14%。</w:t>
      </w:r>
    </w:p>
    <w:p w14:paraId="7FE551BF">
      <w:pPr>
        <w:spacing w:line="580" w:lineRule="exact"/>
        <w:ind w:firstLine="640"/>
        <w:jc w:val="both"/>
      </w:pPr>
      <w:r>
        <w:rPr>
          <w:rFonts w:ascii="仿宋_GB2312" w:hAnsi="仿宋_GB2312" w:eastAsia="仿宋_GB2312"/>
          <w:b w:val="0"/>
          <w:sz w:val="32"/>
        </w:rPr>
        <w:t>2.社会保障和就业支出(类)30.64万元,占10.15%。</w:t>
      </w:r>
    </w:p>
    <w:p w14:paraId="53081821">
      <w:pPr>
        <w:spacing w:line="580" w:lineRule="exact"/>
        <w:ind w:firstLine="640"/>
        <w:jc w:val="both"/>
      </w:pPr>
      <w:r>
        <w:rPr>
          <w:rFonts w:ascii="仿宋_GB2312" w:hAnsi="仿宋_GB2312" w:eastAsia="仿宋_GB2312"/>
          <w:b w:val="0"/>
          <w:sz w:val="32"/>
        </w:rPr>
        <w:t>3.卫生健康支出(类)18.25万元,占6.05%。</w:t>
      </w:r>
    </w:p>
    <w:p w14:paraId="6F8DEB41">
      <w:pPr>
        <w:spacing w:line="580" w:lineRule="exact"/>
        <w:ind w:firstLine="640"/>
        <w:jc w:val="both"/>
      </w:pPr>
      <w:r>
        <w:rPr>
          <w:rFonts w:ascii="仿宋_GB2312" w:hAnsi="仿宋_GB2312" w:eastAsia="仿宋_GB2312"/>
          <w:b w:val="0"/>
          <w:sz w:val="32"/>
        </w:rPr>
        <w:t>4.住房保障支出(类)23.10万元,占7.66%。</w:t>
      </w:r>
    </w:p>
    <w:p w14:paraId="09D13562">
      <w:pPr>
        <w:spacing w:line="640" w:lineRule="exact"/>
        <w:ind w:firstLine="640"/>
        <w:jc w:val="both"/>
        <w:outlineLvl w:val="3"/>
      </w:pPr>
      <w:r>
        <w:rPr>
          <w:rFonts w:ascii="楷体_GB2312" w:hAnsi="楷体_GB2312" w:eastAsia="楷体_GB2312"/>
          <w:b/>
          <w:sz w:val="32"/>
        </w:rPr>
        <w:t>（三）一般公共预算财政拨款支出决算具体情况</w:t>
      </w:r>
    </w:p>
    <w:p w14:paraId="73364DD2">
      <w:pPr>
        <w:spacing w:line="580" w:lineRule="exact"/>
        <w:ind w:firstLine="640"/>
        <w:jc w:val="both"/>
      </w:pPr>
      <w:r>
        <w:rPr>
          <w:rFonts w:ascii="仿宋_GB2312" w:hAnsi="仿宋_GB2312" w:eastAsia="仿宋_GB2312"/>
          <w:b w:val="0"/>
          <w:sz w:val="32"/>
        </w:rPr>
        <w:t>1.一般公共服务支出(类)网信事务(款)行政运行(项):支出决算数为229.75万元，比上年决算增加26.08万元，增长12.81%,主要原因是：本年新增在职人员，人员经费增加，导致经费较上年有所增加。</w:t>
      </w:r>
    </w:p>
    <w:p w14:paraId="27C5188F">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30.64万元，比上年决算增加8.33万元，增长37.34%,主要原因是：本年在职人员增加，在职人员工资基数调增，养老缴费基数上涨，相应支出增加。</w:t>
      </w:r>
    </w:p>
    <w:p w14:paraId="1F65AFED">
      <w:pPr>
        <w:spacing w:line="580" w:lineRule="exact"/>
        <w:ind w:firstLine="640"/>
        <w:jc w:val="both"/>
      </w:pPr>
      <w:r>
        <w:rPr>
          <w:rFonts w:ascii="仿宋_GB2312" w:hAnsi="仿宋_GB2312" w:eastAsia="仿宋_GB2312"/>
          <w:b w:val="0"/>
          <w:sz w:val="32"/>
        </w:rPr>
        <w:t>3.卫生健康支出(类)行政事业单位医疗(款)行政单位医疗(项):支出决算数为12.45万元，比上年决算增加12.45万元，增长100.00%,主要原因是：本年功能科目调整，行政单位医疗支出上年度在主科目列支，本年单独列支，导致经费较上年增加。</w:t>
      </w:r>
    </w:p>
    <w:p w14:paraId="1AE1589C">
      <w:pPr>
        <w:spacing w:line="580" w:lineRule="exact"/>
        <w:ind w:firstLine="640"/>
        <w:jc w:val="both"/>
      </w:pPr>
      <w:r>
        <w:rPr>
          <w:rFonts w:ascii="仿宋_GB2312" w:hAnsi="仿宋_GB2312" w:eastAsia="仿宋_GB2312"/>
          <w:b w:val="0"/>
          <w:sz w:val="32"/>
        </w:rPr>
        <w:t>4.卫生健康支出(类)行政事业单位医疗(款)公务员医疗补助(项):支出决算数为5.80万元，比上年决算增加5.80万元，增长100.00%,主要原因是：本年功能科目调整，公务员医疗补助上年度在主科目列支，本年单独列支，导致经费较上年增加。</w:t>
      </w:r>
    </w:p>
    <w:p w14:paraId="70B24A5D">
      <w:pPr>
        <w:spacing w:line="580" w:lineRule="exact"/>
        <w:ind w:firstLine="640"/>
        <w:jc w:val="both"/>
      </w:pPr>
      <w:r>
        <w:rPr>
          <w:rFonts w:ascii="仿宋_GB2312" w:hAnsi="仿宋_GB2312" w:eastAsia="仿宋_GB2312"/>
          <w:b w:val="0"/>
          <w:sz w:val="32"/>
        </w:rPr>
        <w:t>5.住房保障支出(类)住房改革支出(款)住房公积金(项):支出决算数为23.10万元，比上年决算增加23.10万元，增长100.00%,主要原因是：本年功能科目调整，住房公积金上年度在主科目列支，本年单独列支，导致经费较上年增加。</w:t>
      </w:r>
    </w:p>
    <w:p w14:paraId="1FAFCA28">
      <w:pPr>
        <w:spacing w:line="640" w:lineRule="exact"/>
        <w:ind w:firstLine="640"/>
        <w:jc w:val="both"/>
        <w:outlineLvl w:val="2"/>
      </w:pPr>
      <w:r>
        <w:rPr>
          <w:rFonts w:ascii="黑体" w:hAnsi="黑体" w:eastAsia="黑体"/>
          <w:sz w:val="32"/>
        </w:rPr>
        <w:t>六、一般公共预算财政拨款基本支出决算情况说明</w:t>
      </w:r>
    </w:p>
    <w:p w14:paraId="1E1D0FFF">
      <w:pPr>
        <w:spacing w:line="580" w:lineRule="exact"/>
        <w:ind w:firstLine="640"/>
        <w:jc w:val="both"/>
      </w:pPr>
      <w:r>
        <w:rPr>
          <w:rFonts w:ascii="仿宋_GB2312" w:hAnsi="仿宋_GB2312" w:eastAsia="仿宋_GB2312"/>
          <w:b w:val="0"/>
          <w:sz w:val="32"/>
        </w:rPr>
        <w:t>2024年度一般公共预算财政拨款基本支出301.75万元，其中：</w:t>
      </w:r>
      <w:r>
        <w:rPr>
          <w:rFonts w:ascii="仿宋_GB2312" w:hAnsi="仿宋_GB2312" w:eastAsia="仿宋_GB2312"/>
          <w:b/>
          <w:sz w:val="32"/>
        </w:rPr>
        <w:t>人员经费298.13万元，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w:t>
      </w:r>
    </w:p>
    <w:p w14:paraId="4117E3B3">
      <w:pPr>
        <w:spacing w:line="580" w:lineRule="exact"/>
        <w:ind w:firstLine="640"/>
        <w:jc w:val="both"/>
      </w:pPr>
      <w:r>
        <w:rPr>
          <w:rFonts w:ascii="仿宋_GB2312" w:hAnsi="仿宋_GB2312" w:eastAsia="仿宋_GB2312"/>
          <w:b/>
          <w:sz w:val="32"/>
        </w:rPr>
        <w:t>公用经费3.62万元，</w:t>
      </w:r>
      <w:r>
        <w:rPr>
          <w:rFonts w:ascii="仿宋_GB2312" w:hAnsi="仿宋_GB2312" w:eastAsia="仿宋_GB2312"/>
          <w:b w:val="0"/>
          <w:sz w:val="32"/>
        </w:rPr>
        <w:t>包括：办公费、邮电费、取暖费、工会经费。</w:t>
      </w:r>
    </w:p>
    <w:p w14:paraId="07428237">
      <w:pPr>
        <w:spacing w:line="640" w:lineRule="exact"/>
        <w:ind w:firstLine="640"/>
        <w:jc w:val="both"/>
        <w:outlineLvl w:val="2"/>
      </w:pPr>
      <w:r>
        <w:rPr>
          <w:rFonts w:ascii="黑体" w:hAnsi="黑体" w:eastAsia="黑体"/>
          <w:sz w:val="32"/>
        </w:rPr>
        <w:t>七、政府性基金预算财政拨款收入支出决算情况说明</w:t>
      </w:r>
    </w:p>
    <w:p w14:paraId="03EB987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F6331F6">
      <w:pPr>
        <w:spacing w:line="640" w:lineRule="exact"/>
        <w:ind w:firstLine="640"/>
        <w:jc w:val="both"/>
        <w:outlineLvl w:val="2"/>
      </w:pPr>
      <w:r>
        <w:rPr>
          <w:rFonts w:ascii="黑体" w:hAnsi="黑体" w:eastAsia="黑体"/>
          <w:sz w:val="32"/>
        </w:rPr>
        <w:t>八、国有资本经营预算财政拨款收入支出决算情况说明</w:t>
      </w:r>
    </w:p>
    <w:p w14:paraId="0B627F0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30DFEE8">
      <w:pPr>
        <w:spacing w:line="640" w:lineRule="exact"/>
        <w:ind w:firstLine="640"/>
        <w:jc w:val="both"/>
        <w:outlineLvl w:val="2"/>
      </w:pPr>
      <w:r>
        <w:rPr>
          <w:rFonts w:ascii="黑体" w:hAnsi="黑体" w:eastAsia="黑体"/>
          <w:sz w:val="32"/>
        </w:rPr>
        <w:t>九、财政拨款“三公”经费支出决算情况说明</w:t>
      </w:r>
    </w:p>
    <w:p w14:paraId="711FB18F">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06A6D8B">
      <w:pPr>
        <w:spacing w:line="580" w:lineRule="exact"/>
        <w:ind w:firstLine="640"/>
        <w:jc w:val="both"/>
      </w:pPr>
      <w:r>
        <w:rPr>
          <w:rFonts w:ascii="仿宋_GB2312" w:hAnsi="仿宋_GB2312" w:eastAsia="仿宋_GB2312"/>
          <w:b/>
          <w:sz w:val="32"/>
        </w:rPr>
        <w:t>具体情况如下：</w:t>
      </w:r>
    </w:p>
    <w:p w14:paraId="279E10B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1404340">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6198619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24D8B9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718CB72">
      <w:pPr>
        <w:spacing w:line="640" w:lineRule="exact"/>
        <w:ind w:firstLine="640"/>
        <w:jc w:val="both"/>
        <w:outlineLvl w:val="2"/>
      </w:pPr>
      <w:r>
        <w:rPr>
          <w:rFonts w:ascii="黑体" w:hAnsi="黑体" w:eastAsia="黑体"/>
          <w:sz w:val="32"/>
        </w:rPr>
        <w:t>十、其他重要事项的情况说明</w:t>
      </w:r>
    </w:p>
    <w:p w14:paraId="1299E1AF">
      <w:pPr>
        <w:spacing w:line="640" w:lineRule="exact"/>
        <w:ind w:firstLine="640"/>
        <w:jc w:val="both"/>
        <w:outlineLvl w:val="3"/>
      </w:pPr>
      <w:r>
        <w:rPr>
          <w:rFonts w:ascii="楷体_GB2312" w:hAnsi="楷体_GB2312" w:eastAsia="楷体_GB2312"/>
          <w:b/>
          <w:sz w:val="32"/>
        </w:rPr>
        <w:t>（一）机关运行经费及公用经费支出情况</w:t>
      </w:r>
    </w:p>
    <w:p w14:paraId="7347DA4F">
      <w:pPr>
        <w:spacing w:line="580" w:lineRule="exact"/>
        <w:ind w:firstLine="640"/>
        <w:jc w:val="both"/>
      </w:pPr>
      <w:r>
        <w:rPr>
          <w:rFonts w:ascii="仿宋_GB2312" w:hAnsi="仿宋_GB2312" w:eastAsia="仿宋_GB2312"/>
          <w:b w:val="0"/>
          <w:sz w:val="32"/>
        </w:rPr>
        <w:t>2024年度中共洛浦县委员会网络安全和信息化委员会办公室（行政单位和参照公务员法管理事业单位）机关运行经费支出3.62万元，比上年增加1.03万元，增长39.77%，主要原因是：本年在职人员增加，办公费用增加。</w:t>
      </w:r>
    </w:p>
    <w:p w14:paraId="0F51193C">
      <w:pPr>
        <w:spacing w:line="640" w:lineRule="exact"/>
        <w:ind w:firstLine="640"/>
        <w:jc w:val="both"/>
        <w:outlineLvl w:val="3"/>
      </w:pPr>
      <w:r>
        <w:rPr>
          <w:rFonts w:ascii="楷体_GB2312" w:hAnsi="楷体_GB2312" w:eastAsia="楷体_GB2312"/>
          <w:b/>
          <w:sz w:val="32"/>
        </w:rPr>
        <w:t>（二）政府采购情况</w:t>
      </w:r>
    </w:p>
    <w:p w14:paraId="59B9D95B">
      <w:pPr>
        <w:spacing w:line="580" w:lineRule="exact"/>
        <w:ind w:firstLine="640"/>
        <w:jc w:val="both"/>
      </w:pPr>
      <w:r>
        <w:rPr>
          <w:rFonts w:ascii="仿宋_GB2312" w:hAnsi="仿宋_GB2312" w:eastAsia="仿宋_GB2312"/>
          <w:b w:val="0"/>
          <w:sz w:val="32"/>
        </w:rPr>
        <w:t>2024年度政府采购支出总额1.44万元，其中：政府采购货物支出0.90万元、政府采购工程支出0.00万元、政府采购服务支出0.54万元。</w:t>
      </w:r>
    </w:p>
    <w:p w14:paraId="7F3CB70D">
      <w:pPr>
        <w:spacing w:line="580" w:lineRule="exact"/>
        <w:ind w:firstLine="640"/>
        <w:jc w:val="both"/>
      </w:pPr>
      <w:r>
        <w:rPr>
          <w:rFonts w:ascii="仿宋_GB2312" w:hAnsi="仿宋_GB2312" w:eastAsia="仿宋_GB2312"/>
          <w:b w:val="0"/>
          <w:sz w:val="32"/>
        </w:rPr>
        <w:t>授予中小企业合同金额1.44万元，占政府采购支出总额的100.00%，其中：授予小微企业合同金额1.12万元，占政府采购支出总额的77.78%。</w:t>
      </w:r>
    </w:p>
    <w:p w14:paraId="613153D5">
      <w:pPr>
        <w:spacing w:line="640" w:lineRule="exact"/>
        <w:ind w:firstLine="640"/>
        <w:jc w:val="both"/>
        <w:outlineLvl w:val="3"/>
      </w:pPr>
      <w:r>
        <w:rPr>
          <w:rFonts w:ascii="楷体_GB2312" w:hAnsi="楷体_GB2312" w:eastAsia="楷体_GB2312"/>
          <w:b/>
          <w:sz w:val="32"/>
        </w:rPr>
        <w:t>（三）国有资产占用情况说明</w:t>
      </w:r>
    </w:p>
    <w:p w14:paraId="74BCFA6D">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D891BE7">
      <w:pPr>
        <w:spacing w:line="640" w:lineRule="exact"/>
        <w:ind w:firstLine="640"/>
        <w:jc w:val="both"/>
        <w:outlineLvl w:val="2"/>
      </w:pPr>
      <w:r>
        <w:rPr>
          <w:rFonts w:ascii="黑体" w:hAnsi="黑体" w:eastAsia="黑体"/>
          <w:sz w:val="32"/>
        </w:rPr>
        <w:t>十一、预算绩效的情况说明</w:t>
      </w:r>
    </w:p>
    <w:p w14:paraId="045610E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301.75万元，实际执行总额301.75万元；预算绩效评价项目0个，全年预算数0.00万元，全年执行数0.00万元。预算绩效管理取得的成效：1.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2.严格按照工作职责和相关文件依据，确保专款专用。发现的问题及原因：1.对于目标设定需要分科室单位分解,汇总后制定整体目标，如何科学整合全单位绩效目标比较困难；2.财务管理方面，会计核算还不够细致,对于有些能够细分的工作,未能详细分类核算,绩效评价基础数据不够精准。下一步改进措施：1.加强新行政单位会计制度和新预算法学习培训，规范账务处理，加强新《中华人民共和国预算法</w:t>
      </w:r>
      <w:r>
        <w:rPr>
          <w:rFonts w:hint="eastAsia" w:ascii="仿宋_GB2312" w:hAnsi="仿宋_GB2312" w:eastAsia="仿宋_GB2312"/>
          <w:b w:val="0"/>
          <w:sz w:val="32"/>
          <w:lang w:eastAsia="zh-CN"/>
        </w:rPr>
        <w:t>》《</w:t>
      </w:r>
      <w:r>
        <w:rPr>
          <w:rFonts w:ascii="仿宋_GB2312" w:hAnsi="仿宋_GB2312" w:eastAsia="仿宋_GB2312"/>
          <w:b w:val="0"/>
          <w:sz w:val="32"/>
        </w:rPr>
        <w:t>行政单位会计制度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单位财务规则》等学习培训,规范单位预算收支核算。制定和完善基本支出、项目支出等各项支出标准,严格按项目和进度执行预算,增强预算的约束力和严肃性；落实预算执行分析,及时了解预算执行差异,合理调整、纠正预算执行偏差，切实提高单位预算收支管理水平。尽可能地做到决算与预算相衔接。2.完善管理制度,进一步加强资产管理严格按照《固定资产管理办法》的规定加强固定资产管理,及时登记、更新台账，加强资产卡片管理,对各类实物资产进行全面盘点,确保账账、账实相符。具体附整体支出绩效自评表。</w:t>
      </w:r>
    </w:p>
    <w:p w14:paraId="393ADCA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90E92F5">
        <w:tblPrEx>
          <w:tblCellMar>
            <w:top w:w="0" w:type="dxa"/>
            <w:left w:w="108" w:type="dxa"/>
            <w:bottom w:w="0" w:type="dxa"/>
            <w:right w:w="108" w:type="dxa"/>
          </w:tblCellMar>
        </w:tblPrEx>
        <w:tc>
          <w:tcPr>
            <w:tcW w:w="8847" w:type="dxa"/>
            <w:gridSpan w:val="9"/>
            <w:vAlign w:val="center"/>
          </w:tcPr>
          <w:p w14:paraId="5F3DB27B">
            <w:pPr>
              <w:jc w:val="center"/>
            </w:pPr>
            <w:r>
              <w:rPr>
                <w:rFonts w:ascii="宋体" w:hAnsi="宋体" w:eastAsia="宋体"/>
                <w:sz w:val="24"/>
              </w:rPr>
              <w:t>单位整体支出绩效自评表</w:t>
            </w:r>
          </w:p>
        </w:tc>
      </w:tr>
      <w:tr w14:paraId="1C15F8E1">
        <w:tblPrEx>
          <w:tblCellMar>
            <w:top w:w="0" w:type="dxa"/>
            <w:left w:w="108" w:type="dxa"/>
            <w:bottom w:w="0" w:type="dxa"/>
            <w:right w:w="108" w:type="dxa"/>
          </w:tblCellMar>
        </w:tblPrEx>
        <w:tc>
          <w:tcPr>
            <w:tcW w:w="8847" w:type="dxa"/>
            <w:gridSpan w:val="9"/>
            <w:vAlign w:val="center"/>
          </w:tcPr>
          <w:p w14:paraId="1C74D513">
            <w:pPr>
              <w:jc w:val="center"/>
            </w:pPr>
            <w:r>
              <w:rPr>
                <w:rFonts w:ascii="宋体" w:hAnsi="宋体" w:eastAsia="宋体"/>
                <w:sz w:val="24"/>
              </w:rPr>
              <w:t>（2024年度）</w:t>
            </w:r>
          </w:p>
        </w:tc>
      </w:tr>
      <w:tr w14:paraId="4B9A354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7E2A0">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73C6B48">
            <w:pPr>
              <w:jc w:val="center"/>
            </w:pPr>
            <w:r>
              <w:rPr>
                <w:rFonts w:ascii="宋体" w:hAnsi="宋体" w:eastAsia="宋体"/>
                <w:sz w:val="16"/>
              </w:rPr>
              <w:t>中共洛浦县委员会网络安全和信息化委员会办公室</w:t>
            </w:r>
          </w:p>
        </w:tc>
      </w:tr>
      <w:tr w14:paraId="2502793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E631A5">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074D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FEC5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6C02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F598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9864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2D06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A690B">
            <w:pPr>
              <w:jc w:val="center"/>
            </w:pPr>
            <w:r>
              <w:rPr>
                <w:rFonts w:ascii="宋体" w:hAnsi="宋体" w:eastAsia="宋体"/>
                <w:sz w:val="16"/>
              </w:rPr>
              <w:t>得分</w:t>
            </w:r>
          </w:p>
        </w:tc>
      </w:tr>
      <w:tr w14:paraId="7CB873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EF9F4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46A836">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42351">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BAF6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4149C">
            <w:pPr>
              <w:jc w:val="center"/>
            </w:pPr>
            <w:r>
              <w:rPr>
                <w:rFonts w:ascii="宋体" w:hAnsi="宋体" w:eastAsia="宋体"/>
                <w:sz w:val="16"/>
              </w:rPr>
              <w:t>99.17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0CF6D">
            <w:pPr>
              <w:jc w:val="center"/>
            </w:pPr>
            <w:r>
              <w:rPr>
                <w:rFonts w:ascii="宋体" w:hAnsi="宋体" w:eastAsia="宋体"/>
                <w:sz w:val="16"/>
              </w:rPr>
              <w:t>99.17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FBB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FC54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CC4B0">
            <w:pPr>
              <w:jc w:val="center"/>
            </w:pPr>
            <w:r>
              <w:rPr>
                <w:rFonts w:ascii="宋体" w:hAnsi="宋体" w:eastAsia="宋体"/>
                <w:sz w:val="16"/>
              </w:rPr>
              <w:t>-</w:t>
            </w:r>
          </w:p>
        </w:tc>
      </w:tr>
      <w:tr w14:paraId="2C6762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0597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6A4B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EFF37">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C314F">
            <w:pPr>
              <w:jc w:val="center"/>
            </w:pPr>
            <w:r>
              <w:rPr>
                <w:rFonts w:ascii="宋体" w:hAnsi="宋体" w:eastAsia="宋体"/>
                <w:sz w:val="16"/>
              </w:rPr>
              <w:t>213.25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61D0E">
            <w:pPr>
              <w:jc w:val="center"/>
            </w:pPr>
            <w:r>
              <w:rPr>
                <w:rFonts w:ascii="宋体" w:hAnsi="宋体" w:eastAsia="宋体"/>
                <w:sz w:val="16"/>
              </w:rPr>
              <w:t>202.58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1EA75">
            <w:pPr>
              <w:jc w:val="center"/>
            </w:pPr>
            <w:r>
              <w:rPr>
                <w:rFonts w:ascii="宋体" w:hAnsi="宋体" w:eastAsia="宋体"/>
                <w:sz w:val="16"/>
              </w:rPr>
              <w:t>202.58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B35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31AB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23045">
            <w:pPr>
              <w:jc w:val="center"/>
            </w:pPr>
            <w:r>
              <w:rPr>
                <w:rFonts w:ascii="宋体" w:hAnsi="宋体" w:eastAsia="宋体"/>
                <w:sz w:val="16"/>
              </w:rPr>
              <w:t>-</w:t>
            </w:r>
          </w:p>
        </w:tc>
      </w:tr>
      <w:tr w14:paraId="6A9965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58E5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8344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33B18">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E9CB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DCB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E69F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B903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F7C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9EAEF">
            <w:pPr>
              <w:jc w:val="center"/>
            </w:pPr>
            <w:r>
              <w:rPr>
                <w:rFonts w:ascii="宋体" w:hAnsi="宋体" w:eastAsia="宋体"/>
                <w:sz w:val="16"/>
              </w:rPr>
              <w:t>-</w:t>
            </w:r>
          </w:p>
        </w:tc>
      </w:tr>
      <w:tr w14:paraId="6FE5BC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AC2A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0D9CC">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941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E5068">
            <w:pPr>
              <w:jc w:val="center"/>
            </w:pPr>
            <w:r>
              <w:rPr>
                <w:rFonts w:ascii="宋体" w:hAnsi="宋体" w:eastAsia="宋体"/>
                <w:sz w:val="16"/>
              </w:rPr>
              <w:t>213.25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EB8EC">
            <w:pPr>
              <w:jc w:val="center"/>
            </w:pPr>
            <w:r>
              <w:rPr>
                <w:rFonts w:ascii="宋体" w:hAnsi="宋体" w:eastAsia="宋体"/>
                <w:sz w:val="16"/>
              </w:rPr>
              <w:t>301.75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DF57A">
            <w:pPr>
              <w:jc w:val="center"/>
            </w:pPr>
            <w:r>
              <w:rPr>
                <w:rFonts w:ascii="宋体" w:hAnsi="宋体" w:eastAsia="宋体"/>
                <w:sz w:val="16"/>
              </w:rPr>
              <w:t>301.75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4710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A4F99">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BB5E0">
            <w:pPr>
              <w:jc w:val="center"/>
            </w:pPr>
            <w:r>
              <w:rPr>
                <w:rFonts w:ascii="宋体" w:hAnsi="宋体" w:eastAsia="宋体"/>
                <w:sz w:val="16"/>
              </w:rPr>
              <w:t>10</w:t>
            </w:r>
          </w:p>
        </w:tc>
      </w:tr>
      <w:tr w14:paraId="58F3F12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BD951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C1A4A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68AA07">
            <w:pPr>
              <w:jc w:val="center"/>
            </w:pPr>
            <w:r>
              <w:rPr>
                <w:rFonts w:ascii="宋体" w:hAnsi="宋体" w:eastAsia="宋体"/>
                <w:sz w:val="16"/>
              </w:rPr>
              <w:t>实际完成情况</w:t>
            </w:r>
          </w:p>
        </w:tc>
      </w:tr>
      <w:tr w14:paraId="317715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88DAE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76D4ED">
            <w:pPr>
              <w:jc w:val="both"/>
            </w:pPr>
            <w:r>
              <w:rPr>
                <w:rFonts w:ascii="宋体" w:hAnsi="宋体" w:eastAsia="宋体"/>
                <w:sz w:val="16"/>
              </w:rPr>
              <w:t>单位基本职能：1.指导全县网信领域工作，建立健全各类网站（平台）、网信企业管理机制；2.推进全县网络安全和信息化法治、标准建设；3.统筹协调全县信息化推进工作，协调推动全县公共服务和社会治理信息化；4.组织开展网络生态治理，发现、处置和封堵有害信息，依照相关法律和规定查处有关违法违规行为的网站（平台）等；5.维护3条信息网络，保障全县网络信息安全工作和网络安全。确保网络实时畅通，网信指挥体系有效运转，网络巡控检测及时到位，网络有害信息处置率达到98%以上。机构设置及人员配置：中共洛浦县委员会网络安全和信息化委员会办公室无下属预算单位，编制数20人，实有人数12人。 中长期规划：2023年，我单位深入学习贯彻</w:t>
            </w:r>
            <w:r>
              <w:rPr>
                <w:rFonts w:hint="eastAsia" w:ascii="宋体" w:hAnsi="宋体"/>
                <w:sz w:val="16"/>
                <w:lang w:eastAsia="zh-CN"/>
              </w:rPr>
              <w:t>党的</w:t>
            </w:r>
            <w:r>
              <w:rPr>
                <w:rFonts w:ascii="宋体" w:hAnsi="宋体" w:eastAsia="宋体"/>
                <w:sz w:val="16"/>
              </w:rPr>
              <w:t>二十大精神，坚持以习近平新时代中国特色社会主义思想为指引，聚焦新时代党的治疆方略，严格贯彻落实党中央、自治区党委、地委、县委关于网络安全和信息化工作的方针政策和决策部署</w:t>
            </w:r>
            <w:r>
              <w:rPr>
                <w:rFonts w:hint="eastAsia" w:ascii="宋体" w:hAnsi="宋体"/>
                <w:sz w:val="16"/>
                <w:lang w:eastAsia="zh-CN"/>
              </w:rPr>
              <w:t>。</w:t>
            </w:r>
            <w:r>
              <w:rPr>
                <w:rFonts w:ascii="宋体" w:hAnsi="宋体" w:eastAsia="宋体"/>
                <w:sz w:val="16"/>
              </w:rPr>
              <w:t>目标1</w:t>
            </w:r>
            <w:bookmarkStart w:id="0" w:name="_GoBack"/>
            <w:r>
              <w:rPr>
                <w:rFonts w:ascii="宋体" w:hAnsi="宋体" w:eastAsia="宋体"/>
                <w:sz w:val="16"/>
              </w:rPr>
              <w:t>：</w:t>
            </w:r>
            <w:bookmarkEnd w:id="0"/>
            <w:r>
              <w:rPr>
                <w:rFonts w:ascii="宋体" w:hAnsi="宋体" w:eastAsia="宋体"/>
                <w:sz w:val="16"/>
              </w:rPr>
              <w:t>1.保障单位在职16人的工资福利及各项补助正常发放及部门正常运转；目标2：保障单位预算项目按计划实施，1.推进全县网络安全和信息化法治、标准建设，根据职责负责相关法律法规、规章的实施和监督检查，执行网络安全和信息领域地方标准并监督实施。2.指导全县网信领域党建工作，建立健全各类网站（平台）、网信企业党组织，全面做好思想建设、组织建设、作风建设、反腐倡廉建设和制度建设。</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EC73D0">
            <w:pPr>
              <w:jc w:val="both"/>
            </w:pPr>
            <w:r>
              <w:rPr>
                <w:rFonts w:ascii="宋体" w:hAnsi="宋体" w:eastAsia="宋体"/>
                <w:sz w:val="16"/>
              </w:rPr>
              <w:t>2024年根据单位</w:t>
            </w:r>
            <w:r>
              <w:rPr>
                <w:rFonts w:hint="eastAsia" w:ascii="宋体" w:hAnsi="宋体"/>
                <w:sz w:val="16"/>
                <w:lang w:eastAsia="zh-CN"/>
              </w:rPr>
              <w:t>职能</w:t>
            </w:r>
            <w:r>
              <w:rPr>
                <w:rFonts w:ascii="宋体" w:hAnsi="宋体" w:eastAsia="宋体"/>
                <w:sz w:val="16"/>
              </w:rPr>
              <w:t>：1.指导完成了全县网信领域工作，建立健全各类网站（平台）、网信企业管理机制；2.推进了全县网络安全和信息化法治、标准建设；3.统筹了协调全县信息化推进工作，协调推动全县公共服务和社会治理信息化；4.组织开展了网络生态治理，发现、处置和封堵有害信息，依照相关法律和规定查处有关违法违规行为的网站（平台）等；5.维护了3条信息网络，保障全县网络信息安全工作和网络安全。确保网络实时畅通，网信指挥体系有效运转，网络巡控检测及时到位，网络有害信息处置率达到99%以上。机构设置及人员配置：中共洛浦县委员会网络安全和信息化委员会办公室无下属预算单位，编制数20人，实有人数17人。 中长期规划：2024年，我单位深入学习贯彻了</w:t>
            </w:r>
            <w:r>
              <w:rPr>
                <w:rFonts w:hint="eastAsia" w:ascii="宋体" w:hAnsi="宋体"/>
                <w:sz w:val="16"/>
                <w:lang w:eastAsia="zh-CN"/>
              </w:rPr>
              <w:t>党的</w:t>
            </w:r>
            <w:r>
              <w:rPr>
                <w:rFonts w:ascii="宋体" w:hAnsi="宋体" w:eastAsia="宋体"/>
                <w:sz w:val="16"/>
              </w:rPr>
              <w:t>二十大精神，坚持以习近平新时代中国特色社会主义思想为指引，聚焦新时代党的治疆方略，严格贯彻落实党中央、自治区党委、地委、县委关于网络安全和信息化工作的方针政策和决策部署</w:t>
            </w:r>
            <w:r>
              <w:rPr>
                <w:rFonts w:hint="eastAsia" w:ascii="宋体" w:hAnsi="宋体"/>
                <w:sz w:val="16"/>
                <w:lang w:eastAsia="zh-CN"/>
              </w:rPr>
              <w:t>。</w:t>
            </w:r>
            <w:r>
              <w:rPr>
                <w:rFonts w:ascii="宋体" w:hAnsi="宋体" w:eastAsia="宋体"/>
                <w:sz w:val="16"/>
              </w:rPr>
              <w:t>目标1：1.保障单位在职17人的工资福利及各项补助正常发放及部门正常运转；目标2：保障了单位预算项目按计划实施，1.推进了全县网络安全和信息化法治、标准建设，根据职责负责相关法律法规、规章的实施和监督检查，执行网络安全和信息领域地方标准并监督实施。2.指导了全县网信领域党建工作，建立健全各类网站（平台）、网信企业党组织，全面做好思想建设、组织建设、作风建设、反腐倡廉建设和制度建设。</w:t>
            </w:r>
          </w:p>
        </w:tc>
      </w:tr>
      <w:tr w14:paraId="749EF4C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4F42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E72F9">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7F3B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5D010">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0CA6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9011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6BCE4">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67C89">
            <w:pPr>
              <w:jc w:val="center"/>
            </w:pPr>
            <w:r>
              <w:rPr>
                <w:rFonts w:ascii="宋体" w:hAnsi="宋体" w:eastAsia="宋体"/>
                <w:sz w:val="16"/>
              </w:rPr>
              <w:t>得分</w:t>
            </w:r>
          </w:p>
        </w:tc>
      </w:tr>
      <w:tr w14:paraId="1F5633A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7A62F1">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34C9F3">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BF42D">
            <w:pPr>
              <w:jc w:val="center"/>
            </w:pPr>
            <w:r>
              <w:rPr>
                <w:rFonts w:ascii="宋体" w:hAnsi="宋体" w:eastAsia="宋体"/>
                <w:sz w:val="16"/>
              </w:rPr>
              <w:t>网络故障处置响应时间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82DB8">
            <w:pPr>
              <w:jc w:val="center"/>
            </w:pPr>
            <w:r>
              <w:rPr>
                <w:rFonts w:ascii="宋体" w:hAnsi="宋体" w:eastAsia="宋体"/>
                <w:sz w:val="16"/>
              </w:rPr>
              <w:t>&lt;=2小时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35251">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37944">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D07B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7E79B">
            <w:pPr>
              <w:jc w:val="center"/>
            </w:pPr>
            <w:r>
              <w:rPr>
                <w:rFonts w:ascii="宋体" w:hAnsi="宋体" w:eastAsia="宋体"/>
                <w:sz w:val="16"/>
              </w:rPr>
              <w:t>30</w:t>
            </w:r>
          </w:p>
        </w:tc>
      </w:tr>
      <w:tr w14:paraId="772EA0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96EB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75D20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C1D7C">
            <w:pPr>
              <w:jc w:val="center"/>
            </w:pPr>
            <w:r>
              <w:rPr>
                <w:rFonts w:ascii="宋体" w:hAnsi="宋体" w:eastAsia="宋体"/>
                <w:sz w:val="16"/>
              </w:rPr>
              <w:t>查处违法违规网络行为次数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D6B3F">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394A9">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5C16E">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EA73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B96AD">
            <w:pPr>
              <w:jc w:val="center"/>
            </w:pPr>
            <w:r>
              <w:rPr>
                <w:rFonts w:ascii="宋体" w:hAnsi="宋体" w:eastAsia="宋体"/>
                <w:sz w:val="16"/>
              </w:rPr>
              <w:t>30</w:t>
            </w:r>
          </w:p>
        </w:tc>
      </w:tr>
      <w:tr w14:paraId="724E86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E7B1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A6BBC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13E39">
            <w:pPr>
              <w:jc w:val="center"/>
            </w:pPr>
            <w:r>
              <w:rPr>
                <w:rFonts w:ascii="宋体" w:hAnsi="宋体" w:eastAsia="宋体"/>
                <w:sz w:val="16"/>
              </w:rPr>
              <w:t>开展网络安全宣传教育活动次数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F4FDC">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1D02C">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DA2DC">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EA1D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DAC10">
            <w:pPr>
              <w:jc w:val="center"/>
            </w:pPr>
            <w:r>
              <w:rPr>
                <w:rFonts w:ascii="宋体" w:hAnsi="宋体" w:eastAsia="宋体"/>
                <w:sz w:val="16"/>
              </w:rPr>
              <w:t>30</w:t>
            </w:r>
          </w:p>
        </w:tc>
      </w:tr>
    </w:tbl>
    <w:p w14:paraId="44AF6076">
      <w:r>
        <w:br w:type="page"/>
      </w:r>
    </w:p>
    <w:p w14:paraId="6823B0EB">
      <w:pPr>
        <w:spacing w:line="640" w:lineRule="exact"/>
        <w:ind w:firstLine="640"/>
        <w:jc w:val="both"/>
        <w:outlineLvl w:val="2"/>
      </w:pPr>
      <w:r>
        <w:rPr>
          <w:rFonts w:ascii="黑体" w:hAnsi="黑体" w:eastAsia="黑体"/>
          <w:sz w:val="32"/>
        </w:rPr>
        <w:t>十二、其他需说明的事项</w:t>
      </w:r>
    </w:p>
    <w:p w14:paraId="190EBBBC">
      <w:pPr>
        <w:spacing w:line="580" w:lineRule="exact"/>
        <w:ind w:firstLine="640"/>
        <w:jc w:val="both"/>
      </w:pPr>
      <w:r>
        <w:rPr>
          <w:rFonts w:ascii="仿宋_GB2312" w:hAnsi="仿宋_GB2312" w:eastAsia="仿宋_GB2312"/>
          <w:b w:val="0"/>
          <w:sz w:val="32"/>
        </w:rPr>
        <w:t>本单位无其他需说明的事项。</w:t>
      </w:r>
    </w:p>
    <w:p w14:paraId="662974C0">
      <w:r>
        <w:br w:type="page"/>
      </w:r>
    </w:p>
    <w:p w14:paraId="783D3E5D">
      <w:pPr>
        <w:spacing w:line="240" w:lineRule="auto"/>
        <w:jc w:val="center"/>
        <w:outlineLvl w:val="1"/>
      </w:pPr>
      <w:r>
        <w:rPr>
          <w:rFonts w:ascii="黑体" w:hAnsi="黑体" w:eastAsia="黑体"/>
          <w:sz w:val="32"/>
        </w:rPr>
        <w:t>第三部分 专业名词解释</w:t>
      </w:r>
    </w:p>
    <w:p w14:paraId="09788F4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DAE2F7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7BB285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904E98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295595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63C34F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3B9790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586B16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A529D0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85DB52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55A2BE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323827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F18286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E0A910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ADD50D3">
      <w:r>
        <w:br w:type="page"/>
      </w:r>
    </w:p>
    <w:p w14:paraId="6FA57A72">
      <w:pPr>
        <w:spacing w:line="240" w:lineRule="auto"/>
        <w:jc w:val="center"/>
        <w:outlineLvl w:val="1"/>
      </w:pPr>
      <w:r>
        <w:rPr>
          <w:rFonts w:ascii="黑体" w:hAnsi="黑体" w:eastAsia="黑体"/>
          <w:sz w:val="32"/>
        </w:rPr>
        <w:t>第四部分 部门决算报表（见附表）</w:t>
      </w:r>
    </w:p>
    <w:p w14:paraId="2A5DECAB">
      <w:pPr>
        <w:spacing w:line="240" w:lineRule="auto"/>
        <w:ind w:firstLine="640"/>
        <w:jc w:val="both"/>
      </w:pPr>
      <w:r>
        <w:rPr>
          <w:rFonts w:ascii="仿宋_GB2312" w:hAnsi="仿宋_GB2312" w:eastAsia="仿宋_GB2312"/>
          <w:b w:val="0"/>
          <w:sz w:val="32"/>
        </w:rPr>
        <w:t>一、《收入支出决算总表》</w:t>
      </w:r>
    </w:p>
    <w:p w14:paraId="78E0C959">
      <w:pPr>
        <w:spacing w:line="240" w:lineRule="auto"/>
        <w:ind w:firstLine="640"/>
        <w:jc w:val="both"/>
      </w:pPr>
      <w:r>
        <w:rPr>
          <w:rFonts w:ascii="仿宋_GB2312" w:hAnsi="仿宋_GB2312" w:eastAsia="仿宋_GB2312"/>
          <w:b w:val="0"/>
          <w:sz w:val="32"/>
        </w:rPr>
        <w:t>二、《收入决算表》</w:t>
      </w:r>
    </w:p>
    <w:p w14:paraId="33AE24F0">
      <w:pPr>
        <w:spacing w:line="240" w:lineRule="auto"/>
        <w:ind w:firstLine="640"/>
        <w:jc w:val="both"/>
      </w:pPr>
      <w:r>
        <w:rPr>
          <w:rFonts w:ascii="仿宋_GB2312" w:hAnsi="仿宋_GB2312" w:eastAsia="仿宋_GB2312"/>
          <w:b w:val="0"/>
          <w:sz w:val="32"/>
        </w:rPr>
        <w:t>三、《支出决算表》</w:t>
      </w:r>
    </w:p>
    <w:p w14:paraId="6EED4448">
      <w:pPr>
        <w:spacing w:line="240" w:lineRule="auto"/>
        <w:ind w:firstLine="640"/>
        <w:jc w:val="both"/>
      </w:pPr>
      <w:r>
        <w:rPr>
          <w:rFonts w:ascii="仿宋_GB2312" w:hAnsi="仿宋_GB2312" w:eastAsia="仿宋_GB2312"/>
          <w:b w:val="0"/>
          <w:sz w:val="32"/>
        </w:rPr>
        <w:t>四、《财政拨款收入支出决算总表》</w:t>
      </w:r>
    </w:p>
    <w:p w14:paraId="392B74E2">
      <w:pPr>
        <w:spacing w:line="240" w:lineRule="auto"/>
        <w:ind w:firstLine="640"/>
        <w:jc w:val="both"/>
      </w:pPr>
      <w:r>
        <w:rPr>
          <w:rFonts w:ascii="仿宋_GB2312" w:hAnsi="仿宋_GB2312" w:eastAsia="仿宋_GB2312"/>
          <w:b w:val="0"/>
          <w:sz w:val="32"/>
        </w:rPr>
        <w:t>五、《一般公共预算财政拨款支出决算表》</w:t>
      </w:r>
    </w:p>
    <w:p w14:paraId="711293FC">
      <w:pPr>
        <w:spacing w:line="240" w:lineRule="auto"/>
        <w:ind w:firstLine="640"/>
        <w:jc w:val="both"/>
      </w:pPr>
      <w:r>
        <w:rPr>
          <w:rFonts w:ascii="仿宋_GB2312" w:hAnsi="仿宋_GB2312" w:eastAsia="仿宋_GB2312"/>
          <w:b w:val="0"/>
          <w:sz w:val="32"/>
        </w:rPr>
        <w:t>六、《一般公共预算财政拨款基本支出决算表》</w:t>
      </w:r>
    </w:p>
    <w:p w14:paraId="5E189CF6">
      <w:pPr>
        <w:spacing w:line="240" w:lineRule="auto"/>
        <w:ind w:firstLine="640"/>
        <w:jc w:val="both"/>
      </w:pPr>
      <w:r>
        <w:rPr>
          <w:rFonts w:ascii="仿宋_GB2312" w:hAnsi="仿宋_GB2312" w:eastAsia="仿宋_GB2312"/>
          <w:b w:val="0"/>
          <w:sz w:val="32"/>
        </w:rPr>
        <w:t>七、《政府性基金预算财政拨款收入支出决算表》</w:t>
      </w:r>
    </w:p>
    <w:p w14:paraId="24455C07">
      <w:pPr>
        <w:spacing w:line="240" w:lineRule="auto"/>
        <w:ind w:firstLine="640"/>
        <w:jc w:val="both"/>
      </w:pPr>
      <w:r>
        <w:rPr>
          <w:rFonts w:ascii="仿宋_GB2312" w:hAnsi="仿宋_GB2312" w:eastAsia="仿宋_GB2312"/>
          <w:b w:val="0"/>
          <w:sz w:val="32"/>
        </w:rPr>
        <w:t>八、《国有资本经营预算财政拨款收入支出决算表》</w:t>
      </w:r>
    </w:p>
    <w:p w14:paraId="316A3515">
      <w:pPr>
        <w:spacing w:line="240" w:lineRule="auto"/>
        <w:ind w:firstLine="640"/>
        <w:jc w:val="both"/>
      </w:pPr>
      <w:r>
        <w:rPr>
          <w:rFonts w:ascii="仿宋_GB2312" w:hAnsi="仿宋_GB2312" w:eastAsia="仿宋_GB2312"/>
          <w:b w:val="0"/>
          <w:sz w:val="32"/>
        </w:rPr>
        <w:t>九、《财政拨款“三公”经费支出决算表》</w:t>
      </w:r>
    </w:p>
    <w:p w14:paraId="332E1772">
      <w:pPr>
        <w:spacing w:line="240" w:lineRule="auto"/>
        <w:ind w:firstLine="640"/>
        <w:jc w:val="both"/>
      </w:pPr>
    </w:p>
    <w:p w14:paraId="1314E1F7">
      <w:pPr>
        <w:spacing w:line="240" w:lineRule="auto"/>
        <w:ind w:firstLine="640"/>
        <w:jc w:val="both"/>
      </w:pPr>
    </w:p>
    <w:p w14:paraId="190DF760">
      <w:pPr>
        <w:spacing w:line="240" w:lineRule="auto"/>
        <w:ind w:firstLine="640"/>
        <w:jc w:val="both"/>
      </w:pPr>
    </w:p>
    <w:p w14:paraId="14C8DC0F">
      <w:pPr>
        <w:spacing w:line="240" w:lineRule="auto"/>
        <w:ind w:firstLine="640"/>
        <w:jc w:val="both"/>
      </w:pPr>
    </w:p>
    <w:p w14:paraId="42DAA3F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A66F28"/>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E8D4D7A"/>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5617</Words>
  <Characters>6235</Characters>
  <Lines>0</Lines>
  <Paragraphs>0</Paragraphs>
  <TotalTime>4</TotalTime>
  <ScaleCrop>false</ScaleCrop>
  <LinksUpToDate>false</LinksUpToDate>
  <CharactersWithSpaces>6245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2025-09-17T10:13:25Z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