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872D5B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中共洛浦县委员会社会工作部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43498EB">
      <w:r>
        <w:br w:type="page"/>
      </w:r>
    </w:p>
    <w:p w14:paraId="3F27982B">
      <w:pPr>
        <w:spacing w:line="640" w:lineRule="exact"/>
        <w:jc w:val="center"/>
        <w:outlineLvl w:val="1"/>
      </w:pPr>
      <w:r>
        <w:rPr>
          <w:rFonts w:ascii="黑体" w:hAnsi="黑体" w:eastAsia="黑体"/>
          <w:sz w:val="32"/>
        </w:rPr>
        <w:t>第一部分 单位概况</w:t>
      </w:r>
    </w:p>
    <w:p w14:paraId="20FF94E0">
      <w:pPr>
        <w:spacing w:line="640" w:lineRule="exact"/>
        <w:ind w:firstLine="640"/>
        <w:jc w:val="both"/>
        <w:outlineLvl w:val="2"/>
      </w:pPr>
      <w:r>
        <w:rPr>
          <w:rFonts w:ascii="黑体" w:hAnsi="黑体" w:eastAsia="黑体"/>
          <w:sz w:val="32"/>
        </w:rPr>
        <w:t>一、主要职能</w:t>
      </w:r>
    </w:p>
    <w:p w14:paraId="42323561">
      <w:pPr>
        <w:spacing w:line="580" w:lineRule="exact"/>
        <w:ind w:firstLine="640"/>
        <w:jc w:val="both"/>
      </w:pPr>
      <w:r>
        <w:rPr>
          <w:rFonts w:ascii="仿宋_GB2312" w:hAnsi="仿宋_GB2312" w:eastAsia="仿宋_GB2312"/>
          <w:sz w:val="32"/>
        </w:rPr>
        <w:t>社会工作部的职责是研究相关理论、政策和规划，拟定相关规范性文件并组织实施；统筹指导群众利益协调、诉求表达、矛盾调处、权益保障等人民信访工作，协调解决人民</w:t>
      </w:r>
      <w:r>
        <w:rPr>
          <w:rFonts w:hint="eastAsia" w:ascii="仿宋_GB2312" w:hAnsi="仿宋_GB2312" w:eastAsia="仿宋_GB2312"/>
          <w:sz w:val="32"/>
          <w:lang w:eastAsia="zh-CN"/>
        </w:rPr>
        <w:t>群众急难愁盼</w:t>
      </w:r>
      <w:r>
        <w:rPr>
          <w:rFonts w:ascii="仿宋_GB2312" w:hAnsi="仿宋_GB2312" w:eastAsia="仿宋_GB2312"/>
          <w:sz w:val="32"/>
        </w:rPr>
        <w:t>重大问题；统筹推进党建引领基层治理和基层政权建设；指导洛浦县社会组织党建工作；指导洛浦县混合所有制企业、非公有制企业和新经济组织、新社会组织、新就业群体党建工作；负责洛浦县志愿服务工作的统筹谋划等；贯彻落实党和国家关于信访工作的路线、方针、政策和法律、法规、综合协调指导洛浦县群众信访工作；负责处理县内外群众、法人及其他组织通过信访渠道给县委、县政府及领导的来信来电，接待群众来访；协调信访工作的宣传和信息工作等。</w:t>
      </w:r>
    </w:p>
    <w:p w14:paraId="1976E3C9">
      <w:pPr>
        <w:spacing w:line="640" w:lineRule="exact"/>
        <w:ind w:firstLine="640"/>
        <w:jc w:val="both"/>
        <w:outlineLvl w:val="2"/>
      </w:pPr>
      <w:r>
        <w:rPr>
          <w:rFonts w:ascii="黑体" w:hAnsi="黑体" w:eastAsia="黑体"/>
          <w:sz w:val="32"/>
        </w:rPr>
        <w:t>二、机构设置及人员情况</w:t>
      </w:r>
    </w:p>
    <w:p w14:paraId="4E477D6D">
      <w:pPr>
        <w:spacing w:line="580" w:lineRule="exact"/>
        <w:ind w:firstLine="640"/>
        <w:jc w:val="both"/>
      </w:pPr>
      <w:r>
        <w:rPr>
          <w:rFonts w:ascii="仿宋_GB2312" w:hAnsi="仿宋_GB2312" w:eastAsia="仿宋_GB2312"/>
          <w:sz w:val="32"/>
        </w:rPr>
        <w:t>中共洛浦县委员会社会工作部2024年度，实有人数9人，其中：在职人员9人，增加9人；离休人员0人，增加0人；退休人员0人,增加0人。</w:t>
      </w:r>
    </w:p>
    <w:p w14:paraId="6F4F1CD9">
      <w:pPr>
        <w:spacing w:line="580" w:lineRule="exact"/>
        <w:ind w:firstLine="640"/>
        <w:jc w:val="both"/>
      </w:pPr>
      <w:r>
        <w:rPr>
          <w:rFonts w:ascii="仿宋_GB2312" w:hAnsi="仿宋_GB2312" w:eastAsia="仿宋_GB2312"/>
          <w:sz w:val="32"/>
        </w:rPr>
        <w:t>中共洛浦县委员会社会工作部无下属预算单位，下设4个科室，分别是：办公室、财务室、基层治理办公室、两企三新办公室。</w:t>
      </w:r>
    </w:p>
    <w:p w14:paraId="47B7DA26">
      <w:r>
        <w:br w:type="page"/>
      </w:r>
    </w:p>
    <w:p w14:paraId="78A806F2">
      <w:pPr>
        <w:spacing w:line="240" w:lineRule="auto"/>
        <w:jc w:val="center"/>
        <w:outlineLvl w:val="1"/>
      </w:pPr>
      <w:r>
        <w:rPr>
          <w:rFonts w:ascii="黑体" w:hAnsi="黑体" w:eastAsia="黑体"/>
          <w:sz w:val="32"/>
        </w:rPr>
        <w:t>第二部分 部门决算情况说明</w:t>
      </w:r>
    </w:p>
    <w:p w14:paraId="28AC856D">
      <w:pPr>
        <w:spacing w:line="640" w:lineRule="exact"/>
        <w:ind w:firstLine="640"/>
        <w:jc w:val="both"/>
        <w:outlineLvl w:val="2"/>
      </w:pPr>
      <w:r>
        <w:rPr>
          <w:rFonts w:ascii="黑体" w:hAnsi="黑体" w:eastAsia="黑体"/>
          <w:sz w:val="32"/>
        </w:rPr>
        <w:t>一、收入支出决算总体情况说明</w:t>
      </w:r>
    </w:p>
    <w:p w14:paraId="3836BF66">
      <w:pPr>
        <w:spacing w:line="580" w:lineRule="exact"/>
        <w:ind w:firstLine="640"/>
        <w:jc w:val="both"/>
      </w:pPr>
      <w:r>
        <w:rPr>
          <w:rFonts w:ascii="仿宋_GB2312" w:hAnsi="仿宋_GB2312" w:eastAsia="仿宋_GB2312"/>
          <w:b/>
          <w:sz w:val="32"/>
        </w:rPr>
        <w:t>2024年度收入总计56.05万元，</w:t>
      </w:r>
      <w:r>
        <w:rPr>
          <w:rFonts w:ascii="仿宋_GB2312" w:hAnsi="仿宋_GB2312" w:eastAsia="仿宋_GB2312"/>
          <w:b w:val="0"/>
          <w:sz w:val="32"/>
        </w:rPr>
        <w:t>其中：本年收入合计56.05万元，使用非财政拨款结余（含专用结余）0.00万元，年初结转和结余0.00万元。</w:t>
      </w:r>
    </w:p>
    <w:p w14:paraId="25BBD805">
      <w:pPr>
        <w:spacing w:line="580" w:lineRule="exact"/>
        <w:ind w:firstLine="640"/>
        <w:jc w:val="both"/>
      </w:pPr>
      <w:r>
        <w:rPr>
          <w:rFonts w:ascii="仿宋_GB2312" w:hAnsi="仿宋_GB2312" w:eastAsia="仿宋_GB2312"/>
          <w:b/>
          <w:sz w:val="32"/>
        </w:rPr>
        <w:t>2024年度支出总计56.05万元，</w:t>
      </w:r>
      <w:r>
        <w:rPr>
          <w:rFonts w:ascii="仿宋_GB2312" w:hAnsi="仿宋_GB2312" w:eastAsia="仿宋_GB2312"/>
          <w:b w:val="0"/>
          <w:sz w:val="32"/>
        </w:rPr>
        <w:t>其中：本年支出合计56.05万元，结余分配0.00万元，年末结转和结余0.00万元。</w:t>
      </w:r>
    </w:p>
    <w:p w14:paraId="2F15AD51">
      <w:pPr>
        <w:spacing w:line="580" w:lineRule="exact"/>
        <w:ind w:firstLine="640"/>
        <w:jc w:val="both"/>
      </w:pPr>
      <w:r>
        <w:rPr>
          <w:rFonts w:ascii="仿宋_GB2312" w:hAnsi="仿宋_GB2312" w:eastAsia="仿宋_GB2312"/>
          <w:b w:val="0"/>
          <w:sz w:val="32"/>
        </w:rPr>
        <w:t>收入支出总体与上年相比，增加56.05万元，增长100.00%，主要原因是：本单位为本年7月新增单位，无上年对比数据。</w:t>
      </w:r>
    </w:p>
    <w:p w14:paraId="7F87734E">
      <w:pPr>
        <w:spacing w:line="640" w:lineRule="exact"/>
        <w:ind w:firstLine="640"/>
        <w:jc w:val="both"/>
        <w:outlineLvl w:val="2"/>
      </w:pPr>
      <w:r>
        <w:rPr>
          <w:rFonts w:ascii="黑体" w:hAnsi="黑体" w:eastAsia="黑体"/>
          <w:sz w:val="32"/>
        </w:rPr>
        <w:t>二、收入决算情况说明</w:t>
      </w:r>
    </w:p>
    <w:p w14:paraId="47F34754">
      <w:pPr>
        <w:spacing w:line="580" w:lineRule="exact"/>
        <w:ind w:firstLine="640"/>
        <w:jc w:val="both"/>
      </w:pPr>
      <w:r>
        <w:rPr>
          <w:rFonts w:ascii="仿宋_GB2312" w:hAnsi="仿宋_GB2312" w:eastAsia="仿宋_GB2312"/>
          <w:b/>
          <w:sz w:val="32"/>
        </w:rPr>
        <w:t>本年收入56.05万元，</w:t>
      </w:r>
      <w:r>
        <w:rPr>
          <w:rFonts w:ascii="仿宋_GB2312" w:hAnsi="仿宋_GB2312" w:eastAsia="仿宋_GB2312"/>
          <w:b w:val="0"/>
          <w:sz w:val="32"/>
        </w:rPr>
        <w:t>其中：财政拨款收入56.05万元，占100.00%；上级补助收入0.00万元，占0.00%；事业收入0.00万元，占0.00%；经营收入0.00万元，占0.00%；附属单位上缴收入0.00万元，占0.00%；其他收入0.00万元，占0.00%。</w:t>
      </w:r>
    </w:p>
    <w:p w14:paraId="5D828B56">
      <w:pPr>
        <w:spacing w:line="640" w:lineRule="exact"/>
        <w:ind w:firstLine="640"/>
        <w:jc w:val="both"/>
        <w:outlineLvl w:val="2"/>
      </w:pPr>
      <w:r>
        <w:rPr>
          <w:rFonts w:ascii="黑体" w:hAnsi="黑体" w:eastAsia="黑体"/>
          <w:sz w:val="32"/>
        </w:rPr>
        <w:t>三、支出决算情况说明</w:t>
      </w:r>
    </w:p>
    <w:p w14:paraId="2F6E4042">
      <w:pPr>
        <w:spacing w:line="580" w:lineRule="exact"/>
        <w:ind w:firstLine="640"/>
        <w:jc w:val="both"/>
      </w:pPr>
      <w:r>
        <w:rPr>
          <w:rFonts w:ascii="仿宋_GB2312" w:hAnsi="仿宋_GB2312" w:eastAsia="仿宋_GB2312"/>
          <w:b/>
          <w:sz w:val="32"/>
        </w:rPr>
        <w:t>本年支出56.05万元，</w:t>
      </w:r>
      <w:r>
        <w:rPr>
          <w:rFonts w:ascii="仿宋_GB2312" w:hAnsi="仿宋_GB2312" w:eastAsia="仿宋_GB2312"/>
          <w:b w:val="0"/>
          <w:sz w:val="32"/>
        </w:rPr>
        <w:t>其中：基本支出56.05万元，占100.00%；项目支出0.00万元，占0.00%；上缴上级支出0.00万元，占0.00%；经营支出0.00万元，占0.00%；对附属单位补助支出0.00万元，占0.00%。</w:t>
      </w:r>
    </w:p>
    <w:p w14:paraId="0D8A0CA8">
      <w:pPr>
        <w:spacing w:line="640" w:lineRule="exact"/>
        <w:ind w:firstLine="640"/>
        <w:jc w:val="both"/>
        <w:outlineLvl w:val="2"/>
      </w:pPr>
      <w:r>
        <w:rPr>
          <w:rFonts w:ascii="黑体" w:hAnsi="黑体" w:eastAsia="黑体"/>
          <w:sz w:val="32"/>
        </w:rPr>
        <w:t>四、财政拨款收入支出决算总体情况说明</w:t>
      </w:r>
    </w:p>
    <w:p w14:paraId="129BA5A2">
      <w:pPr>
        <w:spacing w:line="580" w:lineRule="exact"/>
        <w:ind w:firstLine="640"/>
        <w:jc w:val="both"/>
      </w:pPr>
      <w:r>
        <w:rPr>
          <w:rFonts w:ascii="仿宋_GB2312" w:hAnsi="仿宋_GB2312" w:eastAsia="仿宋_GB2312"/>
          <w:b/>
          <w:sz w:val="32"/>
        </w:rPr>
        <w:t>2024年度财政拨款收入总计56.05万元，</w:t>
      </w:r>
      <w:r>
        <w:rPr>
          <w:rFonts w:ascii="仿宋_GB2312" w:hAnsi="仿宋_GB2312" w:eastAsia="仿宋_GB2312"/>
          <w:b w:val="0"/>
          <w:sz w:val="32"/>
        </w:rPr>
        <w:t>其中：年初财政拨款结转和结余0.00万元，本年财政拨款收入56.05万元。</w:t>
      </w:r>
      <w:r>
        <w:rPr>
          <w:rFonts w:ascii="仿宋_GB2312" w:hAnsi="仿宋_GB2312" w:eastAsia="仿宋_GB2312"/>
          <w:b/>
          <w:sz w:val="32"/>
        </w:rPr>
        <w:t>财政拨款支出总计56.05万元，</w:t>
      </w:r>
      <w:r>
        <w:rPr>
          <w:rFonts w:ascii="仿宋_GB2312" w:hAnsi="仿宋_GB2312" w:eastAsia="仿宋_GB2312"/>
          <w:b w:val="0"/>
          <w:sz w:val="32"/>
        </w:rPr>
        <w:t>其中：年末财政拨款结转和结余0.00万元，本年财政拨款支出56.05万元。</w:t>
      </w:r>
    </w:p>
    <w:p w14:paraId="5A72CFC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增加56.05万元，增长100.00%，主要原因是：本单位为本年7月新增单位，无上年对比数据。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年初预算数0.00万元，决算数56.05万元，预决算差异率100.00%，主要原因是：本单位为本年7月新增单位，年初未做预算，导致预决算差异。</w:t>
      </w:r>
    </w:p>
    <w:p w14:paraId="5A5F1084">
      <w:pPr>
        <w:spacing w:line="640" w:lineRule="exact"/>
        <w:ind w:firstLine="640"/>
        <w:jc w:val="both"/>
        <w:outlineLvl w:val="2"/>
      </w:pPr>
      <w:r>
        <w:rPr>
          <w:rFonts w:ascii="黑体" w:hAnsi="黑体" w:eastAsia="黑体"/>
          <w:sz w:val="32"/>
        </w:rPr>
        <w:t>五、一般公共预算财政拨款支出决算情况说明</w:t>
      </w:r>
    </w:p>
    <w:p w14:paraId="5450C455">
      <w:pPr>
        <w:spacing w:line="640" w:lineRule="exact"/>
        <w:ind w:firstLine="640"/>
        <w:jc w:val="both"/>
        <w:outlineLvl w:val="3"/>
      </w:pPr>
      <w:r>
        <w:rPr>
          <w:rFonts w:ascii="楷体_GB2312" w:hAnsi="楷体_GB2312" w:eastAsia="楷体_GB2312"/>
          <w:b/>
          <w:sz w:val="32"/>
        </w:rPr>
        <w:t>（一）一般公共预算财政拨款支出决算总体情况</w:t>
      </w:r>
    </w:p>
    <w:p w14:paraId="7A93036C">
      <w:pPr>
        <w:spacing w:line="580" w:lineRule="exact"/>
        <w:ind w:firstLine="640"/>
        <w:jc w:val="both"/>
      </w:pPr>
      <w:r>
        <w:rPr>
          <w:rFonts w:ascii="仿宋_GB2312" w:hAnsi="仿宋_GB2312" w:eastAsia="仿宋_GB2312"/>
          <w:b/>
          <w:sz w:val="32"/>
        </w:rPr>
        <w:t>2024年度一般公共预算财政拨款支出56.05万元，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增加56.05万元，增长100.00%，主要原因是：本单位为本年7月新增单位，无上年对比数据。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年初预算数0.00万元，决算数56.05万元，预决算差异率100.00%，主要原因是：本单位为本年7月新增单位，年初未做预算，导致预决算差异。</w:t>
      </w:r>
    </w:p>
    <w:p w14:paraId="1E9E4025">
      <w:pPr>
        <w:spacing w:line="640" w:lineRule="exact"/>
        <w:ind w:firstLine="640"/>
        <w:jc w:val="both"/>
        <w:outlineLvl w:val="3"/>
      </w:pPr>
      <w:r>
        <w:rPr>
          <w:rFonts w:ascii="楷体_GB2312" w:hAnsi="楷体_GB2312" w:eastAsia="楷体_GB2312"/>
          <w:b/>
          <w:sz w:val="32"/>
        </w:rPr>
        <w:t>（二）一般公共预算财政拨款支出决算结构情况</w:t>
      </w:r>
    </w:p>
    <w:p w14:paraId="001034DE">
      <w:pPr>
        <w:spacing w:line="580" w:lineRule="exact"/>
        <w:ind w:firstLine="640"/>
        <w:jc w:val="both"/>
      </w:pPr>
      <w:r>
        <w:rPr>
          <w:rFonts w:ascii="仿宋_GB2312" w:hAnsi="仿宋_GB2312" w:eastAsia="仿宋_GB2312"/>
          <w:b w:val="0"/>
          <w:sz w:val="32"/>
        </w:rPr>
        <w:t>1.一般公共服务支出(类)43.33万元,占77.31%。</w:t>
      </w:r>
    </w:p>
    <w:p w14:paraId="2239B7DD">
      <w:pPr>
        <w:spacing w:line="580" w:lineRule="exact"/>
        <w:ind w:firstLine="640"/>
        <w:jc w:val="both"/>
      </w:pPr>
      <w:r>
        <w:rPr>
          <w:rFonts w:ascii="仿宋_GB2312" w:hAnsi="仿宋_GB2312" w:eastAsia="仿宋_GB2312"/>
          <w:b w:val="0"/>
          <w:sz w:val="32"/>
        </w:rPr>
        <w:t>2.社会保障和就业支出(类)5.30万元,占9.46%。</w:t>
      </w:r>
    </w:p>
    <w:p w14:paraId="2C10C25B">
      <w:pPr>
        <w:spacing w:line="580" w:lineRule="exact"/>
        <w:ind w:firstLine="640"/>
        <w:jc w:val="both"/>
      </w:pPr>
      <w:r>
        <w:rPr>
          <w:rFonts w:ascii="仿宋_GB2312" w:hAnsi="仿宋_GB2312" w:eastAsia="仿宋_GB2312"/>
          <w:b w:val="0"/>
          <w:sz w:val="32"/>
        </w:rPr>
        <w:t>3.卫生健康支出(类)3.27万元,占5.83%。</w:t>
      </w:r>
    </w:p>
    <w:p w14:paraId="0E7E4B4B">
      <w:pPr>
        <w:spacing w:line="580" w:lineRule="exact"/>
        <w:ind w:firstLine="640"/>
        <w:jc w:val="both"/>
      </w:pPr>
      <w:r>
        <w:rPr>
          <w:rFonts w:ascii="仿宋_GB2312" w:hAnsi="仿宋_GB2312" w:eastAsia="仿宋_GB2312"/>
          <w:b w:val="0"/>
          <w:sz w:val="32"/>
        </w:rPr>
        <w:t>4.住房保障支出(类)4.15万元,占7.40%。</w:t>
      </w:r>
    </w:p>
    <w:p w14:paraId="150E2938">
      <w:pPr>
        <w:spacing w:line="640" w:lineRule="exact"/>
        <w:ind w:firstLine="640"/>
        <w:jc w:val="both"/>
        <w:outlineLvl w:val="3"/>
      </w:pPr>
      <w:r>
        <w:rPr>
          <w:rFonts w:ascii="楷体_GB2312" w:hAnsi="楷体_GB2312" w:eastAsia="楷体_GB2312"/>
          <w:b/>
          <w:sz w:val="32"/>
        </w:rPr>
        <w:t>（三）一般公共预算财政拨款支出决算具体情况</w:t>
      </w:r>
    </w:p>
    <w:p w14:paraId="6BB8386B">
      <w:pPr>
        <w:spacing w:line="580" w:lineRule="exact"/>
        <w:ind w:firstLine="640"/>
        <w:jc w:val="both"/>
      </w:pPr>
      <w:r>
        <w:rPr>
          <w:rFonts w:ascii="仿宋_GB2312" w:hAnsi="仿宋_GB2312" w:eastAsia="仿宋_GB2312"/>
          <w:b w:val="0"/>
          <w:sz w:val="32"/>
        </w:rPr>
        <w:t>1.一般公共服务支出(类)社会工作事务(款)行政运行(项):支出决算数为43.33万元，比上年决算增加43.33万元，增长100.00%,主要原因是：本单位为本年7月新增单位，无上年对比数据。</w:t>
      </w:r>
    </w:p>
    <w:p w14:paraId="6A1D578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5.30万元，比上年决算增加5.30万元，增长100.00%,主要原因是：本单位为本年7月新增单位，无上年对比数据。</w:t>
      </w:r>
    </w:p>
    <w:p w14:paraId="416422A7">
      <w:pPr>
        <w:spacing w:line="580" w:lineRule="exact"/>
        <w:ind w:firstLine="640"/>
        <w:jc w:val="both"/>
      </w:pPr>
      <w:r>
        <w:rPr>
          <w:rFonts w:ascii="仿宋_GB2312" w:hAnsi="仿宋_GB2312" w:eastAsia="仿宋_GB2312"/>
          <w:b w:val="0"/>
          <w:sz w:val="32"/>
        </w:rPr>
        <w:t>3.卫生健康支出(类)行政事业单位医疗(款)行政单位医疗(项):支出决算数为2.15万元，比上年决算增加2.15万元，增长100.00%,主要原因是：本单位为本年7月新增单位，无上年对比数据。</w:t>
      </w:r>
    </w:p>
    <w:p w14:paraId="656C83F3">
      <w:pPr>
        <w:spacing w:line="580" w:lineRule="exact"/>
        <w:ind w:firstLine="640"/>
        <w:jc w:val="both"/>
      </w:pPr>
      <w:r>
        <w:rPr>
          <w:rFonts w:ascii="仿宋_GB2312" w:hAnsi="仿宋_GB2312" w:eastAsia="仿宋_GB2312"/>
          <w:b w:val="0"/>
          <w:sz w:val="32"/>
        </w:rPr>
        <w:t>4.卫生健康支出(类)行政事业单位医疗(款)公务员医疗补助(项):支出决算数为1.12万元，比上年决算增加1.12万元，增长100.00%,主要原因是：本单位为本年7月新增单位，无上年对比数据。</w:t>
      </w:r>
    </w:p>
    <w:p w14:paraId="2671B2D3">
      <w:pPr>
        <w:spacing w:line="580" w:lineRule="exact"/>
        <w:ind w:firstLine="640"/>
        <w:jc w:val="both"/>
      </w:pPr>
      <w:r>
        <w:rPr>
          <w:rFonts w:ascii="仿宋_GB2312" w:hAnsi="仿宋_GB2312" w:eastAsia="仿宋_GB2312"/>
          <w:b w:val="0"/>
          <w:sz w:val="32"/>
        </w:rPr>
        <w:t>5.住房保障支出(类)住房改革支出(款)住房公积金(项):支出决算数为4.15万元，比上年决算增加4.15万元，增长100.00%,主要原因是：本单位为本年7月新增单位，无上年对比数据。</w:t>
      </w:r>
    </w:p>
    <w:p w14:paraId="1FA66512">
      <w:pPr>
        <w:spacing w:line="640" w:lineRule="exact"/>
        <w:ind w:firstLine="640"/>
        <w:jc w:val="both"/>
        <w:outlineLvl w:val="2"/>
      </w:pPr>
      <w:r>
        <w:rPr>
          <w:rFonts w:ascii="黑体" w:hAnsi="黑体" w:eastAsia="黑体"/>
          <w:sz w:val="32"/>
        </w:rPr>
        <w:t>六、一般公共预算财政拨款基本支出决算情况说明</w:t>
      </w:r>
    </w:p>
    <w:p w14:paraId="4332E51C">
      <w:pPr>
        <w:spacing w:line="580" w:lineRule="exact"/>
        <w:ind w:firstLine="640"/>
        <w:jc w:val="both"/>
      </w:pPr>
      <w:r>
        <w:rPr>
          <w:rFonts w:ascii="仿宋_GB2312" w:hAnsi="仿宋_GB2312" w:eastAsia="仿宋_GB2312"/>
          <w:b w:val="0"/>
          <w:sz w:val="32"/>
        </w:rPr>
        <w:t>2024年度一般公共预算财政拨款基本支出56.05万元，其中：</w:t>
      </w:r>
      <w:r>
        <w:rPr>
          <w:rFonts w:ascii="仿宋_GB2312" w:hAnsi="仿宋_GB2312" w:eastAsia="仿宋_GB2312"/>
          <w:b/>
          <w:sz w:val="32"/>
        </w:rPr>
        <w:t>人员经费54.94万元，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w:t>
      </w:r>
    </w:p>
    <w:p w14:paraId="06CE8BE8">
      <w:pPr>
        <w:spacing w:line="580" w:lineRule="exact"/>
        <w:ind w:firstLine="640"/>
        <w:jc w:val="both"/>
      </w:pPr>
      <w:r>
        <w:rPr>
          <w:rFonts w:ascii="仿宋_GB2312" w:hAnsi="仿宋_GB2312" w:eastAsia="仿宋_GB2312"/>
          <w:b/>
          <w:sz w:val="32"/>
        </w:rPr>
        <w:t>公用经费1.11万元，</w:t>
      </w:r>
      <w:r>
        <w:rPr>
          <w:rFonts w:ascii="仿宋_GB2312" w:hAnsi="仿宋_GB2312" w:eastAsia="仿宋_GB2312"/>
          <w:b w:val="0"/>
          <w:sz w:val="32"/>
        </w:rPr>
        <w:t>包括：办公费、公务用车运行维护费。</w:t>
      </w:r>
    </w:p>
    <w:p w14:paraId="293331AA">
      <w:pPr>
        <w:spacing w:line="640" w:lineRule="exact"/>
        <w:ind w:firstLine="640"/>
        <w:jc w:val="both"/>
        <w:outlineLvl w:val="2"/>
      </w:pPr>
      <w:r>
        <w:rPr>
          <w:rFonts w:ascii="黑体" w:hAnsi="黑体" w:eastAsia="黑体"/>
          <w:sz w:val="32"/>
        </w:rPr>
        <w:t>七、政府性基金预算财政拨款收入支出决算情况说明</w:t>
      </w:r>
    </w:p>
    <w:p w14:paraId="7DFC668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19987EF">
      <w:pPr>
        <w:spacing w:line="640" w:lineRule="exact"/>
        <w:ind w:firstLine="640"/>
        <w:jc w:val="both"/>
        <w:outlineLvl w:val="2"/>
      </w:pPr>
      <w:r>
        <w:rPr>
          <w:rFonts w:ascii="黑体" w:hAnsi="黑体" w:eastAsia="黑体"/>
          <w:sz w:val="32"/>
        </w:rPr>
        <w:t>八、国有资本经营预算财政拨款收入支出决算情况说明</w:t>
      </w:r>
    </w:p>
    <w:p w14:paraId="13AEE60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BA8DD10">
      <w:pPr>
        <w:spacing w:line="640" w:lineRule="exact"/>
        <w:ind w:firstLine="640"/>
        <w:jc w:val="both"/>
        <w:outlineLvl w:val="2"/>
      </w:pPr>
      <w:r>
        <w:rPr>
          <w:rFonts w:ascii="黑体" w:hAnsi="黑体" w:eastAsia="黑体"/>
          <w:sz w:val="32"/>
        </w:rPr>
        <w:t>九、财政拨款“三公”经费支出决算情况说明</w:t>
      </w:r>
    </w:p>
    <w:p w14:paraId="02634C38">
      <w:pPr>
        <w:spacing w:line="580" w:lineRule="exact"/>
        <w:ind w:firstLine="640"/>
        <w:jc w:val="both"/>
      </w:pPr>
      <w:r>
        <w:rPr>
          <w:rFonts w:ascii="仿宋_GB2312" w:hAnsi="仿宋_GB2312" w:eastAsia="仿宋_GB2312"/>
          <w:b/>
          <w:sz w:val="32"/>
        </w:rPr>
        <w:t>2024年度财政拨款“三公”经费支出0.40万元，</w:t>
      </w:r>
      <w:r>
        <w:rPr>
          <w:rFonts w:ascii="仿宋_GB2312" w:hAnsi="仿宋_GB2312" w:eastAsia="仿宋_GB2312"/>
          <w:b w:val="0"/>
          <w:sz w:val="32"/>
        </w:rPr>
        <w:t>比上年增加0.40万元，增长100.00%，主要原因是：本单位为本年7月新增单位，无上年对比数据。其中：因公出国（境）费支出0.00万元，占0.00%，比上年增加0.00万元，增长0.00%，主要原因是：2024年未安排因公出国（境）费支出。公务用车购置及运行维护费支出0.40万元，占100.00%，比上年增加0.40万元，增长100.00%，主要原因是：本单位为本年7月新增单位，无上年对比数据。公务接待费支出0.00万元，占0.00%，比上年增加0.00万元，增长0.00%，主要原因是：2024年未安排公务接待费支出。</w:t>
      </w:r>
    </w:p>
    <w:p w14:paraId="094BE11D">
      <w:pPr>
        <w:spacing w:line="580" w:lineRule="exact"/>
        <w:ind w:firstLine="640"/>
        <w:jc w:val="both"/>
      </w:pPr>
      <w:r>
        <w:rPr>
          <w:rFonts w:ascii="仿宋_GB2312" w:hAnsi="仿宋_GB2312" w:eastAsia="仿宋_GB2312"/>
          <w:b/>
          <w:sz w:val="32"/>
        </w:rPr>
        <w:t>具体情况如下：</w:t>
      </w:r>
    </w:p>
    <w:p w14:paraId="4A9D532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E46157B">
      <w:pPr>
        <w:spacing w:line="580" w:lineRule="exact"/>
        <w:ind w:firstLine="640"/>
        <w:jc w:val="both"/>
      </w:pPr>
      <w:r>
        <w:rPr>
          <w:rFonts w:ascii="仿宋_GB2312" w:hAnsi="仿宋_GB2312" w:eastAsia="仿宋_GB2312"/>
          <w:b w:val="0"/>
          <w:sz w:val="32"/>
        </w:rPr>
        <w:t>公务用车购置及运行维护费0.40万元，其中：公务用车购置费0.00万元，公务用车运行维护费0.40万元。公务用车运行维护费开支内容包括车辆保险费。公务用车购置数0辆，公务用车保有量1辆。国有资产占用情况中固定资产车辆0辆，与公务用车保有量差异原因是：借用其他单位车辆，车辆费用由本单位支付。</w:t>
      </w:r>
    </w:p>
    <w:p w14:paraId="565DBF8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939AF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0.40万元，决算数0.40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0.40万元，决算数0.40万元，预决算差异率0.00%，主要原因是：严格按照预算执行，预决算无差异。公务接待费全年预算数0.00万元，决算数0.00万元，预决算差异率0.00%，主要原因是：本单位无公务接待费。</w:t>
      </w:r>
    </w:p>
    <w:p w14:paraId="797E53F6">
      <w:pPr>
        <w:spacing w:line="640" w:lineRule="exact"/>
        <w:ind w:firstLine="640"/>
        <w:jc w:val="both"/>
        <w:outlineLvl w:val="2"/>
      </w:pPr>
      <w:r>
        <w:rPr>
          <w:rFonts w:ascii="黑体" w:hAnsi="黑体" w:eastAsia="黑体"/>
          <w:sz w:val="32"/>
        </w:rPr>
        <w:t>十、其他重要事项的情况说明</w:t>
      </w:r>
    </w:p>
    <w:p w14:paraId="04555B21">
      <w:pPr>
        <w:spacing w:line="640" w:lineRule="exact"/>
        <w:ind w:firstLine="640"/>
        <w:jc w:val="both"/>
        <w:outlineLvl w:val="3"/>
      </w:pPr>
      <w:r>
        <w:rPr>
          <w:rFonts w:ascii="楷体_GB2312" w:hAnsi="楷体_GB2312" w:eastAsia="楷体_GB2312"/>
          <w:b/>
          <w:sz w:val="32"/>
        </w:rPr>
        <w:t>（一）机关运行经费及公用经费支出情况</w:t>
      </w:r>
    </w:p>
    <w:p w14:paraId="285990C6">
      <w:pPr>
        <w:spacing w:line="580" w:lineRule="exact"/>
        <w:ind w:firstLine="640"/>
        <w:jc w:val="both"/>
      </w:pPr>
      <w:r>
        <w:rPr>
          <w:rFonts w:ascii="仿宋_GB2312" w:hAnsi="仿宋_GB2312" w:eastAsia="仿宋_GB2312"/>
          <w:b w:val="0"/>
          <w:sz w:val="32"/>
        </w:rPr>
        <w:t>2024年度中共洛浦县委员会社会工作部（行政单位和参照公务员法管理事业单位）机关运行经费支出1.11万元，比上年增加1.11万元，增长100.00%，主要原因是：本单位为本年7月新增单位，无上年机关运行经费对比数据。</w:t>
      </w:r>
    </w:p>
    <w:p w14:paraId="30ADB9A4">
      <w:pPr>
        <w:spacing w:line="640" w:lineRule="exact"/>
        <w:ind w:firstLine="640"/>
        <w:jc w:val="both"/>
        <w:outlineLvl w:val="3"/>
      </w:pPr>
      <w:r>
        <w:rPr>
          <w:rFonts w:ascii="楷体_GB2312" w:hAnsi="楷体_GB2312" w:eastAsia="楷体_GB2312"/>
          <w:b/>
          <w:sz w:val="32"/>
        </w:rPr>
        <w:t>（二）政府采购情况</w:t>
      </w:r>
    </w:p>
    <w:p w14:paraId="466CE20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A8AA0DD">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B2D3264">
      <w:pPr>
        <w:spacing w:line="640" w:lineRule="exact"/>
        <w:ind w:firstLine="640"/>
        <w:jc w:val="both"/>
        <w:outlineLvl w:val="3"/>
      </w:pPr>
      <w:r>
        <w:rPr>
          <w:rFonts w:ascii="楷体_GB2312" w:hAnsi="楷体_GB2312" w:eastAsia="楷体_GB2312"/>
          <w:b/>
          <w:sz w:val="32"/>
        </w:rPr>
        <w:t>（三）国有资产占用情况说明</w:t>
      </w:r>
    </w:p>
    <w:p w14:paraId="6F443E3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4D929A5">
      <w:pPr>
        <w:spacing w:line="640" w:lineRule="exact"/>
        <w:ind w:firstLine="640"/>
        <w:jc w:val="both"/>
        <w:outlineLvl w:val="2"/>
      </w:pPr>
      <w:r>
        <w:rPr>
          <w:rFonts w:ascii="黑体" w:hAnsi="黑体" w:eastAsia="黑体"/>
          <w:sz w:val="32"/>
        </w:rPr>
        <w:t>十一、预算绩效的情况说明</w:t>
      </w:r>
    </w:p>
    <w:p w14:paraId="43DB3844">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年本单位无项目支出绩效自评表。发现的问题及原因：本年本单位无项目支出绩效自评表。下一步改进措施：本年本单位无项目支出绩效自评表。</w:t>
      </w:r>
    </w:p>
    <w:p w14:paraId="60A7E315">
      <w:r>
        <w:br w:type="page"/>
      </w:r>
    </w:p>
    <w:p w14:paraId="422BA9D9">
      <w:pPr>
        <w:spacing w:line="640" w:lineRule="exact"/>
        <w:ind w:firstLine="640"/>
        <w:jc w:val="both"/>
        <w:outlineLvl w:val="2"/>
      </w:pPr>
      <w:r>
        <w:rPr>
          <w:rFonts w:ascii="黑体" w:hAnsi="黑体" w:eastAsia="黑体"/>
          <w:sz w:val="32"/>
        </w:rPr>
        <w:t>十二、其他需说明的事项</w:t>
      </w:r>
    </w:p>
    <w:p w14:paraId="74537D62">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本单位2024年度无政府采购支出，授予中小企业合同金额0.00万元。</w:t>
      </w:r>
    </w:p>
    <w:p w14:paraId="4BDBF8D6">
      <w:pPr>
        <w:spacing w:line="580" w:lineRule="exact"/>
        <w:ind w:firstLine="640"/>
        <w:jc w:val="both"/>
      </w:pPr>
      <w:bookmarkStart w:id="0" w:name="_GoBack"/>
      <w:bookmarkEnd w:id="0"/>
      <w:r>
        <w:rPr>
          <w:rFonts w:ascii="仿宋_GB2312" w:hAnsi="仿宋_GB2312" w:eastAsia="仿宋_GB2312"/>
          <w:b w:val="0"/>
          <w:sz w:val="32"/>
        </w:rPr>
        <w:t>本单位为本年7月新增单位，无整体支出绩效自评表。</w:t>
      </w:r>
    </w:p>
    <w:p w14:paraId="35EC569D">
      <w:r>
        <w:br w:type="page"/>
      </w:r>
    </w:p>
    <w:p w14:paraId="3C19FE06">
      <w:pPr>
        <w:spacing w:line="240" w:lineRule="auto"/>
        <w:jc w:val="center"/>
        <w:outlineLvl w:val="1"/>
      </w:pPr>
      <w:r>
        <w:rPr>
          <w:rFonts w:ascii="黑体" w:hAnsi="黑体" w:eastAsia="黑体"/>
          <w:sz w:val="32"/>
        </w:rPr>
        <w:t>第三部分 专业名词解释</w:t>
      </w:r>
    </w:p>
    <w:p w14:paraId="5A18E92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9E6E5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A22F3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BA9B2F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A8B7D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DE100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D769EB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ECEC7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57151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4DFDE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6E5E5B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32898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2CF800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853FF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89D3D3">
      <w:r>
        <w:br w:type="page"/>
      </w:r>
    </w:p>
    <w:p w14:paraId="66045103">
      <w:pPr>
        <w:spacing w:line="240" w:lineRule="auto"/>
        <w:jc w:val="center"/>
        <w:outlineLvl w:val="1"/>
      </w:pPr>
      <w:r>
        <w:rPr>
          <w:rFonts w:ascii="黑体" w:hAnsi="黑体" w:eastAsia="黑体"/>
          <w:sz w:val="32"/>
        </w:rPr>
        <w:t>第四部分 部门决算报表（见附表）</w:t>
      </w:r>
    </w:p>
    <w:p w14:paraId="46069F55">
      <w:pPr>
        <w:spacing w:line="240" w:lineRule="auto"/>
        <w:ind w:firstLine="640"/>
        <w:jc w:val="both"/>
      </w:pPr>
      <w:r>
        <w:rPr>
          <w:rFonts w:ascii="仿宋_GB2312" w:hAnsi="仿宋_GB2312" w:eastAsia="仿宋_GB2312"/>
          <w:b w:val="0"/>
          <w:sz w:val="32"/>
        </w:rPr>
        <w:t>一、《收入支出决算总表》</w:t>
      </w:r>
    </w:p>
    <w:p w14:paraId="0E0432AA">
      <w:pPr>
        <w:spacing w:line="240" w:lineRule="auto"/>
        <w:ind w:firstLine="640"/>
        <w:jc w:val="both"/>
      </w:pPr>
      <w:r>
        <w:rPr>
          <w:rFonts w:ascii="仿宋_GB2312" w:hAnsi="仿宋_GB2312" w:eastAsia="仿宋_GB2312"/>
          <w:b w:val="0"/>
          <w:sz w:val="32"/>
        </w:rPr>
        <w:t>二、《收入决算表》</w:t>
      </w:r>
    </w:p>
    <w:p w14:paraId="61611ABA">
      <w:pPr>
        <w:spacing w:line="240" w:lineRule="auto"/>
        <w:ind w:firstLine="640"/>
        <w:jc w:val="both"/>
      </w:pPr>
      <w:r>
        <w:rPr>
          <w:rFonts w:ascii="仿宋_GB2312" w:hAnsi="仿宋_GB2312" w:eastAsia="仿宋_GB2312"/>
          <w:b w:val="0"/>
          <w:sz w:val="32"/>
        </w:rPr>
        <w:t>三、《支出决算表》</w:t>
      </w:r>
    </w:p>
    <w:p w14:paraId="41214002">
      <w:pPr>
        <w:spacing w:line="240" w:lineRule="auto"/>
        <w:ind w:firstLine="640"/>
        <w:jc w:val="both"/>
      </w:pPr>
      <w:r>
        <w:rPr>
          <w:rFonts w:ascii="仿宋_GB2312" w:hAnsi="仿宋_GB2312" w:eastAsia="仿宋_GB2312"/>
          <w:b w:val="0"/>
          <w:sz w:val="32"/>
        </w:rPr>
        <w:t>四、《财政拨款收入支出决算总表》</w:t>
      </w:r>
    </w:p>
    <w:p w14:paraId="114A5F49">
      <w:pPr>
        <w:spacing w:line="240" w:lineRule="auto"/>
        <w:ind w:firstLine="640"/>
        <w:jc w:val="both"/>
      </w:pPr>
      <w:r>
        <w:rPr>
          <w:rFonts w:ascii="仿宋_GB2312" w:hAnsi="仿宋_GB2312" w:eastAsia="仿宋_GB2312"/>
          <w:b w:val="0"/>
          <w:sz w:val="32"/>
        </w:rPr>
        <w:t>五、《一般公共预算财政拨款支出决算表》</w:t>
      </w:r>
    </w:p>
    <w:p w14:paraId="7787B331">
      <w:pPr>
        <w:spacing w:line="240" w:lineRule="auto"/>
        <w:ind w:firstLine="640"/>
        <w:jc w:val="both"/>
      </w:pPr>
      <w:r>
        <w:rPr>
          <w:rFonts w:ascii="仿宋_GB2312" w:hAnsi="仿宋_GB2312" w:eastAsia="仿宋_GB2312"/>
          <w:b w:val="0"/>
          <w:sz w:val="32"/>
        </w:rPr>
        <w:t>六、《一般公共预算财政拨款基本支出决算表》</w:t>
      </w:r>
    </w:p>
    <w:p w14:paraId="627D4238">
      <w:pPr>
        <w:spacing w:line="240" w:lineRule="auto"/>
        <w:ind w:firstLine="640"/>
        <w:jc w:val="both"/>
      </w:pPr>
      <w:r>
        <w:rPr>
          <w:rFonts w:ascii="仿宋_GB2312" w:hAnsi="仿宋_GB2312" w:eastAsia="仿宋_GB2312"/>
          <w:b w:val="0"/>
          <w:sz w:val="32"/>
        </w:rPr>
        <w:t>七、《政府性基金预算财政拨款收入支出决算表》</w:t>
      </w:r>
    </w:p>
    <w:p w14:paraId="7CB17E89">
      <w:pPr>
        <w:spacing w:line="240" w:lineRule="auto"/>
        <w:ind w:firstLine="640"/>
        <w:jc w:val="both"/>
      </w:pPr>
      <w:r>
        <w:rPr>
          <w:rFonts w:ascii="仿宋_GB2312" w:hAnsi="仿宋_GB2312" w:eastAsia="仿宋_GB2312"/>
          <w:b w:val="0"/>
          <w:sz w:val="32"/>
        </w:rPr>
        <w:t>八、《国有资本经营预算财政拨款收入支出决算表》</w:t>
      </w:r>
    </w:p>
    <w:p w14:paraId="28D31B58">
      <w:pPr>
        <w:spacing w:line="240" w:lineRule="auto"/>
        <w:ind w:firstLine="640"/>
        <w:jc w:val="both"/>
      </w:pPr>
      <w:r>
        <w:rPr>
          <w:rFonts w:ascii="仿宋_GB2312" w:hAnsi="仿宋_GB2312" w:eastAsia="仿宋_GB2312"/>
          <w:b w:val="0"/>
          <w:sz w:val="32"/>
        </w:rPr>
        <w:t>九、《财政拨款“三公”经费支出决算表》</w:t>
      </w:r>
    </w:p>
    <w:p w14:paraId="69041D57">
      <w:pPr>
        <w:spacing w:line="240" w:lineRule="auto"/>
        <w:ind w:firstLine="640"/>
        <w:jc w:val="both"/>
      </w:pPr>
    </w:p>
    <w:p w14:paraId="432120F2">
      <w:pPr>
        <w:spacing w:line="240" w:lineRule="auto"/>
        <w:ind w:firstLine="640"/>
        <w:jc w:val="both"/>
      </w:pPr>
    </w:p>
    <w:p w14:paraId="603BD06C">
      <w:pPr>
        <w:spacing w:line="240" w:lineRule="auto"/>
        <w:ind w:firstLine="640"/>
        <w:jc w:val="both"/>
      </w:pPr>
    </w:p>
    <w:p w14:paraId="53129C1B">
      <w:pPr>
        <w:spacing w:line="240" w:lineRule="auto"/>
        <w:ind w:firstLine="640"/>
        <w:jc w:val="both"/>
      </w:pPr>
    </w:p>
    <w:p w14:paraId="1E2B0BA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143BCF-2DD0-4A74-8322-291A9F2E12F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D511522-5F53-46DA-92D9-9772E94EC6CC}"/>
  </w:font>
  <w:font w:name="仿宋_GB2312">
    <w:panose1 w:val="02010609030101010101"/>
    <w:charset w:val="86"/>
    <w:family w:val="modern"/>
    <w:pitch w:val="default"/>
    <w:sig w:usb0="00000001" w:usb1="080E0000" w:usb2="00000000" w:usb3="00000000" w:csb0="00040000" w:csb1="00000000"/>
    <w:embedRegular r:id="rId3" w:fontKey="{81455140-7206-4563-83CC-A772971F0C72}"/>
  </w:font>
  <w:font w:name="楷体_GB2312">
    <w:panose1 w:val="02010609030101010101"/>
    <w:charset w:val="86"/>
    <w:family w:val="auto"/>
    <w:pitch w:val="default"/>
    <w:sig w:usb0="00000001" w:usb1="080E0000" w:usb2="00000000" w:usb3="00000000" w:csb0="00040000" w:csb1="00000000"/>
    <w:embedRegular r:id="rId4" w:fontKey="{C6B2F380-091E-4ECA-BD3E-887A3D37477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9779C8"/>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F9513C"/>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2794</Words>
  <Characters>3215</Characters>
  <Lines>0</Lines>
  <Paragraphs>0</Paragraphs>
  <TotalTime>2</TotalTime>
  <ScaleCrop>false</ScaleCrop>
  <LinksUpToDate>false</LinksUpToDate>
  <CharactersWithSpaces>3223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