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中共洛浦县委员会党校2024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1BC454">
      <w:r>
        <w:br w:type="page"/>
      </w:r>
    </w:p>
    <w:p w14:paraId="50D47469">
      <w:pPr>
        <w:spacing w:line="640" w:lineRule="exact"/>
        <w:jc w:val="center"/>
        <w:outlineLvl w:val="1"/>
      </w:pPr>
      <w:r>
        <w:rPr>
          <w:rFonts w:ascii="黑体" w:hAnsi="黑体" w:eastAsia="黑体"/>
          <w:sz w:val="32"/>
        </w:rPr>
        <w:t>第一部分 单位概况</w:t>
      </w:r>
    </w:p>
    <w:p w14:paraId="31A2C959">
      <w:pPr>
        <w:spacing w:line="640" w:lineRule="exact"/>
        <w:ind w:firstLine="640"/>
        <w:jc w:val="both"/>
        <w:outlineLvl w:val="2"/>
      </w:pPr>
      <w:r>
        <w:rPr>
          <w:rFonts w:ascii="黑体" w:hAnsi="黑体" w:eastAsia="黑体"/>
          <w:sz w:val="32"/>
        </w:rPr>
        <w:t>一、主要职能</w:t>
      </w:r>
    </w:p>
    <w:p w14:paraId="78B60F41">
      <w:pPr>
        <w:spacing w:line="580" w:lineRule="exact"/>
        <w:ind w:firstLine="640"/>
        <w:jc w:val="both"/>
      </w:pPr>
      <w:r>
        <w:rPr>
          <w:rFonts w:ascii="仿宋_GB2312" w:hAnsi="仿宋_GB2312" w:eastAsia="仿宋_GB2312"/>
          <w:sz w:val="32"/>
        </w:rPr>
        <w:t>（1）轮训各级党员领导干部。</w:t>
      </w:r>
    </w:p>
    <w:p w14:paraId="12A31460">
      <w:pPr>
        <w:spacing w:line="580" w:lineRule="exact"/>
        <w:ind w:firstLine="640"/>
        <w:jc w:val="both"/>
      </w:pPr>
      <w:r>
        <w:rPr>
          <w:rFonts w:ascii="仿宋_GB2312" w:hAnsi="仿宋_GB2312" w:eastAsia="仿宋_GB2312"/>
          <w:sz w:val="32"/>
        </w:rPr>
        <w:t>（2）培训中青年党员领导干部。</w:t>
      </w:r>
    </w:p>
    <w:p w14:paraId="50896E63">
      <w:pPr>
        <w:spacing w:line="580" w:lineRule="exact"/>
        <w:ind w:firstLine="640"/>
        <w:jc w:val="both"/>
      </w:pPr>
      <w:r>
        <w:rPr>
          <w:rFonts w:ascii="仿宋_GB2312" w:hAnsi="仿宋_GB2312" w:eastAsia="仿宋_GB2312"/>
          <w:sz w:val="32"/>
        </w:rPr>
        <w:t>（3）培训意识形态部门的领导干部和理论骨干。</w:t>
      </w:r>
    </w:p>
    <w:p w14:paraId="53E1994F">
      <w:pPr>
        <w:spacing w:line="580" w:lineRule="exact"/>
        <w:ind w:firstLine="640"/>
        <w:jc w:val="both"/>
      </w:pPr>
      <w:r>
        <w:rPr>
          <w:rFonts w:ascii="仿宋_GB2312" w:hAnsi="仿宋_GB2312" w:eastAsia="仿宋_GB2312"/>
          <w:sz w:val="32"/>
        </w:rPr>
        <w:t>（4）协同组织人事部门，对学员在校期间进行考核。</w:t>
      </w:r>
    </w:p>
    <w:p w14:paraId="72711071">
      <w:pPr>
        <w:spacing w:line="580" w:lineRule="exact"/>
        <w:ind w:firstLine="640"/>
        <w:jc w:val="both"/>
      </w:pPr>
      <w:r>
        <w:rPr>
          <w:rFonts w:ascii="仿宋_GB2312" w:hAnsi="仿宋_GB2312" w:eastAsia="仿宋_GB2312"/>
          <w:sz w:val="32"/>
        </w:rPr>
        <w:t>（5）围绕国际、国内出现的新情况、新问题，开展科学研究。</w:t>
      </w:r>
    </w:p>
    <w:p w14:paraId="292D294E">
      <w:pPr>
        <w:spacing w:line="580" w:lineRule="exact"/>
        <w:ind w:firstLine="640"/>
        <w:jc w:val="both"/>
      </w:pPr>
      <w:r>
        <w:rPr>
          <w:rFonts w:ascii="仿宋_GB2312" w:hAnsi="仿宋_GB2312" w:eastAsia="仿宋_GB2312"/>
          <w:sz w:val="32"/>
        </w:rPr>
        <w:t>（6）宣传</w:t>
      </w:r>
      <w:r>
        <w:rPr>
          <w:rFonts w:hint="eastAsia" w:ascii="仿宋_GB2312" w:hAnsi="仿宋_GB2312" w:eastAsia="仿宋_GB2312"/>
          <w:sz w:val="32"/>
          <w:lang w:eastAsia="zh-CN"/>
        </w:rPr>
        <w:t>马克思列宁主义、毛泽东思想、邓小平理论</w:t>
      </w:r>
      <w:r>
        <w:rPr>
          <w:rFonts w:ascii="仿宋_GB2312" w:hAnsi="仿宋_GB2312" w:eastAsia="仿宋_GB2312"/>
          <w:sz w:val="32"/>
        </w:rPr>
        <w:t>、“三个代表”重要思想，宣传建设</w:t>
      </w:r>
      <w:bookmarkStart w:id="0" w:name="_GoBack"/>
      <w:bookmarkEnd w:id="0"/>
      <w:r>
        <w:rPr>
          <w:rFonts w:hint="eastAsia" w:ascii="仿宋_GB2312" w:hAnsi="仿宋_GB2312" w:eastAsia="仿宋_GB2312"/>
          <w:sz w:val="32"/>
          <w:lang w:eastAsia="zh-CN"/>
        </w:rPr>
        <w:t>习近平新时代中国特色社会主义思想社会主义思想</w:t>
      </w:r>
      <w:r>
        <w:rPr>
          <w:rFonts w:ascii="仿宋_GB2312" w:hAnsi="仿宋_GB2312" w:eastAsia="仿宋_GB2312"/>
          <w:sz w:val="32"/>
        </w:rPr>
        <w:t>和党的纲领、路线、方针、政策等。</w:t>
      </w:r>
    </w:p>
    <w:p w14:paraId="79E274D5">
      <w:pPr>
        <w:spacing w:line="580" w:lineRule="exact"/>
        <w:ind w:firstLine="640"/>
        <w:jc w:val="both"/>
      </w:pPr>
      <w:r>
        <w:rPr>
          <w:rFonts w:ascii="仿宋_GB2312" w:hAnsi="仿宋_GB2312" w:eastAsia="仿宋_GB2312"/>
          <w:sz w:val="32"/>
        </w:rPr>
        <w:t>（7）按照中央和地方有关领导部门的规划和指导，结合本校实际制定和实施党校各级各类干部培训工作的具体计划和方案。</w:t>
      </w:r>
    </w:p>
    <w:p w14:paraId="4E1876FB">
      <w:pPr>
        <w:spacing w:line="580" w:lineRule="exact"/>
        <w:ind w:firstLine="640"/>
        <w:jc w:val="both"/>
      </w:pPr>
      <w:r>
        <w:rPr>
          <w:rFonts w:ascii="仿宋_GB2312" w:hAnsi="仿宋_GB2312" w:eastAsia="仿宋_GB2312"/>
          <w:sz w:val="32"/>
        </w:rPr>
        <w:t>（8）积极落实上级主管部门的统一调训计划。</w:t>
      </w:r>
    </w:p>
    <w:p w14:paraId="3FE04915">
      <w:pPr>
        <w:spacing w:line="580" w:lineRule="exact"/>
        <w:ind w:firstLine="640"/>
        <w:jc w:val="both"/>
      </w:pPr>
      <w:r>
        <w:rPr>
          <w:rFonts w:ascii="仿宋_GB2312" w:hAnsi="仿宋_GB2312" w:eastAsia="仿宋_GB2312"/>
          <w:sz w:val="32"/>
        </w:rPr>
        <w:t>（9）组织和落实后备干部的实践锻炼和日常教育工作。</w:t>
      </w:r>
    </w:p>
    <w:p w14:paraId="7B7373F7">
      <w:pPr>
        <w:spacing w:line="580" w:lineRule="exact"/>
        <w:ind w:firstLine="640"/>
        <w:jc w:val="both"/>
      </w:pPr>
      <w:r>
        <w:rPr>
          <w:rFonts w:ascii="仿宋_GB2312" w:hAnsi="仿宋_GB2312" w:eastAsia="仿宋_GB2312"/>
          <w:sz w:val="32"/>
        </w:rPr>
        <w:t>（10）加强和完善党校及其他干训机构的建设，不断提高干部培训工作质量，定期如实向上级主管部门汇报干部培训工作情况和经验。</w:t>
      </w:r>
    </w:p>
    <w:p w14:paraId="7CD03D5B">
      <w:pPr>
        <w:spacing w:line="640" w:lineRule="exact"/>
        <w:ind w:firstLine="640"/>
        <w:jc w:val="both"/>
        <w:outlineLvl w:val="2"/>
      </w:pPr>
      <w:r>
        <w:rPr>
          <w:rFonts w:ascii="黑体" w:hAnsi="黑体" w:eastAsia="黑体"/>
          <w:sz w:val="32"/>
        </w:rPr>
        <w:t>二、机构设置及人员情况</w:t>
      </w:r>
    </w:p>
    <w:p w14:paraId="1DDA8F33">
      <w:pPr>
        <w:spacing w:line="580" w:lineRule="exact"/>
        <w:ind w:firstLine="640"/>
        <w:jc w:val="both"/>
      </w:pPr>
      <w:r>
        <w:rPr>
          <w:rFonts w:ascii="仿宋_GB2312" w:hAnsi="仿宋_GB2312" w:eastAsia="仿宋_GB2312"/>
          <w:sz w:val="32"/>
        </w:rPr>
        <w:t>中共洛浦县委员会党校2024年度，实有人数24人，其中：在职人员14人，增加1人；离休人员0人，增加0人；退休人员10人</w:t>
      </w:r>
      <w:r>
        <w:rPr>
          <w:rFonts w:hint="eastAsia" w:ascii="仿宋_GB2312" w:hAnsi="仿宋_GB2312" w:eastAsia="仿宋_GB2312"/>
          <w:sz w:val="32"/>
          <w:lang w:eastAsia="zh-CN"/>
        </w:rPr>
        <w:t>，</w:t>
      </w:r>
      <w:r>
        <w:rPr>
          <w:rFonts w:ascii="仿宋_GB2312" w:hAnsi="仿宋_GB2312" w:eastAsia="仿宋_GB2312"/>
          <w:sz w:val="32"/>
        </w:rPr>
        <w:t>增加0人。</w:t>
      </w:r>
    </w:p>
    <w:p w14:paraId="6385A9BD">
      <w:pPr>
        <w:spacing w:line="580" w:lineRule="exact"/>
        <w:ind w:firstLine="640"/>
        <w:jc w:val="both"/>
      </w:pPr>
      <w:r>
        <w:rPr>
          <w:rFonts w:ascii="仿宋_GB2312" w:hAnsi="仿宋_GB2312" w:eastAsia="仿宋_GB2312"/>
          <w:sz w:val="32"/>
        </w:rPr>
        <w:t>中共洛浦县委员会党校无下属预算单位，下设4个科室，分别是：办公室、教研室、财务室、后勤室。</w:t>
      </w:r>
    </w:p>
    <w:p w14:paraId="78B79D06">
      <w:r>
        <w:br w:type="page"/>
      </w:r>
    </w:p>
    <w:p w14:paraId="0B15DCC0">
      <w:pPr>
        <w:spacing w:line="240" w:lineRule="auto"/>
        <w:jc w:val="center"/>
        <w:outlineLvl w:val="1"/>
      </w:pPr>
      <w:r>
        <w:rPr>
          <w:rFonts w:ascii="黑体" w:hAnsi="黑体" w:eastAsia="黑体"/>
          <w:sz w:val="32"/>
        </w:rPr>
        <w:t>第二部分 部门决算情况说明</w:t>
      </w:r>
    </w:p>
    <w:p w14:paraId="44477D64">
      <w:pPr>
        <w:spacing w:line="640" w:lineRule="exact"/>
        <w:ind w:firstLine="640"/>
        <w:jc w:val="both"/>
        <w:outlineLvl w:val="2"/>
      </w:pPr>
      <w:r>
        <w:rPr>
          <w:rFonts w:ascii="黑体" w:hAnsi="黑体" w:eastAsia="黑体"/>
          <w:sz w:val="32"/>
        </w:rPr>
        <w:t>一、收入支出决算总体情况说明</w:t>
      </w:r>
    </w:p>
    <w:p w14:paraId="0A929528">
      <w:pPr>
        <w:spacing w:line="580" w:lineRule="exact"/>
        <w:ind w:firstLine="640"/>
        <w:jc w:val="both"/>
      </w:pPr>
      <w:r>
        <w:rPr>
          <w:rFonts w:ascii="仿宋_GB2312" w:hAnsi="仿宋_GB2312" w:eastAsia="仿宋_GB2312"/>
          <w:b/>
          <w:sz w:val="32"/>
        </w:rPr>
        <w:t>2024年度收入总计688.27万元，</w:t>
      </w:r>
      <w:r>
        <w:rPr>
          <w:rFonts w:ascii="仿宋_GB2312" w:hAnsi="仿宋_GB2312" w:eastAsia="仿宋_GB2312"/>
          <w:b w:val="0"/>
          <w:sz w:val="32"/>
        </w:rPr>
        <w:t>其中：本年收入合计489.03万元，使用非财政拨款结余（含专用结余）0.00万元，年初结转和结余199.24万元。</w:t>
      </w:r>
    </w:p>
    <w:p w14:paraId="638104CC">
      <w:pPr>
        <w:spacing w:line="580" w:lineRule="exact"/>
        <w:ind w:firstLine="640"/>
        <w:jc w:val="both"/>
      </w:pPr>
      <w:r>
        <w:rPr>
          <w:rFonts w:ascii="仿宋_GB2312" w:hAnsi="仿宋_GB2312" w:eastAsia="仿宋_GB2312"/>
          <w:b/>
          <w:sz w:val="32"/>
        </w:rPr>
        <w:t>2024年度支出总计688.27万元，</w:t>
      </w:r>
      <w:r>
        <w:rPr>
          <w:rFonts w:ascii="仿宋_GB2312" w:hAnsi="仿宋_GB2312" w:eastAsia="仿宋_GB2312"/>
          <w:b w:val="0"/>
          <w:sz w:val="32"/>
        </w:rPr>
        <w:t>其中：本年支出合计471.74万元，结余分配0.00万元，年末结转和结余216.53万元。</w:t>
      </w:r>
    </w:p>
    <w:p w14:paraId="5AD49D81">
      <w:pPr>
        <w:spacing w:line="580" w:lineRule="exact"/>
        <w:ind w:firstLine="640"/>
        <w:jc w:val="both"/>
      </w:pPr>
      <w:r>
        <w:rPr>
          <w:rFonts w:ascii="仿宋_GB2312" w:hAnsi="仿宋_GB2312" w:eastAsia="仿宋_GB2312"/>
          <w:b w:val="0"/>
          <w:sz w:val="32"/>
        </w:rPr>
        <w:t>收入支出总体与上年相比，减少376.89万元，下降35.38%，主要原因是：本年减少培训费支出、减少存量资金拨付的党校住宿费；本年无新增死亡人员，死亡抚恤支出较上年减少。</w:t>
      </w:r>
    </w:p>
    <w:p w14:paraId="2965F073">
      <w:pPr>
        <w:spacing w:line="640" w:lineRule="exact"/>
        <w:ind w:firstLine="640"/>
        <w:jc w:val="both"/>
        <w:outlineLvl w:val="2"/>
      </w:pPr>
      <w:r>
        <w:rPr>
          <w:rFonts w:ascii="黑体" w:hAnsi="黑体" w:eastAsia="黑体"/>
          <w:sz w:val="32"/>
        </w:rPr>
        <w:t>二、收入决算情况说明</w:t>
      </w:r>
    </w:p>
    <w:p w14:paraId="3302A313">
      <w:pPr>
        <w:spacing w:line="580" w:lineRule="exact"/>
        <w:ind w:firstLine="640"/>
        <w:jc w:val="both"/>
      </w:pPr>
      <w:r>
        <w:rPr>
          <w:rFonts w:ascii="仿宋_GB2312" w:hAnsi="仿宋_GB2312" w:eastAsia="仿宋_GB2312"/>
          <w:b/>
          <w:sz w:val="32"/>
        </w:rPr>
        <w:t>本年收入489.03万元，</w:t>
      </w:r>
      <w:r>
        <w:rPr>
          <w:rFonts w:ascii="仿宋_GB2312" w:hAnsi="仿宋_GB2312" w:eastAsia="仿宋_GB2312"/>
          <w:b w:val="0"/>
          <w:sz w:val="32"/>
        </w:rPr>
        <w:t>其中：财政拨款收入271.35万元，占55.49%；上级补助收入0.00万元，占0.00%；事业收入0.00万元，占0.00%；经营收入0.00万元，占0.00%；附属单位上缴收入0.00万元，占0.00%；其他收入217.68万元，占44.51%。</w:t>
      </w:r>
    </w:p>
    <w:p w14:paraId="116B0D56">
      <w:pPr>
        <w:spacing w:line="640" w:lineRule="exact"/>
        <w:ind w:firstLine="640"/>
        <w:jc w:val="both"/>
        <w:outlineLvl w:val="2"/>
      </w:pPr>
      <w:r>
        <w:rPr>
          <w:rFonts w:ascii="黑体" w:hAnsi="黑体" w:eastAsia="黑体"/>
          <w:sz w:val="32"/>
        </w:rPr>
        <w:t>三、支出决算情况说明</w:t>
      </w:r>
    </w:p>
    <w:p w14:paraId="0A5519BD">
      <w:pPr>
        <w:spacing w:line="580" w:lineRule="exact"/>
        <w:ind w:firstLine="640"/>
        <w:jc w:val="both"/>
      </w:pPr>
      <w:r>
        <w:rPr>
          <w:rFonts w:ascii="仿宋_GB2312" w:hAnsi="仿宋_GB2312" w:eastAsia="仿宋_GB2312"/>
          <w:b/>
          <w:sz w:val="32"/>
        </w:rPr>
        <w:t>本年支出471.74万元，</w:t>
      </w:r>
      <w:r>
        <w:rPr>
          <w:rFonts w:ascii="仿宋_GB2312" w:hAnsi="仿宋_GB2312" w:eastAsia="仿宋_GB2312"/>
          <w:b w:val="0"/>
          <w:sz w:val="32"/>
        </w:rPr>
        <w:t>其中：基本支出464.10万元，占98.38%；项目支出7.64万元，占1.62%；上缴上级支出0.00万元，占0.00%；经营支出0.00万元，占0.00%；对附属单位补助支出0.00万元，占0.00%。</w:t>
      </w:r>
    </w:p>
    <w:p w14:paraId="4F585C27">
      <w:pPr>
        <w:spacing w:line="640" w:lineRule="exact"/>
        <w:ind w:firstLine="640"/>
        <w:jc w:val="both"/>
        <w:outlineLvl w:val="2"/>
      </w:pPr>
      <w:r>
        <w:rPr>
          <w:rFonts w:ascii="黑体" w:hAnsi="黑体" w:eastAsia="黑体"/>
          <w:sz w:val="32"/>
        </w:rPr>
        <w:t>四、财政拨款收入支出决算总体情况说明</w:t>
      </w:r>
    </w:p>
    <w:p w14:paraId="502453F7">
      <w:pPr>
        <w:spacing w:line="580" w:lineRule="exact"/>
        <w:ind w:firstLine="640"/>
        <w:jc w:val="both"/>
      </w:pPr>
      <w:r>
        <w:rPr>
          <w:rFonts w:ascii="仿宋_GB2312" w:hAnsi="仿宋_GB2312" w:eastAsia="仿宋_GB2312"/>
          <w:b/>
          <w:sz w:val="32"/>
        </w:rPr>
        <w:t>2024年度财政拨款收入总计271.35万元，</w:t>
      </w:r>
      <w:r>
        <w:rPr>
          <w:rFonts w:ascii="仿宋_GB2312" w:hAnsi="仿宋_GB2312" w:eastAsia="仿宋_GB2312"/>
          <w:b w:val="0"/>
          <w:sz w:val="32"/>
        </w:rPr>
        <w:t>其中：年初财政拨款结转和结余0.00万元，本年财政拨款收入271.35万元。</w:t>
      </w:r>
      <w:r>
        <w:rPr>
          <w:rFonts w:ascii="仿宋_GB2312" w:hAnsi="仿宋_GB2312" w:eastAsia="仿宋_GB2312"/>
          <w:b/>
          <w:sz w:val="32"/>
        </w:rPr>
        <w:t>财政拨款支出总计271.35万元，</w:t>
      </w:r>
      <w:r>
        <w:rPr>
          <w:rFonts w:ascii="仿宋_GB2312" w:hAnsi="仿宋_GB2312" w:eastAsia="仿宋_GB2312"/>
          <w:b w:val="0"/>
          <w:sz w:val="32"/>
        </w:rPr>
        <w:t>其中：年末财政拨款结转和结余0.00万元，本年财政拨款支出271.35万元。</w:t>
      </w:r>
    </w:p>
    <w:p w14:paraId="0A690C1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减少44.98万元，下降14.22%，主要原因是：本年减少培训费支出；本年无新增死亡人员，死亡抚恤支出较上年减少。</w:t>
      </w:r>
      <w:r>
        <w:rPr>
          <w:rFonts w:ascii="仿宋_GB2312" w:hAnsi="仿宋_GB2312" w:eastAsia="仿宋_GB2312"/>
          <w:b/>
          <w:sz w:val="32"/>
        </w:rPr>
        <w:t>与年初预算相比，</w:t>
      </w:r>
      <w:r>
        <w:rPr>
          <w:rFonts w:ascii="仿宋_GB2312" w:hAnsi="仿宋_GB2312" w:eastAsia="仿宋_GB2312"/>
          <w:b w:val="0"/>
          <w:sz w:val="32"/>
        </w:rPr>
        <w:t>年初预算数308.63万元，决算数271.35万元，预决算差异率-12.08%，主要原因是：年中调减培训费、为民办实事工作经费，导致预决算差异。</w:t>
      </w:r>
    </w:p>
    <w:p w14:paraId="164E8B97">
      <w:pPr>
        <w:spacing w:line="640" w:lineRule="exact"/>
        <w:ind w:firstLine="640"/>
        <w:jc w:val="both"/>
        <w:outlineLvl w:val="2"/>
      </w:pPr>
      <w:r>
        <w:rPr>
          <w:rFonts w:ascii="黑体" w:hAnsi="黑体" w:eastAsia="黑体"/>
          <w:sz w:val="32"/>
        </w:rPr>
        <w:t>五、一般公共预算财政拨款支出决算情况说明</w:t>
      </w:r>
    </w:p>
    <w:p w14:paraId="4ECE66E9">
      <w:pPr>
        <w:spacing w:line="640" w:lineRule="exact"/>
        <w:ind w:firstLine="640"/>
        <w:jc w:val="both"/>
        <w:outlineLvl w:val="3"/>
      </w:pPr>
      <w:r>
        <w:rPr>
          <w:rFonts w:ascii="楷体_GB2312" w:hAnsi="楷体_GB2312" w:eastAsia="楷体_GB2312"/>
          <w:b/>
          <w:sz w:val="32"/>
        </w:rPr>
        <w:t>（一）一般公共预算财政拨款支出决算总体情况</w:t>
      </w:r>
    </w:p>
    <w:p w14:paraId="3AFB5321">
      <w:pPr>
        <w:spacing w:line="580" w:lineRule="exact"/>
        <w:ind w:firstLine="640"/>
        <w:jc w:val="both"/>
      </w:pPr>
      <w:r>
        <w:rPr>
          <w:rFonts w:ascii="仿宋_GB2312" w:hAnsi="仿宋_GB2312" w:eastAsia="仿宋_GB2312"/>
          <w:b/>
          <w:sz w:val="32"/>
        </w:rPr>
        <w:t>2024年度一般公共预算财政拨款支出271.35万元，</w:t>
      </w:r>
      <w:r>
        <w:rPr>
          <w:rFonts w:ascii="仿宋_GB2312" w:hAnsi="仿宋_GB2312" w:eastAsia="仿宋_GB2312"/>
          <w:b w:val="0"/>
          <w:sz w:val="32"/>
        </w:rPr>
        <w:t>占本年支出合计的57.52%。</w:t>
      </w:r>
      <w:r>
        <w:rPr>
          <w:rFonts w:ascii="仿宋_GB2312" w:hAnsi="仿宋_GB2312" w:eastAsia="仿宋_GB2312"/>
          <w:b/>
          <w:sz w:val="32"/>
        </w:rPr>
        <w:t>与上年相比，</w:t>
      </w:r>
      <w:r>
        <w:rPr>
          <w:rFonts w:ascii="仿宋_GB2312" w:hAnsi="仿宋_GB2312" w:eastAsia="仿宋_GB2312"/>
          <w:b w:val="0"/>
          <w:sz w:val="32"/>
        </w:rPr>
        <w:t>减少44.98万元，下降14.22%，主要原因是：本年减少培训费支出；本年无新增死亡人员，死亡抚恤支出较上年减少。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年初预算数308.63万元，决算数271.35万元，预决算差异率-12.08%，主要原因是：年中调减培训费、为民办实事工作经费，导致预决算差异。</w:t>
      </w:r>
    </w:p>
    <w:p w14:paraId="6A9B710B">
      <w:pPr>
        <w:spacing w:line="640" w:lineRule="exact"/>
        <w:ind w:firstLine="640"/>
        <w:jc w:val="both"/>
        <w:outlineLvl w:val="3"/>
      </w:pPr>
      <w:r>
        <w:rPr>
          <w:rFonts w:ascii="楷体_GB2312" w:hAnsi="楷体_GB2312" w:eastAsia="楷体_GB2312"/>
          <w:b/>
          <w:sz w:val="32"/>
        </w:rPr>
        <w:t>（二）一般公共预算财政拨款支出决算结构情况</w:t>
      </w:r>
    </w:p>
    <w:p w14:paraId="51A9C4A8">
      <w:pPr>
        <w:spacing w:line="580" w:lineRule="exact"/>
        <w:ind w:firstLine="640"/>
        <w:jc w:val="both"/>
      </w:pPr>
      <w:r>
        <w:rPr>
          <w:rFonts w:ascii="仿宋_GB2312" w:hAnsi="仿宋_GB2312" w:eastAsia="仿宋_GB2312"/>
          <w:b w:val="0"/>
          <w:sz w:val="32"/>
        </w:rPr>
        <w:t>1.教育支出(类)260.42万元</w:t>
      </w:r>
      <w:r>
        <w:rPr>
          <w:rFonts w:hint="eastAsia" w:ascii="仿宋_GB2312" w:hAnsi="仿宋_GB2312" w:eastAsia="仿宋_GB2312"/>
          <w:b w:val="0"/>
          <w:sz w:val="32"/>
          <w:lang w:eastAsia="zh-CN"/>
        </w:rPr>
        <w:t>，</w:t>
      </w:r>
      <w:r>
        <w:rPr>
          <w:rFonts w:ascii="仿宋_GB2312" w:hAnsi="仿宋_GB2312" w:eastAsia="仿宋_GB2312"/>
          <w:b w:val="0"/>
          <w:sz w:val="32"/>
        </w:rPr>
        <w:t>占95.97%。</w:t>
      </w:r>
    </w:p>
    <w:p w14:paraId="001DD8F5">
      <w:pPr>
        <w:spacing w:line="580" w:lineRule="exact"/>
        <w:ind w:firstLine="640"/>
        <w:jc w:val="both"/>
      </w:pPr>
      <w:r>
        <w:rPr>
          <w:rFonts w:ascii="仿宋_GB2312" w:hAnsi="仿宋_GB2312" w:eastAsia="仿宋_GB2312"/>
          <w:b w:val="0"/>
          <w:sz w:val="32"/>
        </w:rPr>
        <w:t>2.社会保障和就业支出(类)1.78万元</w:t>
      </w:r>
      <w:r>
        <w:rPr>
          <w:rFonts w:hint="eastAsia" w:ascii="仿宋_GB2312" w:hAnsi="仿宋_GB2312" w:eastAsia="仿宋_GB2312"/>
          <w:b w:val="0"/>
          <w:sz w:val="32"/>
          <w:lang w:eastAsia="zh-CN"/>
        </w:rPr>
        <w:t>，</w:t>
      </w:r>
      <w:r>
        <w:rPr>
          <w:rFonts w:ascii="仿宋_GB2312" w:hAnsi="仿宋_GB2312" w:eastAsia="仿宋_GB2312"/>
          <w:b w:val="0"/>
          <w:sz w:val="32"/>
        </w:rPr>
        <w:t>占0.66%。</w:t>
      </w:r>
    </w:p>
    <w:p w14:paraId="1E76FE57">
      <w:pPr>
        <w:spacing w:line="580" w:lineRule="exact"/>
        <w:ind w:firstLine="640"/>
        <w:jc w:val="both"/>
      </w:pPr>
      <w:r>
        <w:rPr>
          <w:rFonts w:ascii="仿宋_GB2312" w:hAnsi="仿宋_GB2312" w:eastAsia="仿宋_GB2312"/>
          <w:b w:val="0"/>
          <w:sz w:val="32"/>
        </w:rPr>
        <w:t>3.住房保障支出(类)1.50万元</w:t>
      </w:r>
      <w:r>
        <w:rPr>
          <w:rFonts w:hint="eastAsia" w:ascii="仿宋_GB2312" w:hAnsi="仿宋_GB2312" w:eastAsia="仿宋_GB2312"/>
          <w:b w:val="0"/>
          <w:sz w:val="32"/>
          <w:lang w:eastAsia="zh-CN"/>
        </w:rPr>
        <w:t>，</w:t>
      </w:r>
      <w:r>
        <w:rPr>
          <w:rFonts w:ascii="仿宋_GB2312" w:hAnsi="仿宋_GB2312" w:eastAsia="仿宋_GB2312"/>
          <w:b w:val="0"/>
          <w:sz w:val="32"/>
        </w:rPr>
        <w:t>占0.55%。</w:t>
      </w:r>
    </w:p>
    <w:p w14:paraId="7AA7FA90">
      <w:pPr>
        <w:spacing w:line="580" w:lineRule="exact"/>
        <w:ind w:firstLine="640"/>
        <w:jc w:val="both"/>
      </w:pPr>
      <w:r>
        <w:rPr>
          <w:rFonts w:ascii="仿宋_GB2312" w:hAnsi="仿宋_GB2312" w:eastAsia="仿宋_GB2312"/>
          <w:b w:val="0"/>
          <w:sz w:val="32"/>
        </w:rPr>
        <w:t>4.其他支出(类)7.64万元</w:t>
      </w:r>
      <w:r>
        <w:rPr>
          <w:rFonts w:hint="eastAsia" w:ascii="仿宋_GB2312" w:hAnsi="仿宋_GB2312" w:eastAsia="仿宋_GB2312"/>
          <w:b w:val="0"/>
          <w:sz w:val="32"/>
          <w:lang w:eastAsia="zh-CN"/>
        </w:rPr>
        <w:t>，</w:t>
      </w:r>
      <w:r>
        <w:rPr>
          <w:rFonts w:ascii="仿宋_GB2312" w:hAnsi="仿宋_GB2312" w:eastAsia="仿宋_GB2312"/>
          <w:b w:val="0"/>
          <w:sz w:val="32"/>
        </w:rPr>
        <w:t>占2.82%。</w:t>
      </w:r>
    </w:p>
    <w:p w14:paraId="01D226CC">
      <w:pPr>
        <w:spacing w:line="640" w:lineRule="exact"/>
        <w:ind w:firstLine="640"/>
        <w:jc w:val="both"/>
        <w:outlineLvl w:val="3"/>
      </w:pPr>
      <w:r>
        <w:rPr>
          <w:rFonts w:ascii="楷体_GB2312" w:hAnsi="楷体_GB2312" w:eastAsia="楷体_GB2312"/>
          <w:b/>
          <w:sz w:val="32"/>
        </w:rPr>
        <w:t>（三）一般公共预算财政拨款支出决算具体情况</w:t>
      </w:r>
    </w:p>
    <w:p w14:paraId="46AB5CD9">
      <w:pPr>
        <w:spacing w:line="580" w:lineRule="exact"/>
        <w:ind w:firstLine="640"/>
        <w:jc w:val="both"/>
      </w:pPr>
      <w:r>
        <w:rPr>
          <w:rFonts w:ascii="仿宋_GB2312" w:hAnsi="仿宋_GB2312" w:eastAsia="仿宋_GB2312"/>
          <w:b w:val="0"/>
          <w:sz w:val="32"/>
        </w:rPr>
        <w:t>1.教育支出(类)进修及培训(款)干部教育(项)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支出决算数为260.42万元，比上年决算减少3.24万元，下降1.23%</w:t>
      </w:r>
      <w:r>
        <w:rPr>
          <w:rFonts w:hint="eastAsia" w:ascii="仿宋_GB2312" w:hAnsi="仿宋_GB2312" w:eastAsia="仿宋_GB2312"/>
          <w:b w:val="0"/>
          <w:sz w:val="32"/>
          <w:lang w:eastAsia="zh-CN"/>
        </w:rPr>
        <w:t>，</w:t>
      </w:r>
      <w:r>
        <w:rPr>
          <w:rFonts w:ascii="仿宋_GB2312" w:hAnsi="仿宋_GB2312" w:eastAsia="仿宋_GB2312"/>
          <w:b w:val="0"/>
          <w:sz w:val="32"/>
        </w:rPr>
        <w:t>主要原因是：1.本年功能科目调整，住房公积金上年度在主科目列支，本年</w:t>
      </w:r>
      <w:r>
        <w:rPr>
          <w:rFonts w:hint="eastAsia" w:ascii="仿宋_GB2312" w:hAnsi="仿宋_GB2312" w:eastAsia="仿宋_GB2312"/>
          <w:b w:val="0"/>
          <w:sz w:val="32"/>
          <w:lang w:val="en-US" w:eastAsia="zh-CN"/>
        </w:rPr>
        <w:t>部分</w:t>
      </w:r>
      <w:r>
        <w:rPr>
          <w:rFonts w:ascii="仿宋_GB2312" w:hAnsi="仿宋_GB2312" w:eastAsia="仿宋_GB2312"/>
          <w:b w:val="0"/>
          <w:sz w:val="32"/>
        </w:rPr>
        <w:t>单独列支，导致经费较上年减少。2.培训费支出较上年减少。</w:t>
      </w:r>
    </w:p>
    <w:p w14:paraId="64F04E1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支出决算数为1.78万元，比上年决算减少21.50万元，下降92.35%</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主要原因是：本年功能科目调整，养老保险缴费上年度单独列支，本年部分养老保险缴费调整至主科目列支，导致经费较上年减少。</w:t>
      </w:r>
    </w:p>
    <w:p w14:paraId="48838D81">
      <w:pPr>
        <w:spacing w:line="580" w:lineRule="exact"/>
        <w:ind w:firstLine="640"/>
        <w:jc w:val="both"/>
      </w:pPr>
      <w:r>
        <w:rPr>
          <w:rFonts w:ascii="仿宋_GB2312" w:hAnsi="仿宋_GB2312" w:eastAsia="仿宋_GB2312"/>
          <w:b w:val="0"/>
          <w:sz w:val="32"/>
        </w:rPr>
        <w:t>3.社会保障和就业支出(类)抚恤(款)死亡抚恤(项)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支出决算数为0.00万元，比上年决算减少29.39万元，下降100.00%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主要原因是：本年无新增死亡人员，死亡抚恤支出较上年减少。</w:t>
      </w:r>
    </w:p>
    <w:p w14:paraId="300F09FC">
      <w:pPr>
        <w:spacing w:line="580" w:lineRule="exact"/>
        <w:ind w:firstLine="640"/>
        <w:jc w:val="both"/>
      </w:pPr>
      <w:r>
        <w:rPr>
          <w:rFonts w:ascii="仿宋_GB2312" w:hAnsi="仿宋_GB2312" w:eastAsia="仿宋_GB2312"/>
          <w:b w:val="0"/>
          <w:sz w:val="32"/>
        </w:rPr>
        <w:t>4.住房保障支出(类)住房改革支出(款)住房公积金(项)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支出决算数为1.50万元，比上年决算增加1.50万元，增长100.00%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住房公积金上年度在主科目列支，本年单独列支，导致经费较上年增加。</w:t>
      </w:r>
    </w:p>
    <w:p w14:paraId="7E8B866D">
      <w:pPr>
        <w:spacing w:line="580" w:lineRule="exact"/>
        <w:ind w:firstLine="640"/>
        <w:jc w:val="both"/>
      </w:pPr>
      <w:r>
        <w:rPr>
          <w:rFonts w:ascii="仿宋_GB2312" w:hAnsi="仿宋_GB2312" w:eastAsia="仿宋_GB2312"/>
          <w:b w:val="0"/>
          <w:sz w:val="32"/>
        </w:rPr>
        <w:t>5.其他支出(类)其他支出(款)其他支出(项)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支出决算数为7.64万元，比上年决算增加7.64万元，增长100.00%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主要原因是：本年增加为民办实事经费。</w:t>
      </w:r>
    </w:p>
    <w:p w14:paraId="3C92CB9B">
      <w:pPr>
        <w:spacing w:line="640" w:lineRule="exact"/>
        <w:ind w:firstLine="640"/>
        <w:jc w:val="both"/>
        <w:outlineLvl w:val="2"/>
      </w:pPr>
      <w:r>
        <w:rPr>
          <w:rFonts w:ascii="黑体" w:hAnsi="黑体" w:eastAsia="黑体"/>
          <w:sz w:val="32"/>
        </w:rPr>
        <w:t>六、一般公共预算财政拨款基本支出决算情况说明</w:t>
      </w:r>
    </w:p>
    <w:p w14:paraId="54D2C010">
      <w:pPr>
        <w:spacing w:line="580" w:lineRule="exact"/>
        <w:ind w:firstLine="640"/>
        <w:jc w:val="both"/>
      </w:pPr>
      <w:r>
        <w:rPr>
          <w:rFonts w:ascii="仿宋_GB2312" w:hAnsi="仿宋_GB2312" w:eastAsia="仿宋_GB2312"/>
          <w:b w:val="0"/>
          <w:sz w:val="32"/>
        </w:rPr>
        <w:t>2024年度一般公共预算财政拨款基本支出263.71万元，其中：</w:t>
      </w:r>
      <w:r>
        <w:rPr>
          <w:rFonts w:ascii="仿宋_GB2312" w:hAnsi="仿宋_GB2312" w:eastAsia="仿宋_GB2312"/>
          <w:b/>
          <w:sz w:val="32"/>
        </w:rPr>
        <w:t>人员经费261.01万元，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包括：基本工资、津贴补贴、绩效工资、机关事业单位基本养老保险缴费、职工基本医疗保险缴费、公务员医疗补助缴费、其他社会保障缴费、住房公积金、退休费、生活补助。</w:t>
      </w:r>
    </w:p>
    <w:p w14:paraId="5DA8DFDD">
      <w:pPr>
        <w:spacing w:line="580" w:lineRule="exact"/>
        <w:ind w:firstLine="640"/>
        <w:jc w:val="both"/>
      </w:pPr>
      <w:r>
        <w:rPr>
          <w:rFonts w:ascii="仿宋_GB2312" w:hAnsi="仿宋_GB2312" w:eastAsia="仿宋_GB2312"/>
          <w:b/>
          <w:sz w:val="32"/>
        </w:rPr>
        <w:t>公用经费2.70万元，</w:t>
      </w:r>
      <w:r>
        <w:rPr>
          <w:rFonts w:ascii="仿宋_GB2312" w:hAnsi="仿宋_GB2312" w:eastAsia="仿宋_GB2312"/>
          <w:b w:val="0"/>
          <w:sz w:val="32"/>
        </w:rPr>
        <w:t>包括：办公费、邮电费、公务用车运行维护费。</w:t>
      </w:r>
    </w:p>
    <w:p w14:paraId="16700AEE">
      <w:pPr>
        <w:spacing w:line="640" w:lineRule="exact"/>
        <w:ind w:firstLine="640"/>
        <w:jc w:val="both"/>
        <w:outlineLvl w:val="2"/>
      </w:pPr>
      <w:r>
        <w:rPr>
          <w:rFonts w:ascii="黑体" w:hAnsi="黑体" w:eastAsia="黑体"/>
          <w:sz w:val="32"/>
        </w:rPr>
        <w:t>七、政府性基金预算财政拨款收入支出决算情况说明</w:t>
      </w:r>
    </w:p>
    <w:p w14:paraId="0A51724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7C3355D">
      <w:pPr>
        <w:spacing w:line="640" w:lineRule="exact"/>
        <w:ind w:firstLine="640"/>
        <w:jc w:val="both"/>
        <w:outlineLvl w:val="2"/>
      </w:pPr>
      <w:r>
        <w:rPr>
          <w:rFonts w:ascii="黑体" w:hAnsi="黑体" w:eastAsia="黑体"/>
          <w:sz w:val="32"/>
        </w:rPr>
        <w:t>八、国有资本经营预算财政拨款收入支出决算情况说明</w:t>
      </w:r>
    </w:p>
    <w:p w14:paraId="0804F82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62ACF9B">
      <w:pPr>
        <w:spacing w:line="640" w:lineRule="exact"/>
        <w:ind w:firstLine="640"/>
        <w:jc w:val="both"/>
        <w:outlineLvl w:val="2"/>
      </w:pPr>
      <w:r>
        <w:rPr>
          <w:rFonts w:ascii="黑体" w:hAnsi="黑体" w:eastAsia="黑体"/>
          <w:sz w:val="32"/>
        </w:rPr>
        <w:t>九、财政拨款“三公”经费支出决算情况说明</w:t>
      </w:r>
    </w:p>
    <w:p w14:paraId="6DB776CD">
      <w:pPr>
        <w:spacing w:line="580" w:lineRule="exact"/>
        <w:ind w:firstLine="640"/>
        <w:jc w:val="both"/>
      </w:pPr>
      <w:r>
        <w:rPr>
          <w:rFonts w:ascii="仿宋_GB2312" w:hAnsi="仿宋_GB2312" w:eastAsia="仿宋_GB2312"/>
          <w:b/>
          <w:sz w:val="32"/>
        </w:rPr>
        <w:t>2024年度财政拨款“三公”经费支出0.39万元，</w:t>
      </w:r>
      <w:r>
        <w:rPr>
          <w:rFonts w:ascii="仿宋_GB2312" w:hAnsi="仿宋_GB2312" w:eastAsia="仿宋_GB2312"/>
          <w:b w:val="0"/>
          <w:sz w:val="32"/>
        </w:rPr>
        <w:t>比上年增加0.09万元，增长30.00%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0.39万元，占100.00%，比上年增加0.09万元，增长30.00%，主要原因是：本年因业务需求，用车次数增加，燃油费增加，导致公务用车运行维护费较上年增加。公务接待费支出0.00万元，占0.00%，比上年增加0.00万元，增长0.00%，主要原因是：2023年与2024年均未安排公务接待费支出。</w:t>
      </w:r>
    </w:p>
    <w:p w14:paraId="756EDE4B">
      <w:pPr>
        <w:spacing w:line="580" w:lineRule="exact"/>
        <w:ind w:firstLine="640"/>
        <w:jc w:val="both"/>
      </w:pPr>
      <w:r>
        <w:rPr>
          <w:rFonts w:ascii="仿宋_GB2312" w:hAnsi="仿宋_GB2312" w:eastAsia="仿宋_GB2312"/>
          <w:b/>
          <w:sz w:val="32"/>
        </w:rPr>
        <w:t>具体情况如下：</w:t>
      </w:r>
    </w:p>
    <w:p w14:paraId="28F1301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5A0F3ED">
      <w:pPr>
        <w:spacing w:line="580" w:lineRule="exact"/>
        <w:ind w:firstLine="640"/>
        <w:jc w:val="both"/>
      </w:pPr>
      <w:r>
        <w:rPr>
          <w:rFonts w:ascii="仿宋_GB2312" w:hAnsi="仿宋_GB2312" w:eastAsia="仿宋_GB2312"/>
          <w:b w:val="0"/>
          <w:sz w:val="32"/>
        </w:rPr>
        <w:t>公务用车购置及运行维护费0.39万元，其中：公务用车购置费0.00万元，公务用车运行维护费0.39万元。公务用车运行维护费开支内容包括车辆保险费。公务用车购置数0辆，公务用车保有量1辆。国有资产占用情况中固定资产车辆1辆，与公务用车保有量差异原因是：本单位固定资产车辆与公务用车保有量一致无差异。</w:t>
      </w:r>
    </w:p>
    <w:p w14:paraId="2B69CDF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9D960D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0.39万元，决算数0.39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0.39万元，决算数0.39万元，预决算差异率0.00%，主要原因是：严格按照预算执行，预决算无差异。公务接待费全年预算数0.00万元，决算数0.00万元，预决算差异率0.00%，主要原因是：本单位无公务接待费。</w:t>
      </w:r>
    </w:p>
    <w:p w14:paraId="69E5B016">
      <w:pPr>
        <w:spacing w:line="640" w:lineRule="exact"/>
        <w:ind w:firstLine="640"/>
        <w:jc w:val="both"/>
        <w:outlineLvl w:val="2"/>
      </w:pPr>
      <w:r>
        <w:rPr>
          <w:rFonts w:ascii="黑体" w:hAnsi="黑体" w:eastAsia="黑体"/>
          <w:sz w:val="32"/>
        </w:rPr>
        <w:t>十、其他重要事项的情况说明</w:t>
      </w:r>
    </w:p>
    <w:p w14:paraId="79EC7582">
      <w:pPr>
        <w:spacing w:line="640" w:lineRule="exact"/>
        <w:ind w:firstLine="640"/>
        <w:jc w:val="both"/>
        <w:outlineLvl w:val="3"/>
      </w:pPr>
      <w:r>
        <w:rPr>
          <w:rFonts w:ascii="楷体_GB2312" w:hAnsi="楷体_GB2312" w:eastAsia="楷体_GB2312"/>
          <w:b/>
          <w:sz w:val="32"/>
        </w:rPr>
        <w:t>（一）机关运行经费及公用经费支出情况</w:t>
      </w:r>
    </w:p>
    <w:p w14:paraId="23790F8A">
      <w:pPr>
        <w:spacing w:line="580" w:lineRule="exact"/>
        <w:ind w:firstLine="640"/>
        <w:jc w:val="both"/>
      </w:pPr>
      <w:r>
        <w:rPr>
          <w:rFonts w:ascii="仿宋_GB2312" w:hAnsi="仿宋_GB2312" w:eastAsia="仿宋_GB2312"/>
          <w:b w:val="0"/>
          <w:sz w:val="32"/>
        </w:rPr>
        <w:t>2024年度中共洛浦县委员会党校（行政单位和参照公务员法管理事业单位）机关运行经费支出2.70万元，比上年增加1.35万元，增长100.00%，主要原因是：本年业务量增加，公用经费增加。</w:t>
      </w:r>
    </w:p>
    <w:p w14:paraId="24E80712">
      <w:pPr>
        <w:spacing w:line="640" w:lineRule="exact"/>
        <w:ind w:firstLine="640"/>
        <w:jc w:val="both"/>
        <w:outlineLvl w:val="3"/>
      </w:pPr>
      <w:r>
        <w:rPr>
          <w:rFonts w:ascii="楷体_GB2312" w:hAnsi="楷体_GB2312" w:eastAsia="楷体_GB2312"/>
          <w:b/>
          <w:sz w:val="32"/>
        </w:rPr>
        <w:t>（二）政府采购情况</w:t>
      </w:r>
    </w:p>
    <w:p w14:paraId="15EDBA2F">
      <w:pPr>
        <w:spacing w:line="580" w:lineRule="exact"/>
        <w:ind w:firstLine="640"/>
        <w:jc w:val="both"/>
      </w:pPr>
      <w:r>
        <w:rPr>
          <w:rFonts w:ascii="仿宋_GB2312" w:hAnsi="仿宋_GB2312" w:eastAsia="仿宋_GB2312"/>
          <w:b w:val="0"/>
          <w:sz w:val="32"/>
        </w:rPr>
        <w:t>2024年度政府采购支出总额207.48万元，其中：政府采购货物支出19.43万元、政府采购工程支出0.00万元、政府采购服务支出188.05万元。</w:t>
      </w:r>
    </w:p>
    <w:p w14:paraId="3BC9CFB2">
      <w:pPr>
        <w:spacing w:line="580" w:lineRule="exact"/>
        <w:ind w:firstLine="640"/>
        <w:jc w:val="both"/>
      </w:pPr>
      <w:r>
        <w:rPr>
          <w:rFonts w:ascii="仿宋_GB2312" w:hAnsi="仿宋_GB2312" w:eastAsia="仿宋_GB2312"/>
          <w:b w:val="0"/>
          <w:sz w:val="32"/>
        </w:rPr>
        <w:t>授予中小企业合同金额203.24万元，占政府采购支出总额的97.96%，其中：授予小微企业合同金额203.24万元，占政府采购支出总额的97.96%。</w:t>
      </w:r>
    </w:p>
    <w:p w14:paraId="0F9A314D">
      <w:pPr>
        <w:spacing w:line="640" w:lineRule="exact"/>
        <w:ind w:firstLine="640"/>
        <w:jc w:val="both"/>
        <w:outlineLvl w:val="3"/>
      </w:pPr>
      <w:r>
        <w:rPr>
          <w:rFonts w:ascii="楷体_GB2312" w:hAnsi="楷体_GB2312" w:eastAsia="楷体_GB2312"/>
          <w:b/>
          <w:sz w:val="32"/>
        </w:rPr>
        <w:t>（三）国有资产占用情况说明</w:t>
      </w:r>
    </w:p>
    <w:p w14:paraId="5D45A813">
      <w:pPr>
        <w:spacing w:line="580" w:lineRule="exact"/>
        <w:ind w:firstLine="640"/>
        <w:jc w:val="both"/>
      </w:pPr>
      <w:r>
        <w:rPr>
          <w:rFonts w:ascii="仿宋_GB2312" w:hAnsi="仿宋_GB2312" w:eastAsia="仿宋_GB2312"/>
          <w:b w:val="0"/>
          <w:sz w:val="32"/>
        </w:rPr>
        <w:t>截至2024年12月31日，房屋0.00平方米，价值0.00万元。车辆1辆，价值19.77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60AE4EFF">
      <w:pPr>
        <w:spacing w:line="640" w:lineRule="exact"/>
        <w:ind w:firstLine="640"/>
        <w:jc w:val="both"/>
        <w:outlineLvl w:val="2"/>
      </w:pPr>
      <w:r>
        <w:rPr>
          <w:rFonts w:ascii="黑体" w:hAnsi="黑体" w:eastAsia="黑体"/>
          <w:sz w:val="32"/>
        </w:rPr>
        <w:t>十一、预算绩效的情况说明</w:t>
      </w:r>
    </w:p>
    <w:p w14:paraId="0224D06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根据预算绩效管理要求，本单位2024年度预算绩效管理形成整体支出绩效自评表1个，全年预算总额688.27万元，实际执行总额471.76万元；预算绩效评价项目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w:t>
      </w:r>
      <w:r>
        <w:rPr>
          <w:rFonts w:hint="eastAsia" w:ascii="仿宋_GB2312" w:hAnsi="仿宋_GB2312" w:eastAsia="仿宋_GB2312"/>
          <w:b w:val="0"/>
          <w:sz w:val="32"/>
        </w:rPr>
        <w:t>7.64</w:t>
      </w:r>
      <w:r>
        <w:rPr>
          <w:rFonts w:ascii="仿宋_GB2312" w:hAnsi="仿宋_GB2312" w:eastAsia="仿宋_GB2312"/>
          <w:b w:val="0"/>
          <w:sz w:val="32"/>
        </w:rPr>
        <w:t>万元，全年执行数</w:t>
      </w:r>
      <w:r>
        <w:rPr>
          <w:rFonts w:hint="eastAsia" w:ascii="仿宋_GB2312" w:hAnsi="仿宋_GB2312" w:eastAsia="仿宋_GB2312"/>
          <w:b w:val="0"/>
          <w:sz w:val="32"/>
        </w:rPr>
        <w:t>7.64</w:t>
      </w:r>
      <w:r>
        <w:rPr>
          <w:rFonts w:ascii="仿宋_GB2312" w:hAnsi="仿宋_GB2312" w:eastAsia="仿宋_GB2312"/>
          <w:b w:val="0"/>
          <w:sz w:val="32"/>
        </w:rPr>
        <w:t>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资金执行过程中准确及时；二是优化了单位资源配置；三是减少了单位实际开支；四是增强了单位干部责任意识，增加了工作能力。发现的问题及原因：一是预算执行存在偏差</w:t>
      </w:r>
      <w:r>
        <w:rPr>
          <w:rFonts w:hint="eastAsia" w:ascii="仿宋_GB2312" w:hAnsi="仿宋_GB2312" w:eastAsia="仿宋_GB2312"/>
          <w:b w:val="0"/>
          <w:sz w:val="32"/>
          <w:lang w:eastAsia="zh-CN"/>
        </w:rPr>
        <w:t>，</w:t>
      </w:r>
      <w:r>
        <w:rPr>
          <w:rFonts w:ascii="仿宋_GB2312" w:hAnsi="仿宋_GB2312" w:eastAsia="仿宋_GB2312"/>
          <w:b w:val="0"/>
          <w:sz w:val="32"/>
        </w:rPr>
        <w:t>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数额多的情况。没有严格将单位政府采购金额纳入本年度预算内；二是目标设定科学性及评价存在难度，对于目标设定需要分科室单位分解</w:t>
      </w:r>
      <w:r>
        <w:rPr>
          <w:rFonts w:hint="eastAsia" w:ascii="仿宋_GB2312" w:hAnsi="仿宋_GB2312" w:eastAsia="仿宋_GB2312"/>
          <w:b w:val="0"/>
          <w:sz w:val="32"/>
          <w:lang w:eastAsia="zh-CN"/>
        </w:rPr>
        <w:t>，</w:t>
      </w:r>
      <w:r>
        <w:rPr>
          <w:rFonts w:ascii="仿宋_GB2312" w:hAnsi="仿宋_GB2312" w:eastAsia="仿宋_GB2312"/>
          <w:b w:val="0"/>
          <w:sz w:val="32"/>
        </w:rPr>
        <w:t>汇总后制定整体目标，如何科学整合全单位绩效目标比较困难；目标设定后如何科学设定考核评价标准，特别是对于不能量化的目标如何评价；三是财务管理方面，会计核算还不够细致</w:t>
      </w:r>
      <w:r>
        <w:rPr>
          <w:rFonts w:hint="eastAsia" w:ascii="仿宋_GB2312" w:hAnsi="仿宋_GB2312" w:eastAsia="仿宋_GB2312"/>
          <w:b w:val="0"/>
          <w:sz w:val="32"/>
          <w:lang w:eastAsia="zh-CN"/>
        </w:rPr>
        <w:t>，</w:t>
      </w:r>
      <w:r>
        <w:rPr>
          <w:rFonts w:ascii="仿宋_GB2312" w:hAnsi="仿宋_GB2312" w:eastAsia="仿宋_GB2312"/>
          <w:b w:val="0"/>
          <w:sz w:val="32"/>
        </w:rPr>
        <w:t>对于有些能够细分的工作</w:t>
      </w:r>
      <w:r>
        <w:rPr>
          <w:rFonts w:hint="eastAsia" w:ascii="仿宋_GB2312" w:hAnsi="仿宋_GB2312" w:eastAsia="仿宋_GB2312"/>
          <w:b w:val="0"/>
          <w:sz w:val="32"/>
          <w:lang w:eastAsia="zh-CN"/>
        </w:rPr>
        <w:t>，</w:t>
      </w:r>
      <w:r>
        <w:rPr>
          <w:rFonts w:ascii="仿宋_GB2312" w:hAnsi="仿宋_GB2312" w:eastAsia="仿宋_GB2312"/>
          <w:b w:val="0"/>
          <w:sz w:val="32"/>
        </w:rPr>
        <w:t>未能详细分类核算</w:t>
      </w:r>
      <w:r>
        <w:rPr>
          <w:rFonts w:hint="eastAsia" w:ascii="仿宋_GB2312" w:hAnsi="仿宋_GB2312" w:eastAsia="仿宋_GB2312"/>
          <w:b w:val="0"/>
          <w:sz w:val="32"/>
          <w:lang w:eastAsia="zh-CN"/>
        </w:rPr>
        <w:t>，</w:t>
      </w:r>
      <w:r>
        <w:rPr>
          <w:rFonts w:ascii="仿宋_GB2312" w:hAnsi="仿宋_GB2312" w:eastAsia="仿宋_GB2312"/>
          <w:b w:val="0"/>
          <w:sz w:val="32"/>
        </w:rPr>
        <w:t>绩效评价基础数据不够精准。下一步改进措施：一是强化支出预算约束。进一步提高年初预算编制的科学性和准确性，完善预算执行动态约束机制，加强财政预算资金管理，统筹协调推进项目执行，提高财政资金效益和效果；二是加强政府采购管理。严格履行政府采购程序，规范政府采购行为，加强对政府采购全流程活动的规范管理，推动政府采购相关制度贯彻落实；具体附整体支出绩效自评表。</w:t>
      </w:r>
    </w:p>
    <w:p w14:paraId="47B87A2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8856DD">
        <w:tblPrEx>
          <w:tblCellMar>
            <w:top w:w="0" w:type="dxa"/>
            <w:left w:w="108" w:type="dxa"/>
            <w:bottom w:w="0" w:type="dxa"/>
            <w:right w:w="108" w:type="dxa"/>
          </w:tblCellMar>
        </w:tblPrEx>
        <w:tc>
          <w:tcPr>
            <w:tcW w:w="8847" w:type="dxa"/>
            <w:gridSpan w:val="9"/>
            <w:vAlign w:val="center"/>
          </w:tcPr>
          <w:p w14:paraId="02A1BD40">
            <w:pPr>
              <w:jc w:val="center"/>
            </w:pPr>
            <w:r>
              <w:rPr>
                <w:rFonts w:ascii="宋体" w:hAnsi="宋体" w:eastAsia="宋体"/>
                <w:sz w:val="24"/>
              </w:rPr>
              <w:t>单位整体支出绩效自评表</w:t>
            </w:r>
          </w:p>
        </w:tc>
      </w:tr>
      <w:tr w14:paraId="5F4D0538">
        <w:tblPrEx>
          <w:tblCellMar>
            <w:top w:w="0" w:type="dxa"/>
            <w:left w:w="108" w:type="dxa"/>
            <w:bottom w:w="0" w:type="dxa"/>
            <w:right w:w="108" w:type="dxa"/>
          </w:tblCellMar>
        </w:tblPrEx>
        <w:tc>
          <w:tcPr>
            <w:tcW w:w="8847" w:type="dxa"/>
            <w:gridSpan w:val="9"/>
            <w:vAlign w:val="center"/>
          </w:tcPr>
          <w:p w14:paraId="7EDC9C15">
            <w:pPr>
              <w:jc w:val="center"/>
            </w:pPr>
            <w:r>
              <w:rPr>
                <w:rFonts w:ascii="宋体" w:hAnsi="宋体" w:eastAsia="宋体"/>
                <w:sz w:val="24"/>
              </w:rPr>
              <w:t>（2024年度）</w:t>
            </w:r>
          </w:p>
        </w:tc>
      </w:tr>
      <w:tr w14:paraId="33D487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EB9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2E8236">
            <w:pPr>
              <w:jc w:val="center"/>
            </w:pPr>
            <w:r>
              <w:rPr>
                <w:rFonts w:ascii="宋体" w:hAnsi="宋体" w:eastAsia="宋体"/>
                <w:sz w:val="16"/>
              </w:rPr>
              <w:t>中共洛浦县委员会党校</w:t>
            </w:r>
          </w:p>
        </w:tc>
      </w:tr>
      <w:tr w14:paraId="7E7BEA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8447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DD3D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95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DCA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2D4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4CAD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0D8E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DD679">
            <w:pPr>
              <w:jc w:val="center"/>
            </w:pPr>
            <w:r>
              <w:rPr>
                <w:rFonts w:ascii="宋体" w:hAnsi="宋体" w:eastAsia="宋体"/>
                <w:sz w:val="16"/>
              </w:rPr>
              <w:t>得分</w:t>
            </w:r>
          </w:p>
        </w:tc>
      </w:tr>
      <w:tr w14:paraId="2424E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D9D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692A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62C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19F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B19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96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4E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61D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D022">
            <w:pPr>
              <w:jc w:val="center"/>
            </w:pPr>
            <w:r>
              <w:rPr>
                <w:rFonts w:ascii="宋体" w:hAnsi="宋体" w:eastAsia="宋体"/>
                <w:sz w:val="16"/>
              </w:rPr>
              <w:t>-</w:t>
            </w:r>
          </w:p>
        </w:tc>
      </w:tr>
      <w:tr w14:paraId="4D54F6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8B1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186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87BA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FA7B8">
            <w:pPr>
              <w:jc w:val="center"/>
            </w:pPr>
            <w:r>
              <w:rPr>
                <w:rFonts w:ascii="宋体" w:hAnsi="宋体" w:eastAsia="宋体"/>
                <w:sz w:val="16"/>
              </w:rPr>
              <w:t>308.63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C673">
            <w:pPr>
              <w:jc w:val="center"/>
            </w:pPr>
            <w:r>
              <w:rPr>
                <w:rFonts w:ascii="宋体" w:hAnsi="宋体" w:eastAsia="宋体"/>
                <w:sz w:val="16"/>
              </w:rPr>
              <w:t>487.86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1AD32">
            <w:pPr>
              <w:jc w:val="center"/>
            </w:pPr>
            <w:r>
              <w:rPr>
                <w:rFonts w:ascii="宋体" w:hAnsi="宋体" w:eastAsia="宋体"/>
                <w:sz w:val="16"/>
              </w:rPr>
              <w:t>271.35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1B7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9C1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2145">
            <w:pPr>
              <w:jc w:val="center"/>
            </w:pPr>
            <w:r>
              <w:rPr>
                <w:rFonts w:ascii="宋体" w:hAnsi="宋体" w:eastAsia="宋体"/>
                <w:sz w:val="16"/>
              </w:rPr>
              <w:t>-</w:t>
            </w:r>
          </w:p>
        </w:tc>
      </w:tr>
      <w:tr w14:paraId="0FF93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1D8A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5F3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DE04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52FE">
            <w:pPr>
              <w:jc w:val="center"/>
            </w:pPr>
            <w:r>
              <w:rPr>
                <w:rFonts w:ascii="宋体" w:hAnsi="宋体" w:eastAsia="宋体"/>
                <w:sz w:val="16"/>
              </w:rPr>
              <w:t>195.60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D7A9">
            <w:pPr>
              <w:jc w:val="center"/>
            </w:pPr>
            <w:r>
              <w:rPr>
                <w:rFonts w:ascii="宋体" w:hAnsi="宋体" w:eastAsia="宋体"/>
                <w:sz w:val="16"/>
              </w:rPr>
              <w:t>200.41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69441">
            <w:pPr>
              <w:jc w:val="center"/>
            </w:pPr>
            <w:r>
              <w:rPr>
                <w:rFonts w:ascii="宋体" w:hAnsi="宋体" w:eastAsia="宋体"/>
                <w:sz w:val="16"/>
              </w:rPr>
              <w:t>200.41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946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FE0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811D1">
            <w:pPr>
              <w:jc w:val="center"/>
            </w:pPr>
            <w:r>
              <w:rPr>
                <w:rFonts w:ascii="宋体" w:hAnsi="宋体" w:eastAsia="宋体"/>
                <w:sz w:val="16"/>
              </w:rPr>
              <w:t>-</w:t>
            </w:r>
          </w:p>
        </w:tc>
      </w:tr>
      <w:tr w14:paraId="1BE660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AC9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05F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A8D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70C9B">
            <w:pPr>
              <w:jc w:val="center"/>
            </w:pPr>
            <w:r>
              <w:rPr>
                <w:rFonts w:ascii="宋体" w:hAnsi="宋体" w:eastAsia="宋体"/>
                <w:sz w:val="16"/>
              </w:rPr>
              <w:t>504.23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FFD50">
            <w:pPr>
              <w:jc w:val="center"/>
            </w:pPr>
            <w:r>
              <w:rPr>
                <w:rFonts w:ascii="宋体" w:hAnsi="宋体" w:eastAsia="宋体"/>
                <w:sz w:val="16"/>
              </w:rPr>
              <w:t>688.27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6DFC">
            <w:pPr>
              <w:jc w:val="center"/>
            </w:pPr>
            <w:r>
              <w:rPr>
                <w:rFonts w:ascii="宋体" w:hAnsi="宋体" w:eastAsia="宋体"/>
                <w:sz w:val="16"/>
              </w:rPr>
              <w:t>471.76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3E6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BE1C">
            <w:pPr>
              <w:jc w:val="center"/>
            </w:pPr>
            <w:r>
              <w:rPr>
                <w:rFonts w:ascii="宋体" w:hAnsi="宋体" w:eastAsia="宋体"/>
                <w:sz w:val="16"/>
              </w:rPr>
              <w:t>68.54%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5EE0C">
            <w:pPr>
              <w:jc w:val="center"/>
            </w:pPr>
            <w:r>
              <w:rPr>
                <w:rFonts w:ascii="宋体" w:hAnsi="宋体" w:eastAsia="宋体"/>
                <w:sz w:val="16"/>
              </w:rPr>
              <w:t>6.85</w:t>
            </w:r>
          </w:p>
        </w:tc>
      </w:tr>
      <w:tr w14:paraId="6BDD1C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CB3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68ED4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BA3ED6">
            <w:pPr>
              <w:jc w:val="center"/>
            </w:pPr>
            <w:r>
              <w:rPr>
                <w:rFonts w:ascii="宋体" w:hAnsi="宋体" w:eastAsia="宋体"/>
                <w:sz w:val="16"/>
              </w:rPr>
              <w:t>实际完成情况</w:t>
            </w:r>
          </w:p>
        </w:tc>
      </w:tr>
      <w:tr w14:paraId="3B0955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7D26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354225">
            <w:pPr>
              <w:jc w:val="both"/>
            </w:pPr>
            <w:r>
              <w:rPr>
                <w:rFonts w:ascii="宋体" w:hAnsi="宋体" w:eastAsia="宋体"/>
                <w:sz w:val="16"/>
              </w:rPr>
              <w:t>单位基本职能：1、轮训各级党员领导干部。2、培训中青年党员领导干部。3、培训意识形态部门的领导干部和理论骨干。4、协同组织人事部门，对学员在校期间进行考核。5、围绕国际、国内出现的新情况、新问题，开展科学研究。6、宣传</w:t>
            </w:r>
            <w:r>
              <w:rPr>
                <w:rFonts w:hint="eastAsia" w:ascii="宋体" w:hAnsi="宋体"/>
                <w:sz w:val="16"/>
                <w:lang w:eastAsia="zh-CN"/>
              </w:rPr>
              <w:t>马克思列宁主义、毛泽东思想、邓小平理论</w:t>
            </w:r>
            <w:r>
              <w:rPr>
                <w:rFonts w:ascii="宋体" w:hAnsi="宋体" w:eastAsia="宋体"/>
                <w:sz w:val="16"/>
              </w:rPr>
              <w:t>、“三个代表”重要思想，宣传建设</w:t>
            </w:r>
            <w:r>
              <w:rPr>
                <w:rFonts w:hint="eastAsia" w:ascii="宋体" w:hAnsi="宋体"/>
                <w:sz w:val="16"/>
                <w:lang w:eastAsia="zh-CN"/>
              </w:rPr>
              <w:t>习近平新时代中国特色社会主义思想社会主义思想</w:t>
            </w:r>
            <w:r>
              <w:rPr>
                <w:rFonts w:ascii="宋体" w:hAnsi="宋体" w:eastAsia="宋体"/>
                <w:sz w:val="16"/>
              </w:rPr>
              <w:t>和党的纲领、路线、方针、政策等。7、按照中央和地方有关领导部门的规划和指导，结合本校实际制定和实施党校各级各类干部培训工作的具体计划和方案。8、积极落实上级主管部门的统一调训计划。9、组织和落实后备干部的实践锻炼和日常教育工作。10、加强和完善党校及其他干训机构的建设，不断提高干部培训工作质量，定期如实向上级主管部门汇报干部培训工作情况和经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机构设置及人员配置：下设3个科室，编制数14，实有人数24人，在职14人，退休10人。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中长期规划：进一步加强党员经常性教育工作，宣传</w:t>
            </w:r>
            <w:r>
              <w:rPr>
                <w:rFonts w:hint="eastAsia" w:ascii="宋体" w:hAnsi="宋体"/>
                <w:sz w:val="16"/>
                <w:lang w:eastAsia="zh-CN"/>
              </w:rPr>
              <w:t>马克思列宁主义、毛泽东思想、邓小平理论</w:t>
            </w:r>
            <w:r>
              <w:rPr>
                <w:rFonts w:ascii="宋体" w:hAnsi="宋体" w:eastAsia="宋体"/>
                <w:sz w:val="16"/>
              </w:rPr>
              <w:t>、“三个代表”重要思想，宣传</w:t>
            </w:r>
            <w:r>
              <w:rPr>
                <w:rFonts w:hint="eastAsia" w:ascii="宋体" w:hAnsi="宋体"/>
                <w:sz w:val="16"/>
                <w:lang w:eastAsia="zh-CN"/>
              </w:rPr>
              <w:t>习近平新时代中国特色社会主义思想</w:t>
            </w:r>
            <w:r>
              <w:rPr>
                <w:rFonts w:ascii="宋体" w:hAnsi="宋体" w:eastAsia="宋体"/>
                <w:sz w:val="16"/>
              </w:rPr>
              <w:t>建设</w:t>
            </w:r>
            <w:r>
              <w:rPr>
                <w:rFonts w:hint="eastAsia" w:ascii="宋体" w:hAnsi="宋体"/>
                <w:sz w:val="16"/>
                <w:lang w:eastAsia="zh-CN"/>
              </w:rPr>
              <w:t>中国特色社会主义思想</w:t>
            </w:r>
            <w:r>
              <w:rPr>
                <w:rFonts w:ascii="宋体" w:hAnsi="宋体" w:eastAsia="宋体"/>
                <w:sz w:val="16"/>
              </w:rPr>
              <w:t>和党的纲领、路线、方针、政策等，不断提高党员队伍的整体素质，大力推进党的执政能力和先进性建设，提高党员思想政治素质，增强党员工作本领，发挥党员先锋模范作用，培养</w:t>
            </w:r>
            <w:r>
              <w:rPr>
                <w:rFonts w:hint="eastAsia" w:ascii="宋体" w:hAnsi="宋体"/>
                <w:sz w:val="16"/>
                <w:lang w:eastAsia="zh-CN"/>
              </w:rPr>
              <w:t>一支</w:t>
            </w:r>
            <w:r>
              <w:rPr>
                <w:rFonts w:ascii="宋体" w:hAnsi="宋体" w:eastAsia="宋体"/>
                <w:sz w:val="16"/>
              </w:rPr>
              <w:t>政治合格、思想过硬的干部队伍。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目标1：保障单位在职14人，退休10人的工资福利及各项补助正常发放及部门正常运转；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目标2：保障单位预算正常运转，便于单位开展全县党员干部的培训工作，不断提高干部培训工作质量，定期如实向上级主管部门汇报干部培训工作情况和经验。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3F8A3">
            <w:pPr>
              <w:jc w:val="both"/>
            </w:pPr>
            <w:r>
              <w:rPr>
                <w:rFonts w:ascii="宋体" w:hAnsi="宋体" w:eastAsia="宋体"/>
                <w:sz w:val="16"/>
              </w:rPr>
              <w:t>截至2024年12月，保障单位在职14人，退休10人的工资福利及各项补助正常发放及部门正常运转；保障单位开展全县党员干部的培训工作，短期班培训时间达到3天，长期班培训时间达到30天，提高了干部培训工作质量。轮训各级党员领导干部。培训中青年党员领导干部。培训意识形态部门的领导干部和理论骨干。协同组织人事部门，对学员在校期间进行考核。围绕国际、国内出现的新情况、新问题，开展科学研究。宣传</w:t>
            </w:r>
            <w:r>
              <w:rPr>
                <w:rFonts w:hint="eastAsia" w:ascii="宋体" w:hAnsi="宋体"/>
                <w:sz w:val="16"/>
                <w:lang w:eastAsia="zh-CN"/>
              </w:rPr>
              <w:t>马克思列宁主义、毛泽东思想、邓小平理论</w:t>
            </w:r>
            <w:r>
              <w:rPr>
                <w:rFonts w:ascii="宋体" w:hAnsi="宋体" w:eastAsia="宋体"/>
                <w:sz w:val="16"/>
              </w:rPr>
              <w:t>、“三个代表”重要思想，宣传建设</w:t>
            </w:r>
            <w:r>
              <w:rPr>
                <w:rFonts w:hint="eastAsia" w:ascii="宋体" w:hAnsi="宋体"/>
                <w:sz w:val="16"/>
                <w:lang w:eastAsia="zh-CN"/>
              </w:rPr>
              <w:t>习近平新时代中国特色社会主义思想社会主义思想</w:t>
            </w:r>
            <w:r>
              <w:rPr>
                <w:rFonts w:ascii="宋体" w:hAnsi="宋体" w:eastAsia="宋体"/>
                <w:sz w:val="16"/>
              </w:rPr>
              <w:t>和党的纲领、路线、方针、政策等。按照中央和地方有关领导部门的规划和指导，结合本校实际制定和实施党校各级各类干部培训工作的具体计划和方案。积极落实上级主管部门的统一调训计划。9、组织和落实后备干部的实践锻炼和日常教育工作。加强和完善党校及其他干训机构的建设，不断提高干部培训工作质量，定期如实向上级主管部门汇报干部培训工作情况和经验。进一步加强党员经常性教育工作，宣传</w:t>
            </w:r>
            <w:r>
              <w:rPr>
                <w:rFonts w:hint="eastAsia" w:ascii="宋体" w:hAnsi="宋体"/>
                <w:sz w:val="16"/>
                <w:lang w:eastAsia="zh-CN"/>
              </w:rPr>
              <w:t>马克思列宁主义、毛泽东思想、邓小平理论</w:t>
            </w:r>
            <w:r>
              <w:rPr>
                <w:rFonts w:ascii="宋体" w:hAnsi="宋体" w:eastAsia="宋体"/>
                <w:sz w:val="16"/>
              </w:rPr>
              <w:t>、“三个代表”重要思想，宣传</w:t>
            </w:r>
            <w:r>
              <w:rPr>
                <w:rFonts w:hint="eastAsia" w:ascii="宋体" w:hAnsi="宋体"/>
                <w:sz w:val="16"/>
                <w:lang w:eastAsia="zh-CN"/>
              </w:rPr>
              <w:t>习近平新时代中国特色社会主义思想和</w:t>
            </w:r>
            <w:r>
              <w:rPr>
                <w:rFonts w:ascii="宋体" w:hAnsi="宋体" w:eastAsia="宋体"/>
                <w:sz w:val="16"/>
              </w:rPr>
              <w:t>建设</w:t>
            </w:r>
            <w:r>
              <w:rPr>
                <w:rFonts w:hint="eastAsia" w:ascii="宋体" w:hAnsi="宋体"/>
                <w:sz w:val="16"/>
                <w:lang w:eastAsia="zh-CN"/>
              </w:rPr>
              <w:t>中国特色社会主义思想</w:t>
            </w:r>
            <w:r>
              <w:rPr>
                <w:rFonts w:ascii="宋体" w:hAnsi="宋体" w:eastAsia="宋体"/>
                <w:sz w:val="16"/>
              </w:rPr>
              <w:t>和党的纲领、路线、方针、政策等，不断提高党员队伍的整体素质，大力推进党的执政能力和先进性建设，提高党员思想政治素质，增强党员工作本领，发挥党员先锋模范作用，培养</w:t>
            </w:r>
            <w:r>
              <w:rPr>
                <w:rFonts w:hint="eastAsia" w:ascii="宋体" w:hAnsi="宋体"/>
                <w:sz w:val="16"/>
                <w:lang w:eastAsia="zh-CN"/>
              </w:rPr>
              <w:t>一支</w:t>
            </w:r>
            <w:r>
              <w:rPr>
                <w:rFonts w:ascii="宋体" w:hAnsi="宋体" w:eastAsia="宋体"/>
                <w:sz w:val="16"/>
              </w:rPr>
              <w:t>政治合格、思想过硬的干部队伍。</w:t>
            </w:r>
          </w:p>
        </w:tc>
      </w:tr>
      <w:tr w14:paraId="53F6CF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0AA7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CB64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CC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DDEE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5614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1259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6AF0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C550C">
            <w:pPr>
              <w:jc w:val="center"/>
            </w:pPr>
            <w:r>
              <w:rPr>
                <w:rFonts w:ascii="宋体" w:hAnsi="宋体" w:eastAsia="宋体"/>
                <w:sz w:val="16"/>
              </w:rPr>
              <w:t>得分</w:t>
            </w:r>
          </w:p>
        </w:tc>
      </w:tr>
      <w:tr w14:paraId="1B1788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9BF0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03B7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943E">
            <w:pPr>
              <w:jc w:val="center"/>
            </w:pPr>
            <w:r>
              <w:rPr>
                <w:rFonts w:ascii="宋体" w:hAnsi="宋体" w:eastAsia="宋体"/>
                <w:sz w:val="16"/>
              </w:rPr>
              <w:t>组织培训班期数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8B293">
            <w:pPr>
              <w:jc w:val="center"/>
            </w:pPr>
            <w:r>
              <w:rPr>
                <w:rFonts w:ascii="宋体" w:hAnsi="宋体" w:eastAsia="宋体"/>
                <w:sz w:val="16"/>
              </w:rPr>
              <w:t>&gt;=8期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DDFA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1DE4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F2491">
            <w:pPr>
              <w:jc w:val="center"/>
            </w:pPr>
            <w:r>
              <w:rPr>
                <w:rFonts w:ascii="宋体" w:hAnsi="宋体" w:eastAsia="宋体"/>
                <w:sz w:val="16"/>
              </w:rPr>
              <w:t>32期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D5B2">
            <w:pPr>
              <w:jc w:val="center"/>
            </w:pPr>
            <w:r>
              <w:rPr>
                <w:rFonts w:ascii="宋体" w:hAnsi="宋体" w:eastAsia="宋体"/>
                <w:sz w:val="16"/>
              </w:rPr>
              <w:t>30</w:t>
            </w:r>
          </w:p>
        </w:tc>
      </w:tr>
      <w:tr w14:paraId="15B725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C14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8B0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DA695">
            <w:pPr>
              <w:jc w:val="center"/>
            </w:pPr>
            <w:r>
              <w:rPr>
                <w:rFonts w:ascii="宋体" w:hAnsi="宋体" w:eastAsia="宋体"/>
                <w:sz w:val="16"/>
              </w:rPr>
              <w:t>组织培训班次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2BB2">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319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F17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16383">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CF4E">
            <w:pPr>
              <w:jc w:val="center"/>
            </w:pPr>
            <w:r>
              <w:rPr>
                <w:rFonts w:ascii="宋体" w:hAnsi="宋体" w:eastAsia="宋体"/>
                <w:sz w:val="16"/>
              </w:rPr>
              <w:t>20</w:t>
            </w:r>
          </w:p>
        </w:tc>
      </w:tr>
      <w:tr w14:paraId="2211EC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89F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DD50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E40EF">
            <w:pPr>
              <w:jc w:val="center"/>
            </w:pPr>
            <w:r>
              <w:rPr>
                <w:rFonts w:ascii="宋体" w:hAnsi="宋体" w:eastAsia="宋体"/>
                <w:sz w:val="16"/>
              </w:rPr>
              <w:t>培训参加人数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1373E">
            <w:pPr>
              <w:jc w:val="center"/>
            </w:pPr>
            <w:r>
              <w:rPr>
                <w:rFonts w:ascii="宋体" w:hAnsi="宋体" w:eastAsia="宋体"/>
                <w:sz w:val="16"/>
              </w:rPr>
              <w:t>1200人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5C12E">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A9F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0AC83">
            <w:pPr>
              <w:jc w:val="center"/>
            </w:pPr>
            <w:r>
              <w:rPr>
                <w:rFonts w:ascii="宋体" w:hAnsi="宋体" w:eastAsia="宋体"/>
                <w:sz w:val="16"/>
              </w:rPr>
              <w:t>1600人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04EB">
            <w:pPr>
              <w:jc w:val="center"/>
            </w:pPr>
            <w:r>
              <w:rPr>
                <w:rFonts w:ascii="宋体" w:hAnsi="宋体" w:eastAsia="宋体"/>
                <w:sz w:val="16"/>
              </w:rPr>
              <w:t>20</w:t>
            </w:r>
          </w:p>
        </w:tc>
      </w:tr>
      <w:tr w14:paraId="6FF61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7D0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3A4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9297">
            <w:pPr>
              <w:jc w:val="center"/>
            </w:pPr>
            <w:r>
              <w:rPr>
                <w:rFonts w:ascii="宋体" w:hAnsi="宋体" w:eastAsia="宋体"/>
                <w:sz w:val="16"/>
              </w:rPr>
              <w:t>每期各类全脱产培训班培训天数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095B1">
            <w:pPr>
              <w:jc w:val="center"/>
            </w:pPr>
            <w:r>
              <w:rPr>
                <w:rFonts w:ascii="宋体" w:hAnsi="宋体" w:eastAsia="宋体"/>
                <w:sz w:val="16"/>
              </w:rPr>
              <w:t>&gt;=3天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FAC0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4AF9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942B2">
            <w:pPr>
              <w:jc w:val="center"/>
            </w:pPr>
            <w:r>
              <w:rPr>
                <w:rFonts w:ascii="宋体" w:hAnsi="宋体" w:eastAsia="宋体"/>
                <w:sz w:val="16"/>
              </w:rPr>
              <w:t>30天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FCFA">
            <w:pPr>
              <w:jc w:val="center"/>
            </w:pPr>
            <w:r>
              <w:rPr>
                <w:rFonts w:ascii="宋体" w:hAnsi="宋体" w:eastAsia="宋体"/>
                <w:sz w:val="16"/>
              </w:rPr>
              <w:t>20</w:t>
            </w:r>
          </w:p>
        </w:tc>
      </w:tr>
    </w:tbl>
    <w:p w14:paraId="16E6DA76">
      <w:r>
        <w:br w:type="page"/>
      </w:r>
    </w:p>
    <w:p w14:paraId="21440A05">
      <w:pPr>
        <w:spacing w:line="640" w:lineRule="exact"/>
        <w:ind w:firstLine="640"/>
        <w:jc w:val="both"/>
        <w:outlineLvl w:val="2"/>
      </w:pPr>
      <w:r>
        <w:rPr>
          <w:rFonts w:ascii="黑体" w:hAnsi="黑体" w:eastAsia="黑体"/>
          <w:sz w:val="32"/>
        </w:rPr>
        <w:t>十二、其他需说明的事项</w:t>
      </w:r>
    </w:p>
    <w:p w14:paraId="7297A129">
      <w:pPr>
        <w:spacing w:line="580" w:lineRule="exact"/>
        <w:ind w:firstLine="640"/>
        <w:jc w:val="both"/>
      </w:pPr>
      <w:r>
        <w:rPr>
          <w:rFonts w:ascii="仿宋_GB2312" w:hAnsi="仿宋_GB2312" w:eastAsia="仿宋_GB2312"/>
          <w:b w:val="0"/>
          <w:sz w:val="32"/>
        </w:rPr>
        <w:t>本年本单位SM项目1个，全年预算数7.64万元，全年执行数7.64万元。</w:t>
      </w:r>
    </w:p>
    <w:p w14:paraId="76EAFB22">
      <w:r>
        <w:br w:type="page"/>
      </w:r>
    </w:p>
    <w:p w14:paraId="2441787C">
      <w:pPr>
        <w:spacing w:line="240" w:lineRule="auto"/>
        <w:jc w:val="center"/>
        <w:outlineLvl w:val="1"/>
      </w:pPr>
      <w:r>
        <w:rPr>
          <w:rFonts w:ascii="黑体" w:hAnsi="黑体" w:eastAsia="黑体"/>
          <w:sz w:val="32"/>
        </w:rPr>
        <w:t>第三部分 专业名词解释</w:t>
      </w:r>
    </w:p>
    <w:p w14:paraId="2776ECC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8D75E7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7D21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7C9C7B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3637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3802F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7C989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E9EC05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879B86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9362D5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784867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76D43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AD8F8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29775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7CD6E3">
      <w:r>
        <w:br w:type="page"/>
      </w:r>
    </w:p>
    <w:p w14:paraId="7DEA617F">
      <w:pPr>
        <w:spacing w:line="240" w:lineRule="auto"/>
        <w:jc w:val="center"/>
        <w:outlineLvl w:val="1"/>
      </w:pPr>
      <w:r>
        <w:rPr>
          <w:rFonts w:ascii="黑体" w:hAnsi="黑体" w:eastAsia="黑体"/>
          <w:sz w:val="32"/>
        </w:rPr>
        <w:t>第四部分 部门决算报表（见附表）</w:t>
      </w:r>
    </w:p>
    <w:p w14:paraId="0C004FE0">
      <w:pPr>
        <w:spacing w:line="240" w:lineRule="auto"/>
        <w:ind w:firstLine="640"/>
        <w:jc w:val="both"/>
      </w:pPr>
      <w:r>
        <w:rPr>
          <w:rFonts w:ascii="仿宋_GB2312" w:hAnsi="仿宋_GB2312" w:eastAsia="仿宋_GB2312"/>
          <w:b w:val="0"/>
          <w:sz w:val="32"/>
        </w:rPr>
        <w:t>一、《收入支出决算总表》</w:t>
      </w:r>
    </w:p>
    <w:p w14:paraId="09A994E3">
      <w:pPr>
        <w:spacing w:line="240" w:lineRule="auto"/>
        <w:ind w:firstLine="640"/>
        <w:jc w:val="both"/>
      </w:pPr>
      <w:r>
        <w:rPr>
          <w:rFonts w:ascii="仿宋_GB2312" w:hAnsi="仿宋_GB2312" w:eastAsia="仿宋_GB2312"/>
          <w:b w:val="0"/>
          <w:sz w:val="32"/>
        </w:rPr>
        <w:t>二、《收入决算表》</w:t>
      </w:r>
    </w:p>
    <w:p w14:paraId="67F0F375">
      <w:pPr>
        <w:spacing w:line="240" w:lineRule="auto"/>
        <w:ind w:firstLine="640"/>
        <w:jc w:val="both"/>
      </w:pPr>
      <w:r>
        <w:rPr>
          <w:rFonts w:ascii="仿宋_GB2312" w:hAnsi="仿宋_GB2312" w:eastAsia="仿宋_GB2312"/>
          <w:b w:val="0"/>
          <w:sz w:val="32"/>
        </w:rPr>
        <w:t>三、《支出决算表》</w:t>
      </w:r>
    </w:p>
    <w:p w14:paraId="22830F90">
      <w:pPr>
        <w:spacing w:line="240" w:lineRule="auto"/>
        <w:ind w:firstLine="640"/>
        <w:jc w:val="both"/>
      </w:pPr>
      <w:r>
        <w:rPr>
          <w:rFonts w:ascii="仿宋_GB2312" w:hAnsi="仿宋_GB2312" w:eastAsia="仿宋_GB2312"/>
          <w:b w:val="0"/>
          <w:sz w:val="32"/>
        </w:rPr>
        <w:t>四、《财政拨款收入支出决算总表》</w:t>
      </w:r>
    </w:p>
    <w:p w14:paraId="002C644C">
      <w:pPr>
        <w:spacing w:line="240" w:lineRule="auto"/>
        <w:ind w:firstLine="640"/>
        <w:jc w:val="both"/>
      </w:pPr>
      <w:r>
        <w:rPr>
          <w:rFonts w:ascii="仿宋_GB2312" w:hAnsi="仿宋_GB2312" w:eastAsia="仿宋_GB2312"/>
          <w:b w:val="0"/>
          <w:sz w:val="32"/>
        </w:rPr>
        <w:t>五、《一般公共预算财政拨款支出决算表》</w:t>
      </w:r>
    </w:p>
    <w:p w14:paraId="3208F1A2">
      <w:pPr>
        <w:spacing w:line="240" w:lineRule="auto"/>
        <w:ind w:firstLine="640"/>
        <w:jc w:val="both"/>
      </w:pPr>
      <w:r>
        <w:rPr>
          <w:rFonts w:ascii="仿宋_GB2312" w:hAnsi="仿宋_GB2312" w:eastAsia="仿宋_GB2312"/>
          <w:b w:val="0"/>
          <w:sz w:val="32"/>
        </w:rPr>
        <w:t>六、《一般公共预算财政拨款基本支出决算表》</w:t>
      </w:r>
    </w:p>
    <w:p w14:paraId="1F7F9CDD">
      <w:pPr>
        <w:spacing w:line="240" w:lineRule="auto"/>
        <w:ind w:firstLine="640"/>
        <w:jc w:val="both"/>
      </w:pPr>
      <w:r>
        <w:rPr>
          <w:rFonts w:ascii="仿宋_GB2312" w:hAnsi="仿宋_GB2312" w:eastAsia="仿宋_GB2312"/>
          <w:b w:val="0"/>
          <w:sz w:val="32"/>
        </w:rPr>
        <w:t>七、《政府性基金预算财政拨款收入支出决算表》</w:t>
      </w:r>
    </w:p>
    <w:p w14:paraId="0BA14EA4">
      <w:pPr>
        <w:spacing w:line="240" w:lineRule="auto"/>
        <w:ind w:firstLine="640"/>
        <w:jc w:val="both"/>
      </w:pPr>
      <w:r>
        <w:rPr>
          <w:rFonts w:ascii="仿宋_GB2312" w:hAnsi="仿宋_GB2312" w:eastAsia="仿宋_GB2312"/>
          <w:b w:val="0"/>
          <w:sz w:val="32"/>
        </w:rPr>
        <w:t>八、《国有资本经营预算财政拨款收入支出决算表》</w:t>
      </w:r>
    </w:p>
    <w:p w14:paraId="26E124F0">
      <w:pPr>
        <w:spacing w:line="240" w:lineRule="auto"/>
        <w:ind w:firstLine="640"/>
        <w:jc w:val="both"/>
      </w:pPr>
      <w:r>
        <w:rPr>
          <w:rFonts w:ascii="仿宋_GB2312" w:hAnsi="仿宋_GB2312" w:eastAsia="仿宋_GB2312"/>
          <w:b w:val="0"/>
          <w:sz w:val="32"/>
        </w:rPr>
        <w:t>九、《财政拨款“三公”经费支出决算表》</w:t>
      </w:r>
    </w:p>
    <w:p w14:paraId="595E566D">
      <w:pPr>
        <w:spacing w:line="240" w:lineRule="auto"/>
        <w:ind w:firstLine="640"/>
        <w:jc w:val="both"/>
      </w:pPr>
    </w:p>
    <w:p w14:paraId="2FC1A105">
      <w:pPr>
        <w:spacing w:line="240" w:lineRule="auto"/>
        <w:ind w:firstLine="640"/>
        <w:jc w:val="both"/>
      </w:pPr>
    </w:p>
    <w:p w14:paraId="1580C187">
      <w:pPr>
        <w:spacing w:line="240" w:lineRule="auto"/>
        <w:ind w:firstLine="640"/>
        <w:jc w:val="both"/>
      </w:pPr>
    </w:p>
    <w:p w14:paraId="4D5E5B49">
      <w:pPr>
        <w:spacing w:line="240" w:lineRule="auto"/>
        <w:ind w:firstLine="640"/>
        <w:jc w:val="both"/>
      </w:pPr>
    </w:p>
    <w:p w14:paraId="1D88E251">
      <w:pPr>
        <w:spacing w:line="240" w:lineRule="auto"/>
        <w:ind w:firstLine="640"/>
        <w:jc w:val="both"/>
      </w:pPr>
    </w:p>
    <w:sectPr>
      <w:headerReference r:id="rId3" w:type="default"/>
      <w:footerReference r:id="rId4"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EA5A9">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7340DB"/>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2648A2"/>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BB2584C"/>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4912</Words>
  <Characters>5515</Characters>
  <Lines>0</Lines>
  <Paragraphs>0</Paragraphs>
  <TotalTime>10</TotalTime>
  <ScaleCrop>false</ScaleCrop>
  <LinksUpToDate>false</LinksUpToDate>
  <CharactersWithSpaces>5523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2025-10-10T05:25:34Z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