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DBA85"/>
    <w:p w14:paraId="5098002C">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kern w:val="0"/>
          <w:sz w:val="32"/>
          <w:szCs w:val="32"/>
          <w:lang w:val="en-US" w:eastAsia="zh-CN" w:bidi="en-US"/>
        </w:rPr>
      </w:pPr>
    </w:p>
    <w:p w14:paraId="4C42FF67">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和田地区洛浦县十八届人民代表大会会议经费</w:t>
      </w:r>
    </w:p>
    <w:p w14:paraId="5334BED4">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pPr>
      <w:r>
        <w:rPr>
          <w:rFonts w:hint="eastAsia" w:ascii="黑体" w:hAnsi="黑体" w:eastAsia="黑体" w:cs="黑体"/>
          <w:b/>
          <w:sz w:val="36"/>
          <w:szCs w:val="36"/>
        </w:rPr>
        <w:t>项目支出绩效评价报告</w:t>
      </w:r>
    </w:p>
    <w:p w14:paraId="0595D672">
      <w:pPr>
        <w:pStyle w:val="6"/>
        <w:jc w:val="center"/>
        <w:rPr>
          <w:rFonts w:hint="eastAsia" w:eastAsia="仿宋_GB2312"/>
          <w:lang w:eastAsia="zh-CN"/>
        </w:rPr>
      </w:pPr>
      <w:r>
        <w:rPr>
          <w:rFonts w:hint="eastAsia"/>
          <w:lang w:eastAsia="zh-CN"/>
        </w:rPr>
        <w:t>（</w:t>
      </w:r>
      <w:r>
        <w:rPr>
          <w:rFonts w:hint="eastAsia"/>
          <w:lang w:val="en-US" w:eastAsia="zh-CN"/>
        </w:rPr>
        <w:t>2024年度</w:t>
      </w:r>
      <w:r>
        <w:rPr>
          <w:rFonts w:hint="eastAsia"/>
          <w:lang w:eastAsia="zh-CN"/>
        </w:rPr>
        <w:t>）</w:t>
      </w:r>
    </w:p>
    <w:p w14:paraId="7A3EA3AC">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276DB0B2">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760CAD77">
      <w:pPr>
        <w:pStyle w:val="6"/>
        <w:rPr>
          <w:rFonts w:hint="eastAsia" w:eastAsia="方正仿宋_GBK" w:cs="方正仿宋_GBK"/>
          <w:b/>
          <w:kern w:val="0"/>
          <w:sz w:val="32"/>
          <w:szCs w:val="32"/>
          <w:lang w:bidi="en-US"/>
        </w:rPr>
      </w:pPr>
    </w:p>
    <w:p w14:paraId="093BB919">
      <w:pPr>
        <w:rPr>
          <w:rFonts w:hint="eastAsia" w:eastAsia="方正仿宋_GBK" w:cs="方正仿宋_GBK"/>
          <w:b/>
          <w:kern w:val="0"/>
          <w:sz w:val="32"/>
          <w:szCs w:val="32"/>
          <w:lang w:bidi="en-US"/>
        </w:rPr>
      </w:pPr>
    </w:p>
    <w:p w14:paraId="268EA16E">
      <w:pPr>
        <w:pStyle w:val="6"/>
        <w:rPr>
          <w:rFonts w:hint="eastAsia"/>
        </w:rPr>
      </w:pPr>
    </w:p>
    <w:p w14:paraId="3BBE9161">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eastAsia="方正仿宋_GBK" w:cs="方正仿宋_GBK"/>
          <w:b/>
          <w:sz w:val="32"/>
          <w:lang w:bidi="en-US"/>
        </w:rPr>
      </w:pPr>
    </w:p>
    <w:p w14:paraId="739C793D">
      <w:pPr>
        <w:pageBreakBefore w:val="0"/>
        <w:widowControl w:val="0"/>
        <w:kinsoku/>
        <w:wordWrap/>
        <w:topLinePunct w:val="0"/>
        <w:autoSpaceDE/>
        <w:autoSpaceDN/>
        <w:bidi w:val="0"/>
        <w:spacing w:line="560" w:lineRule="exact"/>
        <w:ind w:left="0" w:leftChars="0" w:firstLine="560"/>
        <w:textAlignment w:val="auto"/>
        <w:rPr>
          <w:rFonts w:hint="eastAsia"/>
        </w:rPr>
      </w:pPr>
    </w:p>
    <w:p w14:paraId="2C040EBA">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kern w:val="0"/>
          <w:sz w:val="32"/>
          <w:szCs w:val="32"/>
          <w:lang w:bidi="en-US"/>
        </w:rPr>
      </w:pPr>
    </w:p>
    <w:p w14:paraId="5922C4FA">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bidi="en-US"/>
        </w:rPr>
      </w:pPr>
      <w:r>
        <w:rPr>
          <w:rFonts w:hint="eastAsia" w:ascii="宋体" w:hAnsi="宋体" w:eastAsia="宋体" w:cs="宋体"/>
          <w:color w:val="auto"/>
          <w:kern w:val="0"/>
          <w:sz w:val="28"/>
          <w:szCs w:val="28"/>
          <w:highlight w:val="none"/>
          <w:lang w:bidi="en-US"/>
        </w:rPr>
        <w:t>项目名称：</w:t>
      </w:r>
      <w:r>
        <w:rPr>
          <w:rFonts w:hint="eastAsia" w:ascii="宋体" w:hAnsi="宋体" w:eastAsia="宋体" w:cs="宋体"/>
          <w:color w:val="auto"/>
          <w:kern w:val="0"/>
          <w:sz w:val="28"/>
          <w:szCs w:val="28"/>
          <w:highlight w:val="none"/>
          <w:lang w:val="en-US" w:eastAsia="zh-CN" w:bidi="en-US"/>
        </w:rPr>
        <w:t>十八届人民代表大会会议经费</w:t>
      </w:r>
      <w:r>
        <w:rPr>
          <w:rFonts w:hint="eastAsia" w:ascii="宋体" w:hAnsi="宋体" w:eastAsia="宋体" w:cs="宋体"/>
          <w:color w:val="auto"/>
          <w:kern w:val="0"/>
          <w:sz w:val="28"/>
          <w:szCs w:val="28"/>
          <w:highlight w:val="none"/>
          <w:lang w:bidi="en-US"/>
        </w:rPr>
        <w:t>项目</w:t>
      </w:r>
    </w:p>
    <w:p w14:paraId="24144330">
      <w:pPr>
        <w:pageBreakBefore w:val="0"/>
        <w:widowControl w:val="0"/>
        <w:kinsoku/>
        <w:wordWrap/>
        <w:topLinePunct w:val="0"/>
        <w:autoSpaceDE/>
        <w:autoSpaceDN/>
        <w:bidi w:val="0"/>
        <w:spacing w:line="560" w:lineRule="exact"/>
        <w:ind w:left="0" w:leftChars="0" w:firstLine="1234" w:firstLineChars="441"/>
        <w:jc w:val="left"/>
        <w:textAlignment w:val="auto"/>
        <w:rPr>
          <w:rFonts w:hint="default" w:ascii="宋体" w:hAnsi="宋体" w:eastAsia="宋体" w:cs="宋体"/>
          <w:color w:val="auto"/>
          <w:kern w:val="0"/>
          <w:sz w:val="28"/>
          <w:szCs w:val="28"/>
          <w:highlight w:val="none"/>
          <w:lang w:val="en-US" w:eastAsia="zh-CN" w:bidi="en-US"/>
        </w:rPr>
      </w:pPr>
      <w:r>
        <w:rPr>
          <w:rFonts w:hint="eastAsia" w:ascii="宋体" w:hAnsi="宋体" w:eastAsia="宋体" w:cs="宋体"/>
          <w:color w:val="auto"/>
          <w:kern w:val="0"/>
          <w:sz w:val="28"/>
          <w:szCs w:val="28"/>
          <w:highlight w:val="none"/>
          <w:lang w:bidi="en-US"/>
        </w:rPr>
        <w:t>项目单位：</w:t>
      </w:r>
      <w:r>
        <w:rPr>
          <w:rFonts w:hint="eastAsia" w:ascii="宋体" w:hAnsi="宋体" w:eastAsia="宋体" w:cs="宋体"/>
          <w:color w:val="auto"/>
          <w:kern w:val="0"/>
          <w:sz w:val="28"/>
          <w:szCs w:val="28"/>
          <w:highlight w:val="none"/>
          <w:lang w:val="en-US" w:eastAsia="zh-CN" w:bidi="en-US"/>
        </w:rPr>
        <w:t>洛浦县人民代表大会常务委员会办公室</w:t>
      </w:r>
    </w:p>
    <w:p w14:paraId="62EEF2C6">
      <w:pPr>
        <w:pageBreakBefore w:val="0"/>
        <w:widowControl w:val="0"/>
        <w:kinsoku/>
        <w:wordWrap/>
        <w:topLinePunct w:val="0"/>
        <w:autoSpaceDE/>
        <w:autoSpaceDN/>
        <w:bidi w:val="0"/>
        <w:spacing w:line="560" w:lineRule="exact"/>
        <w:ind w:left="0" w:leftChars="0" w:firstLine="1234" w:firstLineChars="441"/>
        <w:jc w:val="left"/>
        <w:textAlignment w:val="auto"/>
        <w:rPr>
          <w:rFonts w:hint="default" w:ascii="宋体" w:hAnsi="宋体" w:eastAsia="宋体" w:cs="宋体"/>
          <w:color w:val="auto"/>
          <w:kern w:val="0"/>
          <w:sz w:val="28"/>
          <w:szCs w:val="28"/>
          <w:highlight w:val="none"/>
          <w:lang w:val="en-US" w:eastAsia="zh-CN" w:bidi="en-US"/>
        </w:rPr>
      </w:pPr>
      <w:r>
        <w:rPr>
          <w:rFonts w:hint="eastAsia" w:ascii="宋体" w:hAnsi="宋体" w:eastAsia="宋体" w:cs="宋体"/>
          <w:color w:val="auto"/>
          <w:kern w:val="0"/>
          <w:sz w:val="28"/>
          <w:szCs w:val="28"/>
          <w:highlight w:val="none"/>
          <w:lang w:bidi="en-US"/>
        </w:rPr>
        <w:t>主管部门：</w:t>
      </w:r>
      <w:r>
        <w:rPr>
          <w:rFonts w:hint="eastAsia" w:ascii="宋体" w:hAnsi="宋体" w:eastAsia="宋体" w:cs="宋体"/>
          <w:color w:val="auto"/>
          <w:kern w:val="0"/>
          <w:sz w:val="28"/>
          <w:szCs w:val="28"/>
          <w:highlight w:val="none"/>
          <w:lang w:val="en-US" w:eastAsia="zh-CN" w:bidi="en-US"/>
        </w:rPr>
        <w:t>洛浦县人民代表大会常务委员会办公室</w:t>
      </w:r>
    </w:p>
    <w:p w14:paraId="690D594B">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val="en-US" w:eastAsia="zh-CN" w:bidi="en-US"/>
        </w:rPr>
      </w:pPr>
      <w:r>
        <w:rPr>
          <w:rFonts w:hint="eastAsia" w:ascii="宋体" w:hAnsi="宋体" w:eastAsia="宋体" w:cs="宋体"/>
          <w:color w:val="auto"/>
          <w:kern w:val="0"/>
          <w:sz w:val="28"/>
          <w:szCs w:val="28"/>
          <w:highlight w:val="none"/>
          <w:lang w:bidi="en-US"/>
        </w:rPr>
        <w:t>项目负责人：</w:t>
      </w:r>
      <w:r>
        <w:rPr>
          <w:rFonts w:hint="eastAsia" w:ascii="宋体" w:hAnsi="宋体" w:eastAsia="宋体" w:cs="宋体"/>
          <w:color w:val="auto"/>
          <w:kern w:val="0"/>
          <w:sz w:val="28"/>
          <w:szCs w:val="28"/>
          <w:highlight w:val="none"/>
          <w:lang w:val="en-US" w:eastAsia="zh-CN" w:bidi="en-US"/>
        </w:rPr>
        <w:t>贾奎</w:t>
      </w:r>
    </w:p>
    <w:p w14:paraId="28FF5430">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bidi="en-US"/>
        </w:rPr>
      </w:pPr>
      <w:r>
        <w:rPr>
          <w:rFonts w:hint="eastAsia" w:ascii="宋体" w:hAnsi="宋体" w:eastAsia="宋体" w:cs="宋体"/>
          <w:color w:val="auto"/>
          <w:kern w:val="0"/>
          <w:sz w:val="28"/>
          <w:szCs w:val="28"/>
          <w:highlight w:val="none"/>
          <w:lang w:bidi="en-US"/>
        </w:rPr>
        <w:t>填报时间：</w:t>
      </w:r>
      <w:r>
        <w:rPr>
          <w:rFonts w:hint="eastAsia" w:ascii="宋体" w:hAnsi="宋体" w:eastAsia="宋体" w:cs="宋体"/>
          <w:color w:val="auto"/>
          <w:kern w:val="0"/>
          <w:sz w:val="28"/>
          <w:szCs w:val="28"/>
          <w:highlight w:val="none"/>
          <w:lang w:val="en-US" w:eastAsia="zh-CN" w:bidi="en-US"/>
        </w:rPr>
        <w:t>2025年3</w:t>
      </w:r>
      <w:r>
        <w:rPr>
          <w:rFonts w:hint="eastAsia" w:ascii="宋体" w:hAnsi="宋体" w:eastAsia="宋体" w:cs="宋体"/>
          <w:color w:val="auto"/>
          <w:kern w:val="0"/>
          <w:sz w:val="28"/>
          <w:szCs w:val="28"/>
          <w:highlight w:val="none"/>
          <w:lang w:bidi="en-US"/>
        </w:rPr>
        <w:t>月</w:t>
      </w:r>
      <w:r>
        <w:rPr>
          <w:rFonts w:hint="eastAsia" w:ascii="宋体" w:hAnsi="宋体" w:eastAsia="宋体" w:cs="宋体"/>
          <w:color w:val="auto"/>
          <w:kern w:val="0"/>
          <w:sz w:val="28"/>
          <w:szCs w:val="28"/>
          <w:highlight w:val="none"/>
          <w:lang w:val="en-US" w:eastAsia="zh-CN" w:bidi="en-US"/>
        </w:rPr>
        <w:t>31</w:t>
      </w:r>
      <w:r>
        <w:rPr>
          <w:rFonts w:hint="eastAsia" w:ascii="宋体" w:hAnsi="宋体" w:eastAsia="宋体" w:cs="宋体"/>
          <w:color w:val="auto"/>
          <w:kern w:val="0"/>
          <w:sz w:val="28"/>
          <w:szCs w:val="28"/>
          <w:highlight w:val="none"/>
          <w:lang w:bidi="en-US"/>
        </w:rPr>
        <w:t>日</w:t>
      </w:r>
    </w:p>
    <w:p w14:paraId="55A3ED3E">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b/>
          <w:kern w:val="0"/>
          <w:sz w:val="28"/>
          <w:szCs w:val="28"/>
          <w:lang w:bidi="en-US"/>
        </w:rPr>
      </w:pPr>
    </w:p>
    <w:p w14:paraId="30628A81">
      <w:pPr>
        <w:pStyle w:val="2"/>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bookmarkStart w:id="0" w:name="_Toc68364657"/>
      <w:r>
        <w:rPr>
          <w:rFonts w:hint="eastAsia" w:ascii="黑体" w:hAnsi="黑体" w:eastAsia="黑体" w:cs="黑体"/>
          <w:sz w:val="24"/>
          <w:szCs w:val="24"/>
          <w:lang w:val="en-US" w:eastAsia="zh-CN"/>
        </w:rPr>
        <w:t>一、</w:t>
      </w:r>
      <w:r>
        <w:rPr>
          <w:rFonts w:hint="eastAsia" w:ascii="黑体" w:hAnsi="黑体" w:eastAsia="黑体" w:cs="黑体"/>
          <w:sz w:val="24"/>
          <w:szCs w:val="24"/>
        </w:rPr>
        <w:t>基本情况</w:t>
      </w:r>
      <w:bookmarkEnd w:id="0"/>
    </w:p>
    <w:p w14:paraId="25F2E7C1">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 w:name="_Toc68364658"/>
      <w:r>
        <w:rPr>
          <w:rFonts w:hint="eastAsia" w:ascii="宋体" w:hAnsi="宋体" w:eastAsia="宋体" w:cs="宋体"/>
          <w:sz w:val="24"/>
          <w:szCs w:val="24"/>
          <w:lang w:eastAsia="zh-CN"/>
        </w:rPr>
        <w:t>（一）</w:t>
      </w:r>
      <w:r>
        <w:rPr>
          <w:rFonts w:hint="eastAsia" w:ascii="宋体" w:hAnsi="宋体" w:eastAsia="宋体" w:cs="宋体"/>
          <w:sz w:val="24"/>
          <w:szCs w:val="24"/>
        </w:rPr>
        <w:t>项目概况</w:t>
      </w:r>
      <w:bookmarkEnd w:id="1"/>
    </w:p>
    <w:p w14:paraId="1E6040B4">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项目背景</w:t>
      </w:r>
    </w:p>
    <w:p w14:paraId="70ED9F6D">
      <w:pPr>
        <w:pStyle w:val="5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本项目根据洛财纪字[2024]1号文件立项，保证我县一年一次的人民代表大会胜利举行。提升人民代表参政议政水平，对政治、经济、文化和社会生活的重要问题以及人民群众普遍关心的问题，开展调查研究、反映社会民意、进行协商讨论。</w:t>
      </w:r>
    </w:p>
    <w:p w14:paraId="7B28EA7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主要内容及实施情况</w:t>
      </w:r>
    </w:p>
    <w:p w14:paraId="4FFAC7EC">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1）主要内容</w:t>
      </w:r>
    </w:p>
    <w:p w14:paraId="3530020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0"/>
        <w:rPr>
          <w:rFonts w:hint="eastAsia" w:ascii="宋体" w:hAnsi="宋体" w:eastAsia="宋体" w:cs="宋体"/>
          <w:sz w:val="24"/>
          <w:szCs w:val="24"/>
          <w:highlight w:val="yellow"/>
        </w:rPr>
      </w:pPr>
      <w:r>
        <w:rPr>
          <w:rFonts w:hint="eastAsia" w:ascii="宋体" w:hAnsi="宋体" w:eastAsia="宋体" w:cs="宋体"/>
          <w:sz w:val="24"/>
          <w:szCs w:val="24"/>
        </w:rPr>
        <w:t>本项目根据</w:t>
      </w:r>
      <w:r>
        <w:rPr>
          <w:rFonts w:hint="eastAsia" w:ascii="宋体" w:hAnsi="宋体" w:eastAsia="宋体" w:cs="宋体"/>
          <w:color w:val="auto"/>
          <w:sz w:val="24"/>
          <w:szCs w:val="24"/>
          <w:highlight w:val="none"/>
        </w:rPr>
        <w:t>洛财纪字[202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]1号文件</w:t>
      </w:r>
      <w:r>
        <w:rPr>
          <w:rFonts w:hint="eastAsia" w:ascii="宋体" w:hAnsi="宋体" w:eastAsia="宋体" w:cs="宋体"/>
          <w:sz w:val="24"/>
          <w:szCs w:val="24"/>
        </w:rPr>
        <w:t>立项，保障参会人员200人，会议举行2天半，项目总投资37.2853万元，其中2020年人大会议8.49万元，2021年人大会议17.62万元，2024年人大会议11.17万元。通过本项目的实施，有效提升人民代表参政议政水平，持续提高人大代表素质，争取使受益参会人员及受益群众满意度达到95%以上。</w:t>
      </w:r>
    </w:p>
    <w:p w14:paraId="7A8BFDDB">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2.实施情况</w:t>
      </w:r>
    </w:p>
    <w:p w14:paraId="4010E45A">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1）项目实施主体</w:t>
      </w:r>
    </w:p>
    <w:p w14:paraId="75C28C12">
      <w:pPr>
        <w:pStyle w:val="58"/>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sz w:val="24"/>
          <w:szCs w:val="24"/>
        </w:rPr>
      </w:pPr>
      <w:r>
        <w:rPr>
          <w:rFonts w:hint="eastAsia" w:ascii="宋体" w:hAnsi="宋体" w:eastAsia="宋体" w:cs="宋体"/>
          <w:color w:val="auto"/>
          <w:sz w:val="24"/>
          <w:szCs w:val="24"/>
          <w:lang w:val="en-US" w:eastAsia="zh-CN"/>
        </w:rPr>
        <w:t>本项目的主管部门为洛浦县人民代表大会常务委员会办公室,实施单位为洛浦县人民代表大会常务委员会办公室，主要职责保证我县一年一次的人民代表大会胜利举行。提升人民代表参政议政水平，对政治、经济、文化和社会生活的重要问题以及人民群众普遍关心的问题，开展调查研究、反映社会民意、进行协商讨论</w:t>
      </w:r>
      <w:r>
        <w:rPr>
          <w:rFonts w:hint="eastAsia" w:ascii="宋体" w:hAnsi="宋体" w:eastAsia="宋体" w:cs="宋体"/>
          <w:bCs/>
          <w:sz w:val="24"/>
          <w:szCs w:val="24"/>
        </w:rPr>
        <w:t>。</w:t>
      </w:r>
    </w:p>
    <w:p w14:paraId="401B949E">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bCs/>
          <w:sz w:val="24"/>
          <w:szCs w:val="24"/>
        </w:rPr>
      </w:pPr>
      <w:r>
        <w:rPr>
          <w:rFonts w:hint="eastAsia" w:ascii="宋体" w:hAnsi="宋体" w:eastAsia="宋体" w:cs="宋体"/>
          <w:b/>
          <w:bCs/>
          <w:sz w:val="24"/>
          <w:szCs w:val="24"/>
          <w:lang w:val="en-US" w:eastAsia="zh-CN"/>
        </w:rPr>
        <w:t>（2）项目实施时间：</w:t>
      </w:r>
      <w:r>
        <w:rPr>
          <w:rFonts w:hint="eastAsia" w:ascii="宋体" w:hAnsi="宋体" w:eastAsia="宋体" w:cs="宋体"/>
          <w:color w:val="auto"/>
          <w:sz w:val="24"/>
          <w:szCs w:val="24"/>
          <w:lang w:val="en-US" w:eastAsia="zh-CN"/>
        </w:rPr>
        <w:t>时间2024年1月1日</w:t>
      </w:r>
      <w:r>
        <w:rPr>
          <w:rFonts w:hint="eastAsia" w:ascii="宋体" w:hAnsi="宋体" w:eastAsia="宋体" w:cs="宋体"/>
          <w:sz w:val="24"/>
          <w:szCs w:val="24"/>
        </w:rPr>
        <w:t>—</w:t>
      </w:r>
      <w:r>
        <w:rPr>
          <w:rFonts w:hint="eastAsia" w:ascii="宋体" w:hAnsi="宋体" w:eastAsia="宋体" w:cs="宋体"/>
          <w:color w:val="auto"/>
          <w:sz w:val="24"/>
          <w:szCs w:val="24"/>
          <w:lang w:val="en-US" w:eastAsia="zh-CN"/>
        </w:rPr>
        <w:t>2024年1月31日</w:t>
      </w:r>
      <w:r>
        <w:rPr>
          <w:rFonts w:hint="eastAsia" w:ascii="宋体" w:hAnsi="宋体" w:eastAsia="宋体" w:cs="宋体"/>
          <w:sz w:val="24"/>
          <w:szCs w:val="24"/>
        </w:rPr>
        <w:t>。</w:t>
      </w:r>
    </w:p>
    <w:p w14:paraId="69B3C51D">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（3）项目实施情况：</w:t>
      </w:r>
    </w:p>
    <w:p w14:paraId="5DAD5CC6">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保障参会人员200人，会议举行2天半，项目总投资37.2853万元，其中2020年人大会议8.49万元，2021年人大会议17.62万元，2024年人大会议11.17万元。通过本项目的实施，有效提升人民代表参政议政水平，持续提高人大代表素质，争取使受益参会人员及受益群众满意度达到95%以上。</w:t>
      </w:r>
    </w:p>
    <w:p w14:paraId="3382C0DC">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资金投入和使用情况</w:t>
      </w:r>
    </w:p>
    <w:p w14:paraId="7393288A">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（1）项目资金安排</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投入情况</w:t>
      </w:r>
    </w:p>
    <w:p w14:paraId="7050F6E5">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jc w:val="both"/>
        <w:textAlignment w:val="auto"/>
        <w:rPr>
          <w:rFonts w:hint="eastAsia" w:ascii="宋体" w:hAnsi="宋体" w:eastAsia="宋体" w:cs="宋体"/>
          <w:bCs/>
          <w:kern w:val="0"/>
          <w:sz w:val="24"/>
          <w:szCs w:val="24"/>
          <w:lang w:val="en-US" w:eastAsia="zh-CN" w:bidi="ar-SA"/>
        </w:rPr>
      </w:pPr>
      <w:r>
        <w:rPr>
          <w:rFonts w:hint="eastAsia" w:ascii="宋体" w:hAnsi="宋体" w:eastAsia="宋体" w:cs="宋体"/>
          <w:bCs/>
          <w:kern w:val="0"/>
          <w:sz w:val="24"/>
          <w:szCs w:val="24"/>
          <w:lang w:val="en-US" w:eastAsia="zh-CN" w:bidi="ar-SA"/>
        </w:rPr>
        <w:t>本项目预算安排总额为37.28万元，资金来源为本级财政预算。其中：财政资金37.28万元，其他资金0万元，2024年实际收到预算资金37.28万元，预算资金到位率为100%。</w:t>
      </w:r>
    </w:p>
    <w:p w14:paraId="4834382D">
      <w:pPr>
        <w:pageBreakBefore w:val="0"/>
        <w:widowControl w:val="0"/>
        <w:numPr>
          <w:ilvl w:val="0"/>
          <w:numId w:val="2"/>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项目资金实际使用情况分析</w:t>
      </w:r>
    </w:p>
    <w:p w14:paraId="28834910">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jc w:val="both"/>
        <w:textAlignment w:val="auto"/>
        <w:rPr>
          <w:rFonts w:hint="eastAsia" w:ascii="宋体" w:hAnsi="宋体" w:eastAsia="宋体" w:cs="宋体"/>
          <w:bCs/>
          <w:kern w:val="0"/>
          <w:sz w:val="24"/>
          <w:szCs w:val="24"/>
          <w:lang w:val="en-US" w:eastAsia="zh-CN" w:bidi="ar-SA"/>
        </w:rPr>
      </w:pPr>
      <w:r>
        <w:rPr>
          <w:rFonts w:hint="eastAsia" w:ascii="宋体" w:hAnsi="宋体" w:eastAsia="宋体" w:cs="宋体"/>
          <w:bCs/>
          <w:kern w:val="0"/>
          <w:sz w:val="24"/>
          <w:szCs w:val="24"/>
          <w:lang w:val="en-US" w:eastAsia="zh-CN" w:bidi="ar-SA"/>
        </w:rPr>
        <w:t>本项目实际支付资金37.28万元，预算执行率100%。本项目资金主要用于支付2020年人大会议8.49万元，2021年人大会议17.62万元，2024年人大会议11.17万</w:t>
      </w:r>
      <w:bookmarkStart w:id="2" w:name="_Toc68364659"/>
      <w:r>
        <w:rPr>
          <w:rFonts w:hint="eastAsia" w:ascii="宋体" w:hAnsi="宋体" w:eastAsia="宋体" w:cs="宋体"/>
          <w:bCs/>
          <w:kern w:val="0"/>
          <w:sz w:val="24"/>
          <w:szCs w:val="24"/>
          <w:lang w:val="en-US" w:eastAsia="zh-CN" w:bidi="ar-SA"/>
        </w:rPr>
        <w:t>元。</w:t>
      </w:r>
    </w:p>
    <w:p w14:paraId="04E639F2">
      <w:pPr>
        <w:pStyle w:val="5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CN"/>
        </w:rPr>
        <w:t>）项目绩效目标</w:t>
      </w:r>
      <w:bookmarkEnd w:id="2"/>
    </w:p>
    <w:p w14:paraId="04704900">
      <w:pPr>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项目绩效目标包括项目总</w:t>
      </w:r>
      <w:r>
        <w:rPr>
          <w:rFonts w:hint="eastAsia" w:ascii="宋体" w:hAnsi="宋体" w:eastAsia="宋体" w:cs="宋体"/>
          <w:sz w:val="24"/>
          <w:szCs w:val="24"/>
          <w:lang w:val="en-US" w:eastAsia="zh-CN"/>
        </w:rPr>
        <w:t>体</w:t>
      </w:r>
      <w:r>
        <w:rPr>
          <w:rFonts w:hint="eastAsia" w:ascii="宋体" w:hAnsi="宋体" w:eastAsia="宋体" w:cs="宋体"/>
          <w:sz w:val="24"/>
          <w:szCs w:val="24"/>
        </w:rPr>
        <w:t>目标和阶段性目标。</w:t>
      </w:r>
    </w:p>
    <w:p w14:paraId="498FD68C">
      <w:pPr>
        <w:pStyle w:val="5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1.总体目标</w:t>
      </w:r>
    </w:p>
    <w:p w14:paraId="6540ADAE">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jc w:val="both"/>
        <w:textAlignment w:val="auto"/>
        <w:rPr>
          <w:rFonts w:hint="eastAsia" w:ascii="宋体" w:hAnsi="宋体" w:eastAsia="宋体" w:cs="宋体"/>
          <w:bCs/>
          <w:kern w:val="0"/>
          <w:sz w:val="24"/>
          <w:szCs w:val="24"/>
          <w:lang w:val="en-US" w:eastAsia="zh-CN" w:bidi="ar-SA"/>
        </w:rPr>
      </w:pPr>
      <w:r>
        <w:rPr>
          <w:rFonts w:hint="eastAsia" w:ascii="宋体" w:hAnsi="宋体" w:eastAsia="宋体" w:cs="宋体"/>
          <w:bCs/>
          <w:kern w:val="0"/>
          <w:sz w:val="24"/>
          <w:szCs w:val="24"/>
          <w:lang w:val="en-US" w:eastAsia="zh-CN" w:bidi="ar-SA"/>
        </w:rPr>
        <w:t>根据洛财纪字[2023]1号文件立项，保障参会人员200人，会议举行2.5-4天，于2024年12月低完成，项目总投资37.28万元，其中参会人员住宿、就餐费32.5万元，人代会会议成本费4.78万元。通过本项目的实施，有效提升人民代表参政议政水平，持续提高人大代表素质，争取使受益参会人员及受益群众满意度达到95%以上。</w:t>
      </w:r>
    </w:p>
    <w:p w14:paraId="54493BF1">
      <w:pPr>
        <w:pStyle w:val="5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2.阶段性目标</w:t>
      </w:r>
    </w:p>
    <w:p w14:paraId="43CF8CCB">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jc w:val="both"/>
        <w:textAlignment w:val="auto"/>
        <w:rPr>
          <w:rFonts w:hint="eastAsia" w:ascii="宋体" w:hAnsi="宋体" w:eastAsia="宋体" w:cs="宋体"/>
          <w:bCs/>
          <w:kern w:val="0"/>
          <w:sz w:val="24"/>
          <w:szCs w:val="24"/>
          <w:lang w:val="en-US" w:eastAsia="zh-CN" w:bidi="ar-SA"/>
        </w:rPr>
      </w:pPr>
      <w:bookmarkStart w:id="3" w:name="_Toc68364660"/>
      <w:r>
        <w:rPr>
          <w:rFonts w:hint="eastAsia" w:ascii="宋体" w:hAnsi="宋体" w:eastAsia="宋体" w:cs="宋体"/>
          <w:bCs/>
          <w:kern w:val="0"/>
          <w:sz w:val="24"/>
          <w:szCs w:val="24"/>
          <w:lang w:val="en-US" w:eastAsia="zh-CN" w:bidi="ar-SA"/>
        </w:rPr>
        <w:t>我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650F7D22">
      <w:pPr>
        <w:keepNext w:val="0"/>
        <w:keepLines w:val="0"/>
        <w:pageBreakBefore w:val="0"/>
        <w:widowControl w:val="0"/>
        <w:numPr>
          <w:ilvl w:val="0"/>
          <w:numId w:val="3"/>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产出指标</w:t>
      </w:r>
    </w:p>
    <w:p w14:paraId="11A2AA7C">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560" w:leftChars="20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1）数量指标:</w:t>
      </w:r>
    </w:p>
    <w:p w14:paraId="1EC2FADB">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指标1：参会人员数量，预期指标值为“≥200人”；</w:t>
      </w:r>
    </w:p>
    <w:p w14:paraId="5E15DB6C">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指标2：会议举行天数，预期指标值为“≥2天半”；</w:t>
      </w:r>
    </w:p>
    <w:p w14:paraId="2F8392E1">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2）质量指标：</w:t>
      </w:r>
    </w:p>
    <w:p w14:paraId="5811C188">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指标1：代表参会率，预期指标值为“≥95%”；</w:t>
      </w:r>
    </w:p>
    <w:p w14:paraId="5B464629">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3）时效目标：</w:t>
      </w:r>
    </w:p>
    <w:p w14:paraId="63375F4B">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指标1：资金支付开始时间，预期指标值为“2024年1月”；</w:t>
      </w:r>
    </w:p>
    <w:p w14:paraId="157E9793">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指标2：资金支付完成时间，预期指标值为“2024年12月”；</w:t>
      </w:r>
    </w:p>
    <w:p w14:paraId="366D552C">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指标3：资金支付及时率，预期指标值为“=100%”；</w:t>
      </w:r>
    </w:p>
    <w:p w14:paraId="3494AEC7">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（2）成本指标： </w:t>
      </w:r>
    </w:p>
    <w:p w14:paraId="3131A98E">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1）经济成本指标</w:t>
      </w:r>
    </w:p>
    <w:p w14:paraId="0A551FFC">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指标1：2020年人大会议，预期指标值为“≤8.49万元”；</w:t>
      </w:r>
    </w:p>
    <w:p w14:paraId="5E4C3F9F">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指标2：2021年人大会议，预期指标值“≤17.62万元”；</w:t>
      </w:r>
    </w:p>
    <w:p w14:paraId="1249EF1C">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指标3：2024年人大会议，预期指标值“11.17万元”；</w:t>
      </w:r>
    </w:p>
    <w:p w14:paraId="76221511">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2）社会成本指标</w:t>
      </w:r>
    </w:p>
    <w:p w14:paraId="1990BB10">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该项目无社会成本指标；</w:t>
      </w:r>
    </w:p>
    <w:p w14:paraId="6BC8192A">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2）生态成本指标</w:t>
      </w:r>
    </w:p>
    <w:p w14:paraId="034B3C29">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该项目无生态成本指标；</w:t>
      </w:r>
    </w:p>
    <w:p w14:paraId="33D52F82">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FF0000"/>
          <w:sz w:val="24"/>
          <w:szCs w:val="24"/>
        </w:rPr>
      </w:pPr>
      <w:r>
        <w:rPr>
          <w:rFonts w:hint="eastAsia" w:ascii="宋体" w:hAnsi="宋体" w:eastAsia="宋体" w:cs="宋体"/>
          <w:kern w:val="2"/>
          <w:sz w:val="24"/>
          <w:szCs w:val="24"/>
          <w:lang w:val="en-US" w:eastAsia="zh-CN" w:bidi="ar-SA"/>
        </w:rPr>
        <w:t>（3）效益指标：</w:t>
      </w:r>
    </w:p>
    <w:p w14:paraId="1D91C702">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1）经济效益指标</w:t>
      </w:r>
    </w:p>
    <w:p w14:paraId="47F4F515">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该项目无经济效益指标；</w:t>
      </w:r>
    </w:p>
    <w:p w14:paraId="1AF30F2D">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2）社会效益指标：</w:t>
      </w:r>
    </w:p>
    <w:p w14:paraId="21DBDD35">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指标1：提升人民代表参政议政水平，预期指标值为“有效提升”；</w:t>
      </w:r>
    </w:p>
    <w:p w14:paraId="430E5F5A">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指标2: 提高人大代表素质，预期指标值为“持续提高”；</w:t>
      </w:r>
    </w:p>
    <w:p w14:paraId="4B1C8AA1">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3）生态效益指标：</w:t>
      </w:r>
    </w:p>
    <w:p w14:paraId="44D4DB4A">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该项目无生态效益指标；</w:t>
      </w:r>
    </w:p>
    <w:p w14:paraId="622BE43A">
      <w:pPr>
        <w:pStyle w:val="47"/>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kern w:val="2"/>
          <w:sz w:val="24"/>
          <w:szCs w:val="24"/>
          <w:lang w:val="en-US" w:eastAsia="zh-CN" w:bidi="ar-SA"/>
        </w:rPr>
        <w:t>（4）服务对象满意度指标：</w:t>
      </w:r>
    </w:p>
    <w:p w14:paraId="556C6756">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指标1：受益参会人员满意度，预期指标值为“≥95%”；</w:t>
      </w:r>
    </w:p>
    <w:p w14:paraId="45D340DF">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指标2：受益群众满意度，预期指标值“≥95%”；</w:t>
      </w:r>
    </w:p>
    <w:p w14:paraId="42913536">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p>
    <w:p w14:paraId="0D26E5A4">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二、绩效评价工作开展情况</w:t>
      </w:r>
      <w:bookmarkEnd w:id="3"/>
    </w:p>
    <w:p w14:paraId="7D8A4317">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4" w:name="_Toc68364661"/>
      <w:r>
        <w:rPr>
          <w:rFonts w:hint="eastAsia" w:ascii="宋体" w:hAnsi="宋体" w:eastAsia="宋体" w:cs="宋体"/>
          <w:sz w:val="24"/>
          <w:szCs w:val="24"/>
        </w:rPr>
        <w:t>（一）绩效评价目的、对象和范围</w:t>
      </w:r>
      <w:bookmarkEnd w:id="4"/>
    </w:p>
    <w:p w14:paraId="3535D709">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绩效评价目的</w:t>
      </w:r>
    </w:p>
    <w:p w14:paraId="24FBC49B">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次绩效评价遵循财政部《项目支出绩效评价管理办法》（财预〔2020〕10号）《自治区财政支出绩效评价管理暂行办法》（新财预〔2018〕189号）及自治区财政厅《关于印发〈自治区项目支出绩效目标设置指引〉的通知》（新财预〔2022〕42号）等相关政策文件与规定，对洛浦县十八届人民代表大会第五次会议经费项目开展本次部门项目支出绩效评价工作。全面了解洛浦县十八届人民代表大会第五次会议经项目预算编制合理性、资金使用合规性、项目管理的规范性、项目目标的实现情况、服务对象的满意度等项目实施前期、过程及实施效果情况。</w:t>
      </w:r>
    </w:p>
    <w:p w14:paraId="14505179">
      <w:pPr>
        <w:pStyle w:val="47"/>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通过部门项目支出绩效评价，</w:t>
      </w:r>
      <w:r>
        <w:rPr>
          <w:rFonts w:hint="eastAsia" w:ascii="宋体" w:hAnsi="宋体" w:eastAsia="宋体" w:cs="宋体"/>
          <w:sz w:val="24"/>
          <w:szCs w:val="24"/>
        </w:rPr>
        <w:t>客观地评判</w:t>
      </w:r>
      <w:r>
        <w:rPr>
          <w:rFonts w:hint="eastAsia" w:ascii="宋体" w:hAnsi="宋体" w:eastAsia="宋体" w:cs="宋体"/>
          <w:sz w:val="24"/>
          <w:szCs w:val="24"/>
          <w:lang w:val="en-US" w:eastAsia="zh-CN"/>
        </w:rPr>
        <w:t>洛浦县十八届人民代表大会会议经费项目</w:t>
      </w:r>
      <w:r>
        <w:rPr>
          <w:rFonts w:hint="eastAsia" w:ascii="宋体" w:hAnsi="宋体" w:eastAsia="宋体" w:cs="宋体"/>
          <w:sz w:val="24"/>
          <w:szCs w:val="24"/>
        </w:rPr>
        <w:t>的管理绩效，了解</w:t>
      </w:r>
      <w:r>
        <w:rPr>
          <w:rFonts w:hint="eastAsia" w:ascii="宋体" w:hAnsi="宋体" w:eastAsia="宋体" w:cs="宋体"/>
          <w:color w:val="auto"/>
          <w:sz w:val="24"/>
          <w:szCs w:val="24"/>
        </w:rPr>
        <w:t>和掌握</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洛浦县十八届人民代表大会第五次会议经费项目</w:t>
      </w:r>
      <w:r>
        <w:rPr>
          <w:rFonts w:hint="eastAsia" w:ascii="宋体" w:hAnsi="宋体" w:eastAsia="宋体" w:cs="宋体"/>
          <w:color w:val="auto"/>
          <w:sz w:val="24"/>
          <w:szCs w:val="24"/>
        </w:rPr>
        <w:t>资金的具体情况</w:t>
      </w:r>
      <w:r>
        <w:rPr>
          <w:rFonts w:hint="eastAsia" w:ascii="宋体" w:hAnsi="宋体" w:eastAsia="宋体" w:cs="宋体"/>
          <w:sz w:val="24"/>
          <w:szCs w:val="24"/>
        </w:rPr>
        <w:t>，评价该项目资金安排的科学性、合理性、规范性和资金的使用成效，及时总结项目管理经验，完善项目管理办法，提高项目管理水平和资金使用效益。促使项目承担单位</w:t>
      </w:r>
      <w:r>
        <w:rPr>
          <w:rFonts w:hint="eastAsia" w:ascii="宋体" w:hAnsi="宋体" w:eastAsia="宋体" w:cs="宋体"/>
          <w:sz w:val="24"/>
          <w:szCs w:val="24"/>
          <w:lang w:val="en-US" w:eastAsia="zh-CN"/>
        </w:rPr>
        <w:t>洛浦县人民代表大会常务委员会办公室</w:t>
      </w:r>
      <w:r>
        <w:rPr>
          <w:rFonts w:hint="eastAsia" w:ascii="宋体" w:hAnsi="宋体" w:eastAsia="宋体" w:cs="宋体"/>
          <w:sz w:val="24"/>
          <w:szCs w:val="24"/>
        </w:rPr>
        <w:t>根据绩效评价中发现的问题，认真加以整改，及时调整和完善单位的工作计划和绩效目标并加强</w:t>
      </w:r>
      <w:r>
        <w:rPr>
          <w:rFonts w:hint="eastAsia" w:ascii="宋体" w:hAnsi="宋体" w:eastAsia="宋体" w:cs="宋体"/>
          <w:sz w:val="24"/>
          <w:szCs w:val="24"/>
          <w:lang w:val="en-US" w:eastAsia="zh-CN"/>
        </w:rPr>
        <w:t>洛浦县十八届人民代表大会第五次会议经费项目</w:t>
      </w:r>
      <w:r>
        <w:rPr>
          <w:rFonts w:hint="eastAsia" w:ascii="宋体" w:hAnsi="宋体" w:eastAsia="宋体" w:cs="宋体"/>
          <w:sz w:val="24"/>
          <w:szCs w:val="24"/>
        </w:rPr>
        <w:t>管理，提高管理水平，同时为项目后续资金投入、分配和管理提供决策依据。同时将绩效评价结果与项目预算挂钩，为</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5</w:t>
      </w:r>
      <w:r>
        <w:rPr>
          <w:rFonts w:hint="eastAsia" w:ascii="宋体" w:hAnsi="宋体" w:eastAsia="宋体" w:cs="宋体"/>
          <w:sz w:val="24"/>
          <w:szCs w:val="24"/>
        </w:rPr>
        <w:t>年度</w:t>
      </w:r>
      <w:r>
        <w:rPr>
          <w:rFonts w:hint="eastAsia" w:ascii="宋体" w:hAnsi="宋体" w:eastAsia="宋体" w:cs="宋体"/>
          <w:sz w:val="24"/>
          <w:szCs w:val="24"/>
          <w:lang w:val="en-US" w:eastAsia="zh-CN"/>
        </w:rPr>
        <w:t>洛浦县十八届人民代表大会第六次会议经费项目</w:t>
      </w:r>
      <w:r>
        <w:rPr>
          <w:rFonts w:hint="eastAsia" w:ascii="宋体" w:hAnsi="宋体" w:eastAsia="宋体" w:cs="宋体"/>
          <w:sz w:val="24"/>
          <w:szCs w:val="24"/>
        </w:rPr>
        <w:t>的使用提供决策参考，进一步提高项目资金的使用效益及配置效率，实现财政资源配置效益与效率最大化。</w:t>
      </w:r>
    </w:p>
    <w:p w14:paraId="75D0E946">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69132942">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对</w:t>
      </w:r>
      <w:r>
        <w:rPr>
          <w:rFonts w:hint="eastAsia" w:ascii="宋体" w:hAnsi="宋体" w:eastAsia="宋体" w:cs="宋体"/>
          <w:sz w:val="24"/>
          <w:szCs w:val="24"/>
          <w:lang w:eastAsia="zh-CN"/>
        </w:rPr>
        <w:t>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洛浦县十八届人民代表大会会议经费项目</w:t>
      </w:r>
      <w:r>
        <w:rPr>
          <w:rFonts w:hint="eastAsia" w:ascii="宋体" w:hAnsi="宋体" w:eastAsia="宋体" w:cs="宋体"/>
          <w:sz w:val="24"/>
          <w:szCs w:val="24"/>
        </w:rPr>
        <w:t>从预算编制合理性、资金使用合规性、项目管理的规范性、实施情况、总体绩效目标、各项绩效指标完成情况以及预算执行情况进行科学性评价。</w:t>
      </w:r>
    </w:p>
    <w:p w14:paraId="44E80401">
      <w:pPr>
        <w:keepNext w:val="0"/>
        <w:keepLines w:val="0"/>
        <w:pageBreakBefore w:val="0"/>
        <w:widowControl w:val="0"/>
        <w:numPr>
          <w:ilvl w:val="0"/>
          <w:numId w:val="4"/>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b/>
          <w:bCs/>
          <w:sz w:val="24"/>
          <w:szCs w:val="24"/>
        </w:rPr>
      </w:pPr>
      <w:r>
        <w:rPr>
          <w:rFonts w:hint="eastAsia" w:ascii="宋体" w:hAnsi="宋体" w:eastAsia="宋体" w:cs="宋体"/>
          <w:b/>
          <w:bCs/>
          <w:sz w:val="24"/>
          <w:szCs w:val="24"/>
        </w:rPr>
        <w:t>绩效评价范围</w:t>
      </w:r>
    </w:p>
    <w:p w14:paraId="19A542D9">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本次绩效评价主要围绕</w:t>
      </w:r>
      <w:r>
        <w:rPr>
          <w:rFonts w:hint="eastAsia" w:ascii="宋体" w:hAnsi="宋体" w:eastAsia="宋体" w:cs="宋体"/>
          <w:sz w:val="24"/>
          <w:szCs w:val="24"/>
          <w:lang w:val="en-US" w:eastAsia="zh-CN"/>
        </w:rPr>
        <w:t>洛浦县十八届人民代表大会会议经费</w:t>
      </w:r>
      <w:r>
        <w:rPr>
          <w:rFonts w:hint="eastAsia" w:ascii="宋体" w:hAnsi="宋体" w:eastAsia="宋体" w:cs="宋体"/>
          <w:sz w:val="24"/>
          <w:szCs w:val="24"/>
        </w:rPr>
        <w:t>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sz w:val="24"/>
          <w:szCs w:val="24"/>
          <w:lang w:eastAsia="zh-CN"/>
        </w:rPr>
        <w:t>，</w:t>
      </w:r>
      <w:r>
        <w:rPr>
          <w:rFonts w:hint="eastAsia" w:ascii="宋体" w:hAnsi="宋体" w:eastAsia="宋体" w:cs="宋体"/>
          <w:sz w:val="24"/>
          <w:szCs w:val="24"/>
        </w:rPr>
        <w:t>覆盖预算资金支出项目的所有内容进行评价。</w:t>
      </w:r>
    </w:p>
    <w:p w14:paraId="339DB4DD">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560" w:leftChars="200"/>
        <w:contextualSpacing/>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CN"/>
        </w:rPr>
        <w:t>）</w:t>
      </w:r>
      <w:r>
        <w:rPr>
          <w:rFonts w:hint="eastAsia" w:ascii="宋体" w:hAnsi="宋体" w:eastAsia="宋体" w:cs="宋体"/>
          <w:b/>
          <w:bCs/>
          <w:sz w:val="24"/>
          <w:szCs w:val="24"/>
        </w:rPr>
        <w:t>绩效评价原则、评价指标体系、评价方法评价标准</w:t>
      </w:r>
      <w:bookmarkEnd w:id="5"/>
    </w:p>
    <w:p w14:paraId="1B994ECE">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Chars="0" w:firstLine="480" w:firstLineChars="200"/>
        <w:contextualSpacing/>
        <w:textAlignment w:val="auto"/>
        <w:rPr>
          <w:rFonts w:hint="eastAsia" w:ascii="宋体" w:hAnsi="宋体" w:eastAsia="宋体" w:cs="宋体"/>
          <w:b/>
          <w:bCs/>
          <w:sz w:val="24"/>
          <w:szCs w:val="24"/>
        </w:rPr>
      </w:pPr>
      <w:r>
        <w:rPr>
          <w:rFonts w:hint="eastAsia" w:ascii="宋体" w:hAnsi="宋体" w:eastAsia="宋体" w:cs="宋体"/>
          <w:b/>
          <w:bCs/>
          <w:sz w:val="24"/>
          <w:szCs w:val="24"/>
        </w:rPr>
        <w:t>1. 绩效评价原则</w:t>
      </w:r>
    </w:p>
    <w:p w14:paraId="3805D92D">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4FA31EA6">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（1）科学公正。绩效评价应当运用科学合理的方法，按照规范的程序，对项目绩效进行客观、公正的反映。</w:t>
      </w:r>
    </w:p>
    <w:p w14:paraId="7069B084">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81F4EE9">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（3）激励约束。绩效评价结果应与预算安排、政策调整、改进管理实质性挂钩，体现奖优罚劣和激励相容导向，有效要安排、低效要压减、无效要问责。</w:t>
      </w:r>
    </w:p>
    <w:p w14:paraId="4DB01648">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（4）公开透明。绩效评价结果应依法依规公开，并自觉接受社会监督。</w:t>
      </w:r>
    </w:p>
    <w:p w14:paraId="5DF48F15">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b/>
          <w:bCs/>
          <w:sz w:val="24"/>
          <w:szCs w:val="24"/>
        </w:rPr>
      </w:pPr>
      <w:r>
        <w:rPr>
          <w:rFonts w:hint="eastAsia" w:ascii="宋体" w:hAnsi="宋体" w:eastAsia="宋体" w:cs="宋体"/>
          <w:b/>
          <w:bCs/>
          <w:sz w:val="24"/>
          <w:szCs w:val="24"/>
        </w:rPr>
        <w:t>根据以上原则，绩效评价应遵循如下要求:</w:t>
      </w:r>
    </w:p>
    <w:p w14:paraId="6A32EE32">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（1）在数据采集时，采取客观数据，主管部门审查、社会中介组织复查，与问卷调查相结合的形式，以保证各项指标的真实性。</w:t>
      </w:r>
    </w:p>
    <w:p w14:paraId="1C190CB8">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sz w:val="24"/>
          <w:szCs w:val="24"/>
        </w:rPr>
      </w:pPr>
      <w:r>
        <w:rPr>
          <w:rFonts w:hint="eastAsia" w:ascii="宋体" w:hAnsi="宋体" w:eastAsia="宋体" w:cs="宋体"/>
          <w:sz w:val="24"/>
          <w:szCs w:val="24"/>
        </w:rPr>
        <w:t>（2）保证评价结果的真实性、公正性，提高评价报告的公信力。</w:t>
      </w:r>
    </w:p>
    <w:p w14:paraId="065FE7D6">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（3）绩</w:t>
      </w:r>
      <w:r>
        <w:rPr>
          <w:rFonts w:hint="eastAsia" w:ascii="宋体" w:hAnsi="宋体" w:eastAsia="宋体" w:cs="宋体"/>
          <w:sz w:val="24"/>
          <w:szCs w:val="24"/>
          <w:lang w:val="en-US" w:eastAsia="zh-CN"/>
        </w:rPr>
        <w:t>效</w:t>
      </w:r>
      <w:r>
        <w:rPr>
          <w:rFonts w:hint="eastAsia" w:ascii="宋体" w:hAnsi="宋体" w:eastAsia="宋体" w:cs="宋体"/>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宋体" w:hAnsi="宋体" w:eastAsia="宋体" w:cs="宋体"/>
          <w:sz w:val="24"/>
          <w:szCs w:val="24"/>
          <w:lang w:val="en-US" w:eastAsia="zh-CN"/>
        </w:rPr>
        <w:t xml:space="preserve">         </w:t>
      </w:r>
    </w:p>
    <w:p w14:paraId="73C380BA">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2. 绩效评价指标体系</w:t>
      </w:r>
    </w:p>
    <w:p w14:paraId="1ACB848A">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sz w:val="24"/>
          <w:szCs w:val="24"/>
        </w:rPr>
      </w:pPr>
      <w:r>
        <w:rPr>
          <w:rFonts w:hint="eastAsia" w:ascii="宋体" w:hAnsi="宋体" w:eastAsia="宋体" w:cs="宋体"/>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sz w:val="24"/>
          <w:szCs w:val="24"/>
          <w:lang w:val="en-US" w:eastAsia="zh-CN"/>
        </w:rPr>
        <w:t>2</w:t>
      </w:r>
      <w:r>
        <w:rPr>
          <w:rFonts w:hint="eastAsia" w:ascii="宋体" w:hAnsi="宋体" w:eastAsia="宋体" w:cs="宋体"/>
          <w:sz w:val="24"/>
          <w:szCs w:val="24"/>
        </w:rPr>
        <w:t>个二级指标。项目绩效评价体系</w:t>
      </w:r>
      <w:r>
        <w:rPr>
          <w:rFonts w:hint="eastAsia" w:ascii="宋体" w:hAnsi="宋体" w:eastAsia="宋体" w:cs="宋体"/>
          <w:sz w:val="24"/>
          <w:szCs w:val="24"/>
          <w:lang w:eastAsia="zh-CN"/>
        </w:rPr>
        <w:t>。</w:t>
      </w:r>
      <w:r>
        <w:rPr>
          <w:rFonts w:hint="eastAsia" w:ascii="宋体" w:hAnsi="宋体" w:eastAsia="宋体" w:cs="宋体"/>
          <w:sz w:val="24"/>
          <w:szCs w:val="24"/>
        </w:rPr>
        <w:t>详细指标体系见“附件1：项目支出绩效评价体系”。</w:t>
      </w:r>
    </w:p>
    <w:p w14:paraId="1BAA6DF4">
      <w:pPr>
        <w:pageBreakBefore w:val="0"/>
        <w:widowControl w:val="0"/>
        <w:numPr>
          <w:ilvl w:val="0"/>
          <w:numId w:val="4"/>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textAlignment w:val="auto"/>
        <w:rPr>
          <w:rFonts w:hint="eastAsia" w:ascii="宋体" w:hAnsi="宋体" w:eastAsia="宋体" w:cs="宋体"/>
          <w:b/>
          <w:bCs/>
          <w:sz w:val="24"/>
          <w:szCs w:val="24"/>
        </w:rPr>
      </w:pPr>
      <w:r>
        <w:rPr>
          <w:rFonts w:hint="eastAsia" w:ascii="宋体" w:hAnsi="宋体" w:eastAsia="宋体" w:cs="宋体"/>
          <w:b/>
          <w:bCs/>
          <w:sz w:val="24"/>
          <w:szCs w:val="24"/>
        </w:rPr>
        <w:t>绩效评价方法</w:t>
      </w:r>
    </w:p>
    <w:p w14:paraId="0476096E">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sz w:val="24"/>
          <w:szCs w:val="24"/>
        </w:rPr>
      </w:pPr>
      <w:r>
        <w:rPr>
          <w:rFonts w:hint="eastAsia" w:ascii="宋体" w:hAnsi="宋体" w:eastAsia="宋体" w:cs="宋体"/>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94E35A7">
      <w:pPr>
        <w:pageBreakBefore w:val="0"/>
        <w:widowControl w:val="0"/>
        <w:numPr>
          <w:ilvl w:val="0"/>
          <w:numId w:val="4"/>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b/>
          <w:bCs/>
          <w:sz w:val="24"/>
          <w:szCs w:val="24"/>
        </w:rPr>
      </w:pPr>
      <w:r>
        <w:rPr>
          <w:rFonts w:hint="eastAsia" w:ascii="宋体" w:hAnsi="宋体" w:eastAsia="宋体" w:cs="宋体"/>
          <w:b/>
          <w:bCs/>
          <w:sz w:val="24"/>
          <w:szCs w:val="24"/>
        </w:rPr>
        <w:t>绩效评价标准</w:t>
      </w:r>
      <w:bookmarkStart w:id="6" w:name="_Toc68364663"/>
    </w:p>
    <w:p w14:paraId="294799A0">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color w:val="auto"/>
          <w:sz w:val="24"/>
          <w:szCs w:val="24"/>
        </w:rPr>
      </w:pPr>
      <w:r>
        <w:rPr>
          <w:rFonts w:hint="eastAsia" w:ascii="宋体" w:hAnsi="宋体" w:eastAsia="宋体" w:cs="宋体"/>
          <w:sz w:val="24"/>
          <w:szCs w:val="24"/>
        </w:rPr>
        <w:t>绩效评价标准通常包括计划标准、行业标准、历史标准等，用于对绩效指标完成情况进行比较、分析、评价。本次</w:t>
      </w:r>
      <w:r>
        <w:rPr>
          <w:rFonts w:hint="eastAsia" w:ascii="宋体" w:hAnsi="宋体" w:eastAsia="宋体" w:cs="宋体"/>
          <w:color w:val="auto"/>
          <w:sz w:val="24"/>
          <w:szCs w:val="24"/>
        </w:rPr>
        <w:t>评价主要采用了计划标</w:t>
      </w:r>
      <w:r>
        <w:rPr>
          <w:rFonts w:hint="eastAsia" w:ascii="宋体" w:hAnsi="宋体" w:eastAsia="宋体" w:cs="宋体"/>
          <w:color w:val="auto"/>
          <w:sz w:val="24"/>
          <w:szCs w:val="24"/>
          <w:lang w:val="en-US" w:eastAsia="zh-CN"/>
        </w:rPr>
        <w:t>准</w:t>
      </w:r>
      <w:r>
        <w:rPr>
          <w:rFonts w:hint="eastAsia" w:ascii="宋体" w:hAnsi="宋体" w:eastAsia="宋体" w:cs="宋体"/>
          <w:color w:val="auto"/>
          <w:sz w:val="24"/>
          <w:szCs w:val="24"/>
        </w:rPr>
        <w:t>。</w:t>
      </w:r>
      <w:bookmarkStart w:id="7" w:name="_Toc31464"/>
      <w:bookmarkStart w:id="8" w:name="_Toc17882"/>
    </w:p>
    <w:p w14:paraId="36C7EA9E">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snapToGrid/>
        <w:spacing w:line="360" w:lineRule="auto"/>
        <w:ind w:left="0" w:leftChars="0" w:firstLine="480" w:firstLineChars="200"/>
        <w:contextualSpacing/>
        <w:jc w:val="left"/>
        <w:textAlignment w:val="auto"/>
        <w:rPr>
          <w:rFonts w:hint="eastAsia" w:ascii="宋体" w:hAnsi="宋体" w:eastAsia="宋体" w:cs="宋体"/>
          <w:sz w:val="24"/>
          <w:szCs w:val="24"/>
        </w:rPr>
      </w:pPr>
      <w:r>
        <w:rPr>
          <w:rFonts w:hint="eastAsia" w:ascii="宋体" w:hAnsi="宋体" w:eastAsia="宋体" w:cs="宋体"/>
          <w:b/>
          <w:bCs/>
          <w:sz w:val="24"/>
          <w:szCs w:val="24"/>
        </w:rPr>
        <w:t>计划标准：</w:t>
      </w:r>
      <w:r>
        <w:rPr>
          <w:rFonts w:hint="eastAsia" w:ascii="宋体" w:hAnsi="宋体" w:eastAsia="宋体" w:cs="宋体"/>
          <w:sz w:val="24"/>
          <w:szCs w:val="24"/>
        </w:rPr>
        <w:t>指以预先制定的目标、计划、预算、定额等作为评价标准。</w:t>
      </w:r>
      <w:bookmarkEnd w:id="7"/>
      <w:bookmarkEnd w:id="8"/>
      <w:bookmarkStart w:id="9" w:name="_Toc2318"/>
      <w:bookmarkEnd w:id="9"/>
      <w:bookmarkStart w:id="10" w:name="_Toc5633"/>
      <w:bookmarkEnd w:id="10"/>
    </w:p>
    <w:p w14:paraId="6797C541">
      <w:pPr>
        <w:pStyle w:val="5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sz w:val="24"/>
          <w:szCs w:val="24"/>
        </w:rPr>
      </w:pPr>
      <w:r>
        <w:rPr>
          <w:rFonts w:hint="eastAsia" w:ascii="宋体" w:hAnsi="宋体" w:eastAsia="宋体" w:cs="宋体"/>
          <w:sz w:val="24"/>
          <w:szCs w:val="24"/>
        </w:rPr>
        <w:t>（三）绩效评价工作过程</w:t>
      </w:r>
      <w:bookmarkEnd w:id="6"/>
    </w:p>
    <w:p w14:paraId="65D1BB14">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bookmarkStart w:id="11" w:name="_Toc68364664"/>
      <w:r>
        <w:rPr>
          <w:rFonts w:hint="eastAsia" w:ascii="宋体" w:hAnsi="宋体" w:eastAsia="宋体" w:cs="宋体"/>
          <w:bCs w:val="0"/>
          <w:kern w:val="2"/>
          <w:sz w:val="24"/>
          <w:szCs w:val="24"/>
          <w:lang w:val="en-US" w:eastAsia="zh-CN" w:bidi="ar-SA"/>
        </w:rPr>
        <w:t>1.前期准备</w:t>
      </w:r>
    </w:p>
    <w:p w14:paraId="273C429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098736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贾奎（评价小组组长）：主要负责组织安排绩效评价工作;</w:t>
      </w:r>
    </w:p>
    <w:p w14:paraId="0CFF0F2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盛旭东（评价小组组员）：主要负责资料整理及信息汇总工作;</w:t>
      </w:r>
    </w:p>
    <w:p w14:paraId="750D7C3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Cs w:val="0"/>
          <w:kern w:val="2"/>
          <w:sz w:val="24"/>
          <w:szCs w:val="24"/>
          <w:lang w:val="en-US" w:eastAsia="zh-CN" w:bidi="ar-SA"/>
        </w:rPr>
        <w:t>努尔古丽（评价小组组员）：主要负责出具项目绩效评价报告。</w:t>
      </w:r>
    </w:p>
    <w:p w14:paraId="2F2C623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2.组织实施</w:t>
      </w:r>
    </w:p>
    <w:p w14:paraId="159249B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2025年2月1日-2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0DF3B9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3.分析评价</w:t>
      </w:r>
    </w:p>
    <w:p w14:paraId="35F67AA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2025年2月16日-2月28日，评价小组按照绩效评价的原则和规范，对取得的资料进行审查核实，对采集的数据进行分析，按照绩效评价指标评分表逐项进行打分、分析、汇总各方评价结果。</w:t>
      </w:r>
    </w:p>
    <w:p w14:paraId="302BF7D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4.撰写与提交评价报告</w:t>
      </w:r>
    </w:p>
    <w:p w14:paraId="2CBE7B1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2025年3月1日-3月31日评价小组撰写绩效评价报告，按照新疆维吾尔自治区财政绩效管理信息系统绩效评价模块中统一格式和文本框架撰写绩效评价报告并提交审核。</w:t>
      </w:r>
    </w:p>
    <w:p w14:paraId="2B95F2D8">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5.问题整改</w:t>
      </w:r>
    </w:p>
    <w:p w14:paraId="197CE220">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DA88729">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6.档案整理</w:t>
      </w:r>
    </w:p>
    <w:p w14:paraId="6056C07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建立和落实档案管理制度，将项目相关资料存档，包括但不限于：评价项目基本情况和相关文件、评价实施方案、项目支付资料等相关档案。</w:t>
      </w:r>
    </w:p>
    <w:p w14:paraId="4EC4CADE">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三、综合评价情况及评价结论</w:t>
      </w:r>
      <w:bookmarkEnd w:id="11"/>
    </w:p>
    <w:p w14:paraId="3CABAEBB">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2" w:name="_Toc68364665"/>
      <w:r>
        <w:rPr>
          <w:rFonts w:hint="eastAsia" w:ascii="宋体" w:hAnsi="宋体" w:eastAsia="宋体" w:cs="宋体"/>
          <w:sz w:val="24"/>
          <w:szCs w:val="24"/>
        </w:rPr>
        <w:t>（一）综合评价情况</w:t>
      </w:r>
      <w:bookmarkEnd w:id="12"/>
    </w:p>
    <w:p w14:paraId="5FC8887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bookmarkStart w:id="13" w:name="_Toc68364666"/>
      <w:r>
        <w:rPr>
          <w:rFonts w:hint="eastAsia" w:ascii="宋体" w:hAnsi="宋体" w:eastAsia="宋体" w:cs="宋体"/>
          <w:bCs w:val="0"/>
          <w:kern w:val="2"/>
          <w:sz w:val="24"/>
          <w:szCs w:val="24"/>
          <w:lang w:val="en-US" w:eastAsia="zh-CN" w:bidi="ar-SA"/>
        </w:rPr>
        <w:t>通过本项目的实施，有效提升人民代表参政议政水平，持续提高人大代表素质。项目实施主要通过项目决策、项目过程、项目产出以及项目效益等方面进行评价，其中：</w:t>
      </w:r>
    </w:p>
    <w:p w14:paraId="01000C06">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 xml:space="preserve">项目决策：该项目主要通过洛财纪字﹝2024﹞1号文件立项，项目实施符合文件要求，项目立项依据充分，立项程序规范。 </w:t>
      </w:r>
    </w:p>
    <w:p w14:paraId="2521004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FF0000"/>
          <w:sz w:val="24"/>
          <w:szCs w:val="24"/>
          <w:lang w:val="en-US" w:eastAsia="zh-CN"/>
        </w:rPr>
      </w:pPr>
      <w:r>
        <w:rPr>
          <w:rFonts w:hint="eastAsia" w:ascii="宋体" w:hAnsi="宋体" w:eastAsia="宋体" w:cs="宋体"/>
          <w:bCs w:val="0"/>
          <w:kern w:val="2"/>
          <w:sz w:val="24"/>
          <w:szCs w:val="24"/>
          <w:lang w:val="en-US" w:eastAsia="zh-CN" w:bidi="ar-SA"/>
        </w:rPr>
        <w:t>项目过程：洛浦县十八届人民代表大会会议经费项目预算安排37.28万元，实际支出37.28万元，预算执行率100%。项目资金使用合规，项目财务管理制度健全，财务监控到位，所有资金支付均按照国库集中支付制度严格执行，现有项目管理制度执行情况良好。</w:t>
      </w:r>
    </w:p>
    <w:p w14:paraId="187EF99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bCs w:val="0"/>
          <w:kern w:val="2"/>
          <w:sz w:val="24"/>
          <w:szCs w:val="24"/>
          <w:lang w:val="en-US" w:eastAsia="zh-CN" w:bidi="ar-SA"/>
        </w:rPr>
        <w:t>项目产出：</w:t>
      </w:r>
      <w:r>
        <w:rPr>
          <w:rFonts w:hint="eastAsia" w:ascii="宋体" w:hAnsi="宋体" w:eastAsia="宋体" w:cs="宋体"/>
          <w:sz w:val="24"/>
          <w:szCs w:val="24"/>
          <w:highlight w:val="none"/>
        </w:rPr>
        <w:t>项目实施产生的数量行保障参会人员数量</w:t>
      </w:r>
      <w:r>
        <w:rPr>
          <w:rFonts w:hint="eastAsia" w:ascii="宋体" w:hAnsi="宋体" w:eastAsia="宋体" w:cs="宋体"/>
          <w:sz w:val="24"/>
          <w:szCs w:val="24"/>
          <w:highlight w:val="none"/>
          <w:lang w:val="en-US" w:eastAsia="zh-CN"/>
        </w:rPr>
        <w:t>200人，会议举行天数5天，</w:t>
      </w:r>
      <w:r>
        <w:rPr>
          <w:rFonts w:hint="eastAsia" w:ascii="宋体" w:hAnsi="宋体" w:eastAsia="宋体" w:cs="宋体"/>
          <w:sz w:val="24"/>
          <w:szCs w:val="24"/>
          <w:highlight w:val="none"/>
        </w:rPr>
        <w:t>代表参会率</w:t>
      </w:r>
      <w:r>
        <w:rPr>
          <w:rFonts w:hint="eastAsia" w:ascii="宋体" w:hAnsi="宋体" w:eastAsia="宋体" w:cs="宋体"/>
          <w:sz w:val="24"/>
          <w:szCs w:val="24"/>
          <w:highlight w:val="none"/>
          <w:lang w:val="en-US" w:eastAsia="zh-CN"/>
        </w:rPr>
        <w:t>100%，2024年12月完成该项目，资金支付及时率100%，全年支出2020年人大会议8.49万元、2021年人大会议17.62万元、2024年人大会议11.17万元。</w:t>
      </w:r>
    </w:p>
    <w:p w14:paraId="235775B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项目效益：通过本项目的实施，有效提升人民代表参政议政水平，持续提高人大代表素质。</w:t>
      </w:r>
    </w:p>
    <w:p w14:paraId="6EC4D6EF">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（二）综合评价结论</w:t>
      </w:r>
    </w:p>
    <w:p w14:paraId="4DFD60B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Cs w:val="0"/>
          <w:kern w:val="2"/>
          <w:sz w:val="24"/>
          <w:szCs w:val="24"/>
          <w:lang w:val="en-US" w:eastAsia="zh-CN" w:bidi="ar-SA"/>
        </w:rPr>
        <w:t>依据《中共中央国务院关于全面实施预算绩效管理的意见》《项目支出绩效评价管理办法》（财预〔2020〕10号）文件，绩效评价总分设置为100分，划分为四档：90（含）-100分为“优”、80（含）-90分为“良”、70（含）-80分为“中”、70分以下为“差”。经对洛浦县十八届人民代表大会会议经费项目进行客观评价，最终评分结果：评价总分100分，绩效等级为“优秀”。</w:t>
      </w:r>
      <w:bookmarkEnd w:id="13"/>
      <w:bookmarkStart w:id="14" w:name="_Toc68364667"/>
    </w:p>
    <w:p w14:paraId="05EEF8A4">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四、绩效评价指标分析</w:t>
      </w:r>
      <w:bookmarkEnd w:id="14"/>
    </w:p>
    <w:p w14:paraId="02FCD0E0">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5" w:name="_Toc68364668"/>
      <w:r>
        <w:rPr>
          <w:rFonts w:hint="eastAsia" w:ascii="宋体" w:hAnsi="宋体" w:eastAsia="宋体" w:cs="宋体"/>
          <w:sz w:val="24"/>
          <w:szCs w:val="24"/>
        </w:rPr>
        <w:t>（一）项目决策情况</w:t>
      </w:r>
    </w:p>
    <w:p w14:paraId="3ED514B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项目决策类指标包括项目立项、绩效目标和资金投入三方面的内容，由6个三级指标构成，权重分为20分，实际得分20分，得分率为100%。</w:t>
      </w:r>
    </w:p>
    <w:p w14:paraId="33C65162">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立项依据充分性：</w:t>
      </w:r>
    </w:p>
    <w:p w14:paraId="5733E0E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val="0"/>
          <w:kern w:val="2"/>
          <w:sz w:val="24"/>
          <w:szCs w:val="24"/>
          <w:lang w:val="en-US" w:bidi="ar-SA"/>
        </w:rPr>
      </w:pPr>
      <w:r>
        <w:rPr>
          <w:rFonts w:hint="eastAsia" w:ascii="宋体" w:hAnsi="宋体" w:eastAsia="宋体" w:cs="宋体"/>
          <w:bCs w:val="0"/>
          <w:kern w:val="2"/>
          <w:sz w:val="24"/>
          <w:szCs w:val="24"/>
          <w:lang w:val="en-US" w:eastAsia="zh-CN" w:bidi="ar-SA"/>
        </w:rPr>
        <w:t>本</w:t>
      </w:r>
      <w:r>
        <w:rPr>
          <w:rFonts w:hint="eastAsia" w:ascii="宋体" w:hAnsi="宋体" w:eastAsia="宋体" w:cs="宋体"/>
          <w:bCs w:val="0"/>
          <w:kern w:val="2"/>
          <w:sz w:val="24"/>
          <w:szCs w:val="24"/>
          <w:lang w:val="en-US" w:bidi="ar-SA"/>
        </w:rPr>
        <w:t>项目立项符合</w:t>
      </w:r>
      <w:r>
        <w:rPr>
          <w:rFonts w:hint="eastAsia" w:ascii="宋体" w:hAnsi="宋体" w:eastAsia="宋体" w:cs="宋体"/>
          <w:bCs w:val="0"/>
          <w:kern w:val="2"/>
          <w:sz w:val="24"/>
          <w:szCs w:val="24"/>
          <w:lang w:val="en-US" w:eastAsia="zh-CN" w:bidi="ar-SA"/>
        </w:rPr>
        <w:t>中华人民共和国宪法以及相关的人民代表大会制度；本项目</w:t>
      </w:r>
      <w:r>
        <w:rPr>
          <w:rFonts w:hint="eastAsia" w:ascii="宋体" w:hAnsi="宋体" w:eastAsia="宋体" w:cs="宋体"/>
          <w:bCs w:val="0"/>
          <w:kern w:val="2"/>
          <w:sz w:val="24"/>
          <w:szCs w:val="24"/>
          <w:lang w:val="en-US" w:bidi="ar-SA"/>
        </w:rPr>
        <w:t>立项符合《中华人民共和国宪法》中</w:t>
      </w:r>
      <w:r>
        <w:rPr>
          <w:rFonts w:hint="eastAsia" w:ascii="宋体" w:hAnsi="宋体" w:eastAsia="宋体" w:cs="宋体"/>
          <w:bCs w:val="0"/>
          <w:kern w:val="2"/>
          <w:sz w:val="24"/>
          <w:szCs w:val="24"/>
          <w:lang w:val="en-US" w:eastAsia="zh-CN" w:bidi="ar-SA"/>
        </w:rPr>
        <w:t>：“全国人民代表大会每节任期五年，每年举行一次，由全国人民代表大会常务委员会召集”</w:t>
      </w:r>
      <w:r>
        <w:rPr>
          <w:rFonts w:hint="eastAsia" w:ascii="宋体" w:hAnsi="宋体" w:eastAsia="宋体" w:cs="宋体"/>
          <w:bCs w:val="0"/>
          <w:kern w:val="2"/>
          <w:sz w:val="24"/>
          <w:szCs w:val="24"/>
          <w:lang w:val="en-US" w:bidi="ar-SA"/>
        </w:rPr>
        <w:t>内容，符合行业发展规划和政策要求</w:t>
      </w:r>
      <w:r>
        <w:rPr>
          <w:rFonts w:hint="eastAsia" w:ascii="宋体" w:hAnsi="宋体" w:eastAsia="宋体" w:cs="宋体"/>
          <w:bCs w:val="0"/>
          <w:kern w:val="2"/>
          <w:sz w:val="24"/>
          <w:szCs w:val="24"/>
          <w:lang w:val="en-US" w:eastAsia="zh-CN" w:bidi="ar-SA"/>
        </w:rPr>
        <w:t>；本</w:t>
      </w:r>
      <w:r>
        <w:rPr>
          <w:rFonts w:hint="eastAsia" w:ascii="宋体" w:hAnsi="宋体" w:eastAsia="宋体" w:cs="宋体"/>
          <w:bCs w:val="0"/>
          <w:kern w:val="2"/>
          <w:sz w:val="24"/>
          <w:szCs w:val="24"/>
          <w:lang w:val="en-US" w:bidi="ar-SA"/>
        </w:rPr>
        <w:t>项目立项符合《</w:t>
      </w:r>
      <w:r>
        <w:rPr>
          <w:rFonts w:hint="eastAsia" w:ascii="宋体" w:hAnsi="宋体" w:eastAsia="宋体" w:cs="宋体"/>
          <w:bCs w:val="0"/>
          <w:kern w:val="2"/>
          <w:sz w:val="24"/>
          <w:szCs w:val="24"/>
          <w:lang w:val="en-US" w:eastAsia="zh-CN" w:bidi="ar-SA"/>
        </w:rPr>
        <w:t>洛浦县人大常委会</w:t>
      </w:r>
      <w:r>
        <w:rPr>
          <w:rFonts w:hint="eastAsia" w:ascii="宋体" w:hAnsi="宋体" w:eastAsia="宋体" w:cs="宋体"/>
          <w:bCs w:val="0"/>
          <w:kern w:val="2"/>
          <w:sz w:val="24"/>
          <w:szCs w:val="24"/>
          <w:lang w:val="en-US" w:bidi="ar-SA"/>
        </w:rPr>
        <w:t>配置内设机构和人员编制规定》中职责范围</w:t>
      </w:r>
      <w:r>
        <w:rPr>
          <w:rFonts w:hint="eastAsia" w:ascii="宋体" w:hAnsi="宋体" w:eastAsia="宋体" w:cs="宋体"/>
          <w:bCs w:val="0"/>
          <w:kern w:val="2"/>
          <w:sz w:val="24"/>
          <w:szCs w:val="24"/>
          <w:lang w:val="en-US" w:eastAsia="zh-CN" w:bidi="ar-SA"/>
        </w:rPr>
        <w:t>中的“人代会”</w:t>
      </w:r>
      <w:r>
        <w:rPr>
          <w:rFonts w:hint="eastAsia" w:ascii="宋体" w:hAnsi="宋体" w:eastAsia="宋体" w:cs="宋体"/>
          <w:bCs w:val="0"/>
          <w:kern w:val="2"/>
          <w:sz w:val="24"/>
          <w:szCs w:val="24"/>
          <w:lang w:val="en-US" w:bidi="ar-SA"/>
        </w:rPr>
        <w:t>，属于</w:t>
      </w:r>
      <w:r>
        <w:rPr>
          <w:rFonts w:hint="eastAsia" w:ascii="宋体" w:hAnsi="宋体" w:eastAsia="宋体" w:cs="宋体"/>
          <w:bCs w:val="0"/>
          <w:kern w:val="2"/>
          <w:sz w:val="24"/>
          <w:szCs w:val="24"/>
          <w:lang w:val="en-US" w:eastAsia="zh-CN" w:bidi="ar-SA"/>
        </w:rPr>
        <w:t>我单位</w:t>
      </w:r>
      <w:r>
        <w:rPr>
          <w:rFonts w:hint="eastAsia" w:ascii="宋体" w:hAnsi="宋体" w:eastAsia="宋体" w:cs="宋体"/>
          <w:bCs w:val="0"/>
          <w:kern w:val="2"/>
          <w:sz w:val="24"/>
          <w:szCs w:val="24"/>
          <w:lang w:val="en-US" w:bidi="ar-SA"/>
        </w:rPr>
        <w:t>履职所需</w:t>
      </w:r>
      <w:r>
        <w:rPr>
          <w:rFonts w:hint="eastAsia" w:ascii="宋体" w:hAnsi="宋体" w:eastAsia="宋体" w:cs="宋体"/>
          <w:bCs w:val="0"/>
          <w:kern w:val="2"/>
          <w:sz w:val="24"/>
          <w:szCs w:val="24"/>
          <w:lang w:val="en-US" w:eastAsia="zh-CN" w:bidi="ar-SA"/>
        </w:rPr>
        <w:t>；</w:t>
      </w:r>
      <w:r>
        <w:rPr>
          <w:rFonts w:hint="eastAsia" w:ascii="宋体" w:hAnsi="宋体" w:eastAsia="宋体" w:cs="宋体"/>
          <w:bCs w:val="0"/>
          <w:kern w:val="2"/>
          <w:sz w:val="24"/>
          <w:szCs w:val="24"/>
          <w:lang w:val="en-US" w:bidi="ar-SA"/>
        </w:rPr>
        <w:t>根据《财政资金直接支付申请书》</w:t>
      </w:r>
      <w:r>
        <w:rPr>
          <w:rFonts w:hint="eastAsia" w:ascii="宋体" w:hAnsi="宋体" w:eastAsia="宋体" w:cs="宋体"/>
          <w:bCs w:val="0"/>
          <w:kern w:val="2"/>
          <w:sz w:val="24"/>
          <w:szCs w:val="24"/>
          <w:lang w:val="en-US" w:eastAsia="zh-CN" w:bidi="ar-SA"/>
        </w:rPr>
        <w:t>，本</w:t>
      </w:r>
      <w:r>
        <w:rPr>
          <w:rFonts w:hint="eastAsia" w:ascii="宋体" w:hAnsi="宋体" w:eastAsia="宋体" w:cs="宋体"/>
          <w:bCs w:val="0"/>
          <w:kern w:val="2"/>
          <w:sz w:val="24"/>
          <w:szCs w:val="24"/>
          <w:lang w:val="en-US" w:bidi="ar-SA"/>
        </w:rPr>
        <w:t>项目资金性质为“</w:t>
      </w:r>
      <w:r>
        <w:rPr>
          <w:rFonts w:hint="eastAsia" w:ascii="宋体" w:hAnsi="宋体" w:eastAsia="宋体" w:cs="宋体"/>
          <w:bCs w:val="0"/>
          <w:kern w:val="2"/>
          <w:sz w:val="24"/>
          <w:szCs w:val="24"/>
          <w:lang w:val="en-US" w:eastAsia="zh-CN" w:bidi="ar-SA"/>
        </w:rPr>
        <w:t>地方</w:t>
      </w:r>
      <w:r>
        <w:rPr>
          <w:rFonts w:hint="eastAsia" w:ascii="宋体" w:hAnsi="宋体" w:eastAsia="宋体" w:cs="宋体"/>
          <w:bCs w:val="0"/>
          <w:kern w:val="2"/>
          <w:sz w:val="24"/>
          <w:szCs w:val="24"/>
          <w:lang w:val="en-US" w:bidi="ar-SA"/>
        </w:rPr>
        <w:t>财政预算”功能分类为“</w:t>
      </w:r>
      <w:r>
        <w:rPr>
          <w:rFonts w:hint="eastAsia" w:ascii="宋体" w:hAnsi="宋体" w:eastAsia="宋体" w:cs="宋体"/>
          <w:bCs w:val="0"/>
          <w:kern w:val="2"/>
          <w:sz w:val="24"/>
          <w:szCs w:val="24"/>
          <w:lang w:val="en-US" w:eastAsia="zh-CN" w:bidi="ar-SA"/>
        </w:rPr>
        <w:t>2010104</w:t>
      </w:r>
      <w:r>
        <w:rPr>
          <w:rFonts w:hint="eastAsia" w:ascii="宋体" w:hAnsi="宋体" w:eastAsia="宋体" w:cs="宋体"/>
          <w:bCs w:val="0"/>
          <w:kern w:val="2"/>
          <w:sz w:val="24"/>
          <w:szCs w:val="24"/>
          <w:lang w:val="en-US" w:bidi="ar-SA"/>
        </w:rPr>
        <w:t>”经济分类为“</w:t>
      </w:r>
      <w:r>
        <w:rPr>
          <w:rFonts w:hint="eastAsia" w:ascii="宋体" w:hAnsi="宋体" w:eastAsia="宋体" w:cs="宋体"/>
          <w:bCs w:val="0"/>
          <w:kern w:val="2"/>
          <w:sz w:val="24"/>
          <w:szCs w:val="24"/>
          <w:lang w:val="en-US" w:eastAsia="zh-CN" w:bidi="ar-SA"/>
        </w:rPr>
        <w:t>50202</w:t>
      </w:r>
      <w:r>
        <w:rPr>
          <w:rFonts w:hint="eastAsia" w:ascii="宋体" w:hAnsi="宋体" w:eastAsia="宋体" w:cs="宋体"/>
          <w:bCs w:val="0"/>
          <w:kern w:val="2"/>
          <w:sz w:val="24"/>
          <w:szCs w:val="24"/>
          <w:lang w:val="en-US" w:bidi="ar-SA"/>
        </w:rPr>
        <w:t>”属于</w:t>
      </w:r>
      <w:r>
        <w:rPr>
          <w:rFonts w:hint="eastAsia" w:ascii="宋体" w:hAnsi="宋体" w:eastAsia="宋体" w:cs="宋体"/>
          <w:bCs w:val="0"/>
          <w:kern w:val="2"/>
          <w:sz w:val="24"/>
          <w:szCs w:val="24"/>
          <w:lang w:val="en-US" w:eastAsia="zh-CN" w:bidi="ar-SA"/>
        </w:rPr>
        <w:t>地方</w:t>
      </w:r>
      <w:r>
        <w:rPr>
          <w:rFonts w:hint="eastAsia" w:ascii="宋体" w:hAnsi="宋体" w:eastAsia="宋体" w:cs="宋体"/>
          <w:bCs w:val="0"/>
          <w:kern w:val="2"/>
          <w:sz w:val="24"/>
          <w:szCs w:val="24"/>
          <w:lang w:val="en-US" w:bidi="ar-SA"/>
        </w:rPr>
        <w:t>财政支持范围，符合中央、地方事权支出责任划分原则</w:t>
      </w:r>
      <w:r>
        <w:rPr>
          <w:rFonts w:hint="eastAsia" w:ascii="宋体" w:hAnsi="宋体" w:eastAsia="宋体" w:cs="宋体"/>
          <w:bCs w:val="0"/>
          <w:kern w:val="2"/>
          <w:sz w:val="24"/>
          <w:szCs w:val="24"/>
          <w:lang w:val="en-US" w:eastAsia="zh-CN" w:bidi="ar-SA"/>
        </w:rPr>
        <w:t>；经检查</w:t>
      </w:r>
      <w:r>
        <w:rPr>
          <w:rFonts w:hint="eastAsia" w:ascii="宋体" w:hAnsi="宋体" w:eastAsia="宋体" w:cs="宋体"/>
          <w:bCs w:val="0"/>
          <w:kern w:val="2"/>
          <w:sz w:val="24"/>
          <w:szCs w:val="24"/>
          <w:lang w:val="en-US" w:bidi="ar-SA"/>
        </w:rPr>
        <w:t>我单位财政应用平台指标，</w:t>
      </w:r>
      <w:r>
        <w:rPr>
          <w:rFonts w:hint="eastAsia" w:ascii="宋体" w:hAnsi="宋体" w:eastAsia="宋体" w:cs="宋体"/>
          <w:bCs w:val="0"/>
          <w:kern w:val="2"/>
          <w:sz w:val="24"/>
          <w:szCs w:val="24"/>
          <w:lang w:val="en-US" w:eastAsia="zh-CN" w:bidi="ar-SA"/>
        </w:rPr>
        <w:t>本</w:t>
      </w:r>
      <w:r>
        <w:rPr>
          <w:rFonts w:hint="eastAsia" w:ascii="宋体" w:hAnsi="宋体" w:eastAsia="宋体" w:cs="宋体"/>
          <w:bCs w:val="0"/>
          <w:kern w:val="2"/>
          <w:sz w:val="24"/>
          <w:szCs w:val="24"/>
          <w:lang w:val="en-US" w:bidi="ar-SA"/>
        </w:rPr>
        <w:t>项目不存在重复。</w:t>
      </w:r>
    </w:p>
    <w:p w14:paraId="1C55FC2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val="0"/>
          <w:kern w:val="2"/>
          <w:sz w:val="24"/>
          <w:szCs w:val="24"/>
          <w:lang w:val="en-US" w:bidi="ar-SA"/>
        </w:rPr>
      </w:pPr>
      <w:r>
        <w:rPr>
          <w:rFonts w:hint="eastAsia" w:ascii="宋体" w:hAnsi="宋体" w:eastAsia="宋体" w:cs="宋体"/>
          <w:sz w:val="24"/>
          <w:szCs w:val="24"/>
          <w:highlight w:val="none"/>
        </w:rPr>
        <w:t>综上所述，</w:t>
      </w:r>
      <w:r>
        <w:rPr>
          <w:rFonts w:hint="eastAsia" w:ascii="宋体" w:hAnsi="宋体" w:eastAsia="宋体" w:cs="宋体"/>
          <w:color w:val="000000"/>
          <w:sz w:val="24"/>
          <w:szCs w:val="24"/>
          <w:highlight w:val="none"/>
        </w:rPr>
        <w:t>本指标满分为</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r>
        <w:rPr>
          <w:rFonts w:hint="eastAsia" w:ascii="宋体" w:hAnsi="宋体" w:eastAsia="宋体" w:cs="宋体"/>
          <w:color w:val="auto"/>
          <w:sz w:val="24"/>
          <w:szCs w:val="24"/>
          <w:highlight w:val="none"/>
        </w:rPr>
        <w:t>，根据评分标准得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06349EA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（2）立项程序规范性：</w:t>
      </w:r>
    </w:p>
    <w:p w14:paraId="16042EF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本项目立项过程中产生的文件均符合相关要求。本项目为特定目标类项目，属于经常性项目，项目预算金额为37.28万元，不涉及事前绩效评估和风险评估，已委托本单位完成本项目可行性研究报告的编制。</w:t>
      </w:r>
    </w:p>
    <w:p w14:paraId="75E3514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分，本项目立项程序合规。</w:t>
      </w:r>
    </w:p>
    <w:p w14:paraId="2B4B780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（3）绩效目标合理性</w:t>
      </w:r>
      <w:r>
        <w:rPr>
          <w:rFonts w:hint="eastAsia" w:ascii="宋体" w:hAnsi="宋体" w:eastAsia="宋体" w:cs="宋体"/>
          <w:sz w:val="24"/>
          <w:szCs w:val="24"/>
        </w:rPr>
        <w:t>：</w:t>
      </w:r>
    </w:p>
    <w:p w14:paraId="22BFC9A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①该项目已设置年度绩效目标，具体内容为“根据洛财纪字[2024]1号文件实施此项目，主要内容为：保障参会人员200人，会议举行2天半。</w:t>
      </w:r>
    </w:p>
    <w:p w14:paraId="23B76BB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②该项目实际工作内容为：保障参会人员200人，会议举行5天。绩效目标与实际工作内容一致，两者具有相关性。</w:t>
      </w:r>
    </w:p>
    <w:p w14:paraId="57A1982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③该项目按照绩效目标完成数量指标、质量指标、时效指标、成本指标，完成了保障参会人员200人，会议举行5天。有效提升人民代表参政议政水平，持续提高人大代表素质。预期产出效益和效果是否符合正常的业绩水平。</w:t>
      </w:r>
    </w:p>
    <w:p w14:paraId="140B14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④该项目批复的预算金额为37.28万元，《项目支出绩效目标表》中预算金额为37.28万元，预算确定的项目资金与预算确定的项目投资额相匹配。</w:t>
      </w:r>
    </w:p>
    <w:p w14:paraId="2372589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⑤本单位制定了实施方案，明确了总体思路及目标、并对任务进行了详细分解，对目标进行了细化，根据评分标准，该指标不扣分，得3分。</w:t>
      </w:r>
    </w:p>
    <w:p w14:paraId="7E28A1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绩效指标明确性</w:t>
      </w:r>
      <w:r>
        <w:rPr>
          <w:rFonts w:hint="eastAsia" w:ascii="宋体" w:hAnsi="宋体" w:eastAsia="宋体" w:cs="宋体"/>
          <w:b/>
          <w:bCs/>
          <w:color w:val="auto"/>
          <w:sz w:val="24"/>
          <w:szCs w:val="24"/>
          <w:highlight w:val="none"/>
          <w:lang w:eastAsia="zh-CN"/>
        </w:rPr>
        <w:t>：</w:t>
      </w:r>
    </w:p>
    <w:p w14:paraId="20D1855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经检查我单位年初设置的《项目支出绩效目标表》，得出如下结论：本项目已将年度绩效目标进行细化为绩效指标体系，共设置一级指标4个，二级指标6个，三级指标13个，定量指标11个，定性指标2个，指标量化率为84.62%，量化率达70.0%以上，将项目绩效目标细化分解为具体的绩效指标。</w:t>
      </w:r>
    </w:p>
    <w:p w14:paraId="04636F7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该《项目绩效目标申报表》中，数量指标指标值为保障参会人员数量、会议举行天数，三级指标的年度指标值与年度绩效目标中任务数一致，已设置时效指标“项目开始时间、项目完成时间、资金支付及时率”。已设置的绩效目标具备明确性、可衡量性、可实现性、相关性、时限性。根据评分标准，该指标不扣分，得2分。</w:t>
      </w:r>
    </w:p>
    <w:p w14:paraId="4B2F4D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（5）预算编制科学性：</w:t>
      </w:r>
    </w:p>
    <w:p w14:paraId="49B6A46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本项目预算编制较科学且经过论证；</w:t>
      </w:r>
    </w:p>
    <w:p w14:paraId="563C5F5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预算申请内容为洛浦县十八届人民代表大会第五次会议经费，项目实际内容为洛浦县十八届人民代表大会第五次会议经费，预算申请与《洛浦县十八届人民代表大会第五次会议经费项目实施方案》中涉及的项目内容匹配；</w:t>
      </w:r>
    </w:p>
    <w:p w14:paraId="7213A32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本项目预算申请资金37.28万元，我单位在预算申请中严格按照项目实施内容及测算标准进行核算，其中</w:t>
      </w:r>
      <w:r>
        <w:rPr>
          <w:rFonts w:hint="eastAsia" w:ascii="宋体" w:hAnsi="宋体" w:eastAsia="宋体" w:cs="宋体"/>
          <w:sz w:val="24"/>
          <w:szCs w:val="24"/>
          <w:highlight w:val="none"/>
          <w:lang w:val="en-US" w:eastAsia="zh-CN"/>
        </w:rPr>
        <w:t>2020年人大会议8.49万元、2021年人大会议17.62万元、2024年人大会议11.17万元</w:t>
      </w:r>
      <w:r>
        <w:rPr>
          <w:rFonts w:hint="eastAsia" w:ascii="宋体" w:hAnsi="宋体" w:eastAsia="宋体" w:cs="宋体"/>
          <w:bCs w:val="0"/>
          <w:kern w:val="2"/>
          <w:sz w:val="24"/>
          <w:szCs w:val="24"/>
          <w:lang w:val="en-US" w:eastAsia="zh-CN" w:bidi="ar-SA"/>
        </w:rPr>
        <w:t>。预算确定资金量与实际工作任务相匹配。本项目预算额度测算依据充分，严格按照标准编制，预算确定资金量与实际工作任务相匹配；根据评分标准，该指标不扣分，得5分。</w:t>
      </w:r>
    </w:p>
    <w:p w14:paraId="2AB66F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资金分配合理性：</w:t>
      </w:r>
    </w:p>
    <w:p w14:paraId="3CA53E4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本项目实际分配资金以洛财纪字﹝2024﹞1号文件</w:t>
      </w:r>
      <w:r>
        <w:rPr>
          <w:rFonts w:hint="eastAsia" w:ascii="宋体" w:hAnsi="宋体" w:eastAsia="宋体" w:cs="宋体"/>
          <w:sz w:val="24"/>
          <w:szCs w:val="24"/>
          <w:highlight w:val="none"/>
          <w:lang w:val="en-US"/>
        </w:rPr>
        <w:t>为依据进行资金分配，预算资金分配依据充分</w:t>
      </w:r>
      <w:r>
        <w:rPr>
          <w:rFonts w:hint="eastAsia" w:ascii="宋体" w:hAnsi="宋体" w:eastAsia="宋体" w:cs="宋体"/>
          <w:sz w:val="24"/>
          <w:szCs w:val="24"/>
          <w:highlight w:val="none"/>
          <w:lang w:val="en-US" w:eastAsia="zh-CN"/>
        </w:rPr>
        <w:t>。根据洛财纪字﹝2024﹞1号文件，本项目实际到位资金37.28万元，</w:t>
      </w:r>
      <w:r>
        <w:rPr>
          <w:rFonts w:hint="eastAsia" w:ascii="宋体" w:hAnsi="宋体" w:eastAsia="宋体" w:cs="宋体"/>
          <w:sz w:val="24"/>
          <w:szCs w:val="24"/>
          <w:highlight w:val="none"/>
          <w:lang w:val="en-US"/>
        </w:rPr>
        <w:t>资金分配额度合理，与</w:t>
      </w:r>
      <w:r>
        <w:rPr>
          <w:rFonts w:hint="eastAsia" w:ascii="宋体" w:hAnsi="宋体" w:eastAsia="宋体" w:cs="宋体"/>
          <w:sz w:val="24"/>
          <w:szCs w:val="24"/>
          <w:highlight w:val="none"/>
          <w:lang w:val="en-US" w:eastAsia="zh-CN"/>
        </w:rPr>
        <w:t>我</w:t>
      </w:r>
      <w:r>
        <w:rPr>
          <w:rFonts w:hint="eastAsia" w:ascii="宋体" w:hAnsi="宋体" w:eastAsia="宋体" w:cs="宋体"/>
          <w:sz w:val="24"/>
          <w:szCs w:val="24"/>
          <w:highlight w:val="none"/>
          <w:lang w:val="en-US"/>
        </w:rPr>
        <w:t>单位实际</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lang w:val="en-US"/>
        </w:rPr>
        <w:t>相适应</w:t>
      </w:r>
      <w:r>
        <w:rPr>
          <w:rFonts w:hint="eastAsia" w:ascii="宋体" w:hAnsi="宋体" w:eastAsia="宋体" w:cs="宋体"/>
          <w:sz w:val="24"/>
          <w:szCs w:val="24"/>
          <w:highlight w:val="none"/>
          <w:lang w:val="en-US" w:eastAsia="zh-CN"/>
        </w:rPr>
        <w:t>。资金分配与实际相适应，根据评分标准，该指标不扣分，得5分。</w:t>
      </w:r>
    </w:p>
    <w:p w14:paraId="01B34D83">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sz w:val="24"/>
          <w:szCs w:val="24"/>
          <w:highlight w:val="none"/>
        </w:rPr>
        <w:t>（二）项目过程情况</w:t>
      </w:r>
    </w:p>
    <w:p w14:paraId="709AEE7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（1）资金到位率：</w:t>
      </w:r>
    </w:p>
    <w:p w14:paraId="7B15B8B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 xml:space="preserve">本项目预算资金为37.28万元，其中：财政安排资金37.28万元，其他资金0万元，实际到位资金37.28万元，资金到位率=100%；通过分析可知，该项目财政资金足额拨付到位，能够及时足额支付给实施单位。根据评分标准，该指标不扣分，得3分。   </w:t>
      </w:r>
    </w:p>
    <w:p w14:paraId="05DF32E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（2）预算执行率：</w:t>
      </w:r>
    </w:p>
    <w:p w14:paraId="2C46AF9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Cs w:val="0"/>
          <w:kern w:val="2"/>
          <w:sz w:val="24"/>
          <w:szCs w:val="24"/>
          <w:lang w:val="en-US" w:eastAsia="zh-CN" w:bidi="ar-SA"/>
        </w:rPr>
        <w:t>本项目实际支出资金37.28万元，</w:t>
      </w:r>
      <w:r>
        <w:rPr>
          <w:rFonts w:hint="eastAsia" w:ascii="宋体" w:hAnsi="宋体" w:eastAsia="宋体" w:cs="宋体"/>
          <w:bCs w:val="0"/>
          <w:kern w:val="2"/>
          <w:sz w:val="24"/>
          <w:szCs w:val="24"/>
          <w:lang w:val="en-US" w:bidi="ar-SA"/>
        </w:rPr>
        <w:t>预算执行率=（</w:t>
      </w:r>
      <w:r>
        <w:rPr>
          <w:rFonts w:hint="eastAsia" w:ascii="宋体" w:hAnsi="宋体" w:eastAsia="宋体" w:cs="宋体"/>
          <w:bCs w:val="0"/>
          <w:kern w:val="2"/>
          <w:sz w:val="24"/>
          <w:szCs w:val="24"/>
          <w:lang w:val="en-US" w:eastAsia="zh-CN" w:bidi="ar-SA"/>
        </w:rPr>
        <w:t>37.28</w:t>
      </w:r>
      <w:r>
        <w:rPr>
          <w:rFonts w:hint="eastAsia" w:ascii="宋体" w:hAnsi="宋体" w:eastAsia="宋体" w:cs="宋体"/>
          <w:bCs w:val="0"/>
          <w:kern w:val="2"/>
          <w:sz w:val="24"/>
          <w:szCs w:val="24"/>
          <w:lang w:val="en-US" w:bidi="ar-SA"/>
        </w:rPr>
        <w:t>/</w:t>
      </w:r>
      <w:r>
        <w:rPr>
          <w:rFonts w:hint="eastAsia" w:ascii="宋体" w:hAnsi="宋体" w:eastAsia="宋体" w:cs="宋体"/>
          <w:bCs w:val="0"/>
          <w:kern w:val="2"/>
          <w:sz w:val="24"/>
          <w:szCs w:val="24"/>
          <w:lang w:val="en-US" w:eastAsia="zh-CN" w:bidi="ar-SA"/>
        </w:rPr>
        <w:t>37.28</w:t>
      </w:r>
      <w:r>
        <w:rPr>
          <w:rFonts w:hint="eastAsia" w:ascii="宋体" w:hAnsi="宋体" w:eastAsia="宋体" w:cs="宋体"/>
          <w:bCs w:val="0"/>
          <w:kern w:val="2"/>
          <w:sz w:val="24"/>
          <w:szCs w:val="24"/>
          <w:lang w:val="en-US" w:bidi="ar-SA"/>
        </w:rPr>
        <w:t>）×100</w:t>
      </w:r>
      <w:r>
        <w:rPr>
          <w:rFonts w:hint="eastAsia" w:ascii="宋体" w:hAnsi="宋体" w:eastAsia="宋体" w:cs="宋体"/>
          <w:bCs w:val="0"/>
          <w:kern w:val="2"/>
          <w:sz w:val="24"/>
          <w:szCs w:val="24"/>
          <w:lang w:val="en-US" w:eastAsia="zh-CN" w:bidi="ar-SA"/>
        </w:rPr>
        <w:t>.0</w:t>
      </w:r>
      <w:r>
        <w:rPr>
          <w:rFonts w:hint="eastAsia" w:ascii="宋体" w:hAnsi="宋体" w:eastAsia="宋体" w:cs="宋体"/>
          <w:bCs w:val="0"/>
          <w:kern w:val="2"/>
          <w:sz w:val="24"/>
          <w:szCs w:val="24"/>
          <w:lang w:val="en-US" w:bidi="ar-SA"/>
        </w:rPr>
        <w:t>%=</w:t>
      </w:r>
      <w:r>
        <w:rPr>
          <w:rFonts w:hint="eastAsia" w:ascii="宋体" w:hAnsi="宋体" w:eastAsia="宋体" w:cs="宋体"/>
          <w:bCs w:val="0"/>
          <w:kern w:val="2"/>
          <w:sz w:val="24"/>
          <w:szCs w:val="24"/>
          <w:lang w:val="en-US" w:eastAsia="zh-CN" w:bidi="ar-SA"/>
        </w:rPr>
        <w:t>100</w:t>
      </w:r>
      <w:r>
        <w:rPr>
          <w:rFonts w:hint="eastAsia" w:ascii="宋体" w:hAnsi="宋体" w:eastAsia="宋体" w:cs="宋体"/>
          <w:bCs w:val="0"/>
          <w:kern w:val="2"/>
          <w:sz w:val="24"/>
          <w:szCs w:val="24"/>
          <w:lang w:val="en-US" w:bidi="ar-SA"/>
        </w:rPr>
        <w:t>%</w:t>
      </w:r>
      <w:r>
        <w:rPr>
          <w:rFonts w:hint="eastAsia" w:ascii="宋体" w:hAnsi="宋体" w:eastAsia="宋体" w:cs="宋体"/>
          <w:bCs w:val="0"/>
          <w:kern w:val="2"/>
          <w:sz w:val="24"/>
          <w:szCs w:val="24"/>
          <w:lang w:val="en-US" w:eastAsia="zh-CN" w:bidi="ar-SA"/>
        </w:rPr>
        <w:t>，</w:t>
      </w: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34B8B14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资金使用合规性：</w:t>
      </w:r>
    </w:p>
    <w:p w14:paraId="1F0870A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通过检查项目资金申请文件、国库支付凭证等财务资料，得出本项目资金支出符合国家财经法规、《政府会计制度》《人大常委会办公室资金管理办法》《会议经费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12A43E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管理制度健全性：</w:t>
      </w:r>
    </w:p>
    <w:p w14:paraId="4402730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我单位已制定《专项资金政府采购业务管理制度》《会议经费合同管理制度》，相关制度均符合行政事业单位内控管理要求，财务和业务管理制度合法、合规、完整，本项目执行符合上述制度规定。根据评分标准，该指标不扣分，得5分。</w:t>
      </w:r>
    </w:p>
    <w:p w14:paraId="6C64FBB7">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制度执行有效性：</w:t>
      </w:r>
    </w:p>
    <w:p w14:paraId="583AA86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①该项目的实施符合本单位财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60F4B30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②经现场查证项目合同书、验收评审表、财务支付凭证等资料齐全并及时归档。</w:t>
      </w:r>
    </w:p>
    <w:p w14:paraId="78C7DCE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Cs w:val="0"/>
          <w:kern w:val="2"/>
          <w:sz w:val="24"/>
          <w:szCs w:val="24"/>
          <w:lang w:val="en-US" w:eastAsia="zh-CN" w:bidi="ar-SA"/>
        </w:rPr>
      </w:pPr>
      <w:r>
        <w:rPr>
          <w:rFonts w:hint="eastAsia" w:ascii="宋体" w:hAnsi="宋体" w:eastAsia="宋体" w:cs="宋体"/>
          <w:bCs w:val="0"/>
          <w:kern w:val="2"/>
          <w:sz w:val="24"/>
          <w:szCs w:val="24"/>
          <w:lang w:val="en-US" w:eastAsia="zh-CN" w:bidi="ar-SA"/>
        </w:rPr>
        <w:t>③该项目该项目实施过程中不存在调整事项。</w:t>
      </w:r>
      <w:r>
        <w:rPr>
          <w:rFonts w:hint="eastAsia" w:ascii="宋体" w:hAnsi="宋体" w:eastAsia="宋体" w:cs="宋体"/>
          <w:color w:val="auto"/>
          <w:sz w:val="24"/>
          <w:szCs w:val="24"/>
          <w:highlight w:val="none"/>
        </w:rPr>
        <w:t>根据评分标准，该指标不扣分，得5分。</w:t>
      </w:r>
    </w:p>
    <w:p w14:paraId="15D49EF9">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35B47DA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Cs w:val="0"/>
          <w:kern w:val="2"/>
          <w:sz w:val="24"/>
          <w:szCs w:val="24"/>
          <w:lang w:val="en-US" w:eastAsia="zh-CN" w:bidi="ar-SA"/>
        </w:rPr>
        <w:t>项目产出类指标包括产出数量、产出质量、产出时效三方面的内容，由6个三级指标构成，权重分为40分，实际得分40分，得分率为100%。</w:t>
      </w:r>
    </w:p>
    <w:p w14:paraId="0660250E">
      <w:pPr>
        <w:pStyle w:val="5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0A1A4A33">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项目产出类指标包括产出数量、产出质量、产出时效、产出成本四方面的内容，由4个三级指标构成，权重分为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4B65FF9">
      <w:pPr>
        <w:pageBreakBefore w:val="0"/>
        <w:widowControl w:val="0"/>
        <w:numPr>
          <w:ilvl w:val="0"/>
          <w:numId w:val="7"/>
        </w:numPr>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1B10D599">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保障参会人员数量</w:t>
      </w:r>
      <w:r>
        <w:rPr>
          <w:rFonts w:hint="eastAsia" w:ascii="宋体" w:hAnsi="宋体" w:eastAsia="宋体" w:cs="宋体"/>
          <w:color w:val="auto"/>
          <w:sz w:val="24"/>
          <w:szCs w:val="24"/>
          <w:highlight w:val="none"/>
        </w:rPr>
        <w:t>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200人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20B8FDA9">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会议举行天数</w:t>
      </w:r>
      <w:r>
        <w:rPr>
          <w:rFonts w:hint="eastAsia" w:ascii="宋体" w:hAnsi="宋体" w:eastAsia="宋体" w:cs="宋体"/>
          <w:color w:val="auto"/>
          <w:sz w:val="24"/>
          <w:szCs w:val="24"/>
          <w:highlight w:val="none"/>
          <w:lang w:val="en-US" w:eastAsia="zh-CN"/>
        </w:rPr>
        <w:t>数量</w:t>
      </w:r>
      <w:r>
        <w:rPr>
          <w:rFonts w:hint="eastAsia" w:ascii="宋体" w:hAnsi="宋体" w:eastAsia="宋体" w:cs="宋体"/>
          <w:color w:val="auto"/>
          <w:sz w:val="24"/>
          <w:szCs w:val="24"/>
          <w:highlight w:val="none"/>
        </w:rPr>
        <w:t>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2天半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5天</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289B1EA8">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2F55F0E4">
      <w:pPr>
        <w:pageBreakBefore w:val="0"/>
        <w:widowControl w:val="0"/>
        <w:numPr>
          <w:ilvl w:val="0"/>
          <w:numId w:val="7"/>
        </w:numPr>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对于“产出质量”：</w:t>
      </w:r>
    </w:p>
    <w:p w14:paraId="470A47F0">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代表参会率指标，预期指标值为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≥95%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71C1551E">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133FCEF2">
      <w:pPr>
        <w:pStyle w:val="10"/>
        <w:pageBreakBefore w:val="0"/>
        <w:widowControl w:val="0"/>
        <w:numPr>
          <w:ilvl w:val="0"/>
          <w:numId w:val="7"/>
        </w:numPr>
        <w:kinsoku/>
        <w:wordWrap/>
        <w:topLinePunct w:val="0"/>
        <w:autoSpaceDE/>
        <w:autoSpaceDN/>
        <w:bidi w:val="0"/>
        <w:adjustRightInd/>
        <w:snapToGrid/>
        <w:spacing w:before="0" w:after="0" w:line="360" w:lineRule="auto"/>
        <w:ind w:left="0" w:leftChars="0" w:firstLine="643"/>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对于“产出时效”：</w:t>
      </w:r>
    </w:p>
    <w:p w14:paraId="60AD2142">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资金支付开始时间指标，预期指标值为</w:t>
      </w:r>
      <w:r>
        <w:rPr>
          <w:rFonts w:hint="eastAsia" w:ascii="宋体" w:hAnsi="宋体" w:eastAsia="宋体" w:cs="宋体"/>
          <w:b w:val="0"/>
          <w:color w:val="auto"/>
          <w:sz w:val="24"/>
          <w:szCs w:val="24"/>
          <w:highlight w:val="none"/>
          <w:lang w:eastAsia="zh-CN"/>
        </w:rPr>
        <w:t>“</w:t>
      </w:r>
      <w:r>
        <w:rPr>
          <w:rFonts w:hint="eastAsia" w:ascii="宋体" w:hAnsi="宋体" w:eastAsia="宋体" w:cs="宋体"/>
          <w:b w:val="0"/>
          <w:color w:val="auto"/>
          <w:sz w:val="24"/>
          <w:szCs w:val="24"/>
          <w:highlight w:val="none"/>
          <w:lang w:val="en-US" w:eastAsia="zh-CN"/>
        </w:rPr>
        <w:t>2024年1月%</w:t>
      </w:r>
      <w:r>
        <w:rPr>
          <w:rFonts w:hint="eastAsia" w:ascii="宋体" w:hAnsi="宋体" w:eastAsia="宋体" w:cs="宋体"/>
          <w:b w:val="0"/>
          <w:color w:val="auto"/>
          <w:sz w:val="24"/>
          <w:szCs w:val="24"/>
          <w:highlight w:val="none"/>
          <w:lang w:eastAsia="zh-CN"/>
        </w:rPr>
        <w:t>”，</w:t>
      </w:r>
      <w:r>
        <w:rPr>
          <w:rFonts w:hint="eastAsia" w:ascii="宋体" w:hAnsi="宋体" w:eastAsia="宋体" w:cs="宋体"/>
          <w:b w:val="0"/>
          <w:color w:val="auto"/>
          <w:sz w:val="24"/>
          <w:szCs w:val="24"/>
          <w:highlight w:val="none"/>
        </w:rPr>
        <w:t>实际完成值为2024年1月，指标完成率为100%，与预期目标一致，根据评分标准，该指标不扣分，得</w:t>
      </w:r>
      <w:r>
        <w:rPr>
          <w:rFonts w:hint="eastAsia" w:ascii="宋体" w:hAnsi="宋体" w:eastAsia="宋体" w:cs="宋体"/>
          <w:b w:val="0"/>
          <w:color w:val="auto"/>
          <w:sz w:val="24"/>
          <w:szCs w:val="24"/>
          <w:highlight w:val="none"/>
          <w:lang w:val="en-US" w:eastAsia="zh-CN"/>
        </w:rPr>
        <w:t>3</w:t>
      </w:r>
      <w:r>
        <w:rPr>
          <w:rFonts w:hint="eastAsia" w:ascii="宋体" w:hAnsi="宋体" w:eastAsia="宋体" w:cs="宋体"/>
          <w:b w:val="0"/>
          <w:color w:val="auto"/>
          <w:sz w:val="24"/>
          <w:szCs w:val="24"/>
          <w:highlight w:val="none"/>
        </w:rPr>
        <w:t>分。</w:t>
      </w:r>
    </w:p>
    <w:p w14:paraId="582E9686">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资金支付完成时间指标，预期指标值为“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w:t>
      </w:r>
      <w:r>
        <w:rPr>
          <w:rFonts w:hint="eastAsia" w:ascii="宋体" w:hAnsi="宋体" w:eastAsia="宋体" w:cs="宋体"/>
          <w:b w:val="0"/>
          <w:color w:val="auto"/>
          <w:sz w:val="24"/>
          <w:szCs w:val="24"/>
          <w:highlight w:val="none"/>
          <w:lang w:eastAsia="zh-CN"/>
        </w:rPr>
        <w:t>，</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，指标完成率为100%，与预期目标一致，根据评分标准，该指标不扣分，得</w:t>
      </w:r>
      <w:r>
        <w:rPr>
          <w:rFonts w:hint="eastAsia" w:ascii="宋体" w:hAnsi="宋体" w:eastAsia="宋体" w:cs="宋体"/>
          <w:b w:val="0"/>
          <w:color w:val="auto"/>
          <w:sz w:val="24"/>
          <w:szCs w:val="24"/>
          <w:highlight w:val="none"/>
          <w:lang w:val="en-US" w:eastAsia="zh-CN"/>
        </w:rPr>
        <w:t>3</w:t>
      </w:r>
      <w:r>
        <w:rPr>
          <w:rFonts w:hint="eastAsia" w:ascii="宋体" w:hAnsi="宋体" w:eastAsia="宋体" w:cs="宋体"/>
          <w:b w:val="0"/>
          <w:color w:val="auto"/>
          <w:sz w:val="24"/>
          <w:szCs w:val="24"/>
          <w:highlight w:val="none"/>
        </w:rPr>
        <w:t>分</w:t>
      </w:r>
      <w:r>
        <w:rPr>
          <w:rFonts w:hint="eastAsia" w:ascii="宋体" w:hAnsi="宋体" w:eastAsia="宋体" w:cs="宋体"/>
          <w:b w:val="0"/>
          <w:color w:val="auto"/>
          <w:sz w:val="24"/>
          <w:szCs w:val="24"/>
          <w:highlight w:val="none"/>
          <w:lang w:eastAsia="zh-CN"/>
        </w:rPr>
        <w:t>。</w:t>
      </w:r>
    </w:p>
    <w:p w14:paraId="490DC23A">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资金支付及时率指标，预期指标值为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5654B112">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5F056C32">
      <w:pPr>
        <w:pStyle w:val="47"/>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（4）对于“产出成本”：</w:t>
      </w:r>
    </w:p>
    <w:p w14:paraId="2DC2936D">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2020年人大会议指标，预期指标值为</w:t>
      </w:r>
      <w:r>
        <w:rPr>
          <w:rFonts w:hint="eastAsia" w:ascii="宋体" w:hAnsi="宋体" w:eastAsia="宋体" w:cs="宋体"/>
          <w:color w:val="auto"/>
          <w:sz w:val="24"/>
          <w:szCs w:val="24"/>
          <w:highlight w:val="none"/>
          <w:lang w:eastAsia="zh-CN"/>
        </w:rPr>
        <w:t>“≤8.49万元”</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8.49万元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1DF5D65A">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2021年人大会议指标，预期指标值为</w:t>
      </w:r>
      <w:r>
        <w:rPr>
          <w:rFonts w:hint="eastAsia" w:ascii="宋体" w:hAnsi="宋体" w:eastAsia="宋体" w:cs="宋体"/>
          <w:color w:val="auto"/>
          <w:sz w:val="24"/>
          <w:szCs w:val="24"/>
          <w:highlight w:val="none"/>
          <w:lang w:eastAsia="zh-CN"/>
        </w:rPr>
        <w:t>“≤17.62万元”</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17.62万元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7840316A">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2024年人大会议指标，预期指标值为</w:t>
      </w:r>
      <w:r>
        <w:rPr>
          <w:rFonts w:hint="eastAsia" w:ascii="宋体" w:hAnsi="宋体" w:eastAsia="宋体" w:cs="宋体"/>
          <w:color w:val="auto"/>
          <w:sz w:val="24"/>
          <w:szCs w:val="24"/>
          <w:highlight w:val="none"/>
          <w:lang w:eastAsia="zh-CN"/>
        </w:rPr>
        <w:t>“≤11.17万元”</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11.17万元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00ABFB94">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sz w:val="24"/>
          <w:szCs w:val="24"/>
          <w:highlight w:val="none"/>
        </w:rPr>
      </w:pPr>
      <w:r>
        <w:rPr>
          <w:rFonts w:hint="eastAsia" w:ascii="宋体" w:hAnsi="宋体" w:eastAsia="宋体" w:cs="宋体"/>
          <w:b w:val="0"/>
          <w:bCs/>
          <w:color w:val="auto"/>
          <w:sz w:val="24"/>
          <w:szCs w:val="24"/>
          <w:highlight w:val="none"/>
        </w:rPr>
        <w:t>合计得10分。</w:t>
      </w:r>
    </w:p>
    <w:p w14:paraId="190002AC">
      <w:pPr>
        <w:pStyle w:val="5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（四）项目效益情况</w:t>
      </w:r>
    </w:p>
    <w:p w14:paraId="266F7F7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项目效益类指标包括项目效益2个方面的内容，由2个三级指标构成，权重分为20分，实际得分20分，得分率为100%。</w:t>
      </w:r>
    </w:p>
    <w:p w14:paraId="33B4B63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FF0000"/>
          <w:sz w:val="24"/>
          <w:szCs w:val="24"/>
          <w:lang w:val="en-US" w:eastAsia="zh-CN"/>
        </w:rPr>
      </w:pPr>
      <w:r>
        <w:rPr>
          <w:rFonts w:hint="eastAsia" w:ascii="宋体" w:hAnsi="宋体" w:eastAsia="宋体" w:cs="宋体"/>
          <w:b/>
          <w:bCs/>
          <w:sz w:val="24"/>
          <w:szCs w:val="24"/>
          <w:highlight w:val="none"/>
        </w:rPr>
        <w:t>（1）对于“社会效益指标”：</w:t>
      </w:r>
    </w:p>
    <w:p w14:paraId="282C6A9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提升人民代表参政议政水平指标，该指标预期指标值为“有效提升”，实际完成值为有效提升，指标完成率为100%，与预期指标一致，根据评分标准，该指标不扣分，得5分。</w:t>
      </w:r>
    </w:p>
    <w:p w14:paraId="21A681BF">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有效提高人大代表素质指标，该指标预期指标值为“持续提高”，实际完成值为持续提高，指标完成率为100%，与预期指标一致，根据评分标准，该指标不扣分，得5分。</w:t>
      </w:r>
    </w:p>
    <w:p w14:paraId="34D7990B">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color w:val="auto"/>
          <w:sz w:val="24"/>
          <w:szCs w:val="24"/>
          <w:highlight w:val="none"/>
        </w:rPr>
        <w:t>合计得10分。</w:t>
      </w:r>
    </w:p>
    <w:p w14:paraId="59DFAD69">
      <w:pPr>
        <w:pStyle w:val="10"/>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sz w:val="24"/>
          <w:szCs w:val="24"/>
        </w:rPr>
      </w:pPr>
      <w:r>
        <w:rPr>
          <w:rFonts w:hint="eastAsia" w:ascii="宋体" w:hAnsi="宋体" w:eastAsia="宋体" w:cs="宋体"/>
          <w:bCs/>
          <w:sz w:val="24"/>
          <w:szCs w:val="24"/>
        </w:rPr>
        <w:t>（4）满意度指标分析</w:t>
      </w:r>
    </w:p>
    <w:p w14:paraId="768864F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对于“满意度指标：受益参会人员满意度，该指标预期指标值为≥95%，实际完成值为95%，指标完成率为100%，与预期目标一致，根据评分标准，该指标不扣分,得5分。</w:t>
      </w:r>
      <w:bookmarkEnd w:id="15"/>
    </w:p>
    <w:p w14:paraId="65B8EA18">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受益群众满意度，该指标预期指标值为≥95%，实际完成值为95%，指标完成率为100%，与预期目标一致，根据评分标准，该指标不扣分,得5分。</w:t>
      </w:r>
    </w:p>
    <w:p w14:paraId="185B6AC8">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3616E8DE">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color w:val="auto"/>
          <w:sz w:val="24"/>
          <w:szCs w:val="24"/>
          <w:highlight w:val="none"/>
        </w:rPr>
      </w:pPr>
    </w:p>
    <w:p w14:paraId="5737CD1C">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五、预算执行进度与绩效指标偏差情况</w:t>
      </w:r>
    </w:p>
    <w:p w14:paraId="0893A330">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本项目年初预算资金总额为37.28万元，全年预算数为37.28万元，全年执行数为37.28万元，预算执行率为100%。</w:t>
      </w:r>
    </w:p>
    <w:p w14:paraId="65DF3BDB">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本项目共设置三级指标数量13个，满分指标数量13个，经分析计算所有三级指标完成率得出，本项目总体完成率为100%。</w:t>
      </w:r>
    </w:p>
    <w:p w14:paraId="22916023">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val="0"/>
          <w:kern w:val="2"/>
          <w:sz w:val="24"/>
          <w:szCs w:val="24"/>
          <w:lang w:val="en-US" w:eastAsia="zh-CN" w:bidi="ar-SA"/>
        </w:rPr>
        <w:t>综上所述本项目预算执行率与总体完成率之间的偏差为0%。</w:t>
      </w:r>
    </w:p>
    <w:p w14:paraId="2778E693">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6" w:name="_Toc68364673"/>
    </w:p>
    <w:p w14:paraId="355663D1">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r>
        <w:rPr>
          <w:rFonts w:hint="eastAsia" w:ascii="黑体" w:hAnsi="黑体" w:eastAsia="黑体" w:cs="黑体"/>
          <w:b/>
          <w:bCs/>
          <w:sz w:val="24"/>
          <w:szCs w:val="24"/>
        </w:rPr>
        <w:t>六、主要经验及做法、存在的问题及原因分析</w:t>
      </w:r>
    </w:p>
    <w:p w14:paraId="6A51F503">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rPr>
        <w:t>（一）主要经验及做法</w:t>
      </w:r>
      <w:bookmarkEnd w:id="16"/>
    </w:p>
    <w:p w14:paraId="3D7BEDCD">
      <w:pPr>
        <w:pStyle w:val="61"/>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rPr>
        <w:t>本项目实施效果较好的原因主要是管理制度完善、责任落实到位，跟踪考核机制完善且运行有效，在项目实施过程中创新管理办法，使项目取得了良好的效果</w:t>
      </w:r>
    </w:p>
    <w:p w14:paraId="140158A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rPr>
      </w:pPr>
      <w:bookmarkStart w:id="17" w:name="_Toc68364674"/>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CN"/>
        </w:rPr>
        <w:t>）</w:t>
      </w:r>
      <w:r>
        <w:rPr>
          <w:rFonts w:hint="eastAsia" w:ascii="宋体" w:hAnsi="宋体" w:eastAsia="宋体" w:cs="宋体"/>
          <w:b/>
          <w:bCs/>
          <w:sz w:val="24"/>
          <w:szCs w:val="24"/>
        </w:rPr>
        <w:t>存在问题及原因分析</w:t>
      </w:r>
      <w:bookmarkEnd w:id="17"/>
    </w:p>
    <w:p w14:paraId="1259F0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1）部分人员思想认识还不到位，没有认识到绩效管理的重要性，工作中消极被动、缺乏主动性。</w:t>
      </w:r>
    </w:p>
    <w:p w14:paraId="27503B6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（2）财务管理水平有待提高。财务工作按部就班，缺乏创新，在精度和深度上欠缺，还需要进一步完善，尤其在项目建设方面还需要进一步严格。</w:t>
      </w:r>
    </w:p>
    <w:p w14:paraId="4105BD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（3）内部管理相关制度虽已建立，但管理上较为粗糙，部分未实际落实到位。</w:t>
      </w:r>
    </w:p>
    <w:p w14:paraId="5A7324F8">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8" w:name="_Toc68364675"/>
    </w:p>
    <w:p w14:paraId="79BD62C6">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r>
        <w:rPr>
          <w:rFonts w:hint="eastAsia" w:ascii="黑体" w:hAnsi="黑体" w:eastAsia="黑体" w:cs="黑体"/>
          <w:b/>
          <w:bCs/>
          <w:sz w:val="24"/>
          <w:szCs w:val="24"/>
        </w:rPr>
        <w:t>七、有关建议</w:t>
      </w:r>
      <w:bookmarkEnd w:id="18"/>
      <w:bookmarkStart w:id="19" w:name="_Toc68364676"/>
    </w:p>
    <w:p w14:paraId="6BE02412">
      <w:pPr>
        <w:pStyle w:val="61"/>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kern w:val="2"/>
          <w:sz w:val="24"/>
          <w:szCs w:val="24"/>
        </w:rPr>
      </w:pPr>
      <w:r>
        <w:rPr>
          <w:rFonts w:hint="eastAsia" w:ascii="宋体" w:hAnsi="宋体" w:eastAsia="宋体" w:cs="宋体"/>
          <w:b w:val="0"/>
          <w:color w:val="auto"/>
          <w:kern w:val="2"/>
          <w:sz w:val="24"/>
          <w:szCs w:val="24"/>
          <w:lang w:val="en-US" w:eastAsia="zh-CN"/>
        </w:rPr>
        <w:t>1.</w:t>
      </w:r>
      <w:r>
        <w:rPr>
          <w:rFonts w:hint="eastAsia" w:ascii="宋体" w:hAnsi="宋体" w:eastAsia="宋体" w:cs="宋体"/>
          <w:b w:val="0"/>
          <w:color w:val="auto"/>
          <w:kern w:val="2"/>
          <w:sz w:val="24"/>
          <w:szCs w:val="24"/>
        </w:rPr>
        <w:t>预算编制工作，认真做好预算的编制。全面编制预算项目，优先保障固定性的、相对刚性的费用支出项目，尽量压缩变动性的、有控制空间的费用项目，进一步提高预算编制的科学性、严谨性和可控性。</w:t>
      </w:r>
    </w:p>
    <w:p w14:paraId="1BDF5E9F">
      <w:pPr>
        <w:pStyle w:val="61"/>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kern w:val="2"/>
          <w:sz w:val="24"/>
          <w:szCs w:val="24"/>
          <w:lang w:val="en-US" w:eastAsia="zh-CN"/>
        </w:rPr>
      </w:pPr>
      <w:r>
        <w:rPr>
          <w:rFonts w:hint="eastAsia" w:ascii="宋体" w:hAnsi="宋体" w:eastAsia="宋体" w:cs="宋体"/>
          <w:b w:val="0"/>
          <w:bCs/>
          <w:color w:val="auto"/>
          <w:kern w:val="2"/>
          <w:sz w:val="24"/>
          <w:szCs w:val="24"/>
          <w:lang w:val="en-US" w:eastAsia="zh-CN"/>
        </w:rPr>
        <w:t>2.开展进度的跟踪，确保项目绩效目标的完成。规范程序，严格把关。进一步完善项目申报、审核、公示、审批等程序，严格审核切实做好项目信息公开，公开内容要及时、完整、真实，确保项目公平、公开、公正。</w:t>
      </w:r>
    </w:p>
    <w:p w14:paraId="119B2B02">
      <w:pPr>
        <w:pStyle w:val="61"/>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kern w:val="2"/>
          <w:sz w:val="24"/>
          <w:szCs w:val="24"/>
          <w:lang w:val="en-US" w:eastAsia="zh-CN"/>
        </w:rPr>
      </w:pPr>
      <w:r>
        <w:rPr>
          <w:rFonts w:hint="eastAsia" w:ascii="宋体" w:hAnsi="宋体" w:eastAsia="宋体" w:cs="宋体"/>
          <w:b w:val="0"/>
          <w:bCs/>
          <w:color w:val="auto"/>
          <w:kern w:val="2"/>
          <w:sz w:val="24"/>
          <w:szCs w:val="24"/>
          <w:lang w:val="en-US" w:eastAsia="zh-CN"/>
        </w:rPr>
        <w:t>3.健全制度，加强督促。针对项目实施中存在的问题，进一步完善相关制度，加强督促检查，确保质量安全和建设进度；同时及时完善资料。</w:t>
      </w:r>
    </w:p>
    <w:p w14:paraId="6EEC6EAC">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p>
    <w:p w14:paraId="4AB9EA8A">
      <w:pPr>
        <w:pStyle w:val="2"/>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r>
        <w:rPr>
          <w:rFonts w:hint="eastAsia" w:ascii="黑体" w:hAnsi="黑体" w:eastAsia="黑体" w:cs="黑体"/>
          <w:b/>
          <w:bCs/>
          <w:sz w:val="24"/>
          <w:szCs w:val="24"/>
        </w:rPr>
        <w:t>八、其他需要说明的问题</w:t>
      </w:r>
      <w:bookmarkEnd w:id="19"/>
    </w:p>
    <w:p w14:paraId="1F8BFA28">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val="0"/>
          <w:color w:val="auto"/>
          <w:kern w:val="2"/>
          <w:sz w:val="24"/>
          <w:szCs w:val="24"/>
          <w:lang w:val="en-US" w:eastAsia="zh-CN" w:bidi="ar-SA"/>
        </w:rPr>
        <w:t>我单位对上述项目支出绩效评价报告内反映内容的真实性、完整性负责，愿接受上级部门及社会公众监督。</w:t>
      </w:r>
    </w:p>
    <w:p w14:paraId="0FB48628">
      <w:pPr>
        <w:pageBreakBefore w:val="0"/>
        <w:widowControl w:val="0"/>
        <w:kinsoku/>
        <w:wordWrap/>
        <w:overflowPunct/>
        <w:topLinePunct w:val="0"/>
        <w:autoSpaceDE/>
        <w:bidi w:val="0"/>
        <w:adjustRightInd/>
        <w:snapToGrid/>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附件1：洛浦县十八届人民代表大会会议经费项目绩效评价指标体系</w:t>
      </w:r>
    </w:p>
    <w:p w14:paraId="627E6759">
      <w:pPr>
        <w:pageBreakBefore w:val="0"/>
        <w:widowControl w:val="0"/>
        <w:kinsoku/>
        <w:wordWrap/>
        <w:overflowPunct/>
        <w:topLinePunct w:val="0"/>
        <w:autoSpaceDE/>
        <w:bidi w:val="0"/>
        <w:adjustRightInd/>
        <w:snapToGrid/>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附件2：洛浦县十八届人民代表大会会议经费项目综合得分表</w:t>
      </w:r>
    </w:p>
    <w:p w14:paraId="6148149D">
      <w:pPr>
        <w:pageBreakBefore w:val="0"/>
        <w:widowControl w:val="0"/>
        <w:kinsoku/>
        <w:wordWrap/>
        <w:overflowPunct/>
        <w:topLinePunct w:val="0"/>
        <w:autoSpaceDE/>
        <w:bidi w:val="0"/>
        <w:adjustRightInd/>
        <w:snapToGrid/>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附件3：满意度调查问分析情况</w:t>
      </w:r>
    </w:p>
    <w:p w14:paraId="2A04573A">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p>
    <w:p w14:paraId="6CEF0E6E">
      <w:pPr>
        <w:pStyle w:val="10"/>
        <w:ind w:left="0" w:leftChars="0" w:firstLine="0" w:firstLineChars="0"/>
        <w:jc w:val="both"/>
        <w:rPr>
          <w:rFonts w:hint="eastAsia" w:ascii="宋体" w:hAnsi="宋体" w:eastAsia="宋体" w:cs="宋体"/>
          <w:sz w:val="24"/>
          <w:szCs w:val="24"/>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7"/>
        <w:gridCol w:w="618"/>
        <w:gridCol w:w="647"/>
        <w:gridCol w:w="527"/>
        <w:gridCol w:w="821"/>
        <w:gridCol w:w="666"/>
        <w:gridCol w:w="1949"/>
        <w:gridCol w:w="1430"/>
        <w:gridCol w:w="4350"/>
        <w:gridCol w:w="882"/>
        <w:gridCol w:w="741"/>
      </w:tblGrid>
      <w:tr w14:paraId="5007E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40" w:hRule="atLeast"/>
        </w:trPr>
        <w:tc>
          <w:tcPr>
            <w:tcW w:w="507" w:type="pct"/>
            <w:gridSpan w:val="2"/>
            <w:tcBorders>
              <w:top w:val="nil"/>
              <w:left w:val="nil"/>
              <w:bottom w:val="nil"/>
              <w:right w:val="nil"/>
            </w:tcBorders>
            <w:noWrap/>
            <w:vAlign w:val="center"/>
          </w:tcPr>
          <w:p w14:paraId="3797EA26">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附件1：</w:t>
            </w:r>
          </w:p>
        </w:tc>
        <w:tc>
          <w:tcPr>
            <w:tcW w:w="242" w:type="pct"/>
            <w:tcBorders>
              <w:top w:val="nil"/>
              <w:left w:val="nil"/>
              <w:bottom w:val="nil"/>
              <w:right w:val="nil"/>
            </w:tcBorders>
            <w:noWrap/>
            <w:vAlign w:val="center"/>
          </w:tcPr>
          <w:p w14:paraId="6C848AA9">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197" w:type="pct"/>
            <w:tcBorders>
              <w:top w:val="nil"/>
              <w:left w:val="nil"/>
              <w:bottom w:val="nil"/>
              <w:right w:val="nil"/>
            </w:tcBorders>
            <w:noWrap/>
            <w:vAlign w:val="center"/>
          </w:tcPr>
          <w:p w14:paraId="7FB16BA8">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307" w:type="pct"/>
            <w:tcBorders>
              <w:top w:val="nil"/>
              <w:left w:val="nil"/>
              <w:bottom w:val="nil"/>
              <w:right w:val="nil"/>
            </w:tcBorders>
            <w:noWrap/>
            <w:vAlign w:val="center"/>
          </w:tcPr>
          <w:p w14:paraId="194005E6">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249" w:type="pct"/>
            <w:tcBorders>
              <w:top w:val="nil"/>
              <w:left w:val="nil"/>
              <w:bottom w:val="nil"/>
              <w:right w:val="nil"/>
            </w:tcBorders>
            <w:noWrap/>
            <w:vAlign w:val="center"/>
          </w:tcPr>
          <w:p w14:paraId="2C2B40D8">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729" w:type="pct"/>
            <w:tcBorders>
              <w:top w:val="nil"/>
              <w:left w:val="nil"/>
              <w:bottom w:val="nil"/>
              <w:right w:val="nil"/>
            </w:tcBorders>
            <w:noWrap/>
            <w:vAlign w:val="center"/>
          </w:tcPr>
          <w:p w14:paraId="70791276">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000000"/>
                <w:sz w:val="21"/>
                <w:szCs w:val="21"/>
                <w:u w:val="none"/>
              </w:rPr>
            </w:pPr>
          </w:p>
        </w:tc>
        <w:tc>
          <w:tcPr>
            <w:tcW w:w="535" w:type="pct"/>
            <w:tcBorders>
              <w:top w:val="nil"/>
              <w:left w:val="nil"/>
              <w:bottom w:val="nil"/>
              <w:right w:val="nil"/>
            </w:tcBorders>
            <w:noWrap/>
            <w:vAlign w:val="center"/>
          </w:tcPr>
          <w:p w14:paraId="28D504DC">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1627" w:type="pct"/>
            <w:tcBorders>
              <w:top w:val="nil"/>
              <w:left w:val="nil"/>
              <w:bottom w:val="nil"/>
              <w:right w:val="nil"/>
            </w:tcBorders>
            <w:noWrap/>
            <w:vAlign w:val="center"/>
          </w:tcPr>
          <w:p w14:paraId="4190C24D">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330" w:type="pct"/>
            <w:tcBorders>
              <w:top w:val="nil"/>
              <w:left w:val="nil"/>
              <w:bottom w:val="nil"/>
              <w:right w:val="nil"/>
            </w:tcBorders>
            <w:noWrap/>
            <w:vAlign w:val="center"/>
          </w:tcPr>
          <w:p w14:paraId="340E3D57">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272" w:type="pct"/>
            <w:tcBorders>
              <w:top w:val="nil"/>
              <w:left w:val="nil"/>
              <w:bottom w:val="nil"/>
              <w:right w:val="nil"/>
            </w:tcBorders>
            <w:noWrap/>
            <w:vAlign w:val="center"/>
          </w:tcPr>
          <w:p w14:paraId="6B0A3C91">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r>
      <w:tr w14:paraId="47B1C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61D46B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FF0000"/>
                <w:sz w:val="21"/>
                <w:szCs w:val="21"/>
                <w:u w:val="none"/>
              </w:rPr>
            </w:pPr>
            <w:r>
              <w:rPr>
                <w:rStyle w:val="60"/>
                <w:rFonts w:hint="eastAsia" w:ascii="宋体" w:hAnsi="宋体" w:eastAsia="宋体" w:cs="宋体"/>
                <w:i w:val="0"/>
                <w:iCs w:val="0"/>
                <w:sz w:val="21"/>
                <w:szCs w:val="21"/>
                <w:lang w:val="en-US" w:eastAsia="zh-CN"/>
              </w:rPr>
              <w:t>洛浦县十八届人民代表大会第五次会议经费项目绩</w:t>
            </w:r>
            <w:r>
              <w:rPr>
                <w:rStyle w:val="60"/>
                <w:rFonts w:hint="eastAsia" w:ascii="宋体" w:hAnsi="宋体" w:eastAsia="宋体" w:cs="宋体"/>
                <w:sz w:val="21"/>
                <w:szCs w:val="21"/>
                <w:lang w:val="en-US" w:eastAsia="zh-CN"/>
              </w:rPr>
              <w:t>效评价指标体系综合评分表</w:t>
            </w:r>
          </w:p>
        </w:tc>
      </w:tr>
      <w:tr w14:paraId="0A4E4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76" w:type="pct"/>
            <w:tcBorders>
              <w:top w:val="single" w:color="auto" w:sz="4" w:space="0"/>
              <w:left w:val="single" w:color="auto" w:sz="4" w:space="0"/>
              <w:bottom w:val="single" w:color="auto" w:sz="4" w:space="0"/>
              <w:right w:val="single" w:color="auto" w:sz="4" w:space="0"/>
            </w:tcBorders>
            <w:noWrap w:val="0"/>
            <w:vAlign w:val="center"/>
          </w:tcPr>
          <w:p w14:paraId="2A16C2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一级指标</w:t>
            </w:r>
          </w:p>
        </w:tc>
        <w:tc>
          <w:tcPr>
            <w:tcW w:w="231" w:type="pct"/>
            <w:tcBorders>
              <w:top w:val="single" w:color="auto" w:sz="4" w:space="0"/>
              <w:left w:val="single" w:color="auto" w:sz="4" w:space="0"/>
              <w:bottom w:val="single" w:color="auto" w:sz="4" w:space="0"/>
              <w:right w:val="single" w:color="auto" w:sz="4" w:space="0"/>
            </w:tcBorders>
            <w:noWrap w:val="0"/>
            <w:vAlign w:val="center"/>
          </w:tcPr>
          <w:p w14:paraId="355BD38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分值</w:t>
            </w:r>
          </w:p>
        </w:tc>
        <w:tc>
          <w:tcPr>
            <w:tcW w:w="242" w:type="pct"/>
            <w:tcBorders>
              <w:top w:val="single" w:color="auto" w:sz="4" w:space="0"/>
              <w:left w:val="single" w:color="auto" w:sz="4" w:space="0"/>
              <w:bottom w:val="single" w:color="auto" w:sz="4" w:space="0"/>
              <w:right w:val="single" w:color="auto" w:sz="4" w:space="0"/>
            </w:tcBorders>
            <w:noWrap w:val="0"/>
            <w:vAlign w:val="center"/>
          </w:tcPr>
          <w:p w14:paraId="11622FB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二级指标</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2CADEF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分值</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2D9313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三级指标</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7C114A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分值</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7AA6A2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指标解释</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34FA24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标杆值</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3AC44B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评分标准</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5A32D7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完成值</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5D8E79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得分</w:t>
            </w:r>
          </w:p>
        </w:tc>
      </w:tr>
      <w:tr w14:paraId="5F7BB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13" w:hRule="atLeast"/>
        </w:trPr>
        <w:tc>
          <w:tcPr>
            <w:tcW w:w="276" w:type="pct"/>
            <w:vMerge w:val="restart"/>
            <w:tcBorders>
              <w:top w:val="single" w:color="auto" w:sz="4" w:space="0"/>
              <w:left w:val="single" w:color="auto" w:sz="4" w:space="0"/>
              <w:bottom w:val="single" w:color="auto" w:sz="4" w:space="0"/>
              <w:right w:val="single" w:color="auto" w:sz="4" w:space="0"/>
            </w:tcBorders>
            <w:noWrap w:val="0"/>
            <w:vAlign w:val="center"/>
          </w:tcPr>
          <w:p w14:paraId="1243D7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项目决策</w:t>
            </w:r>
          </w:p>
        </w:tc>
        <w:tc>
          <w:tcPr>
            <w:tcW w:w="231" w:type="pct"/>
            <w:vMerge w:val="restart"/>
            <w:tcBorders>
              <w:top w:val="single" w:color="auto" w:sz="4" w:space="0"/>
              <w:left w:val="single" w:color="auto" w:sz="4" w:space="0"/>
              <w:bottom w:val="single" w:color="auto" w:sz="4" w:space="0"/>
              <w:right w:val="single" w:color="auto" w:sz="4" w:space="0"/>
            </w:tcBorders>
            <w:noWrap w:val="0"/>
            <w:vAlign w:val="center"/>
          </w:tcPr>
          <w:p w14:paraId="6743EB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20</w:t>
            </w:r>
          </w:p>
        </w:tc>
        <w:tc>
          <w:tcPr>
            <w:tcW w:w="242" w:type="pct"/>
            <w:vMerge w:val="restart"/>
            <w:tcBorders>
              <w:top w:val="single" w:color="auto" w:sz="4" w:space="0"/>
              <w:left w:val="single" w:color="auto" w:sz="4" w:space="0"/>
              <w:bottom w:val="single" w:color="auto" w:sz="4" w:space="0"/>
              <w:right w:val="single" w:color="auto" w:sz="4" w:space="0"/>
            </w:tcBorders>
            <w:noWrap w:val="0"/>
            <w:vAlign w:val="center"/>
          </w:tcPr>
          <w:p w14:paraId="4BDFAD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项目立项</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34DC15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60A92E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立项依据充分性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3C76FA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3E9FC8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项目立项是否符合法律法规、相关政策、发展规划以及部门职责，用以反映和考核项目立项依据情况。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08B06E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充分</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6A64580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①项目立项是否符合国家法律法规、国民经济发展规划和相关政策；</w:t>
            </w:r>
          </w:p>
          <w:p w14:paraId="5B992F1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②项目立项是否符合行业发展规划和政策要求；</w:t>
            </w:r>
          </w:p>
          <w:p w14:paraId="5756B9B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③项目立项是否与部门职责范围相符，</w:t>
            </w:r>
            <w:bookmarkStart w:id="23" w:name="_GoBack"/>
            <w:bookmarkEnd w:id="23"/>
            <w:r>
              <w:rPr>
                <w:rFonts w:hint="eastAsia" w:ascii="宋体" w:hAnsi="宋体" w:eastAsia="宋体" w:cs="宋体"/>
                <w:i w:val="0"/>
                <w:iCs w:val="0"/>
                <w:color w:val="000000"/>
                <w:kern w:val="0"/>
                <w:sz w:val="21"/>
                <w:szCs w:val="21"/>
                <w:u w:val="none"/>
                <w:lang w:val="en-US" w:eastAsia="zh-CN"/>
              </w:rPr>
              <w:t>属于部门履职所需；</w:t>
            </w:r>
          </w:p>
          <w:p w14:paraId="58A454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④项目是否属于公共财政支持范围，是否符合中央、地方事权支出责任划分原则；</w:t>
            </w:r>
          </w:p>
          <w:p w14:paraId="7237383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⑤项目是否与相关部门同类项目或部门内部相关项目重复。</w:t>
            </w:r>
          </w:p>
          <w:p w14:paraId="7FC19F8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以上每条要素占权重分的20%，每有一条不符合，扣除对应权重分，扣完为止。</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22643A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充分</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508F962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w:t>
            </w:r>
          </w:p>
        </w:tc>
      </w:tr>
      <w:tr w14:paraId="5AC73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7"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4D3754C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429DE47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67C8803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2BFFCD9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tcBorders>
              <w:top w:val="single" w:color="auto" w:sz="4" w:space="0"/>
              <w:left w:val="single" w:color="auto" w:sz="4" w:space="0"/>
              <w:bottom w:val="single" w:color="auto" w:sz="4" w:space="0"/>
              <w:right w:val="single" w:color="auto" w:sz="4" w:space="0"/>
            </w:tcBorders>
            <w:noWrap w:val="0"/>
            <w:vAlign w:val="center"/>
          </w:tcPr>
          <w:p w14:paraId="2F4167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立项程序规范性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1ADB8C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13530B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项目申请、设立过程是否符合相关要求，用以反映和考核项目立项的规范情况。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59CF95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规范</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63BC3A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①项目是否按照规定的程序申请设立；</w:t>
            </w:r>
          </w:p>
          <w:p w14:paraId="72736E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②审批文件、材料是否符合相关要求；</w:t>
            </w:r>
          </w:p>
          <w:p w14:paraId="518D37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③事前是否已经过必要的可行性研究、专家论证、风险评估、绩效评估、集体决策。</w:t>
            </w:r>
          </w:p>
          <w:p w14:paraId="773F91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①②③齐全得权重分的100%，缺①扣权重分的40%，缺②扣权重分的30%，缺③扣权重分的30%。</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271038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规范</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418BD4E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w:t>
            </w:r>
          </w:p>
        </w:tc>
      </w:tr>
      <w:tr w14:paraId="456B6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5"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2736F25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6EC801F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restart"/>
            <w:tcBorders>
              <w:top w:val="single" w:color="auto" w:sz="4" w:space="0"/>
              <w:left w:val="single" w:color="auto" w:sz="4" w:space="0"/>
              <w:bottom w:val="single" w:color="auto" w:sz="4" w:space="0"/>
              <w:right w:val="single" w:color="auto" w:sz="4" w:space="0"/>
            </w:tcBorders>
            <w:noWrap w:val="0"/>
            <w:vAlign w:val="center"/>
          </w:tcPr>
          <w:p w14:paraId="54338B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绩效目标</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3C614F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222628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绩效目标合理性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4AACD9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15E244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项目所设定的绩效目标是否依据充分，是否符合客观实际，用以反映和考核项目绩效目标与项目实施的相符情况。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62613A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33D6C3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①项目是否有绩效目标；</w:t>
            </w:r>
          </w:p>
          <w:p w14:paraId="352F69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②项目绩效目标与实际工作内容是否具有相关性；</w:t>
            </w:r>
          </w:p>
          <w:p w14:paraId="667A6D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③项目预期产出效益和效果是否符合正常的业绩水平；</w:t>
            </w:r>
          </w:p>
          <w:p w14:paraId="022497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④是否与预算确定的项目投资额或资金量相匹配。</w:t>
            </w:r>
          </w:p>
          <w:p w14:paraId="7BE2E2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以上每条要素各占权重的25%，每有一条不符合，扣除对应的权重分，扣完为止。</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76F40E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A5498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3EC05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6"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4CBAE00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3142552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140652B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1FE0F69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tcBorders>
              <w:top w:val="single" w:color="auto" w:sz="4" w:space="0"/>
              <w:left w:val="single" w:color="auto" w:sz="4" w:space="0"/>
              <w:bottom w:val="single" w:color="auto" w:sz="4" w:space="0"/>
              <w:right w:val="single" w:color="auto" w:sz="4" w:space="0"/>
            </w:tcBorders>
            <w:noWrap w:val="0"/>
            <w:vAlign w:val="center"/>
          </w:tcPr>
          <w:p w14:paraId="0E2FD5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绩效指标明确性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1D8941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059F42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依据绩效目标设定的绩效指标是否清晰、细化、可衡量等，用以反映和考核项目绩效目标的明细化情况。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1D14B8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明确</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5C984E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①是否将项目绩效目标细化分解为具体的绩效指标；</w:t>
            </w:r>
          </w:p>
          <w:p w14:paraId="56CBED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②是否通过清晰、可衡量的指标值予以体现；</w:t>
            </w:r>
          </w:p>
          <w:p w14:paraId="46905E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③是否与项目目标任务数或计划数相对应。</w:t>
            </w:r>
          </w:p>
          <w:p w14:paraId="7D39BB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①②③齐全得权重分的100%，缺①扣权重分的20%，缺②扣权重分的50%，缺③扣权重分的30%。</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008C6C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明确</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C6F093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093073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3"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35C7531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05BD7AB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restart"/>
            <w:tcBorders>
              <w:top w:val="single" w:color="auto" w:sz="4" w:space="0"/>
              <w:left w:val="single" w:color="auto" w:sz="4" w:space="0"/>
              <w:bottom w:val="single" w:color="auto" w:sz="4" w:space="0"/>
              <w:right w:val="single" w:color="auto" w:sz="4" w:space="0"/>
            </w:tcBorders>
            <w:noWrap w:val="0"/>
            <w:vAlign w:val="center"/>
          </w:tcPr>
          <w:p w14:paraId="73AA4E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资金投入</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3D7632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323BFF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预算编制科学性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0AEE29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76EB2F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项目预算编制是否经过科学论证、有明确标准，资金额度与年度目标是否相适应，用以反映和考核项目预算编制的科学性、合理性情况。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61BB08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科学</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1AC95F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①预算编制是否经过科学论证；</w:t>
            </w:r>
          </w:p>
          <w:p w14:paraId="16C2FF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②预算内容与项目内容是否匹配；</w:t>
            </w:r>
          </w:p>
          <w:p w14:paraId="45DCAD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③预算额度测算依据是否充分，是否按照标准编制；</w:t>
            </w:r>
          </w:p>
          <w:p w14:paraId="0C3340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④预算确定的项目投资额或资金量是否与工作任务相匹配。</w:t>
            </w:r>
          </w:p>
          <w:p w14:paraId="601396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以上每条要素各占权重的25%，每有一条不符合，扣除对应的权重分，扣完为止。</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509072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科学</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7FB622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493B3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3"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3AEB87B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2F9FDF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651F7B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2A41CAF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tcBorders>
              <w:top w:val="single" w:color="auto" w:sz="4" w:space="0"/>
              <w:left w:val="single" w:color="auto" w:sz="4" w:space="0"/>
              <w:bottom w:val="single" w:color="auto" w:sz="4" w:space="0"/>
              <w:right w:val="single" w:color="auto" w:sz="4" w:space="0"/>
            </w:tcBorders>
            <w:noWrap w:val="0"/>
            <w:vAlign w:val="center"/>
          </w:tcPr>
          <w:p w14:paraId="4D8DC2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资金分配合理性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10CC03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65EAF6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项目预算资金分配是否有测算依据，与补助单位或地方实际是否相适应，用以反映和考核项目预算资金分配的科学性、合理性情况。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497D83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4EDFCB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①预算资金分配依据是否充分；</w:t>
            </w:r>
          </w:p>
          <w:p w14:paraId="0A21A1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②资金分配额度是否合理，与项目单位或地方实际是否相适应。</w:t>
            </w:r>
          </w:p>
          <w:p w14:paraId="102CE3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以上每条要素各占权重的50%，每有一条不符合，扣除对应的权重分，扣完为止。</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55CE4D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2A96534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7DDB0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276" w:type="pct"/>
            <w:vMerge w:val="restart"/>
            <w:tcBorders>
              <w:top w:val="single" w:color="auto" w:sz="4" w:space="0"/>
              <w:left w:val="single" w:color="auto" w:sz="4" w:space="0"/>
              <w:bottom w:val="single" w:color="auto" w:sz="4" w:space="0"/>
              <w:right w:val="single" w:color="auto" w:sz="4" w:space="0"/>
            </w:tcBorders>
            <w:noWrap w:val="0"/>
            <w:vAlign w:val="center"/>
          </w:tcPr>
          <w:p w14:paraId="03AED4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项目过程</w:t>
            </w:r>
          </w:p>
        </w:tc>
        <w:tc>
          <w:tcPr>
            <w:tcW w:w="231" w:type="pct"/>
            <w:vMerge w:val="restart"/>
            <w:tcBorders>
              <w:top w:val="single" w:color="auto" w:sz="4" w:space="0"/>
              <w:left w:val="single" w:color="auto" w:sz="4" w:space="0"/>
              <w:bottom w:val="single" w:color="auto" w:sz="4" w:space="0"/>
              <w:right w:val="single" w:color="auto" w:sz="4" w:space="0"/>
            </w:tcBorders>
            <w:noWrap w:val="0"/>
            <w:vAlign w:val="center"/>
          </w:tcPr>
          <w:p w14:paraId="3252C0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20</w:t>
            </w:r>
          </w:p>
        </w:tc>
        <w:tc>
          <w:tcPr>
            <w:tcW w:w="242" w:type="pct"/>
            <w:vMerge w:val="restart"/>
            <w:tcBorders>
              <w:top w:val="single" w:color="auto" w:sz="4" w:space="0"/>
              <w:left w:val="single" w:color="auto" w:sz="4" w:space="0"/>
              <w:bottom w:val="single" w:color="auto" w:sz="4" w:space="0"/>
              <w:right w:val="single" w:color="auto" w:sz="4" w:space="0"/>
            </w:tcBorders>
            <w:noWrap w:val="0"/>
            <w:vAlign w:val="center"/>
          </w:tcPr>
          <w:p w14:paraId="4A1BD7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资金管理</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54AB66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6057E8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资金到位率</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782A36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1ABC00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实际到位资金与预算资金的比率，用以反映和考核资金落实情况对项目实施的总体保障程度。</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5BB733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201FFB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资金到位率=（实际到位资金/预算资金）×100%。</w:t>
            </w:r>
          </w:p>
          <w:p w14:paraId="7650E8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资金到位率=100%，得权重分满分，每降低1%，扣除5%权重分，扣完为止。</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7028678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07A2AB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0D047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7"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418D87D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1C77D24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14EA250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004B13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tcBorders>
              <w:top w:val="single" w:color="auto" w:sz="4" w:space="0"/>
              <w:left w:val="single" w:color="auto" w:sz="4" w:space="0"/>
              <w:bottom w:val="single" w:color="auto" w:sz="4" w:space="0"/>
              <w:right w:val="single" w:color="auto" w:sz="4" w:space="0"/>
            </w:tcBorders>
            <w:noWrap w:val="0"/>
            <w:vAlign w:val="center"/>
          </w:tcPr>
          <w:p w14:paraId="1010388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预算执行率</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087D00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3C75F2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项目预算资金是否按照计划执行，用以反映或考核项目预算执行情况。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463396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40EF0D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预算执行率=（实际支出资金/实际到位资金）×100%。</w:t>
            </w:r>
          </w:p>
          <w:p w14:paraId="278727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预算执行率=100%，得权重分满分；若预算执行率＜100%，得分=预算执行率*分值；若执行率≤60%，则不得分。</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5ED6B6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和预算执行率保持一致</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2EC6942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w:t>
            </w:r>
          </w:p>
        </w:tc>
      </w:tr>
      <w:tr w14:paraId="3990B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2"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472B8F4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3E9F87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667268B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4C5AB23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tcBorders>
              <w:top w:val="single" w:color="auto" w:sz="4" w:space="0"/>
              <w:left w:val="single" w:color="auto" w:sz="4" w:space="0"/>
              <w:bottom w:val="single" w:color="auto" w:sz="4" w:space="0"/>
              <w:right w:val="single" w:color="auto" w:sz="4" w:space="0"/>
            </w:tcBorders>
            <w:noWrap w:val="0"/>
            <w:vAlign w:val="center"/>
          </w:tcPr>
          <w:p w14:paraId="5C3E8A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资金使用合规性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2DC404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0013A2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项目资金使用是否符合相关的财务管理制度规定，用以反映和考核项目资金的规范运行情况。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1E63219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合规</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043196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①否符合国家财经法规和财务管理制度以及有关专项资金管理办法的规定；</w:t>
            </w:r>
          </w:p>
          <w:p w14:paraId="6BA5A8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②资金的拨付是否有完整的审批程序和手续；</w:t>
            </w:r>
          </w:p>
          <w:p w14:paraId="6EE2CA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③是否符合项目预算批复或合同规定的用途；</w:t>
            </w:r>
          </w:p>
          <w:p w14:paraId="15A72A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④是否存在截留、挤占、挪用、虚列支出等情况。</w:t>
            </w:r>
          </w:p>
          <w:p w14:paraId="0F7C3A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以上每条指标各占权重分的25%，要素①②不符合，扣除对应权重分；要素③④不符合属于重大违纪，该指标不得分。</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42E21DD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合规</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2BF8879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3C3FE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9"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25EA773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425B16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restart"/>
            <w:tcBorders>
              <w:top w:val="single" w:color="auto" w:sz="4" w:space="0"/>
              <w:left w:val="single" w:color="auto" w:sz="4" w:space="0"/>
              <w:bottom w:val="single" w:color="auto" w:sz="4" w:space="0"/>
              <w:right w:val="single" w:color="auto" w:sz="4" w:space="0"/>
            </w:tcBorders>
            <w:noWrap w:val="0"/>
            <w:vAlign w:val="center"/>
          </w:tcPr>
          <w:p w14:paraId="5B5396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组织实施</w:t>
            </w:r>
          </w:p>
        </w:tc>
        <w:tc>
          <w:tcPr>
            <w:tcW w:w="197" w:type="pct"/>
            <w:vMerge w:val="restart"/>
            <w:tcBorders>
              <w:top w:val="single" w:color="auto" w:sz="4" w:space="0"/>
              <w:left w:val="single" w:color="auto" w:sz="4" w:space="0"/>
              <w:bottom w:val="single" w:color="auto" w:sz="4" w:space="0"/>
              <w:right w:val="single" w:color="auto" w:sz="4" w:space="0"/>
            </w:tcBorders>
            <w:noWrap w:val="0"/>
            <w:vAlign w:val="center"/>
          </w:tcPr>
          <w:p w14:paraId="208193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562C4C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管理制度健全性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2F370A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658316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项目实施单位的财务和业务管理制度是否健全，用以反映和考核财务和业务管理制度对项目顺利实施的保障情况。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6397EE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健全</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7A519A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①是否已制定或具有相应的财务和业务管理制度；</w:t>
            </w:r>
          </w:p>
          <w:p w14:paraId="143890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②财务和业务管理制度是否合法、合规、完整。</w:t>
            </w:r>
          </w:p>
          <w:p w14:paraId="0DCF55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以上每条要素各占权重的50%，每有一条不符合，扣除对应的权重分，扣完为止。</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180E4C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健全</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4369A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55FAC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09DD4C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431795D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0B45736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3FD5935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tcBorders>
              <w:top w:val="single" w:color="auto" w:sz="4" w:space="0"/>
              <w:left w:val="single" w:color="auto" w:sz="4" w:space="0"/>
              <w:bottom w:val="single" w:color="auto" w:sz="4" w:space="0"/>
              <w:right w:val="single" w:color="auto" w:sz="4" w:space="0"/>
            </w:tcBorders>
            <w:noWrap w:val="0"/>
            <w:vAlign w:val="center"/>
          </w:tcPr>
          <w:p w14:paraId="4E9BFC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制度执行有效性</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5B4840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5B278F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项目实施是否符合相关管理规定，用以反映和考核相关管理制度的有效执行情况。</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1F2816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有效</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6D6DCA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①否遵守相关法律法规和相关管理规定；</w:t>
            </w:r>
          </w:p>
          <w:p w14:paraId="3A0835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②项目调整及支出调整手续是否完备；</w:t>
            </w:r>
          </w:p>
          <w:p w14:paraId="40735E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③项目资料是否齐全并及时归档。</w:t>
            </w:r>
          </w:p>
          <w:p w14:paraId="2E2D89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①②③齐全得权重分的100%，缺①扣权重分的30%，缺②扣权重分的40%，缺③扣权重分的30%。</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33044A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有效</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238066F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39BA9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trPr>
        <w:tc>
          <w:tcPr>
            <w:tcW w:w="276" w:type="pct"/>
            <w:vMerge w:val="restart"/>
            <w:tcBorders>
              <w:top w:val="single" w:color="auto" w:sz="4" w:space="0"/>
              <w:left w:val="single" w:color="auto" w:sz="4" w:space="0"/>
              <w:right w:val="single" w:color="auto" w:sz="4" w:space="0"/>
            </w:tcBorders>
            <w:noWrap w:val="0"/>
            <w:vAlign w:val="center"/>
          </w:tcPr>
          <w:p w14:paraId="1D4147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项目产出</w:t>
            </w:r>
          </w:p>
        </w:tc>
        <w:tc>
          <w:tcPr>
            <w:tcW w:w="231" w:type="pct"/>
            <w:vMerge w:val="restart"/>
            <w:tcBorders>
              <w:top w:val="single" w:color="auto" w:sz="4" w:space="0"/>
              <w:left w:val="single" w:color="auto" w:sz="4" w:space="0"/>
              <w:right w:val="single" w:color="auto" w:sz="4" w:space="0"/>
            </w:tcBorders>
            <w:noWrap w:val="0"/>
            <w:vAlign w:val="center"/>
          </w:tcPr>
          <w:p w14:paraId="108B1E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40</w:t>
            </w:r>
          </w:p>
        </w:tc>
        <w:tc>
          <w:tcPr>
            <w:tcW w:w="242" w:type="pct"/>
            <w:vMerge w:val="restart"/>
            <w:tcBorders>
              <w:top w:val="single" w:color="auto" w:sz="4" w:space="0"/>
              <w:left w:val="single" w:color="auto" w:sz="4" w:space="0"/>
              <w:right w:val="single" w:color="auto" w:sz="4" w:space="0"/>
            </w:tcBorders>
            <w:noWrap w:val="0"/>
            <w:vAlign w:val="center"/>
          </w:tcPr>
          <w:p w14:paraId="6DC63D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产出数量</w:t>
            </w:r>
          </w:p>
        </w:tc>
        <w:tc>
          <w:tcPr>
            <w:tcW w:w="197" w:type="pct"/>
            <w:vMerge w:val="restart"/>
            <w:tcBorders>
              <w:top w:val="single" w:color="auto" w:sz="4" w:space="0"/>
              <w:left w:val="single" w:color="auto" w:sz="4" w:space="0"/>
              <w:right w:val="single" w:color="auto" w:sz="4" w:space="0"/>
            </w:tcBorders>
            <w:noWrap w:val="0"/>
            <w:vAlign w:val="center"/>
          </w:tcPr>
          <w:p w14:paraId="728772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307" w:type="pct"/>
            <w:vMerge w:val="restart"/>
            <w:tcBorders>
              <w:top w:val="single" w:color="auto" w:sz="4" w:space="0"/>
              <w:left w:val="single" w:color="auto" w:sz="4" w:space="0"/>
              <w:right w:val="single" w:color="auto" w:sz="4" w:space="0"/>
            </w:tcBorders>
            <w:noWrap w:val="0"/>
            <w:vAlign w:val="center"/>
          </w:tcPr>
          <w:p w14:paraId="67385A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实际完成率</w:t>
            </w:r>
          </w:p>
        </w:tc>
        <w:tc>
          <w:tcPr>
            <w:tcW w:w="249" w:type="pct"/>
            <w:vMerge w:val="restart"/>
            <w:tcBorders>
              <w:top w:val="single" w:color="auto" w:sz="4" w:space="0"/>
              <w:left w:val="single" w:color="auto" w:sz="4" w:space="0"/>
              <w:right w:val="single" w:color="auto" w:sz="4" w:space="0"/>
            </w:tcBorders>
            <w:noWrap w:val="0"/>
            <w:vAlign w:val="center"/>
          </w:tcPr>
          <w:p w14:paraId="29A1EE5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471451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eastAsia="zh-CN"/>
              </w:rPr>
            </w:pPr>
            <w:r>
              <w:rPr>
                <w:rFonts w:ascii="Arial" w:hAnsi="Arial" w:eastAsia="宋体" w:cs="Arial"/>
                <w:i w:val="0"/>
                <w:iCs w:val="0"/>
                <w:caps w:val="0"/>
                <w:color w:val="auto"/>
                <w:spacing w:val="0"/>
                <w:sz w:val="21"/>
                <w:szCs w:val="21"/>
                <w:shd w:val="clear" w:color="auto" w:fill="auto"/>
              </w:rPr>
              <w:t>保障参会人员数量</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45782F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eastAsia="zh-CN"/>
              </w:rPr>
            </w:pPr>
            <w:r>
              <w:rPr>
                <w:rFonts w:hint="eastAsia" w:ascii="Arial" w:hAnsi="Arial" w:eastAsia="宋体" w:cs="Arial"/>
                <w:i w:val="0"/>
                <w:iCs w:val="0"/>
                <w:caps w:val="0"/>
                <w:color w:val="auto"/>
                <w:spacing w:val="0"/>
                <w:sz w:val="19"/>
                <w:szCs w:val="19"/>
                <w:shd w:val="clear" w:color="auto" w:fill="auto"/>
                <w:lang w:eastAsia="zh-CN"/>
              </w:rPr>
              <w:t>≥</w:t>
            </w:r>
            <w:r>
              <w:rPr>
                <w:rFonts w:hint="eastAsia" w:ascii="宋体" w:hAnsi="宋体" w:eastAsia="宋体" w:cs="宋体"/>
                <w:i w:val="0"/>
                <w:iCs w:val="0"/>
                <w:color w:val="auto"/>
                <w:sz w:val="21"/>
                <w:szCs w:val="21"/>
                <w:u w:val="none"/>
                <w:shd w:val="clear" w:color="auto" w:fill="auto"/>
                <w:lang w:val="en-US" w:eastAsia="zh-CN"/>
              </w:rPr>
              <w:t>200</w:t>
            </w:r>
            <w:r>
              <w:rPr>
                <w:rFonts w:hint="eastAsia" w:ascii="宋体" w:hAnsi="宋体" w:eastAsia="宋体" w:cs="宋体"/>
                <w:i w:val="0"/>
                <w:iCs w:val="0"/>
                <w:color w:val="auto"/>
                <w:sz w:val="21"/>
                <w:szCs w:val="21"/>
                <w:u w:val="none"/>
                <w:lang w:val="en-US" w:eastAsia="zh-CN"/>
              </w:rPr>
              <w:t>人</w:t>
            </w:r>
          </w:p>
        </w:tc>
        <w:tc>
          <w:tcPr>
            <w:tcW w:w="1627" w:type="pct"/>
            <w:vMerge w:val="restart"/>
            <w:tcBorders>
              <w:top w:val="single" w:color="auto" w:sz="4" w:space="0"/>
              <w:left w:val="single" w:color="auto" w:sz="4" w:space="0"/>
              <w:right w:val="single" w:color="auto" w:sz="4" w:space="0"/>
            </w:tcBorders>
            <w:noWrap w:val="0"/>
            <w:vAlign w:val="center"/>
          </w:tcPr>
          <w:p w14:paraId="08576C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实际完成率=（实际完成/预期完成）×100%。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①实际完成率≥100%，且偏离程度＜20%，得满分；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②实际完成率≥100%，偏离程度≥20%，得0分；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③实际完成率×100%＜100%，得分=实际完成率×指标分值。</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27B0CD1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=200人</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5EBC7F9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554C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276" w:type="pct"/>
            <w:vMerge w:val="continue"/>
            <w:tcBorders>
              <w:left w:val="single" w:color="auto" w:sz="4" w:space="0"/>
              <w:bottom w:val="single" w:color="auto" w:sz="4" w:space="0"/>
              <w:right w:val="single" w:color="auto" w:sz="4" w:space="0"/>
            </w:tcBorders>
            <w:noWrap w:val="0"/>
            <w:vAlign w:val="center"/>
          </w:tcPr>
          <w:p w14:paraId="460507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pPr>
          </w:p>
        </w:tc>
        <w:tc>
          <w:tcPr>
            <w:tcW w:w="231" w:type="pct"/>
            <w:vMerge w:val="continue"/>
            <w:tcBorders>
              <w:left w:val="single" w:color="auto" w:sz="4" w:space="0"/>
              <w:bottom w:val="single" w:color="auto" w:sz="4" w:space="0"/>
              <w:right w:val="single" w:color="auto" w:sz="4" w:space="0"/>
            </w:tcBorders>
            <w:noWrap w:val="0"/>
            <w:vAlign w:val="center"/>
          </w:tcPr>
          <w:p w14:paraId="4934C5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pPr>
          </w:p>
        </w:tc>
        <w:tc>
          <w:tcPr>
            <w:tcW w:w="242" w:type="pct"/>
            <w:vMerge w:val="continue"/>
            <w:tcBorders>
              <w:left w:val="single" w:color="auto" w:sz="4" w:space="0"/>
              <w:bottom w:val="single" w:color="auto" w:sz="4" w:space="0"/>
              <w:right w:val="single" w:color="auto" w:sz="4" w:space="0"/>
            </w:tcBorders>
            <w:noWrap w:val="0"/>
            <w:vAlign w:val="center"/>
          </w:tcPr>
          <w:p w14:paraId="127951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pPr>
          </w:p>
        </w:tc>
        <w:tc>
          <w:tcPr>
            <w:tcW w:w="197" w:type="pct"/>
            <w:vMerge w:val="continue"/>
            <w:tcBorders>
              <w:left w:val="single" w:color="auto" w:sz="4" w:space="0"/>
              <w:bottom w:val="single" w:color="auto" w:sz="4" w:space="0"/>
              <w:right w:val="single" w:color="auto" w:sz="4" w:space="0"/>
            </w:tcBorders>
            <w:noWrap w:val="0"/>
            <w:vAlign w:val="center"/>
          </w:tcPr>
          <w:p w14:paraId="133925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pPr>
          </w:p>
        </w:tc>
        <w:tc>
          <w:tcPr>
            <w:tcW w:w="307" w:type="pct"/>
            <w:vMerge w:val="continue"/>
            <w:tcBorders>
              <w:left w:val="single" w:color="auto" w:sz="4" w:space="0"/>
              <w:bottom w:val="single" w:color="auto" w:sz="4" w:space="0"/>
              <w:right w:val="single" w:color="auto" w:sz="4" w:space="0"/>
            </w:tcBorders>
            <w:noWrap w:val="0"/>
            <w:vAlign w:val="center"/>
          </w:tcPr>
          <w:p w14:paraId="7CBC47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pPr>
          </w:p>
        </w:tc>
        <w:tc>
          <w:tcPr>
            <w:tcW w:w="249" w:type="pct"/>
            <w:vMerge w:val="continue"/>
            <w:tcBorders>
              <w:left w:val="single" w:color="auto" w:sz="4" w:space="0"/>
              <w:bottom w:val="single" w:color="auto" w:sz="4" w:space="0"/>
              <w:right w:val="single" w:color="auto" w:sz="4" w:space="0"/>
            </w:tcBorders>
            <w:noWrap w:val="0"/>
            <w:vAlign w:val="center"/>
          </w:tcPr>
          <w:p w14:paraId="1F71B2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24C2EA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eastAsia="zh-CN"/>
              </w:rPr>
            </w:pPr>
            <w:r>
              <w:rPr>
                <w:rFonts w:hint="eastAsia" w:ascii="宋体" w:hAnsi="宋体" w:eastAsia="宋体" w:cs="宋体"/>
                <w:i w:val="0"/>
                <w:iCs w:val="0"/>
                <w:caps w:val="0"/>
                <w:color w:val="auto"/>
                <w:spacing w:val="0"/>
                <w:sz w:val="21"/>
                <w:szCs w:val="21"/>
                <w:shd w:val="clear" w:color="auto" w:fill="auto"/>
              </w:rPr>
              <w:t>会议举行天数</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0737B5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lang w:eastAsia="zh-CN"/>
              </w:rPr>
              <w:t>≥</w:t>
            </w:r>
            <w:r>
              <w:rPr>
                <w:rFonts w:hint="eastAsia" w:ascii="宋体" w:hAnsi="宋体" w:eastAsia="宋体" w:cs="宋体"/>
                <w:i w:val="0"/>
                <w:iCs w:val="0"/>
                <w:caps w:val="0"/>
                <w:color w:val="auto"/>
                <w:spacing w:val="0"/>
                <w:sz w:val="21"/>
                <w:szCs w:val="21"/>
                <w:shd w:val="clear" w:color="auto" w:fill="auto"/>
                <w:lang w:val="en-US" w:eastAsia="zh-CN"/>
              </w:rPr>
              <w:t>2天半</w:t>
            </w:r>
          </w:p>
        </w:tc>
        <w:tc>
          <w:tcPr>
            <w:tcW w:w="1627" w:type="pct"/>
            <w:vMerge w:val="continue"/>
            <w:tcBorders>
              <w:left w:val="single" w:color="auto" w:sz="4" w:space="0"/>
              <w:bottom w:val="single" w:color="auto" w:sz="4" w:space="0"/>
              <w:right w:val="single" w:color="auto" w:sz="4" w:space="0"/>
            </w:tcBorders>
            <w:noWrap w:val="0"/>
            <w:vAlign w:val="center"/>
          </w:tcPr>
          <w:p w14:paraId="6E10B5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rPr>
                <w:rFonts w:hint="eastAsia" w:ascii="宋体" w:hAnsi="宋体" w:eastAsia="宋体" w:cs="宋体"/>
                <w:i w:val="0"/>
                <w:iCs w:val="0"/>
                <w:color w:val="auto"/>
                <w:sz w:val="21"/>
                <w:szCs w:val="21"/>
                <w:u w:val="none"/>
                <w:lang w:eastAsia="zh-CN"/>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3387E5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=5天</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2FB16C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5A45C5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3"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5ACB62A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4335E13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tcBorders>
              <w:top w:val="single" w:color="auto" w:sz="4" w:space="0"/>
              <w:left w:val="single" w:color="auto" w:sz="4" w:space="0"/>
              <w:bottom w:val="single" w:color="auto" w:sz="4" w:space="0"/>
              <w:right w:val="single" w:color="auto" w:sz="4" w:space="0"/>
            </w:tcBorders>
            <w:noWrap w:val="0"/>
            <w:vAlign w:val="center"/>
          </w:tcPr>
          <w:p w14:paraId="040EE0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产出质量</w:t>
            </w:r>
          </w:p>
        </w:tc>
        <w:tc>
          <w:tcPr>
            <w:tcW w:w="197" w:type="pct"/>
            <w:tcBorders>
              <w:top w:val="single" w:color="auto" w:sz="4" w:space="0"/>
              <w:left w:val="single" w:color="auto" w:sz="4" w:space="0"/>
              <w:bottom w:val="single" w:color="auto" w:sz="4" w:space="0"/>
              <w:right w:val="single" w:color="auto" w:sz="4" w:space="0"/>
            </w:tcBorders>
            <w:noWrap w:val="0"/>
            <w:vAlign w:val="center"/>
          </w:tcPr>
          <w:p w14:paraId="0182D2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7AB272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质量达标率</w:t>
            </w:r>
          </w:p>
        </w:tc>
        <w:tc>
          <w:tcPr>
            <w:tcW w:w="249" w:type="pct"/>
            <w:tcBorders>
              <w:top w:val="single" w:color="auto" w:sz="4" w:space="0"/>
              <w:left w:val="single" w:color="auto" w:sz="4" w:space="0"/>
              <w:bottom w:val="single" w:color="auto" w:sz="4" w:space="0"/>
              <w:right w:val="single" w:color="auto" w:sz="4" w:space="0"/>
            </w:tcBorders>
            <w:noWrap w:val="0"/>
            <w:vAlign w:val="center"/>
          </w:tcPr>
          <w:p w14:paraId="5F70E7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1A58A5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lang w:val="en-US" w:eastAsia="zh-CN"/>
              </w:rPr>
              <w:t>代表参会率</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5CA314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lang w:eastAsia="zh-CN"/>
              </w:rPr>
              <w:t>≥</w:t>
            </w:r>
            <w:r>
              <w:rPr>
                <w:rFonts w:hint="eastAsia" w:ascii="宋体" w:hAnsi="宋体" w:eastAsia="宋体" w:cs="宋体"/>
                <w:i w:val="0"/>
                <w:iCs w:val="0"/>
                <w:caps w:val="0"/>
                <w:color w:val="auto"/>
                <w:spacing w:val="0"/>
                <w:sz w:val="21"/>
                <w:szCs w:val="21"/>
                <w:shd w:val="clear" w:color="auto" w:fill="auto"/>
                <w:lang w:val="en-US" w:eastAsia="zh-CN"/>
              </w:rPr>
              <w:t>95%</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4BE94A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若指标达到标杆值，则得100%权重分；否则，得分=（实际完成/预期完成）×100%×指标分值。</w:t>
            </w:r>
          </w:p>
          <w:p w14:paraId="532B6F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若指标完成值达到标杆值，则得100%权重分；否则，不得分。</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0D0F11A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10B6EF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r>
      <w:tr w14:paraId="513A0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4A4A0E9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2A1D399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restart"/>
            <w:tcBorders>
              <w:top w:val="single" w:color="auto" w:sz="4" w:space="0"/>
              <w:left w:val="single" w:color="auto" w:sz="4" w:space="0"/>
              <w:right w:val="single" w:color="auto" w:sz="4" w:space="0"/>
            </w:tcBorders>
            <w:noWrap w:val="0"/>
            <w:vAlign w:val="center"/>
          </w:tcPr>
          <w:p w14:paraId="2D3F9A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产出时效</w:t>
            </w:r>
          </w:p>
        </w:tc>
        <w:tc>
          <w:tcPr>
            <w:tcW w:w="197" w:type="pct"/>
            <w:vMerge w:val="restart"/>
            <w:tcBorders>
              <w:top w:val="single" w:color="auto" w:sz="4" w:space="0"/>
              <w:left w:val="single" w:color="auto" w:sz="4" w:space="0"/>
              <w:right w:val="single" w:color="auto" w:sz="4" w:space="0"/>
            </w:tcBorders>
            <w:noWrap w:val="0"/>
            <w:vAlign w:val="center"/>
          </w:tcPr>
          <w:p w14:paraId="397AA3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307" w:type="pct"/>
            <w:vMerge w:val="restart"/>
            <w:tcBorders>
              <w:top w:val="single" w:color="auto" w:sz="4" w:space="0"/>
              <w:left w:val="single" w:color="auto" w:sz="4" w:space="0"/>
              <w:right w:val="single" w:color="auto" w:sz="4" w:space="0"/>
            </w:tcBorders>
            <w:noWrap w:val="0"/>
            <w:vAlign w:val="center"/>
          </w:tcPr>
          <w:p w14:paraId="06803B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完成及时率</w:t>
            </w:r>
          </w:p>
        </w:tc>
        <w:tc>
          <w:tcPr>
            <w:tcW w:w="249" w:type="pct"/>
            <w:vMerge w:val="restart"/>
            <w:tcBorders>
              <w:top w:val="single" w:color="auto" w:sz="4" w:space="0"/>
              <w:left w:val="single" w:color="auto" w:sz="4" w:space="0"/>
              <w:right w:val="single" w:color="auto" w:sz="4" w:space="0"/>
            </w:tcBorders>
            <w:noWrap w:val="0"/>
            <w:vAlign w:val="center"/>
          </w:tcPr>
          <w:p w14:paraId="68511BC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686755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项目开始时间</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714C04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2024年1月</w:t>
            </w:r>
          </w:p>
        </w:tc>
        <w:tc>
          <w:tcPr>
            <w:tcW w:w="1627" w:type="pct"/>
            <w:vMerge w:val="restart"/>
            <w:tcBorders>
              <w:top w:val="single" w:color="auto" w:sz="4" w:space="0"/>
              <w:left w:val="single" w:color="auto" w:sz="4" w:space="0"/>
              <w:bottom w:val="single" w:color="auto" w:sz="4" w:space="0"/>
              <w:right w:val="single" w:color="auto" w:sz="4" w:space="0"/>
            </w:tcBorders>
            <w:noWrap w:val="0"/>
            <w:vAlign w:val="center"/>
          </w:tcPr>
          <w:p w14:paraId="04347D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若指标完成值达到标杆值，则得100%权重分；否则，得分=（实际完成/预期完成）×100%×指标分值。</w:t>
            </w:r>
          </w:p>
          <w:p w14:paraId="446678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若在规定时间内完成，得100%权重分；若未在规定的时间内完成，得分=（1-未在规定时间内完成工作数/实际完成工作总数）×分值。</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7BD999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rPr>
              <w:t>2024年1月</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294B8FD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299DA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03B9B4A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0F72C5B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2" w:type="pct"/>
            <w:vMerge w:val="continue"/>
            <w:tcBorders>
              <w:left w:val="single" w:color="auto" w:sz="4" w:space="0"/>
              <w:right w:val="single" w:color="auto" w:sz="4" w:space="0"/>
            </w:tcBorders>
            <w:noWrap w:val="0"/>
            <w:vAlign w:val="center"/>
          </w:tcPr>
          <w:p w14:paraId="4E87F42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right w:val="single" w:color="auto" w:sz="4" w:space="0"/>
            </w:tcBorders>
            <w:noWrap w:val="0"/>
            <w:vAlign w:val="center"/>
          </w:tcPr>
          <w:p w14:paraId="3199F48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307" w:type="pct"/>
            <w:vMerge w:val="continue"/>
            <w:tcBorders>
              <w:left w:val="single" w:color="auto" w:sz="4" w:space="0"/>
              <w:right w:val="single" w:color="auto" w:sz="4" w:space="0"/>
            </w:tcBorders>
            <w:noWrap w:val="0"/>
            <w:vAlign w:val="center"/>
          </w:tcPr>
          <w:p w14:paraId="651724F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9" w:type="pct"/>
            <w:vMerge w:val="continue"/>
            <w:tcBorders>
              <w:left w:val="single" w:color="auto" w:sz="4" w:space="0"/>
              <w:right w:val="single" w:color="auto" w:sz="4" w:space="0"/>
            </w:tcBorders>
            <w:noWrap w:val="0"/>
            <w:vAlign w:val="center"/>
          </w:tcPr>
          <w:p w14:paraId="7783899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04BF76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项目完成时间</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38A970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2024年</w:t>
            </w:r>
            <w:r>
              <w:rPr>
                <w:rFonts w:hint="eastAsia" w:ascii="宋体" w:hAnsi="宋体" w:eastAsia="宋体" w:cs="宋体"/>
                <w:i w:val="0"/>
                <w:iCs w:val="0"/>
                <w:caps w:val="0"/>
                <w:color w:val="auto"/>
                <w:spacing w:val="0"/>
                <w:sz w:val="21"/>
                <w:szCs w:val="21"/>
                <w:shd w:val="clear" w:color="auto" w:fill="auto"/>
                <w:lang w:val="en-US" w:eastAsia="zh-CN"/>
              </w:rPr>
              <w:t>12</w:t>
            </w:r>
            <w:r>
              <w:rPr>
                <w:rFonts w:hint="eastAsia" w:ascii="宋体" w:hAnsi="宋体" w:eastAsia="宋体" w:cs="宋体"/>
                <w:i w:val="0"/>
                <w:iCs w:val="0"/>
                <w:caps w:val="0"/>
                <w:color w:val="auto"/>
                <w:spacing w:val="0"/>
                <w:sz w:val="21"/>
                <w:szCs w:val="21"/>
                <w:shd w:val="clear" w:color="auto" w:fill="auto"/>
              </w:rPr>
              <w:t>月</w:t>
            </w:r>
          </w:p>
        </w:tc>
        <w:tc>
          <w:tcPr>
            <w:tcW w:w="1627" w:type="pct"/>
            <w:vMerge w:val="continue"/>
            <w:tcBorders>
              <w:top w:val="single" w:color="auto" w:sz="4" w:space="0"/>
              <w:left w:val="single" w:color="auto" w:sz="4" w:space="0"/>
              <w:bottom w:val="single" w:color="auto" w:sz="4" w:space="0"/>
              <w:right w:val="single" w:color="auto" w:sz="4" w:space="0"/>
            </w:tcBorders>
            <w:noWrap w:val="0"/>
            <w:vAlign w:val="center"/>
          </w:tcPr>
          <w:p w14:paraId="4DD64F8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50719B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rPr>
              <w:t>2024年</w:t>
            </w:r>
            <w:r>
              <w:rPr>
                <w:rFonts w:hint="eastAsia" w:ascii="宋体" w:hAnsi="宋体" w:eastAsia="宋体" w:cs="宋体"/>
                <w:i w:val="0"/>
                <w:iCs w:val="0"/>
                <w:caps w:val="0"/>
                <w:color w:val="auto"/>
                <w:spacing w:val="0"/>
                <w:sz w:val="21"/>
                <w:szCs w:val="21"/>
                <w:shd w:val="clear" w:color="auto" w:fill="auto"/>
                <w:lang w:val="en-US" w:eastAsia="zh-CN"/>
              </w:rPr>
              <w:t>12</w:t>
            </w:r>
            <w:r>
              <w:rPr>
                <w:rFonts w:hint="eastAsia" w:ascii="宋体" w:hAnsi="宋体" w:eastAsia="宋体" w:cs="宋体"/>
                <w:i w:val="0"/>
                <w:iCs w:val="0"/>
                <w:caps w:val="0"/>
                <w:color w:val="auto"/>
                <w:spacing w:val="0"/>
                <w:sz w:val="21"/>
                <w:szCs w:val="21"/>
                <w:shd w:val="clear" w:color="auto" w:fill="auto"/>
              </w:rPr>
              <w:t>月</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EBD121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10305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 w:type="pct"/>
            <w:vMerge w:val="continue"/>
            <w:tcBorders>
              <w:left w:val="single" w:color="auto" w:sz="4" w:space="0"/>
              <w:bottom w:val="single" w:color="auto" w:sz="4" w:space="0"/>
              <w:right w:val="single" w:color="auto" w:sz="4" w:space="0"/>
            </w:tcBorders>
            <w:noWrap w:val="0"/>
            <w:vAlign w:val="center"/>
          </w:tcPr>
          <w:p w14:paraId="281FFEF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left w:val="single" w:color="auto" w:sz="4" w:space="0"/>
              <w:bottom w:val="single" w:color="auto" w:sz="4" w:space="0"/>
              <w:right w:val="single" w:color="auto" w:sz="4" w:space="0"/>
            </w:tcBorders>
            <w:noWrap w:val="0"/>
            <w:vAlign w:val="center"/>
          </w:tcPr>
          <w:p w14:paraId="5E3465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left w:val="single" w:color="auto" w:sz="4" w:space="0"/>
              <w:bottom w:val="single" w:color="auto" w:sz="4" w:space="0"/>
              <w:right w:val="single" w:color="auto" w:sz="4" w:space="0"/>
            </w:tcBorders>
            <w:noWrap w:val="0"/>
            <w:vAlign w:val="center"/>
          </w:tcPr>
          <w:p w14:paraId="1407CC5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left w:val="single" w:color="auto" w:sz="4" w:space="0"/>
              <w:bottom w:val="single" w:color="auto" w:sz="4" w:space="0"/>
              <w:right w:val="single" w:color="auto" w:sz="4" w:space="0"/>
            </w:tcBorders>
            <w:noWrap w:val="0"/>
            <w:vAlign w:val="center"/>
          </w:tcPr>
          <w:p w14:paraId="26CF31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vMerge w:val="continue"/>
            <w:tcBorders>
              <w:left w:val="single" w:color="auto" w:sz="4" w:space="0"/>
              <w:bottom w:val="single" w:color="auto" w:sz="4" w:space="0"/>
              <w:right w:val="single" w:color="auto" w:sz="4" w:space="0"/>
            </w:tcBorders>
            <w:noWrap w:val="0"/>
            <w:vAlign w:val="center"/>
          </w:tcPr>
          <w:p w14:paraId="2999721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9" w:type="pct"/>
            <w:vMerge w:val="continue"/>
            <w:tcBorders>
              <w:left w:val="single" w:color="auto" w:sz="4" w:space="0"/>
              <w:bottom w:val="single" w:color="auto" w:sz="4" w:space="0"/>
              <w:right w:val="single" w:color="auto" w:sz="4" w:space="0"/>
            </w:tcBorders>
            <w:noWrap w:val="0"/>
            <w:vAlign w:val="center"/>
          </w:tcPr>
          <w:p w14:paraId="13DE01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194491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资金支付及时率</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384F95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=100%</w:t>
            </w:r>
          </w:p>
        </w:tc>
        <w:tc>
          <w:tcPr>
            <w:tcW w:w="1627" w:type="pct"/>
            <w:vMerge w:val="continue"/>
            <w:tcBorders>
              <w:top w:val="single" w:color="auto" w:sz="4" w:space="0"/>
              <w:left w:val="single" w:color="auto" w:sz="4" w:space="0"/>
              <w:bottom w:val="single" w:color="auto" w:sz="4" w:space="0"/>
              <w:right w:val="single" w:color="auto" w:sz="4" w:space="0"/>
            </w:tcBorders>
            <w:noWrap w:val="0"/>
            <w:vAlign w:val="center"/>
          </w:tcPr>
          <w:p w14:paraId="7CBD920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355019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rPr>
              <w:t>100%</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56E4674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r>
      <w:tr w14:paraId="2477F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1"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232F2FD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208DFC7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restart"/>
            <w:tcBorders>
              <w:top w:val="single" w:color="auto" w:sz="4" w:space="0"/>
              <w:left w:val="single" w:color="auto" w:sz="4" w:space="0"/>
              <w:right w:val="single" w:color="auto" w:sz="4" w:space="0"/>
            </w:tcBorders>
            <w:noWrap w:val="0"/>
            <w:vAlign w:val="center"/>
          </w:tcPr>
          <w:p w14:paraId="448B9C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产出成本</w:t>
            </w:r>
          </w:p>
        </w:tc>
        <w:tc>
          <w:tcPr>
            <w:tcW w:w="197" w:type="pct"/>
            <w:vMerge w:val="restart"/>
            <w:tcBorders>
              <w:top w:val="single" w:color="auto" w:sz="4" w:space="0"/>
              <w:left w:val="single" w:color="auto" w:sz="4" w:space="0"/>
              <w:right w:val="single" w:color="auto" w:sz="4" w:space="0"/>
            </w:tcBorders>
            <w:noWrap w:val="0"/>
            <w:vAlign w:val="center"/>
          </w:tcPr>
          <w:p w14:paraId="01AB94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307" w:type="pct"/>
            <w:vMerge w:val="restart"/>
            <w:tcBorders>
              <w:top w:val="single" w:color="auto" w:sz="4" w:space="0"/>
              <w:left w:val="single" w:color="auto" w:sz="4" w:space="0"/>
              <w:right w:val="single" w:color="auto" w:sz="4" w:space="0"/>
            </w:tcBorders>
            <w:noWrap w:val="0"/>
            <w:vAlign w:val="center"/>
          </w:tcPr>
          <w:p w14:paraId="0B7180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成本节约率</w:t>
            </w:r>
          </w:p>
        </w:tc>
        <w:tc>
          <w:tcPr>
            <w:tcW w:w="249" w:type="pct"/>
            <w:vMerge w:val="restart"/>
            <w:tcBorders>
              <w:top w:val="single" w:color="auto" w:sz="4" w:space="0"/>
              <w:left w:val="single" w:color="auto" w:sz="4" w:space="0"/>
              <w:right w:val="single" w:color="auto" w:sz="4" w:space="0"/>
            </w:tcBorders>
            <w:noWrap w:val="0"/>
            <w:vAlign w:val="center"/>
          </w:tcPr>
          <w:p w14:paraId="2037A3F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480467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2020年人大会议</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1A653D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&lt;=</w:t>
            </w:r>
            <w:r>
              <w:rPr>
                <w:rFonts w:hint="eastAsia" w:ascii="宋体" w:hAnsi="宋体" w:eastAsia="宋体" w:cs="宋体"/>
                <w:i w:val="0"/>
                <w:iCs w:val="0"/>
                <w:caps w:val="0"/>
                <w:color w:val="auto"/>
                <w:spacing w:val="0"/>
                <w:sz w:val="21"/>
                <w:szCs w:val="21"/>
                <w:shd w:val="clear" w:color="auto" w:fill="auto"/>
                <w:lang w:val="en-US" w:eastAsia="zh-CN"/>
              </w:rPr>
              <w:t>8.49</w:t>
            </w:r>
            <w:r>
              <w:rPr>
                <w:rFonts w:hint="eastAsia" w:ascii="宋体" w:hAnsi="宋体" w:eastAsia="宋体" w:cs="宋体"/>
                <w:i w:val="0"/>
                <w:iCs w:val="0"/>
                <w:caps w:val="0"/>
                <w:color w:val="auto"/>
                <w:spacing w:val="0"/>
                <w:sz w:val="21"/>
                <w:szCs w:val="21"/>
                <w:shd w:val="clear" w:color="auto" w:fill="auto"/>
              </w:rPr>
              <w:t>万元</w:t>
            </w:r>
          </w:p>
        </w:tc>
        <w:tc>
          <w:tcPr>
            <w:tcW w:w="1627" w:type="pct"/>
            <w:vMerge w:val="restart"/>
            <w:tcBorders>
              <w:top w:val="single" w:color="auto" w:sz="4" w:space="0"/>
              <w:left w:val="single" w:color="auto" w:sz="4" w:space="0"/>
              <w:right w:val="single" w:color="auto" w:sz="4" w:space="0"/>
            </w:tcBorders>
            <w:noWrap w:val="0"/>
            <w:vAlign w:val="center"/>
          </w:tcPr>
          <w:p w14:paraId="04DEBC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实际完成率=（实际支付资金数/计划应支付资金数）×100%。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①实际完成率＞年度指标值，得0得分；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②实际完成率≤年度指标值，且偏离程度＜20%，得满分；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③实际完成率＜年度指标值，且偏离程度≥20%，得分=实际完成率×分值。</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5E9A20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w:t>
            </w:r>
            <w:r>
              <w:rPr>
                <w:rFonts w:hint="eastAsia" w:ascii="宋体" w:hAnsi="宋体" w:eastAsia="宋体" w:cs="宋体"/>
                <w:i w:val="0"/>
                <w:iCs w:val="0"/>
                <w:caps w:val="0"/>
                <w:color w:val="auto"/>
                <w:spacing w:val="0"/>
                <w:sz w:val="21"/>
                <w:szCs w:val="21"/>
                <w:shd w:val="clear" w:color="auto" w:fill="auto"/>
                <w:lang w:val="en-US" w:eastAsia="zh-CN"/>
              </w:rPr>
              <w:t>8.49</w:t>
            </w:r>
            <w:r>
              <w:rPr>
                <w:rFonts w:hint="eastAsia" w:ascii="宋体" w:hAnsi="宋体" w:eastAsia="宋体" w:cs="宋体"/>
                <w:i w:val="0"/>
                <w:iCs w:val="0"/>
                <w:caps w:val="0"/>
                <w:color w:val="auto"/>
                <w:spacing w:val="0"/>
                <w:sz w:val="21"/>
                <w:szCs w:val="21"/>
                <w:shd w:val="clear" w:color="auto" w:fill="auto"/>
              </w:rPr>
              <w:t>万元</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5AC6F1F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3B225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276" w:type="pct"/>
            <w:vMerge w:val="continue"/>
            <w:tcBorders>
              <w:left w:val="single" w:color="auto" w:sz="4" w:space="0"/>
              <w:bottom w:val="single" w:color="auto" w:sz="4" w:space="0"/>
              <w:right w:val="single" w:color="auto" w:sz="4" w:space="0"/>
            </w:tcBorders>
            <w:noWrap w:val="0"/>
            <w:vAlign w:val="center"/>
          </w:tcPr>
          <w:p w14:paraId="769C4F2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31" w:type="pct"/>
            <w:vMerge w:val="continue"/>
            <w:tcBorders>
              <w:left w:val="single" w:color="auto" w:sz="4" w:space="0"/>
              <w:bottom w:val="single" w:color="auto" w:sz="4" w:space="0"/>
              <w:right w:val="single" w:color="auto" w:sz="4" w:space="0"/>
            </w:tcBorders>
            <w:noWrap w:val="0"/>
            <w:vAlign w:val="center"/>
          </w:tcPr>
          <w:p w14:paraId="5CA45D8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2" w:type="pct"/>
            <w:vMerge w:val="continue"/>
            <w:tcBorders>
              <w:left w:val="single" w:color="auto" w:sz="4" w:space="0"/>
              <w:bottom w:val="single" w:color="auto" w:sz="4" w:space="0"/>
              <w:right w:val="single" w:color="auto" w:sz="4" w:space="0"/>
            </w:tcBorders>
            <w:noWrap w:val="0"/>
            <w:vAlign w:val="center"/>
          </w:tcPr>
          <w:p w14:paraId="7BB2B3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bottom w:val="single" w:color="auto" w:sz="4" w:space="0"/>
              <w:right w:val="single" w:color="auto" w:sz="4" w:space="0"/>
            </w:tcBorders>
            <w:noWrap w:val="0"/>
            <w:vAlign w:val="center"/>
          </w:tcPr>
          <w:p w14:paraId="7B789A1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307" w:type="pct"/>
            <w:vMerge w:val="continue"/>
            <w:tcBorders>
              <w:left w:val="single" w:color="auto" w:sz="4" w:space="0"/>
              <w:bottom w:val="single" w:color="auto" w:sz="4" w:space="0"/>
              <w:right w:val="single" w:color="auto" w:sz="4" w:space="0"/>
            </w:tcBorders>
            <w:noWrap w:val="0"/>
            <w:vAlign w:val="center"/>
          </w:tcPr>
          <w:p w14:paraId="0D2EDC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9" w:type="pct"/>
            <w:vMerge w:val="continue"/>
            <w:tcBorders>
              <w:left w:val="single" w:color="auto" w:sz="4" w:space="0"/>
              <w:bottom w:val="single" w:color="auto" w:sz="4" w:space="0"/>
              <w:right w:val="single" w:color="auto" w:sz="4" w:space="0"/>
            </w:tcBorders>
            <w:noWrap w:val="0"/>
            <w:vAlign w:val="center"/>
          </w:tcPr>
          <w:p w14:paraId="6E33CFA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522B28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2021年人大会议</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241EA0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&lt;=</w:t>
            </w:r>
            <w:r>
              <w:rPr>
                <w:rFonts w:hint="eastAsia" w:ascii="宋体" w:hAnsi="宋体" w:eastAsia="宋体" w:cs="宋体"/>
                <w:i w:val="0"/>
                <w:iCs w:val="0"/>
                <w:caps w:val="0"/>
                <w:color w:val="auto"/>
                <w:spacing w:val="0"/>
                <w:sz w:val="21"/>
                <w:szCs w:val="21"/>
                <w:shd w:val="clear" w:color="auto" w:fill="auto"/>
                <w:lang w:val="en-US" w:eastAsia="zh-CN"/>
              </w:rPr>
              <w:t>17.62</w:t>
            </w:r>
            <w:r>
              <w:rPr>
                <w:rFonts w:hint="eastAsia" w:ascii="宋体" w:hAnsi="宋体" w:eastAsia="宋体" w:cs="宋体"/>
                <w:i w:val="0"/>
                <w:iCs w:val="0"/>
                <w:caps w:val="0"/>
                <w:color w:val="auto"/>
                <w:spacing w:val="0"/>
                <w:sz w:val="21"/>
                <w:szCs w:val="21"/>
                <w:shd w:val="clear" w:color="auto" w:fill="auto"/>
              </w:rPr>
              <w:t>万元</w:t>
            </w:r>
          </w:p>
        </w:tc>
        <w:tc>
          <w:tcPr>
            <w:tcW w:w="1627" w:type="pct"/>
            <w:vMerge w:val="continue"/>
            <w:tcBorders>
              <w:left w:val="single" w:color="auto" w:sz="4" w:space="0"/>
              <w:bottom w:val="single" w:color="auto" w:sz="4" w:space="0"/>
              <w:right w:val="single" w:color="auto" w:sz="4" w:space="0"/>
            </w:tcBorders>
            <w:noWrap w:val="0"/>
            <w:vAlign w:val="center"/>
          </w:tcPr>
          <w:p w14:paraId="4148D2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65ED82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w:t>
            </w:r>
            <w:r>
              <w:rPr>
                <w:rFonts w:hint="eastAsia" w:ascii="宋体" w:hAnsi="宋体" w:eastAsia="宋体" w:cs="宋体"/>
                <w:i w:val="0"/>
                <w:iCs w:val="0"/>
                <w:caps w:val="0"/>
                <w:color w:val="auto"/>
                <w:spacing w:val="0"/>
                <w:sz w:val="21"/>
                <w:szCs w:val="21"/>
                <w:shd w:val="clear" w:color="auto" w:fill="auto"/>
                <w:lang w:val="en-US" w:eastAsia="zh-CN"/>
              </w:rPr>
              <w:t>17.62</w:t>
            </w:r>
            <w:r>
              <w:rPr>
                <w:rFonts w:hint="eastAsia" w:ascii="宋体" w:hAnsi="宋体" w:eastAsia="宋体" w:cs="宋体"/>
                <w:i w:val="0"/>
                <w:iCs w:val="0"/>
                <w:caps w:val="0"/>
                <w:color w:val="auto"/>
                <w:spacing w:val="0"/>
                <w:sz w:val="21"/>
                <w:szCs w:val="21"/>
                <w:shd w:val="clear" w:color="auto" w:fill="auto"/>
              </w:rPr>
              <w:t>万元</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493BA9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r>
      <w:tr w14:paraId="5FCBB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276" w:type="pct"/>
            <w:vMerge w:val="continue"/>
            <w:tcBorders>
              <w:left w:val="single" w:color="auto" w:sz="4" w:space="0"/>
              <w:bottom w:val="single" w:color="auto" w:sz="4" w:space="0"/>
              <w:right w:val="single" w:color="auto" w:sz="4" w:space="0"/>
            </w:tcBorders>
            <w:noWrap w:val="0"/>
            <w:vAlign w:val="center"/>
          </w:tcPr>
          <w:p w14:paraId="0C96A3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31" w:type="pct"/>
            <w:vMerge w:val="continue"/>
            <w:tcBorders>
              <w:left w:val="single" w:color="auto" w:sz="4" w:space="0"/>
              <w:bottom w:val="single" w:color="auto" w:sz="4" w:space="0"/>
              <w:right w:val="single" w:color="auto" w:sz="4" w:space="0"/>
            </w:tcBorders>
            <w:noWrap w:val="0"/>
            <w:vAlign w:val="center"/>
          </w:tcPr>
          <w:p w14:paraId="49D6BA8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2" w:type="pct"/>
            <w:vMerge w:val="continue"/>
            <w:tcBorders>
              <w:left w:val="single" w:color="auto" w:sz="4" w:space="0"/>
              <w:bottom w:val="single" w:color="auto" w:sz="4" w:space="0"/>
              <w:right w:val="single" w:color="auto" w:sz="4" w:space="0"/>
            </w:tcBorders>
            <w:noWrap w:val="0"/>
            <w:vAlign w:val="center"/>
          </w:tcPr>
          <w:p w14:paraId="3F2B09D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bottom w:val="single" w:color="auto" w:sz="4" w:space="0"/>
              <w:right w:val="single" w:color="auto" w:sz="4" w:space="0"/>
            </w:tcBorders>
            <w:noWrap w:val="0"/>
            <w:vAlign w:val="center"/>
          </w:tcPr>
          <w:p w14:paraId="103A90A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307" w:type="pct"/>
            <w:vMerge w:val="continue"/>
            <w:tcBorders>
              <w:left w:val="single" w:color="auto" w:sz="4" w:space="0"/>
              <w:bottom w:val="single" w:color="auto" w:sz="4" w:space="0"/>
              <w:right w:val="single" w:color="auto" w:sz="4" w:space="0"/>
            </w:tcBorders>
            <w:noWrap w:val="0"/>
            <w:vAlign w:val="center"/>
          </w:tcPr>
          <w:p w14:paraId="008EA1E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9" w:type="pct"/>
            <w:vMerge w:val="continue"/>
            <w:tcBorders>
              <w:left w:val="single" w:color="auto" w:sz="4" w:space="0"/>
              <w:bottom w:val="single" w:color="auto" w:sz="4" w:space="0"/>
              <w:right w:val="single" w:color="auto" w:sz="4" w:space="0"/>
            </w:tcBorders>
            <w:noWrap w:val="0"/>
            <w:vAlign w:val="center"/>
          </w:tcPr>
          <w:p w14:paraId="54B35E8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5D92C6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rPr>
              <w:t>2024年人大会议</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69A6DE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rPr>
              <w:t>&lt;=</w:t>
            </w:r>
            <w:r>
              <w:rPr>
                <w:rFonts w:hint="eastAsia" w:ascii="宋体" w:hAnsi="宋体" w:eastAsia="宋体" w:cs="宋体"/>
                <w:i w:val="0"/>
                <w:iCs w:val="0"/>
                <w:caps w:val="0"/>
                <w:color w:val="auto"/>
                <w:spacing w:val="0"/>
                <w:sz w:val="21"/>
                <w:szCs w:val="21"/>
                <w:shd w:val="clear" w:color="auto" w:fill="auto"/>
                <w:lang w:val="en-US" w:eastAsia="zh-CN"/>
              </w:rPr>
              <w:t>11.17</w:t>
            </w:r>
            <w:r>
              <w:rPr>
                <w:rFonts w:hint="eastAsia" w:ascii="宋体" w:hAnsi="宋体" w:eastAsia="宋体" w:cs="宋体"/>
                <w:i w:val="0"/>
                <w:iCs w:val="0"/>
                <w:caps w:val="0"/>
                <w:color w:val="auto"/>
                <w:spacing w:val="0"/>
                <w:sz w:val="21"/>
                <w:szCs w:val="21"/>
                <w:shd w:val="clear" w:color="auto" w:fill="auto"/>
              </w:rPr>
              <w:t>万元</w:t>
            </w:r>
          </w:p>
        </w:tc>
        <w:tc>
          <w:tcPr>
            <w:tcW w:w="1627" w:type="pct"/>
            <w:vMerge w:val="continue"/>
            <w:tcBorders>
              <w:left w:val="single" w:color="auto" w:sz="4" w:space="0"/>
              <w:bottom w:val="single" w:color="auto" w:sz="4" w:space="0"/>
              <w:right w:val="single" w:color="auto" w:sz="4" w:space="0"/>
            </w:tcBorders>
            <w:noWrap w:val="0"/>
            <w:vAlign w:val="center"/>
          </w:tcPr>
          <w:p w14:paraId="21CE496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ascii="Arial" w:hAnsi="Arial" w:eastAsia="宋体" w:cs="Arial"/>
                <w:i w:val="0"/>
                <w:iCs w:val="0"/>
                <w:caps w:val="0"/>
                <w:color w:val="auto"/>
                <w:spacing w:val="0"/>
                <w:sz w:val="19"/>
                <w:szCs w:val="19"/>
                <w:shd w:val="clear" w:color="auto" w:fill="EDEDED"/>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050FAE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w:t>
            </w:r>
            <w:r>
              <w:rPr>
                <w:rFonts w:hint="eastAsia" w:ascii="宋体" w:hAnsi="宋体" w:eastAsia="宋体" w:cs="宋体"/>
                <w:i w:val="0"/>
                <w:iCs w:val="0"/>
                <w:caps w:val="0"/>
                <w:color w:val="auto"/>
                <w:spacing w:val="0"/>
                <w:sz w:val="21"/>
                <w:szCs w:val="21"/>
                <w:shd w:val="clear" w:color="auto" w:fill="auto"/>
                <w:lang w:val="en-US" w:eastAsia="zh-CN"/>
              </w:rPr>
              <w:t>11.17</w:t>
            </w:r>
            <w:r>
              <w:rPr>
                <w:rFonts w:hint="eastAsia" w:ascii="宋体" w:hAnsi="宋体" w:eastAsia="宋体" w:cs="宋体"/>
                <w:i w:val="0"/>
                <w:iCs w:val="0"/>
                <w:caps w:val="0"/>
                <w:color w:val="auto"/>
                <w:spacing w:val="0"/>
                <w:sz w:val="21"/>
                <w:szCs w:val="21"/>
                <w:shd w:val="clear" w:color="auto" w:fill="auto"/>
              </w:rPr>
              <w:t>万元</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5D25D74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5F16C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76" w:type="pct"/>
            <w:vMerge w:val="restart"/>
            <w:tcBorders>
              <w:top w:val="single" w:color="auto" w:sz="4" w:space="0"/>
              <w:left w:val="single" w:color="auto" w:sz="4" w:space="0"/>
              <w:right w:val="single" w:color="auto" w:sz="4" w:space="0"/>
            </w:tcBorders>
            <w:noWrap w:val="0"/>
            <w:vAlign w:val="center"/>
          </w:tcPr>
          <w:p w14:paraId="2957F8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项目效益</w:t>
            </w:r>
          </w:p>
        </w:tc>
        <w:tc>
          <w:tcPr>
            <w:tcW w:w="231" w:type="pct"/>
            <w:vMerge w:val="restart"/>
            <w:tcBorders>
              <w:top w:val="single" w:color="auto" w:sz="4" w:space="0"/>
              <w:left w:val="single" w:color="auto" w:sz="4" w:space="0"/>
              <w:right w:val="single" w:color="auto" w:sz="4" w:space="0"/>
            </w:tcBorders>
            <w:noWrap w:val="0"/>
            <w:vAlign w:val="center"/>
          </w:tcPr>
          <w:p w14:paraId="692C27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20</w:t>
            </w:r>
          </w:p>
        </w:tc>
        <w:tc>
          <w:tcPr>
            <w:tcW w:w="242" w:type="pct"/>
            <w:vMerge w:val="restart"/>
            <w:tcBorders>
              <w:top w:val="single" w:color="auto" w:sz="4" w:space="0"/>
              <w:left w:val="single" w:color="auto" w:sz="4" w:space="0"/>
              <w:right w:val="single" w:color="auto" w:sz="4" w:space="0"/>
            </w:tcBorders>
            <w:noWrap w:val="0"/>
            <w:vAlign w:val="center"/>
          </w:tcPr>
          <w:p w14:paraId="278E71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项目效益</w:t>
            </w:r>
          </w:p>
        </w:tc>
        <w:tc>
          <w:tcPr>
            <w:tcW w:w="197" w:type="pct"/>
            <w:vMerge w:val="restart"/>
            <w:tcBorders>
              <w:top w:val="single" w:color="auto" w:sz="4" w:space="0"/>
              <w:left w:val="single" w:color="auto" w:sz="4" w:space="0"/>
              <w:right w:val="single" w:color="auto" w:sz="4" w:space="0"/>
            </w:tcBorders>
            <w:noWrap w:val="0"/>
            <w:vAlign w:val="center"/>
          </w:tcPr>
          <w:p w14:paraId="5FDB72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20</w:t>
            </w:r>
          </w:p>
        </w:tc>
        <w:tc>
          <w:tcPr>
            <w:tcW w:w="307" w:type="pct"/>
            <w:vMerge w:val="restart"/>
            <w:tcBorders>
              <w:top w:val="single" w:color="auto" w:sz="4" w:space="0"/>
              <w:left w:val="single" w:color="auto" w:sz="4" w:space="0"/>
              <w:right w:val="single" w:color="auto" w:sz="4" w:space="0"/>
            </w:tcBorders>
            <w:noWrap w:val="0"/>
            <w:vAlign w:val="center"/>
          </w:tcPr>
          <w:p w14:paraId="1715AA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社会效益</w:t>
            </w:r>
          </w:p>
        </w:tc>
        <w:tc>
          <w:tcPr>
            <w:tcW w:w="249" w:type="pct"/>
            <w:vMerge w:val="restart"/>
            <w:tcBorders>
              <w:top w:val="single" w:color="auto" w:sz="4" w:space="0"/>
              <w:left w:val="single" w:color="auto" w:sz="4" w:space="0"/>
              <w:right w:val="single" w:color="auto" w:sz="4" w:space="0"/>
            </w:tcBorders>
            <w:noWrap w:val="0"/>
            <w:vAlign w:val="center"/>
          </w:tcPr>
          <w:p w14:paraId="3A8394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rPr>
              <w:t>10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3653AE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提升人民代表参政议政水平</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38CCE71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lang w:val="en-US" w:eastAsia="zh-CN"/>
              </w:rPr>
              <w:t>有效提升</w:t>
            </w:r>
          </w:p>
        </w:tc>
        <w:tc>
          <w:tcPr>
            <w:tcW w:w="1627" w:type="pct"/>
            <w:vMerge w:val="restart"/>
            <w:tcBorders>
              <w:top w:val="single" w:color="auto" w:sz="4" w:space="0"/>
              <w:left w:val="single" w:color="auto" w:sz="4" w:space="0"/>
              <w:right w:val="single" w:color="auto" w:sz="4" w:space="0"/>
            </w:tcBorders>
            <w:noWrap w:val="0"/>
            <w:vAlign w:val="center"/>
          </w:tcPr>
          <w:p w14:paraId="0A704E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按评判等级赋分。分为基本达成目标、部分实现目标、实现目标程度较低三个档次，并分别按照该指标对应分值区间100%-80%（含）、80%-60%（含）、60%-0%合理确定分值。</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4208045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有所提升</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169833E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7A4DD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276" w:type="pct"/>
            <w:vMerge w:val="continue"/>
            <w:tcBorders>
              <w:left w:val="single" w:color="auto" w:sz="4" w:space="0"/>
              <w:bottom w:val="single" w:color="auto" w:sz="4" w:space="0"/>
              <w:right w:val="single" w:color="auto" w:sz="4" w:space="0"/>
            </w:tcBorders>
            <w:noWrap w:val="0"/>
            <w:vAlign w:val="center"/>
          </w:tcPr>
          <w:p w14:paraId="7C5BD85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31" w:type="pct"/>
            <w:vMerge w:val="continue"/>
            <w:tcBorders>
              <w:left w:val="single" w:color="auto" w:sz="4" w:space="0"/>
              <w:bottom w:val="single" w:color="auto" w:sz="4" w:space="0"/>
              <w:right w:val="single" w:color="auto" w:sz="4" w:space="0"/>
            </w:tcBorders>
            <w:noWrap w:val="0"/>
            <w:vAlign w:val="center"/>
          </w:tcPr>
          <w:p w14:paraId="4419CE3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2" w:type="pct"/>
            <w:vMerge w:val="continue"/>
            <w:tcBorders>
              <w:left w:val="single" w:color="auto" w:sz="4" w:space="0"/>
              <w:bottom w:val="single" w:color="auto" w:sz="4" w:space="0"/>
              <w:right w:val="single" w:color="auto" w:sz="4" w:space="0"/>
            </w:tcBorders>
            <w:noWrap w:val="0"/>
            <w:vAlign w:val="center"/>
          </w:tcPr>
          <w:p w14:paraId="79CB31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bottom w:val="single" w:color="auto" w:sz="4" w:space="0"/>
              <w:right w:val="single" w:color="auto" w:sz="4" w:space="0"/>
            </w:tcBorders>
            <w:noWrap w:val="0"/>
            <w:vAlign w:val="center"/>
          </w:tcPr>
          <w:p w14:paraId="0B357A9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307" w:type="pct"/>
            <w:vMerge w:val="continue"/>
            <w:tcBorders>
              <w:left w:val="single" w:color="auto" w:sz="4" w:space="0"/>
              <w:bottom w:val="single" w:color="auto" w:sz="4" w:space="0"/>
              <w:right w:val="single" w:color="auto" w:sz="4" w:space="0"/>
            </w:tcBorders>
            <w:noWrap w:val="0"/>
            <w:vAlign w:val="center"/>
          </w:tcPr>
          <w:p w14:paraId="5B84757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9" w:type="pct"/>
            <w:vMerge w:val="continue"/>
            <w:tcBorders>
              <w:left w:val="single" w:color="auto" w:sz="4" w:space="0"/>
              <w:bottom w:val="single" w:color="auto" w:sz="4" w:space="0"/>
              <w:right w:val="single" w:color="auto" w:sz="4" w:space="0"/>
            </w:tcBorders>
            <w:noWrap w:val="0"/>
            <w:vAlign w:val="center"/>
          </w:tcPr>
          <w:p w14:paraId="5EA600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7A516F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rPr>
            </w:pPr>
            <w:r>
              <w:rPr>
                <w:rFonts w:hint="eastAsia" w:ascii="宋体" w:hAnsi="宋体" w:eastAsia="宋体" w:cs="宋体"/>
                <w:i w:val="0"/>
                <w:iCs w:val="0"/>
                <w:caps w:val="0"/>
                <w:color w:val="auto"/>
                <w:spacing w:val="0"/>
                <w:sz w:val="21"/>
                <w:szCs w:val="21"/>
                <w:shd w:val="clear" w:color="auto" w:fill="auto"/>
              </w:rPr>
              <w:t>提高人大代表素质</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3679F1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aps w:val="0"/>
                <w:color w:val="auto"/>
                <w:spacing w:val="0"/>
                <w:sz w:val="21"/>
                <w:szCs w:val="21"/>
                <w:shd w:val="clear" w:color="auto" w:fill="auto"/>
                <w:lang w:val="en-US" w:eastAsia="zh-CN"/>
              </w:rPr>
            </w:pPr>
            <w:r>
              <w:rPr>
                <w:rFonts w:hint="eastAsia" w:ascii="宋体" w:hAnsi="宋体" w:eastAsia="宋体" w:cs="宋体"/>
                <w:i w:val="0"/>
                <w:iCs w:val="0"/>
                <w:caps w:val="0"/>
                <w:color w:val="auto"/>
                <w:spacing w:val="0"/>
                <w:sz w:val="21"/>
                <w:szCs w:val="21"/>
                <w:shd w:val="clear" w:color="auto" w:fill="auto"/>
                <w:lang w:val="en-US" w:eastAsia="zh-CN"/>
              </w:rPr>
              <w:t>持续提高</w:t>
            </w:r>
          </w:p>
        </w:tc>
        <w:tc>
          <w:tcPr>
            <w:tcW w:w="1627" w:type="pct"/>
            <w:vMerge w:val="continue"/>
            <w:tcBorders>
              <w:left w:val="single" w:color="auto" w:sz="4" w:space="0"/>
              <w:bottom w:val="single" w:color="auto" w:sz="4" w:space="0"/>
              <w:right w:val="single" w:color="auto" w:sz="4" w:space="0"/>
            </w:tcBorders>
            <w:noWrap w:val="0"/>
            <w:vAlign w:val="center"/>
          </w:tcPr>
          <w:p w14:paraId="6E739E0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43F3C54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有所提高</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0827405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4761F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276" w:type="pct"/>
            <w:vMerge w:val="continue"/>
            <w:tcBorders>
              <w:top w:val="single" w:color="auto" w:sz="4" w:space="0"/>
              <w:left w:val="single" w:color="auto" w:sz="4" w:space="0"/>
              <w:bottom w:val="single" w:color="auto" w:sz="4" w:space="0"/>
              <w:right w:val="single" w:color="auto" w:sz="4" w:space="0"/>
            </w:tcBorders>
            <w:noWrap w:val="0"/>
            <w:vAlign w:val="center"/>
          </w:tcPr>
          <w:p w14:paraId="183D5DD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31" w:type="pct"/>
            <w:vMerge w:val="continue"/>
            <w:tcBorders>
              <w:top w:val="single" w:color="auto" w:sz="4" w:space="0"/>
              <w:left w:val="single" w:color="auto" w:sz="4" w:space="0"/>
              <w:bottom w:val="single" w:color="auto" w:sz="4" w:space="0"/>
              <w:right w:val="single" w:color="auto" w:sz="4" w:space="0"/>
            </w:tcBorders>
            <w:noWrap w:val="0"/>
            <w:vAlign w:val="center"/>
          </w:tcPr>
          <w:p w14:paraId="216A091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2" w:type="pct"/>
            <w:vMerge w:val="continue"/>
            <w:tcBorders>
              <w:top w:val="single" w:color="auto" w:sz="4" w:space="0"/>
              <w:left w:val="single" w:color="auto" w:sz="4" w:space="0"/>
              <w:bottom w:val="single" w:color="auto" w:sz="4" w:space="0"/>
              <w:right w:val="single" w:color="auto" w:sz="4" w:space="0"/>
            </w:tcBorders>
            <w:noWrap w:val="0"/>
            <w:vAlign w:val="center"/>
          </w:tcPr>
          <w:p w14:paraId="56F32E9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vMerge w:val="continue"/>
            <w:tcBorders>
              <w:top w:val="single" w:color="auto" w:sz="4" w:space="0"/>
              <w:left w:val="single" w:color="auto" w:sz="4" w:space="0"/>
              <w:bottom w:val="single" w:color="auto" w:sz="4" w:space="0"/>
              <w:right w:val="single" w:color="auto" w:sz="4" w:space="0"/>
            </w:tcBorders>
            <w:noWrap w:val="0"/>
            <w:vAlign w:val="center"/>
          </w:tcPr>
          <w:p w14:paraId="58F738F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307" w:type="pct"/>
            <w:vMerge w:val="restart"/>
            <w:tcBorders>
              <w:top w:val="single" w:color="auto" w:sz="4" w:space="0"/>
              <w:left w:val="single" w:color="auto" w:sz="4" w:space="0"/>
              <w:right w:val="single" w:color="auto" w:sz="4" w:space="0"/>
            </w:tcBorders>
            <w:noWrap w:val="0"/>
            <w:vAlign w:val="center"/>
          </w:tcPr>
          <w:p w14:paraId="2FDE33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服务对象满意度</w:t>
            </w:r>
          </w:p>
        </w:tc>
        <w:tc>
          <w:tcPr>
            <w:tcW w:w="249" w:type="pct"/>
            <w:vMerge w:val="restart"/>
            <w:tcBorders>
              <w:top w:val="single" w:color="auto" w:sz="4" w:space="0"/>
              <w:left w:val="single" w:color="auto" w:sz="4" w:space="0"/>
              <w:right w:val="single" w:color="auto" w:sz="4" w:space="0"/>
            </w:tcBorders>
            <w:noWrap w:val="0"/>
            <w:vAlign w:val="center"/>
          </w:tcPr>
          <w:p w14:paraId="1DA4DD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7899DF4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受益参会人员满意度</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75BB70F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c>
          <w:tcPr>
            <w:tcW w:w="1627" w:type="pct"/>
            <w:vMerge w:val="restart"/>
            <w:tcBorders>
              <w:top w:val="single" w:color="auto" w:sz="4" w:space="0"/>
              <w:left w:val="single" w:color="auto" w:sz="4" w:space="0"/>
              <w:right w:val="single" w:color="auto" w:sz="4" w:space="0"/>
            </w:tcBorders>
            <w:noWrap w:val="0"/>
            <w:vAlign w:val="center"/>
          </w:tcPr>
          <w:p w14:paraId="392A96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根据问卷调查，满意度达到标杆值，得权重分的100%；否则低于95%，得分=实际满意度*指标分值。</w:t>
            </w:r>
          </w:p>
        </w:tc>
        <w:tc>
          <w:tcPr>
            <w:tcW w:w="330" w:type="pct"/>
            <w:tcBorders>
              <w:top w:val="single" w:color="auto" w:sz="4" w:space="0"/>
              <w:left w:val="single" w:color="auto" w:sz="4" w:space="0"/>
              <w:bottom w:val="single" w:color="auto" w:sz="4" w:space="0"/>
              <w:right w:val="single" w:color="auto" w:sz="4" w:space="0"/>
            </w:tcBorders>
            <w:noWrap w:val="0"/>
            <w:vAlign w:val="center"/>
          </w:tcPr>
          <w:p w14:paraId="05E0EAB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6B0F2D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5A71D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76" w:type="pct"/>
            <w:vMerge w:val="continue"/>
            <w:tcBorders>
              <w:left w:val="single" w:color="auto" w:sz="4" w:space="0"/>
              <w:bottom w:val="single" w:color="auto" w:sz="4" w:space="0"/>
              <w:right w:val="single" w:color="auto" w:sz="4" w:space="0"/>
            </w:tcBorders>
            <w:noWrap w:val="0"/>
            <w:vAlign w:val="center"/>
          </w:tcPr>
          <w:p w14:paraId="3477BB4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31" w:type="pct"/>
            <w:vMerge w:val="continue"/>
            <w:tcBorders>
              <w:left w:val="single" w:color="auto" w:sz="4" w:space="0"/>
              <w:bottom w:val="single" w:color="auto" w:sz="4" w:space="0"/>
              <w:right w:val="single" w:color="auto" w:sz="4" w:space="0"/>
            </w:tcBorders>
            <w:noWrap w:val="0"/>
            <w:vAlign w:val="center"/>
          </w:tcPr>
          <w:p w14:paraId="3649F40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2" w:type="pct"/>
            <w:vMerge w:val="continue"/>
            <w:tcBorders>
              <w:left w:val="single" w:color="auto" w:sz="4" w:space="0"/>
              <w:bottom w:val="single" w:color="auto" w:sz="4" w:space="0"/>
              <w:right w:val="single" w:color="auto" w:sz="4" w:space="0"/>
            </w:tcBorders>
            <w:noWrap w:val="0"/>
            <w:vAlign w:val="center"/>
          </w:tcPr>
          <w:p w14:paraId="4338F2A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197" w:type="pct"/>
            <w:vMerge w:val="continue"/>
            <w:tcBorders>
              <w:left w:val="single" w:color="auto" w:sz="4" w:space="0"/>
              <w:bottom w:val="single" w:color="auto" w:sz="4" w:space="0"/>
              <w:right w:val="single" w:color="auto" w:sz="4" w:space="0"/>
            </w:tcBorders>
            <w:noWrap w:val="0"/>
            <w:vAlign w:val="center"/>
          </w:tcPr>
          <w:p w14:paraId="7C5ECEA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307" w:type="pct"/>
            <w:vMerge w:val="continue"/>
            <w:tcBorders>
              <w:left w:val="single" w:color="auto" w:sz="4" w:space="0"/>
              <w:bottom w:val="single" w:color="auto" w:sz="4" w:space="0"/>
              <w:right w:val="single" w:color="auto" w:sz="4" w:space="0"/>
            </w:tcBorders>
            <w:noWrap w:val="0"/>
            <w:vAlign w:val="center"/>
          </w:tcPr>
          <w:p w14:paraId="071ABB9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249" w:type="pct"/>
            <w:vMerge w:val="continue"/>
            <w:tcBorders>
              <w:left w:val="single" w:color="auto" w:sz="4" w:space="0"/>
              <w:bottom w:val="single" w:color="auto" w:sz="4" w:space="0"/>
              <w:right w:val="single" w:color="auto" w:sz="4" w:space="0"/>
            </w:tcBorders>
            <w:noWrap w:val="0"/>
            <w:vAlign w:val="center"/>
          </w:tcPr>
          <w:p w14:paraId="40DDFDA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pPr>
          </w:p>
        </w:tc>
        <w:tc>
          <w:tcPr>
            <w:tcW w:w="729" w:type="pct"/>
            <w:tcBorders>
              <w:top w:val="single" w:color="auto" w:sz="4" w:space="0"/>
              <w:left w:val="single" w:color="auto" w:sz="4" w:space="0"/>
              <w:bottom w:val="single" w:color="auto" w:sz="4" w:space="0"/>
              <w:right w:val="single" w:color="auto" w:sz="4" w:space="0"/>
            </w:tcBorders>
            <w:noWrap w:val="0"/>
            <w:vAlign w:val="center"/>
          </w:tcPr>
          <w:p w14:paraId="0F3D87F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受益群众满意度</w:t>
            </w:r>
          </w:p>
        </w:tc>
        <w:tc>
          <w:tcPr>
            <w:tcW w:w="535" w:type="pct"/>
            <w:tcBorders>
              <w:top w:val="single" w:color="auto" w:sz="4" w:space="0"/>
              <w:left w:val="single" w:color="auto" w:sz="4" w:space="0"/>
              <w:bottom w:val="single" w:color="auto" w:sz="4" w:space="0"/>
              <w:right w:val="single" w:color="auto" w:sz="4" w:space="0"/>
            </w:tcBorders>
            <w:noWrap w:val="0"/>
            <w:vAlign w:val="center"/>
          </w:tcPr>
          <w:p w14:paraId="4DE0ACD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≥95%</w:t>
            </w:r>
          </w:p>
        </w:tc>
        <w:tc>
          <w:tcPr>
            <w:tcW w:w="1627" w:type="pct"/>
            <w:vMerge w:val="continue"/>
            <w:tcBorders>
              <w:left w:val="single" w:color="auto" w:sz="4" w:space="0"/>
              <w:bottom w:val="single" w:color="auto" w:sz="4" w:space="0"/>
              <w:right w:val="single" w:color="auto" w:sz="4" w:space="0"/>
            </w:tcBorders>
            <w:noWrap w:val="0"/>
            <w:vAlign w:val="center"/>
          </w:tcPr>
          <w:p w14:paraId="4C3EE85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3FEB5D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72" w:type="pct"/>
            <w:tcBorders>
              <w:top w:val="single" w:color="auto" w:sz="4" w:space="0"/>
              <w:left w:val="single" w:color="auto" w:sz="4" w:space="0"/>
              <w:bottom w:val="single" w:color="auto" w:sz="4" w:space="0"/>
              <w:right w:val="single" w:color="auto" w:sz="4" w:space="0"/>
            </w:tcBorders>
            <w:noWrap w:val="0"/>
            <w:vAlign w:val="center"/>
          </w:tcPr>
          <w:p w14:paraId="732AB6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3D155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76" w:type="pct"/>
            <w:tcBorders>
              <w:top w:val="single" w:color="auto" w:sz="4" w:space="0"/>
              <w:left w:val="single" w:color="auto" w:sz="4" w:space="0"/>
              <w:bottom w:val="single" w:color="auto" w:sz="4" w:space="0"/>
              <w:right w:val="single" w:color="auto" w:sz="4" w:space="0"/>
            </w:tcBorders>
            <w:noWrap w:val="0"/>
            <w:vAlign w:val="center"/>
          </w:tcPr>
          <w:p w14:paraId="5E8425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总分</w:t>
            </w:r>
          </w:p>
        </w:tc>
        <w:tc>
          <w:tcPr>
            <w:tcW w:w="231" w:type="pct"/>
            <w:tcBorders>
              <w:top w:val="single" w:color="auto" w:sz="4" w:space="0"/>
              <w:left w:val="single" w:color="auto" w:sz="4" w:space="0"/>
              <w:bottom w:val="single" w:color="auto" w:sz="4" w:space="0"/>
              <w:right w:val="single" w:color="auto" w:sz="4" w:space="0"/>
            </w:tcBorders>
            <w:noWrap w:val="0"/>
            <w:vAlign w:val="center"/>
          </w:tcPr>
          <w:p w14:paraId="03A44F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242" w:type="pct"/>
            <w:tcBorders>
              <w:top w:val="single" w:color="auto" w:sz="4" w:space="0"/>
              <w:left w:val="single" w:color="auto" w:sz="4" w:space="0"/>
              <w:bottom w:val="single" w:color="auto" w:sz="4" w:space="0"/>
              <w:right w:val="single" w:color="auto" w:sz="4" w:space="0"/>
            </w:tcBorders>
            <w:noWrap w:val="0"/>
            <w:vAlign w:val="center"/>
          </w:tcPr>
          <w:p w14:paraId="1FE4F1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197" w:type="pct"/>
            <w:tcBorders>
              <w:top w:val="single" w:color="auto" w:sz="4" w:space="0"/>
              <w:left w:val="single" w:color="auto" w:sz="4" w:space="0"/>
              <w:bottom w:val="single" w:color="auto" w:sz="4" w:space="0"/>
              <w:right w:val="single" w:color="auto" w:sz="4" w:space="0"/>
            </w:tcBorders>
            <w:noWrap w:val="0"/>
            <w:vAlign w:val="center"/>
          </w:tcPr>
          <w:p w14:paraId="52D467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307" w:type="pct"/>
            <w:tcBorders>
              <w:top w:val="single" w:color="auto" w:sz="4" w:space="0"/>
              <w:left w:val="single" w:color="auto" w:sz="4" w:space="0"/>
              <w:bottom w:val="single" w:color="auto" w:sz="4" w:space="0"/>
              <w:right w:val="single" w:color="auto" w:sz="4" w:space="0"/>
            </w:tcBorders>
            <w:noWrap w:val="0"/>
            <w:vAlign w:val="center"/>
          </w:tcPr>
          <w:p w14:paraId="10DF024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000000"/>
                <w:sz w:val="21"/>
                <w:szCs w:val="21"/>
                <w:u w:val="none"/>
              </w:rPr>
            </w:pPr>
          </w:p>
        </w:tc>
        <w:tc>
          <w:tcPr>
            <w:tcW w:w="249" w:type="pct"/>
            <w:tcBorders>
              <w:top w:val="single" w:color="auto" w:sz="4" w:space="0"/>
              <w:left w:val="single" w:color="auto" w:sz="4" w:space="0"/>
              <w:bottom w:val="single" w:color="auto" w:sz="4" w:space="0"/>
              <w:right w:val="single" w:color="auto" w:sz="4" w:space="0"/>
            </w:tcBorders>
            <w:noWrap w:val="0"/>
            <w:vAlign w:val="center"/>
          </w:tcPr>
          <w:p w14:paraId="4B08BA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729" w:type="pct"/>
            <w:tcBorders>
              <w:top w:val="single" w:color="auto" w:sz="4" w:space="0"/>
              <w:left w:val="single" w:color="auto" w:sz="4" w:space="0"/>
              <w:bottom w:val="single" w:color="auto" w:sz="4" w:space="0"/>
              <w:right w:val="single" w:color="auto" w:sz="4" w:space="0"/>
            </w:tcBorders>
            <w:noWrap w:val="0"/>
            <w:vAlign w:val="center"/>
          </w:tcPr>
          <w:p w14:paraId="600435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535" w:type="pct"/>
            <w:tcBorders>
              <w:top w:val="single" w:color="auto" w:sz="4" w:space="0"/>
              <w:left w:val="single" w:color="auto" w:sz="4" w:space="0"/>
              <w:bottom w:val="single" w:color="auto" w:sz="4" w:space="0"/>
              <w:right w:val="single" w:color="auto" w:sz="4" w:space="0"/>
            </w:tcBorders>
            <w:noWrap w:val="0"/>
            <w:vAlign w:val="center"/>
          </w:tcPr>
          <w:p w14:paraId="7B5522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w:t>
            </w:r>
          </w:p>
        </w:tc>
        <w:tc>
          <w:tcPr>
            <w:tcW w:w="1627" w:type="pct"/>
            <w:tcBorders>
              <w:top w:val="single" w:color="auto" w:sz="4" w:space="0"/>
              <w:left w:val="single" w:color="auto" w:sz="4" w:space="0"/>
              <w:bottom w:val="single" w:color="auto" w:sz="4" w:space="0"/>
              <w:right w:val="single" w:color="auto" w:sz="4" w:space="0"/>
            </w:tcBorders>
            <w:noWrap w:val="0"/>
            <w:vAlign w:val="center"/>
          </w:tcPr>
          <w:p w14:paraId="1CEF8140">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u w:val="none"/>
              </w:rPr>
            </w:pPr>
          </w:p>
        </w:tc>
        <w:tc>
          <w:tcPr>
            <w:tcW w:w="330" w:type="pct"/>
            <w:tcBorders>
              <w:top w:val="single" w:color="auto" w:sz="4" w:space="0"/>
              <w:left w:val="single" w:color="auto" w:sz="4" w:space="0"/>
              <w:bottom w:val="single" w:color="auto" w:sz="4" w:space="0"/>
              <w:right w:val="single" w:color="auto" w:sz="4" w:space="0"/>
            </w:tcBorders>
            <w:noWrap w:val="0"/>
            <w:vAlign w:val="center"/>
          </w:tcPr>
          <w:p w14:paraId="1E423EA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72" w:type="pct"/>
            <w:tcBorders>
              <w:top w:val="single" w:color="auto" w:sz="4" w:space="0"/>
              <w:left w:val="single" w:color="auto" w:sz="4" w:space="0"/>
              <w:bottom w:val="single" w:color="auto" w:sz="4" w:space="0"/>
              <w:right w:val="single" w:color="auto" w:sz="4" w:space="0"/>
            </w:tcBorders>
            <w:noWrap w:val="0"/>
            <w:vAlign w:val="center"/>
          </w:tcPr>
          <w:p w14:paraId="357678C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r>
    </w:tbl>
    <w:p w14:paraId="29853AA1">
      <w:pPr>
        <w:pStyle w:val="10"/>
        <w:rPr>
          <w:rFonts w:hint="eastAsia" w:ascii="宋体" w:hAnsi="宋体" w:eastAsia="宋体" w:cs="宋体"/>
          <w:sz w:val="24"/>
          <w:szCs w:val="24"/>
          <w:lang w:eastAsia="zh-CN"/>
        </w:rPr>
      </w:pPr>
    </w:p>
    <w:p w14:paraId="00F1A68F">
      <w:pPr>
        <w:pStyle w:val="10"/>
        <w:rPr>
          <w:rFonts w:hint="eastAsia" w:ascii="宋体" w:hAnsi="宋体" w:eastAsia="宋体" w:cs="宋体"/>
          <w:sz w:val="24"/>
          <w:szCs w:val="24"/>
          <w:lang w:eastAsia="zh-CN"/>
        </w:rPr>
      </w:pPr>
    </w:p>
    <w:p w14:paraId="6BC150A7">
      <w:pPr>
        <w:pStyle w:val="22"/>
        <w:ind w:left="0" w:leftChars="0" w:firstLine="0" w:firstLineChars="0"/>
        <w:rPr>
          <w:rFonts w:hint="eastAsia" w:ascii="宋体" w:hAnsi="宋体" w:eastAsia="宋体" w:cs="宋体"/>
          <w:sz w:val="24"/>
          <w:szCs w:val="24"/>
          <w:lang w:eastAsia="zh-CN"/>
        </w:rPr>
      </w:pPr>
    </w:p>
    <w:p w14:paraId="07F61CB9">
      <w:pPr>
        <w:pStyle w:val="10"/>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tbl>
      <w:tblPr>
        <w:tblStyle w:val="24"/>
        <w:tblW w:w="130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0AB6E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6ED19BDE">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p>
        </w:tc>
        <w:tc>
          <w:tcPr>
            <w:tcW w:w="1778" w:type="dxa"/>
            <w:tcBorders>
              <w:top w:val="nil"/>
              <w:left w:val="nil"/>
              <w:bottom w:val="nil"/>
              <w:right w:val="nil"/>
            </w:tcBorders>
            <w:noWrap/>
            <w:vAlign w:val="center"/>
          </w:tcPr>
          <w:p w14:paraId="0A99E9BC">
            <w:pPr>
              <w:rPr>
                <w:rFonts w:hint="eastAsia" w:ascii="宋体" w:hAnsi="宋体" w:eastAsia="宋体" w:cs="宋体"/>
                <w:i w:val="0"/>
                <w:iCs w:val="0"/>
                <w:color w:val="000000"/>
                <w:sz w:val="22"/>
                <w:szCs w:val="22"/>
                <w:u w:val="none"/>
              </w:rPr>
            </w:pPr>
          </w:p>
        </w:tc>
        <w:tc>
          <w:tcPr>
            <w:tcW w:w="2786" w:type="dxa"/>
            <w:tcBorders>
              <w:top w:val="nil"/>
              <w:left w:val="nil"/>
              <w:bottom w:val="nil"/>
              <w:right w:val="nil"/>
            </w:tcBorders>
            <w:noWrap/>
            <w:vAlign w:val="center"/>
          </w:tcPr>
          <w:p w14:paraId="0B98A045">
            <w:pPr>
              <w:rPr>
                <w:rFonts w:hint="eastAsia" w:ascii="宋体" w:hAnsi="宋体" w:eastAsia="宋体" w:cs="宋体"/>
                <w:i w:val="0"/>
                <w:iCs w:val="0"/>
                <w:color w:val="000000"/>
                <w:sz w:val="22"/>
                <w:szCs w:val="22"/>
                <w:u w:val="none"/>
              </w:rPr>
            </w:pPr>
          </w:p>
        </w:tc>
        <w:tc>
          <w:tcPr>
            <w:tcW w:w="2314" w:type="dxa"/>
            <w:tcBorders>
              <w:top w:val="nil"/>
              <w:left w:val="nil"/>
              <w:bottom w:val="nil"/>
              <w:right w:val="nil"/>
            </w:tcBorders>
            <w:noWrap/>
            <w:vAlign w:val="center"/>
          </w:tcPr>
          <w:p w14:paraId="1163456C">
            <w:pPr>
              <w:rPr>
                <w:rFonts w:hint="eastAsia" w:ascii="宋体" w:hAnsi="宋体" w:eastAsia="宋体" w:cs="宋体"/>
                <w:i w:val="0"/>
                <w:iCs w:val="0"/>
                <w:color w:val="000000"/>
                <w:sz w:val="22"/>
                <w:szCs w:val="22"/>
                <w:u w:val="none"/>
              </w:rPr>
            </w:pPr>
          </w:p>
        </w:tc>
        <w:tc>
          <w:tcPr>
            <w:tcW w:w="3449" w:type="dxa"/>
            <w:tcBorders>
              <w:top w:val="nil"/>
              <w:left w:val="nil"/>
              <w:bottom w:val="nil"/>
              <w:right w:val="nil"/>
            </w:tcBorders>
            <w:noWrap/>
            <w:vAlign w:val="center"/>
          </w:tcPr>
          <w:p w14:paraId="5C3FA3DB">
            <w:pPr>
              <w:rPr>
                <w:rFonts w:hint="eastAsia" w:ascii="宋体" w:hAnsi="宋体" w:eastAsia="宋体" w:cs="宋体"/>
                <w:i w:val="0"/>
                <w:iCs w:val="0"/>
                <w:color w:val="000000"/>
                <w:sz w:val="22"/>
                <w:szCs w:val="22"/>
                <w:u w:val="none"/>
              </w:rPr>
            </w:pPr>
          </w:p>
        </w:tc>
        <w:tc>
          <w:tcPr>
            <w:tcW w:w="1331" w:type="dxa"/>
            <w:tcBorders>
              <w:top w:val="nil"/>
              <w:left w:val="nil"/>
              <w:bottom w:val="nil"/>
              <w:right w:val="nil"/>
            </w:tcBorders>
            <w:noWrap/>
            <w:vAlign w:val="center"/>
          </w:tcPr>
          <w:p w14:paraId="1CEA14F7">
            <w:pPr>
              <w:rPr>
                <w:rFonts w:hint="eastAsia" w:ascii="宋体" w:hAnsi="宋体" w:eastAsia="宋体" w:cs="宋体"/>
                <w:i w:val="0"/>
                <w:iCs w:val="0"/>
                <w:color w:val="000000"/>
                <w:sz w:val="22"/>
                <w:szCs w:val="22"/>
                <w:u w:val="none"/>
              </w:rPr>
            </w:pPr>
          </w:p>
        </w:tc>
      </w:tr>
      <w:tr w14:paraId="1D216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0506FE88">
            <w:pPr>
              <w:keepNext w:val="0"/>
              <w:keepLines w:val="0"/>
              <w:widowControl/>
              <w:suppressLineNumbers w:val="0"/>
              <w:jc w:val="center"/>
              <w:textAlignment w:val="center"/>
              <w:rPr>
                <w:rFonts w:hint="eastAsia" w:ascii="宋体" w:hAnsi="宋体" w:eastAsia="宋体" w:cs="宋体"/>
                <w:b/>
                <w:bCs/>
                <w:i w:val="0"/>
                <w:iCs w:val="0"/>
                <w:color w:val="FF0000"/>
                <w:sz w:val="36"/>
                <w:szCs w:val="36"/>
                <w:u w:val="none"/>
              </w:rPr>
            </w:pPr>
            <w:r>
              <w:rPr>
                <w:rFonts w:hint="eastAsia" w:ascii="宋体" w:hAnsi="宋体" w:eastAsia="宋体" w:cs="宋体"/>
                <w:b/>
                <w:bCs/>
                <w:i w:val="0"/>
                <w:iCs w:val="0"/>
                <w:color w:val="auto"/>
                <w:kern w:val="0"/>
                <w:sz w:val="24"/>
                <w:szCs w:val="24"/>
                <w:u w:val="none"/>
                <w:lang w:val="en-US" w:eastAsia="zh-CN"/>
              </w:rPr>
              <w:t>洛浦县十八届人民代表大会第五次会议经费项目综合得分表</w:t>
            </w:r>
          </w:p>
        </w:tc>
      </w:tr>
      <w:tr w14:paraId="01D49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13BA1D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38F88E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0CAEAF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2C1A4D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27E4E4A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28588B8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合计</w:t>
            </w:r>
          </w:p>
        </w:tc>
      </w:tr>
      <w:tr w14:paraId="260F2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4039161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684352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20.00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3D90D0D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20.00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312BD2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A74C22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20.00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04E5D46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100.00 </w:t>
            </w:r>
          </w:p>
        </w:tc>
      </w:tr>
      <w:tr w14:paraId="59848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3F3241C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6F1351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20.00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679A1B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20.00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8BE16F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2B3E0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20.00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7B5EC54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 xml:space="preserve">100.00 </w:t>
            </w:r>
          </w:p>
        </w:tc>
      </w:tr>
      <w:tr w14:paraId="1EA2F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34EC1A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4BE5B2E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100%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0DDA84F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100%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5F8CD1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100%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26EEAEF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100%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986383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000000"/>
                <w:kern w:val="0"/>
                <w:sz w:val="21"/>
                <w:szCs w:val="21"/>
                <w:highlight w:val="none"/>
                <w:u w:val="none"/>
                <w:lang w:val="en-US" w:eastAsia="zh-CN"/>
              </w:rPr>
            </w:pPr>
            <w:r>
              <w:rPr>
                <w:rFonts w:hint="eastAsia" w:ascii="宋体" w:hAnsi="宋体" w:eastAsia="宋体" w:cs="宋体"/>
                <w:i w:val="0"/>
                <w:iCs w:val="0"/>
                <w:color w:val="000000"/>
                <w:kern w:val="0"/>
                <w:sz w:val="21"/>
                <w:szCs w:val="21"/>
                <w:highlight w:val="none"/>
                <w:u w:val="none"/>
                <w:lang w:val="en-US" w:eastAsia="zh-CN"/>
              </w:rPr>
              <w:t>100%</w:t>
            </w:r>
          </w:p>
        </w:tc>
      </w:tr>
    </w:tbl>
    <w:p w14:paraId="196C9F0D">
      <w:pPr>
        <w:pStyle w:val="10"/>
        <w:ind w:left="0" w:leftChars="0" w:firstLine="0" w:firstLineChars="0"/>
        <w:jc w:val="both"/>
        <w:rPr>
          <w:rFonts w:hint="default" w:ascii="宋体" w:hAnsi="宋体" w:eastAsia="宋体" w:cs="宋体"/>
          <w:sz w:val="24"/>
          <w:szCs w:val="24"/>
          <w:lang w:val="en-US" w:eastAsia="zh-CN"/>
        </w:rPr>
      </w:pPr>
    </w:p>
    <w:p w14:paraId="02572E40">
      <w:pPr>
        <w:pStyle w:val="10"/>
        <w:ind w:left="0" w:leftChars="0" w:firstLine="0" w:firstLineChars="0"/>
        <w:jc w:val="both"/>
        <w:rPr>
          <w:rFonts w:hint="eastAsia" w:ascii="宋体" w:hAnsi="宋体" w:eastAsia="宋体" w:cs="宋体"/>
          <w:sz w:val="24"/>
          <w:szCs w:val="24"/>
          <w:lang w:eastAsia="zh-CN"/>
        </w:rPr>
        <w:sectPr>
          <w:pgSz w:w="16838" w:h="11906" w:orient="landscape"/>
          <w:pgMar w:top="1531" w:right="1985" w:bottom="1531" w:left="1701" w:header="851" w:footer="992" w:gutter="0"/>
          <w:pgNumType w:start="1"/>
          <w:cols w:space="720" w:num="1"/>
          <w:docGrid w:type="linesAndChars" w:linePitch="386" w:charSpace="0"/>
        </w:sectPr>
      </w:pPr>
    </w:p>
    <w:p w14:paraId="53B24070">
      <w:pPr>
        <w:pStyle w:val="10"/>
        <w:ind w:left="0" w:leftChars="0" w:firstLine="0" w:firstLineChars="0"/>
        <w:jc w:val="both"/>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附件3：</w:t>
      </w:r>
    </w:p>
    <w:p w14:paraId="46A842B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sz w:val="28"/>
          <w:szCs w:val="28"/>
          <w:highlight w:val="none"/>
        </w:rPr>
      </w:pPr>
      <w:r>
        <w:rPr>
          <w:rFonts w:hint="eastAsia" w:ascii="宋体" w:hAnsi="宋体" w:eastAsia="宋体" w:cs="宋体"/>
          <w:b/>
          <w:bCs/>
          <w:i w:val="0"/>
          <w:iCs w:val="0"/>
          <w:color w:val="auto"/>
          <w:kern w:val="0"/>
          <w:sz w:val="24"/>
          <w:szCs w:val="24"/>
          <w:u w:val="none"/>
          <w:lang w:val="en-US" w:eastAsia="zh-CN"/>
        </w:rPr>
        <w:t>洛浦县十八届人民代表大会会议经费</w:t>
      </w:r>
      <w:r>
        <w:rPr>
          <w:rFonts w:hint="eastAsia" w:ascii="宋体" w:hAnsi="宋体" w:eastAsia="宋体" w:cs="宋体"/>
          <w:b/>
          <w:bCs/>
          <w:color w:val="auto"/>
          <w:sz w:val="24"/>
          <w:szCs w:val="24"/>
          <w:highlight w:val="none"/>
          <w:lang w:val="en-US" w:eastAsia="zh-CN"/>
        </w:rPr>
        <w:t>项目满</w:t>
      </w:r>
      <w:r>
        <w:rPr>
          <w:rFonts w:hint="eastAsia" w:ascii="宋体" w:hAnsi="宋体" w:eastAsia="宋体" w:cs="宋体"/>
          <w:b/>
          <w:bCs/>
          <w:sz w:val="24"/>
          <w:szCs w:val="24"/>
          <w:highlight w:val="none"/>
          <w:lang w:val="en-US" w:eastAsia="zh-CN"/>
        </w:rPr>
        <w:t>意度</w:t>
      </w:r>
      <w:r>
        <w:rPr>
          <w:rFonts w:hint="eastAsia" w:ascii="宋体" w:hAnsi="宋体" w:eastAsia="宋体" w:cs="宋体"/>
          <w:b/>
          <w:bCs/>
          <w:sz w:val="24"/>
          <w:szCs w:val="24"/>
          <w:highlight w:val="none"/>
        </w:rPr>
        <w:t>调查问卷</w:t>
      </w:r>
      <w:r>
        <w:rPr>
          <w:rFonts w:hint="eastAsia" w:ascii="宋体" w:hAnsi="宋体" w:eastAsia="宋体" w:cs="宋体"/>
          <w:b/>
          <w:bCs/>
          <w:sz w:val="24"/>
          <w:szCs w:val="24"/>
          <w:highlight w:val="none"/>
          <w:lang w:val="en-US" w:eastAsia="zh-CN"/>
        </w:rPr>
        <w:t>分析报告</w:t>
      </w:r>
    </w:p>
    <w:p w14:paraId="26BCE76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sz w:val="24"/>
          <w:szCs w:val="24"/>
          <w:highlight w:val="none"/>
        </w:rPr>
        <w:t>为客观评价该项目的社会效果，了解</w:t>
      </w:r>
      <w:r>
        <w:rPr>
          <w:rFonts w:hint="eastAsia" w:ascii="宋体" w:hAnsi="宋体" w:eastAsia="宋体" w:cs="宋体"/>
          <w:sz w:val="24"/>
          <w:szCs w:val="24"/>
          <w:highlight w:val="none"/>
          <w:lang w:val="en-US" w:eastAsia="zh-CN"/>
        </w:rPr>
        <w:t>项目受益群体</w:t>
      </w:r>
      <w:r>
        <w:rPr>
          <w:rFonts w:hint="eastAsia" w:ascii="宋体" w:hAnsi="宋体" w:eastAsia="宋体" w:cs="宋体"/>
          <w:sz w:val="24"/>
          <w:szCs w:val="24"/>
          <w:highlight w:val="none"/>
        </w:rPr>
        <w:t>对项目</w:t>
      </w:r>
      <w:r>
        <w:rPr>
          <w:rFonts w:hint="eastAsia" w:ascii="宋体" w:hAnsi="宋体" w:eastAsia="宋体" w:cs="宋体"/>
          <w:sz w:val="24"/>
          <w:szCs w:val="24"/>
          <w:highlight w:val="none"/>
          <w:lang w:val="en-US" w:eastAsia="zh-CN"/>
        </w:rPr>
        <w:t>实施后</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真实</w:t>
      </w:r>
      <w:r>
        <w:rPr>
          <w:rFonts w:hint="eastAsia" w:ascii="宋体" w:hAnsi="宋体" w:eastAsia="宋体" w:cs="宋体"/>
          <w:sz w:val="24"/>
          <w:szCs w:val="24"/>
          <w:highlight w:val="none"/>
        </w:rPr>
        <w:t>评价情况，对本项目</w:t>
      </w:r>
      <w:r>
        <w:rPr>
          <w:rFonts w:hint="eastAsia" w:ascii="宋体" w:hAnsi="宋体" w:eastAsia="宋体" w:cs="宋体"/>
          <w:sz w:val="24"/>
          <w:szCs w:val="24"/>
          <w:highlight w:val="none"/>
          <w:lang w:eastAsia="zh-CN"/>
        </w:rPr>
        <w:t>开展</w:t>
      </w:r>
      <w:r>
        <w:rPr>
          <w:rFonts w:hint="eastAsia" w:ascii="宋体" w:hAnsi="宋体" w:eastAsia="宋体" w:cs="宋体"/>
          <w:sz w:val="24"/>
          <w:szCs w:val="24"/>
          <w:highlight w:val="none"/>
        </w:rPr>
        <w:t>满意度问卷调查。问卷调查工作情况如下。问卷调查工作情况如下：</w:t>
      </w:r>
    </w:p>
    <w:p w14:paraId="3213682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一、</w:t>
      </w:r>
      <w:r>
        <w:rPr>
          <w:rFonts w:hint="eastAsia" w:ascii="宋体" w:hAnsi="宋体" w:eastAsia="宋体" w:cs="宋体"/>
          <w:b/>
          <w:bCs/>
          <w:sz w:val="24"/>
          <w:szCs w:val="24"/>
          <w:highlight w:val="none"/>
        </w:rPr>
        <w:t>该问卷调查从202</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rPr>
        <w:t>年</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lang w:val="en-US" w:eastAsia="zh-CN"/>
        </w:rPr>
        <w:t>10</w:t>
      </w:r>
      <w:r>
        <w:rPr>
          <w:rFonts w:hint="eastAsia" w:ascii="宋体" w:hAnsi="宋体" w:eastAsia="宋体" w:cs="宋体"/>
          <w:b/>
          <w:bCs/>
          <w:sz w:val="24"/>
          <w:szCs w:val="24"/>
          <w:highlight w:val="none"/>
        </w:rPr>
        <w:t>日开始至202</w:t>
      </w:r>
      <w:r>
        <w:rPr>
          <w:rFonts w:hint="eastAsia" w:ascii="宋体" w:hAnsi="宋体" w:eastAsia="宋体" w:cs="宋体"/>
          <w:b/>
          <w:bCs/>
          <w:sz w:val="24"/>
          <w:szCs w:val="24"/>
          <w:highlight w:val="none"/>
          <w:lang w:val="en-US" w:eastAsia="zh-CN"/>
        </w:rPr>
        <w:t>5</w:t>
      </w:r>
      <w:r>
        <w:rPr>
          <w:rFonts w:hint="eastAsia" w:ascii="宋体" w:hAnsi="宋体" w:eastAsia="宋体" w:cs="宋体"/>
          <w:b/>
          <w:bCs/>
          <w:sz w:val="24"/>
          <w:szCs w:val="24"/>
          <w:highlight w:val="none"/>
        </w:rPr>
        <w:t>年</w:t>
      </w:r>
      <w:r>
        <w:rPr>
          <w:rFonts w:hint="eastAsia" w:ascii="宋体" w:hAnsi="宋体" w:eastAsia="宋体" w:cs="宋体"/>
          <w:b/>
          <w:bCs/>
          <w:sz w:val="24"/>
          <w:szCs w:val="24"/>
          <w:highlight w:val="none"/>
          <w:lang w:val="en-US" w:eastAsia="zh-CN"/>
        </w:rPr>
        <w:t>2</w:t>
      </w:r>
      <w:r>
        <w:rPr>
          <w:rFonts w:hint="eastAsia" w:ascii="宋体" w:hAnsi="宋体" w:eastAsia="宋体" w:cs="宋体"/>
          <w:b/>
          <w:bCs/>
          <w:sz w:val="24"/>
          <w:szCs w:val="24"/>
          <w:highlight w:val="none"/>
        </w:rPr>
        <w:t>月</w:t>
      </w:r>
      <w:r>
        <w:rPr>
          <w:rFonts w:hint="eastAsia" w:ascii="宋体" w:hAnsi="宋体" w:eastAsia="宋体" w:cs="宋体"/>
          <w:b/>
          <w:bCs/>
          <w:sz w:val="24"/>
          <w:szCs w:val="24"/>
          <w:highlight w:val="none"/>
          <w:lang w:val="en-US" w:eastAsia="zh-CN"/>
        </w:rPr>
        <w:t>20</w:t>
      </w:r>
      <w:r>
        <w:rPr>
          <w:rFonts w:hint="eastAsia" w:ascii="宋体" w:hAnsi="宋体" w:eastAsia="宋体" w:cs="宋体"/>
          <w:b/>
          <w:bCs/>
          <w:sz w:val="24"/>
          <w:szCs w:val="24"/>
          <w:highlight w:val="none"/>
        </w:rPr>
        <w:t>日结束，调查问卷共设置</w:t>
      </w:r>
      <w:r>
        <w:rPr>
          <w:rFonts w:hint="eastAsia" w:ascii="宋体" w:hAnsi="宋体" w:eastAsia="宋体" w:cs="宋体"/>
          <w:b/>
          <w:bCs/>
          <w:sz w:val="24"/>
          <w:szCs w:val="24"/>
          <w:highlight w:val="none"/>
          <w:lang w:val="en-US" w:eastAsia="zh-CN"/>
        </w:rPr>
        <w:t>3</w:t>
      </w:r>
      <w:r>
        <w:rPr>
          <w:rFonts w:hint="eastAsia" w:ascii="宋体" w:hAnsi="宋体" w:eastAsia="宋体" w:cs="宋体"/>
          <w:b/>
          <w:bCs/>
          <w:sz w:val="24"/>
          <w:szCs w:val="24"/>
          <w:highlight w:val="none"/>
        </w:rPr>
        <w:t>道题目。</w:t>
      </w:r>
    </w:p>
    <w:p w14:paraId="098672E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i w:val="0"/>
          <w:iCs w:val="0"/>
          <w:sz w:val="24"/>
          <w:szCs w:val="24"/>
          <w:highlight w:val="none"/>
        </w:rPr>
      </w:pPr>
      <w:r>
        <w:rPr>
          <w:rFonts w:hint="eastAsia" w:ascii="宋体" w:hAnsi="宋体" w:eastAsia="宋体" w:cs="宋体"/>
          <w:b/>
          <w:bCs/>
          <w:i w:val="0"/>
          <w:iCs w:val="0"/>
          <w:sz w:val="24"/>
          <w:szCs w:val="24"/>
          <w:highlight w:val="none"/>
          <w:lang w:val="en-US" w:eastAsia="zh-CN"/>
        </w:rPr>
        <w:t>1</w:t>
      </w:r>
      <w:r>
        <w:rPr>
          <w:rFonts w:hint="eastAsia" w:ascii="宋体" w:hAnsi="宋体" w:eastAsia="宋体" w:cs="宋体"/>
          <w:b/>
          <w:bCs/>
          <w:i w:val="0"/>
          <w:iCs w:val="0"/>
          <w:sz w:val="24"/>
          <w:szCs w:val="24"/>
          <w:highlight w:val="none"/>
        </w:rPr>
        <w:t>.</w:t>
      </w:r>
      <w:r>
        <w:rPr>
          <w:rFonts w:hint="eastAsia" w:ascii="宋体" w:hAnsi="宋体" w:eastAsia="宋体" w:cs="宋体"/>
          <w:b/>
          <w:bCs/>
          <w:i w:val="0"/>
          <w:iCs w:val="0"/>
          <w:sz w:val="24"/>
          <w:szCs w:val="24"/>
          <w:highlight w:val="none"/>
          <w:lang w:eastAsia="zh-CN"/>
        </w:rPr>
        <w:t>调查</w:t>
      </w:r>
      <w:r>
        <w:rPr>
          <w:rFonts w:hint="eastAsia" w:ascii="宋体" w:hAnsi="宋体" w:eastAsia="宋体" w:cs="宋体"/>
          <w:b/>
          <w:bCs/>
          <w:i w:val="0"/>
          <w:iCs w:val="0"/>
          <w:sz w:val="24"/>
          <w:szCs w:val="24"/>
          <w:highlight w:val="none"/>
        </w:rPr>
        <w:t>内容</w:t>
      </w:r>
    </w:p>
    <w:p w14:paraId="2823C4CB">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lang w:val="en-US" w:eastAsia="zh-CN"/>
        </w:rPr>
      </w:pPr>
      <w:r>
        <w:rPr>
          <w:rFonts w:hint="eastAsia" w:ascii="宋体" w:hAnsi="宋体" w:eastAsia="宋体" w:cs="宋体"/>
          <w:sz w:val="24"/>
          <w:szCs w:val="24"/>
          <w:highlight w:val="none"/>
        </w:rPr>
        <w:t>本次</w:t>
      </w:r>
      <w:r>
        <w:rPr>
          <w:rFonts w:hint="eastAsia" w:cs="宋体"/>
          <w:sz w:val="24"/>
          <w:szCs w:val="24"/>
          <w:highlight w:val="none"/>
          <w:lang w:eastAsia="zh-CN"/>
        </w:rPr>
        <w:t>调查</w:t>
      </w:r>
      <w:r>
        <w:rPr>
          <w:rFonts w:hint="eastAsia" w:ascii="宋体" w:hAnsi="宋体" w:eastAsia="宋体" w:cs="宋体"/>
          <w:sz w:val="24"/>
          <w:szCs w:val="24"/>
          <w:highlight w:val="none"/>
        </w:rPr>
        <w:t>的受益对象为受益干部职工。</w:t>
      </w:r>
    </w:p>
    <w:p w14:paraId="2DDC6F5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i w:val="0"/>
          <w:iCs w:val="0"/>
          <w:sz w:val="24"/>
          <w:szCs w:val="24"/>
          <w:highlight w:val="none"/>
          <w:lang w:val="en-US" w:eastAsia="zh-CN"/>
        </w:rPr>
      </w:pPr>
      <w:r>
        <w:rPr>
          <w:rFonts w:hint="eastAsia" w:ascii="宋体" w:hAnsi="宋体" w:eastAsia="宋体" w:cs="宋体"/>
          <w:b/>
          <w:bCs/>
          <w:i w:val="0"/>
          <w:iCs w:val="0"/>
          <w:sz w:val="24"/>
          <w:szCs w:val="24"/>
          <w:highlight w:val="none"/>
          <w:lang w:val="en-US" w:eastAsia="zh-CN"/>
        </w:rPr>
        <w:t>2.调查内容</w:t>
      </w:r>
    </w:p>
    <w:p w14:paraId="6F644E7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①您洛浦县十八届人民代表大会会议经费项目的住宿是否满意?</w:t>
      </w:r>
    </w:p>
    <w:p w14:paraId="37D31918">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非常满意      比较满意        一般         不满意</w:t>
      </w:r>
    </w:p>
    <w:p w14:paraId="5FA9A1E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②您对洛浦县十八届人民代表大会会议经费项目的伙食是否满意？</w:t>
      </w:r>
    </w:p>
    <w:p w14:paraId="3302158C">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非常满意      比较满意        一般         不满意</w:t>
      </w:r>
    </w:p>
    <w:p w14:paraId="10DD60A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③总的来说，您对目前洛浦县十八届人民代表大会会议经费项目实施后的整体满意程度如何？</w:t>
      </w:r>
    </w:p>
    <w:p w14:paraId="4980844B">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非常满意      比较满意        一般         不满意</w:t>
      </w:r>
    </w:p>
    <w:p w14:paraId="02324A7A">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kern w:val="0"/>
          <w:sz w:val="24"/>
          <w:szCs w:val="24"/>
          <w:highlight w:val="none"/>
          <w:lang w:val="en-US" w:eastAsia="zh-CN" w:bidi="zh-CN"/>
        </w:rPr>
      </w:pPr>
      <w:bookmarkStart w:id="20" w:name="OLE_LINK3"/>
      <w:bookmarkStart w:id="21" w:name="OLE_LINK1"/>
      <w:r>
        <w:rPr>
          <w:rFonts w:hint="eastAsia" w:ascii="宋体" w:hAnsi="宋体" w:eastAsia="宋体" w:cs="宋体"/>
          <w:kern w:val="0"/>
          <w:sz w:val="24"/>
          <w:szCs w:val="24"/>
          <w:highlight w:val="none"/>
          <w:lang w:val="en-US" w:eastAsia="zh-CN" w:bidi="zh-CN"/>
        </w:rPr>
        <w:t>④</w:t>
      </w:r>
      <w:bookmarkEnd w:id="20"/>
      <w:r>
        <w:rPr>
          <w:rFonts w:hint="eastAsia" w:ascii="宋体" w:hAnsi="宋体" w:eastAsia="宋体" w:cs="宋体"/>
          <w:kern w:val="0"/>
          <w:sz w:val="24"/>
          <w:szCs w:val="24"/>
          <w:highlight w:val="none"/>
          <w:lang w:val="en-US" w:eastAsia="zh-CN" w:bidi="zh-CN"/>
        </w:rPr>
        <w:t>您对洛浦县十八届人民代表大会会议经费项目实施后对促进基层人大工作开展的促进程度如何？</w:t>
      </w:r>
      <w:bookmarkEnd w:id="21"/>
    </w:p>
    <w:p w14:paraId="6F33FE62">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b/>
          <w:bCs/>
          <w:i w:val="0"/>
          <w:iCs w:val="0"/>
          <w:sz w:val="24"/>
          <w:szCs w:val="24"/>
          <w:highlight w:val="none"/>
        </w:rPr>
      </w:pPr>
      <w:bookmarkStart w:id="22" w:name="OLE_LINK2"/>
      <w:r>
        <w:rPr>
          <w:rFonts w:hint="eastAsia" w:ascii="宋体" w:hAnsi="宋体" w:eastAsia="宋体" w:cs="宋体"/>
          <w:kern w:val="0"/>
          <w:sz w:val="24"/>
          <w:szCs w:val="24"/>
          <w:highlight w:val="none"/>
          <w:lang w:val="en-US" w:eastAsia="zh-CN" w:bidi="zh-CN"/>
        </w:rPr>
        <w:t xml:space="preserve">有效促进         一般促进            无效果 </w:t>
      </w:r>
      <w:bookmarkEnd w:id="22"/>
    </w:p>
    <w:p w14:paraId="28161FF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i w:val="0"/>
          <w:iCs w:val="0"/>
          <w:sz w:val="24"/>
          <w:szCs w:val="24"/>
          <w:highlight w:val="none"/>
          <w:lang w:val="en-US" w:eastAsia="zh-CN"/>
        </w:rPr>
      </w:pPr>
      <w:r>
        <w:rPr>
          <w:rFonts w:hint="eastAsia" w:ascii="宋体" w:hAnsi="宋体" w:eastAsia="宋体" w:cs="宋体"/>
          <w:b/>
          <w:bCs/>
          <w:i w:val="0"/>
          <w:iCs w:val="0"/>
          <w:sz w:val="24"/>
          <w:szCs w:val="24"/>
          <w:highlight w:val="none"/>
          <w:lang w:val="en-US" w:eastAsia="zh-CN"/>
        </w:rPr>
        <w:t>3.调查方法</w:t>
      </w:r>
    </w:p>
    <w:p w14:paraId="478F0C8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问卷调查采取分层抽样和随机抽样相结合的方式进行。在全面调查开展之前会先进行论证，依据论证结果对问卷和抽样方案再进行一次修改和调整之后再付诸实施。</w:t>
      </w:r>
    </w:p>
    <w:p w14:paraId="024741F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i w:val="0"/>
          <w:iCs w:val="0"/>
          <w:sz w:val="24"/>
          <w:szCs w:val="24"/>
          <w:highlight w:val="none"/>
          <w:lang w:val="en-US" w:eastAsia="zh-CN"/>
        </w:rPr>
      </w:pPr>
      <w:r>
        <w:rPr>
          <w:rFonts w:hint="eastAsia" w:ascii="宋体" w:hAnsi="宋体" w:eastAsia="宋体" w:cs="宋体"/>
          <w:b/>
          <w:bCs/>
          <w:i w:val="0"/>
          <w:iCs w:val="0"/>
          <w:sz w:val="24"/>
          <w:szCs w:val="24"/>
          <w:highlight w:val="none"/>
          <w:lang w:val="en-US" w:eastAsia="zh-CN"/>
        </w:rPr>
        <w:t>4.抽样方式</w:t>
      </w:r>
    </w:p>
    <w:p w14:paraId="5614FA8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kern w:val="0"/>
          <w:sz w:val="24"/>
          <w:szCs w:val="24"/>
          <w:highlight w:val="none"/>
          <w:lang w:val="en-US" w:eastAsia="zh-CN" w:bidi="zh-CN"/>
        </w:rPr>
        <w:t>为确保问卷调查的全面性和代表性，本次调查问卷调查采取随机抽样和分层抽样相结合方式进行。</w:t>
      </w:r>
    </w:p>
    <w:p w14:paraId="08990BC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i w:val="0"/>
          <w:iCs w:val="0"/>
          <w:sz w:val="24"/>
          <w:szCs w:val="24"/>
          <w:highlight w:val="none"/>
          <w:lang w:val="en-US" w:eastAsia="zh-CN"/>
        </w:rPr>
      </w:pPr>
      <w:r>
        <w:rPr>
          <w:rFonts w:hint="eastAsia" w:ascii="宋体" w:hAnsi="宋体" w:eastAsia="宋体" w:cs="宋体"/>
          <w:b/>
          <w:bCs/>
          <w:i w:val="0"/>
          <w:iCs w:val="0"/>
          <w:sz w:val="24"/>
          <w:szCs w:val="24"/>
          <w:highlight w:val="none"/>
          <w:lang w:val="en-US" w:eastAsia="zh-CN"/>
        </w:rPr>
        <w:t>5.问卷的发放和回收</w:t>
      </w:r>
    </w:p>
    <w:p w14:paraId="7BCA727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2070DBC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本次调查过程中，评价小组实际发放问卷30份，回收问卷30份，问卷回收率为100.00%，有效问卷30份，有效回收率100.00%，本次调查的整体情况如下：</w:t>
      </w:r>
    </w:p>
    <w:p w14:paraId="64294E5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第一个问题：该项统计有效问卷数量30份，选择非常满意的人数为30人。选择比较满意的人数为0人，选择一般的人数0人，选择不满意的人数0人，选择非常不满意的人数0人。</w:t>
      </w:r>
    </w:p>
    <w:p w14:paraId="6B36DBB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第二个问题：该项统计有效问卷数量30份，选择非常满意的人数为30人。选择比较满意的人数为0人，选择一般的人数0人，选择不满意的人数0人，选择非常不满意的人数0人。</w:t>
      </w:r>
    </w:p>
    <w:p w14:paraId="4B9A672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第三个问题：该项统计有效问卷数量30份，选择非常满意的人数为30人。选择比较满意的人数为0人，选择一般的人数0人，选择不满意的人数0人，选择非常不满意的人数0人。</w:t>
      </w:r>
    </w:p>
    <w:p w14:paraId="716EDAA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kern w:val="0"/>
          <w:sz w:val="24"/>
          <w:szCs w:val="24"/>
          <w:highlight w:val="none"/>
          <w:lang w:val="en-US" w:eastAsia="zh-CN" w:bidi="zh-CN"/>
        </w:rPr>
      </w:pPr>
      <w:r>
        <w:rPr>
          <w:rFonts w:hint="eastAsia" w:ascii="宋体" w:hAnsi="宋体" w:eastAsia="宋体" w:cs="宋体"/>
          <w:kern w:val="0"/>
          <w:sz w:val="24"/>
          <w:szCs w:val="24"/>
          <w:highlight w:val="none"/>
          <w:lang w:val="en-US" w:eastAsia="zh-CN" w:bidi="zh-CN"/>
        </w:rPr>
        <w:t>第四个问题：该项统计有效问卷数量30份，选择有效促进的人数为30人。选择一般促进的人数为0人，选择无效果的人数0人。</w:t>
      </w:r>
    </w:p>
    <w:p w14:paraId="54EC34F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560" w:left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二、调查结果统计</w:t>
      </w:r>
    </w:p>
    <w:p w14:paraId="5F2EE5B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kern w:val="0"/>
          <w:sz w:val="24"/>
          <w:szCs w:val="24"/>
          <w:highlight w:val="none"/>
          <w:lang w:val="en-US" w:eastAsia="zh-CN" w:bidi="zh-CN"/>
        </w:rPr>
        <w:t>洛浦县十八届人民代表大会第五次会议经费</w:t>
      </w:r>
      <w:r>
        <w:rPr>
          <w:rFonts w:hint="eastAsia" w:ascii="宋体" w:hAnsi="宋体" w:eastAsia="宋体" w:cs="宋体"/>
          <w:color w:val="auto"/>
          <w:sz w:val="24"/>
          <w:szCs w:val="24"/>
          <w:highlight w:val="none"/>
          <w:lang w:val="en-US" w:eastAsia="zh-CN"/>
        </w:rPr>
        <w:t>项目</w:t>
      </w:r>
      <w:r>
        <w:rPr>
          <w:rFonts w:hint="eastAsia" w:ascii="宋体" w:hAnsi="宋体" w:eastAsia="宋体" w:cs="宋体"/>
          <w:sz w:val="24"/>
          <w:szCs w:val="24"/>
          <w:highlight w:val="none"/>
          <w:lang w:val="en-US" w:eastAsia="zh-CN"/>
        </w:rPr>
        <w:t>针对受益人员发放30份调查问卷，最终统计受益人群满意度为100%。</w:t>
      </w:r>
    </w:p>
    <w:p w14:paraId="79B84D6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lang w:val="en-US" w:eastAsia="zh-CN"/>
        </w:rPr>
      </w:pPr>
    </w:p>
    <w:p w14:paraId="6B076DE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right"/>
        <w:textAlignment w:val="auto"/>
        <w:rPr>
          <w:rFonts w:hint="default" w:ascii="宋体" w:hAnsi="宋体" w:eastAsia="宋体" w:cs="宋体"/>
          <w:sz w:val="24"/>
          <w:szCs w:val="24"/>
          <w:highlight w:val="none"/>
          <w:lang w:val="en-US" w:eastAsia="zh-CN"/>
        </w:rPr>
      </w:pPr>
      <w:r>
        <w:rPr>
          <w:rFonts w:hint="eastAsia" w:cs="宋体"/>
          <w:sz w:val="24"/>
          <w:szCs w:val="24"/>
          <w:highlight w:val="none"/>
          <w:lang w:val="en-US" w:eastAsia="zh-CN"/>
        </w:rPr>
        <w:t>洛浦</w:t>
      </w:r>
      <w:r>
        <w:rPr>
          <w:rFonts w:hint="eastAsia" w:ascii="宋体" w:hAnsi="宋体" w:eastAsia="宋体" w:cs="宋体"/>
          <w:sz w:val="24"/>
          <w:szCs w:val="24"/>
          <w:highlight w:val="none"/>
          <w:lang w:val="en-US" w:eastAsia="zh-CN"/>
        </w:rPr>
        <w:t>县人民代表大会常务委员会办公室</w:t>
      </w:r>
    </w:p>
    <w:p w14:paraId="2649516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right"/>
        <w:textAlignment w:val="auto"/>
        <w:rPr>
          <w:rFonts w:hint="eastAsia"/>
          <w:sz w:val="24"/>
          <w:szCs w:val="24"/>
          <w:highlight w:val="none"/>
          <w:lang w:val="en-US" w:eastAsia="zh-CN"/>
        </w:rPr>
      </w:pPr>
      <w:r>
        <w:rPr>
          <w:rFonts w:hint="eastAsia" w:ascii="宋体" w:hAnsi="宋体" w:eastAsia="宋体" w:cs="宋体"/>
          <w:sz w:val="24"/>
          <w:szCs w:val="24"/>
          <w:highlight w:val="none"/>
          <w:lang w:val="en-US" w:eastAsia="zh-CN"/>
        </w:rPr>
        <w:t>2025年</w:t>
      </w:r>
      <w:r>
        <w:rPr>
          <w:rFonts w:hint="eastAsia" w:cs="宋体"/>
          <w:sz w:val="24"/>
          <w:szCs w:val="24"/>
          <w:highlight w:val="none"/>
          <w:lang w:val="en-US" w:eastAsia="zh-CN"/>
        </w:rPr>
        <w:t>2</w:t>
      </w:r>
      <w:r>
        <w:rPr>
          <w:rFonts w:hint="eastAsia" w:ascii="宋体" w:hAnsi="宋体" w:eastAsia="宋体" w:cs="宋体"/>
          <w:sz w:val="24"/>
          <w:szCs w:val="24"/>
          <w:highlight w:val="none"/>
          <w:lang w:val="en-US" w:eastAsia="zh-CN"/>
        </w:rPr>
        <w:t>月</w:t>
      </w:r>
      <w:r>
        <w:rPr>
          <w:rFonts w:hint="eastAsia" w:cs="宋体"/>
          <w:sz w:val="24"/>
          <w:szCs w:val="24"/>
          <w:highlight w:val="none"/>
          <w:lang w:val="en-US" w:eastAsia="zh-CN"/>
        </w:rPr>
        <w:t>20</w:t>
      </w:r>
      <w:r>
        <w:rPr>
          <w:rFonts w:hint="eastAsia" w:ascii="宋体" w:hAnsi="宋体" w:eastAsia="宋体" w:cs="宋体"/>
          <w:sz w:val="24"/>
          <w:szCs w:val="24"/>
          <w:highlight w:val="none"/>
          <w:lang w:val="en-US" w:eastAsia="zh-CN"/>
        </w:rPr>
        <w:t>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F5D2CE1-49C2-4E10-A14A-80F653CF563D}"/>
  </w:font>
  <w:font w:name="黑体">
    <w:panose1 w:val="02010609060101010101"/>
    <w:charset w:val="86"/>
    <w:family w:val="auto"/>
    <w:pitch w:val="default"/>
    <w:sig w:usb0="800002BF" w:usb1="38CF7CFA" w:usb2="00000016" w:usb3="00000000" w:csb0="00040001" w:csb1="00000000"/>
    <w:embedRegular r:id="rId2" w:fontKey="{634345AE-9FDF-45FD-A340-15898011E7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03824170-E4EB-485E-9D21-44E19465FD8F}"/>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script"/>
    <w:pitch w:val="default"/>
    <w:sig w:usb0="A00002BF" w:usb1="38CF7CFA" w:usb2="00082016" w:usb3="00000000" w:csb0="00040001" w:csb1="00000000"/>
    <w:embedRegular r:id="rId4" w:fontKey="{08EA625B-0DCA-471F-8C39-7AAAFF6D6D1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56541">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BD04F">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suff w:val="nothing"/>
      <w:lvlText w:val="（%1）"/>
      <w:lvlJc w:val="left"/>
    </w:lvl>
  </w:abstractNum>
  <w:abstractNum w:abstractNumId="1">
    <w:nsid w:val="BF205925"/>
    <w:multiLevelType w:val="singleLevel"/>
    <w:tmpl w:val="BF205925"/>
    <w:lvl w:ilvl="0" w:tentative="0">
      <w:start w:val="2"/>
      <w:numFmt w:val="decimal"/>
      <w:lvlText w:val="%1."/>
      <w:lvlJc w:val="left"/>
      <w:pPr>
        <w:tabs>
          <w:tab w:val="left" w:pos="312"/>
        </w:tabs>
      </w:pPr>
    </w:lvl>
  </w:abstractNum>
  <w:abstractNum w:abstractNumId="2">
    <w:nsid w:val="CF092B84"/>
    <w:multiLevelType w:val="singleLevel"/>
    <w:tmpl w:val="CF092B84"/>
    <w:lvl w:ilvl="0" w:tentative="0">
      <w:start w:val="2"/>
      <w:numFmt w:val="decimal"/>
      <w:suff w:val="nothing"/>
      <w:lvlText w:val="（%1）"/>
      <w:lvlJc w:val="left"/>
    </w:lvl>
  </w:abstractNum>
  <w:abstractNum w:abstractNumId="3">
    <w:nsid w:val="0053208E"/>
    <w:multiLevelType w:val="multilevel"/>
    <w:tmpl w:val="0053208E"/>
    <w:lvl w:ilvl="0" w:tentative="0">
      <w:start w:val="1"/>
      <w:numFmt w:val="chineseCountingThousand"/>
      <w:pStyle w:val="61"/>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3D62ECE"/>
    <w:multiLevelType w:val="singleLevel"/>
    <w:tmpl w:val="03D62ECE"/>
    <w:lvl w:ilvl="0" w:tentative="0">
      <w:start w:val="5"/>
      <w:numFmt w:val="decimal"/>
      <w:suff w:val="nothing"/>
      <w:lvlText w:val="（%1）"/>
      <w:lvlJc w:val="left"/>
    </w:lvl>
  </w:abstractNum>
  <w:abstractNum w:abstractNumId="5">
    <w:nsid w:val="25B654F3"/>
    <w:multiLevelType w:val="singleLevel"/>
    <w:tmpl w:val="25B654F3"/>
    <w:lvl w:ilvl="0" w:tentative="0">
      <w:start w:val="1"/>
      <w:numFmt w:val="decimal"/>
      <w:suff w:val="nothing"/>
      <w:lvlText w:val="（%1）"/>
      <w:lvlJc w:val="left"/>
    </w:lvl>
  </w:abstractNum>
  <w:abstractNum w:abstractNumId="6">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51C9796D"/>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2">
    <w:name w:val="heading 1"/>
    <w:basedOn w:val="1"/>
    <w:next w:val="3"/>
    <w:link w:val="3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5"/>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6"/>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7"/>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6">
    <w:name w:val="Default Paragraph Font"/>
    <w:unhideWhenUsed/>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3">
    <w:name w:val="Body Text First Indent 2"/>
    <w:basedOn w:val="4"/>
    <w:link w:val="34"/>
    <w:unhideWhenUsed/>
    <w:qFormat/>
    <w:uiPriority w:val="0"/>
    <w:pPr>
      <w:ind w:firstLine="420"/>
    </w:pPr>
  </w:style>
  <w:style w:type="paragraph" w:styleId="4">
    <w:name w:val="Body Text Indent"/>
    <w:basedOn w:val="1"/>
    <w:link w:val="33"/>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8"/>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toc 8"/>
    <w:basedOn w:val="1"/>
    <w:next w:val="1"/>
    <w:unhideWhenUsed/>
    <w:uiPriority w:val="39"/>
    <w:pPr>
      <w:ind w:left="1960"/>
      <w:jc w:val="left"/>
    </w:pPr>
    <w:rPr>
      <w:rFonts w:ascii="Calibri" w:hAnsi="Calibri" w:cs="Calibri"/>
      <w:sz w:val="18"/>
      <w:szCs w:val="18"/>
    </w:rPr>
  </w:style>
  <w:style w:type="paragraph" w:styleId="14">
    <w:name w:val="Balloon Text"/>
    <w:basedOn w:val="1"/>
    <w:link w:val="40"/>
    <w:unhideWhenUsed/>
    <w:uiPriority w:val="99"/>
    <w:rPr>
      <w:rFonts w:cs="Times New Roman"/>
      <w:kern w:val="0"/>
      <w:sz w:val="18"/>
      <w:szCs w:val="18"/>
    </w:rPr>
  </w:style>
  <w:style w:type="paragraph" w:styleId="15">
    <w:name w:val="footer"/>
    <w:basedOn w:val="1"/>
    <w:link w:val="41"/>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2"/>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Body Text 2"/>
    <w:basedOn w:val="1"/>
    <w:qFormat/>
    <w:uiPriority w:val="0"/>
    <w:pPr>
      <w:spacing w:after="120" w:line="480" w:lineRule="auto"/>
    </w:pPr>
    <w:rPr>
      <w:rFonts w:ascii="Times New Roman" w:hAnsi="Times New Roman" w:eastAsia="宋体" w:cs="Times New Roman"/>
    </w:rPr>
  </w:style>
  <w:style w:type="paragraph" w:styleId="23">
    <w:name w:val="Title"/>
    <w:basedOn w:val="1"/>
    <w:next w:val="1"/>
    <w:link w:val="43"/>
    <w:qFormat/>
    <w:uiPriority w:val="10"/>
    <w:pPr>
      <w:spacing w:before="240" w:after="60"/>
      <w:jc w:val="center"/>
      <w:outlineLvl w:val="0"/>
    </w:pPr>
    <w:rPr>
      <w:rFonts w:ascii="Cambria" w:hAnsi="Cambria" w:eastAsia="宋体" w:cs="Times New Roman"/>
      <w:b/>
      <w:bCs/>
      <w:sz w:val="32"/>
      <w:szCs w:val="32"/>
    </w:rPr>
  </w:style>
  <w:style w:type="table" w:styleId="25">
    <w:name w:val="Table Grid"/>
    <w:basedOn w:val="2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0"/>
    <w:rPr>
      <w:b/>
      <w:bCs/>
    </w:rPr>
  </w:style>
  <w:style w:type="character" w:styleId="28">
    <w:name w:val="Hyperlink"/>
    <w:unhideWhenUsed/>
    <w:uiPriority w:val="99"/>
    <w:rPr>
      <w:color w:val="0000FF"/>
      <w:u w:val="single"/>
    </w:rPr>
  </w:style>
  <w:style w:type="paragraph" w:customStyle="1" w:styleId="29">
    <w:name w:val="Comment Text"/>
    <w:basedOn w:val="1"/>
    <w:link w:val="39"/>
    <w:unhideWhenUsed/>
    <w:uiPriority w:val="99"/>
    <w:rPr>
      <w:rFonts w:cs="Times New Roman"/>
      <w:kern w:val="0"/>
      <w:sz w:val="20"/>
      <w:szCs w:val="20"/>
    </w:rPr>
  </w:style>
  <w:style w:type="paragraph" w:customStyle="1" w:styleId="30">
    <w:name w:val="Comment Subject"/>
    <w:basedOn w:val="29"/>
    <w:next w:val="29"/>
    <w:link w:val="44"/>
    <w:unhideWhenUsed/>
    <w:uiPriority w:val="99"/>
    <w:rPr>
      <w:b/>
      <w:bCs/>
    </w:rPr>
  </w:style>
  <w:style w:type="character" w:customStyle="1" w:styleId="31">
    <w:name w:val="Comment Reference"/>
    <w:unhideWhenUsed/>
    <w:qFormat/>
    <w:uiPriority w:val="99"/>
    <w:rPr>
      <w:sz w:val="16"/>
      <w:szCs w:val="16"/>
    </w:rPr>
  </w:style>
  <w:style w:type="character" w:customStyle="1" w:styleId="32">
    <w:name w:val="标题 1 Char"/>
    <w:link w:val="2"/>
    <w:qFormat/>
    <w:uiPriority w:val="9"/>
    <w:rPr>
      <w:rFonts w:ascii="Times New Roman" w:hAnsi="Times New Roman" w:eastAsia="仿宋_GB2312" w:cs="Times New Roman"/>
      <w:b/>
      <w:bCs/>
      <w:kern w:val="44"/>
      <w:sz w:val="32"/>
      <w:szCs w:val="44"/>
    </w:rPr>
  </w:style>
  <w:style w:type="character" w:customStyle="1" w:styleId="33">
    <w:name w:val="正文文本缩进 Char"/>
    <w:link w:val="4"/>
    <w:semiHidden/>
    <w:uiPriority w:val="99"/>
    <w:rPr>
      <w:rFonts w:ascii="Calibri" w:hAnsi="Calibri" w:eastAsia="仿宋_GB2312" w:cs="黑体"/>
      <w:sz w:val="28"/>
    </w:rPr>
  </w:style>
  <w:style w:type="character" w:customStyle="1" w:styleId="34">
    <w:name w:val="正文首行缩进 2 Char"/>
    <w:link w:val="3"/>
    <w:uiPriority w:val="0"/>
    <w:rPr>
      <w:rFonts w:ascii="Calibri" w:hAnsi="Calibri" w:eastAsia="仿宋_GB2312" w:cs="黑体"/>
      <w:sz w:val="28"/>
    </w:rPr>
  </w:style>
  <w:style w:type="character" w:customStyle="1" w:styleId="35">
    <w:name w:val="标题 2 Char"/>
    <w:link w:val="5"/>
    <w:qFormat/>
    <w:uiPriority w:val="0"/>
    <w:rPr>
      <w:rFonts w:ascii="Cambria" w:hAnsi="Cambria" w:eastAsia="仿宋_GB2312" w:cs="Times New Roman"/>
      <w:b/>
      <w:bCs/>
      <w:kern w:val="0"/>
      <w:sz w:val="30"/>
      <w:szCs w:val="32"/>
    </w:rPr>
  </w:style>
  <w:style w:type="character" w:customStyle="1" w:styleId="36">
    <w:name w:val="标题 3 Char"/>
    <w:link w:val="6"/>
    <w:qFormat/>
    <w:uiPriority w:val="9"/>
    <w:rPr>
      <w:rFonts w:ascii="Calibri" w:hAnsi="Calibri" w:eastAsia="仿宋_GB2312" w:cs="黑体"/>
      <w:bCs/>
      <w:sz w:val="28"/>
      <w:szCs w:val="32"/>
    </w:rPr>
  </w:style>
  <w:style w:type="character" w:customStyle="1" w:styleId="37">
    <w:name w:val="标题 4 Char"/>
    <w:link w:val="7"/>
    <w:semiHidden/>
    <w:uiPriority w:val="9"/>
    <w:rPr>
      <w:rFonts w:ascii="Cambria" w:hAnsi="Cambria" w:eastAsia="宋体" w:cs="Times New Roman"/>
      <w:b/>
      <w:bCs/>
      <w:sz w:val="28"/>
      <w:szCs w:val="28"/>
    </w:rPr>
  </w:style>
  <w:style w:type="character" w:customStyle="1" w:styleId="38">
    <w:name w:val="文档结构图 Char"/>
    <w:link w:val="9"/>
    <w:semiHidden/>
    <w:qFormat/>
    <w:uiPriority w:val="99"/>
    <w:rPr>
      <w:rFonts w:ascii="宋体" w:hAnsi="Calibri" w:eastAsia="宋体" w:cs="黑体"/>
      <w:sz w:val="18"/>
      <w:szCs w:val="18"/>
    </w:rPr>
  </w:style>
  <w:style w:type="character" w:customStyle="1" w:styleId="39">
    <w:name w:val="批注文字 Char"/>
    <w:link w:val="29"/>
    <w:semiHidden/>
    <w:uiPriority w:val="99"/>
    <w:rPr>
      <w:rFonts w:ascii="Calibri" w:hAnsi="Calibri" w:eastAsia="仿宋_GB2312" w:cs="黑体"/>
      <w:sz w:val="20"/>
      <w:szCs w:val="20"/>
    </w:rPr>
  </w:style>
  <w:style w:type="character" w:customStyle="1" w:styleId="40">
    <w:name w:val="批注框文本 Char"/>
    <w:link w:val="14"/>
    <w:semiHidden/>
    <w:uiPriority w:val="99"/>
    <w:rPr>
      <w:rFonts w:ascii="Calibri" w:hAnsi="Calibri" w:eastAsia="仿宋_GB2312" w:cs="黑体"/>
      <w:sz w:val="18"/>
      <w:szCs w:val="18"/>
    </w:rPr>
  </w:style>
  <w:style w:type="character" w:customStyle="1" w:styleId="41">
    <w:name w:val="页脚 Char"/>
    <w:link w:val="15"/>
    <w:uiPriority w:val="99"/>
    <w:rPr>
      <w:rFonts w:ascii="Calibri" w:hAnsi="Calibri" w:eastAsia="仿宋_GB2312" w:cs="黑体"/>
      <w:sz w:val="18"/>
      <w:szCs w:val="18"/>
    </w:rPr>
  </w:style>
  <w:style w:type="character" w:customStyle="1" w:styleId="42">
    <w:name w:val="页眉 Char"/>
    <w:link w:val="16"/>
    <w:qFormat/>
    <w:uiPriority w:val="99"/>
    <w:rPr>
      <w:rFonts w:ascii="Calibri" w:hAnsi="Calibri" w:eastAsia="仿宋_GB2312" w:cs="黑体"/>
      <w:sz w:val="18"/>
      <w:szCs w:val="18"/>
    </w:rPr>
  </w:style>
  <w:style w:type="character" w:customStyle="1" w:styleId="43">
    <w:name w:val="标题 Char"/>
    <w:link w:val="23"/>
    <w:qFormat/>
    <w:uiPriority w:val="10"/>
    <w:rPr>
      <w:rFonts w:ascii="Cambria" w:hAnsi="Cambria"/>
      <w:b/>
      <w:bCs/>
      <w:kern w:val="2"/>
      <w:sz w:val="32"/>
      <w:szCs w:val="32"/>
    </w:rPr>
  </w:style>
  <w:style w:type="character" w:customStyle="1" w:styleId="44">
    <w:name w:val="批注主题 Char"/>
    <w:link w:val="30"/>
    <w:semiHidden/>
    <w:qFormat/>
    <w:uiPriority w:val="99"/>
    <w:rPr>
      <w:rFonts w:ascii="Calibri" w:hAnsi="Calibri" w:eastAsia="仿宋_GB2312" w:cs="黑体"/>
      <w:b/>
      <w:bCs/>
      <w:sz w:val="20"/>
      <w:szCs w:val="20"/>
    </w:rPr>
  </w:style>
  <w:style w:type="character" w:customStyle="1" w:styleId="45">
    <w:name w:val="闻政-正文一级标题 Char"/>
    <w:link w:val="46"/>
    <w:uiPriority w:val="3"/>
    <w:rPr>
      <w:rFonts w:ascii="黑体" w:hAnsi="黑体" w:eastAsia="黑体"/>
      <w:bCs/>
      <w:sz w:val="32"/>
      <w:szCs w:val="32"/>
    </w:rPr>
  </w:style>
  <w:style w:type="paragraph" w:customStyle="1" w:styleId="46">
    <w:name w:val="闻政-正文一级标题"/>
    <w:basedOn w:val="6"/>
    <w:next w:val="47"/>
    <w:link w:val="45"/>
    <w:qFormat/>
    <w:uiPriority w:val="3"/>
    <w:pPr>
      <w:spacing w:before="120" w:after="60" w:line="500" w:lineRule="exact"/>
      <w:ind w:firstLine="0" w:firstLineChars="0"/>
      <w:outlineLvl w:val="0"/>
    </w:pPr>
    <w:rPr>
      <w:rFonts w:ascii="黑体" w:hAnsi="黑体" w:eastAsia="黑体"/>
      <w:sz w:val="32"/>
    </w:rPr>
  </w:style>
  <w:style w:type="paragraph" w:customStyle="1" w:styleId="47">
    <w:name w:val="闻政-正文段落文字"/>
    <w:basedOn w:val="1"/>
    <w:link w:val="48"/>
    <w:qFormat/>
    <w:uiPriority w:val="3"/>
    <w:pPr>
      <w:spacing w:line="500" w:lineRule="exact"/>
      <w:ind w:firstLine="200"/>
    </w:pPr>
    <w:rPr>
      <w:rFonts w:ascii="Times New Roman" w:hAnsi="Times New Roman" w:cs="Times New Roman"/>
      <w:kern w:val="0"/>
      <w:szCs w:val="28"/>
    </w:rPr>
  </w:style>
  <w:style w:type="character" w:customStyle="1" w:styleId="48">
    <w:name w:val="闻政-正文段落文字 Char"/>
    <w:link w:val="47"/>
    <w:qFormat/>
    <w:uiPriority w:val="3"/>
    <w:rPr>
      <w:rFonts w:ascii="Times New Roman" w:hAnsi="Times New Roman" w:eastAsia="仿宋_GB2312"/>
      <w:sz w:val="28"/>
      <w:szCs w:val="28"/>
    </w:rPr>
  </w:style>
  <w:style w:type="character" w:customStyle="1" w:styleId="49">
    <w:name w:val="闻政-正文二级标题 Char"/>
    <w:link w:val="50"/>
    <w:qFormat/>
    <w:uiPriority w:val="3"/>
    <w:rPr>
      <w:rFonts w:ascii="Times New Roman" w:hAnsi="Times New Roman" w:eastAsia="仿宋_GB2312"/>
      <w:b/>
      <w:bCs/>
      <w:sz w:val="28"/>
      <w:szCs w:val="32"/>
    </w:rPr>
  </w:style>
  <w:style w:type="paragraph" w:customStyle="1" w:styleId="50">
    <w:name w:val="闻政-正文二级标题"/>
    <w:basedOn w:val="5"/>
    <w:next w:val="47"/>
    <w:link w:val="49"/>
    <w:qFormat/>
    <w:uiPriority w:val="3"/>
    <w:pPr>
      <w:spacing w:before="120" w:after="60" w:line="500" w:lineRule="exact"/>
      <w:ind w:left="200" w:leftChars="200" w:firstLine="0" w:firstLineChars="0"/>
    </w:pPr>
    <w:rPr>
      <w:rFonts w:ascii="Times New Roman" w:hAnsi="Times New Roman"/>
      <w:sz w:val="28"/>
    </w:rPr>
  </w:style>
  <w:style w:type="character" w:customStyle="1" w:styleId="51">
    <w:name w:val="font11"/>
    <w:qFormat/>
    <w:uiPriority w:val="0"/>
    <w:rPr>
      <w:rFonts w:hint="eastAsia" w:ascii="方正仿宋_GBK" w:hAnsi="方正仿宋_GBK" w:eastAsia="方正仿宋_GBK" w:cs="方正仿宋_GBK"/>
      <w:color w:val="000000"/>
      <w:sz w:val="24"/>
      <w:szCs w:val="24"/>
      <w:u w:val="none"/>
    </w:rPr>
  </w:style>
  <w:style w:type="character" w:customStyle="1" w:styleId="52">
    <w:name w:val="52"/>
    <w:qFormat/>
    <w:uiPriority w:val="0"/>
    <w:rPr>
      <w:b/>
      <w:bCs/>
      <w:smallCaps/>
      <w:color w:val="C0504D"/>
      <w:spacing w:val="5"/>
      <w:u w:val="single"/>
    </w:rPr>
  </w:style>
  <w:style w:type="character" w:customStyle="1" w:styleId="53">
    <w:name w:val="闻政-正文三级标题 Char"/>
    <w:link w:val="54"/>
    <w:qFormat/>
    <w:uiPriority w:val="3"/>
    <w:rPr>
      <w:rFonts w:ascii="Times New Roman" w:hAnsi="Times New Roman" w:eastAsia="仿宋_GB2312"/>
      <w:b/>
      <w:snapToGrid w:val="0"/>
      <w:sz w:val="28"/>
      <w:szCs w:val="28"/>
    </w:rPr>
  </w:style>
  <w:style w:type="paragraph" w:customStyle="1" w:styleId="54">
    <w:name w:val="闻政-正文三级标题"/>
    <w:basedOn w:val="1"/>
    <w:next w:val="47"/>
    <w:link w:val="53"/>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5">
    <w:name w:val="font21"/>
    <w:qFormat/>
    <w:uiPriority w:val="0"/>
    <w:rPr>
      <w:rFonts w:hint="default" w:ascii="Times New Roman" w:hAnsi="Times New Roman" w:cs="Times New Roman"/>
      <w:color w:val="000000"/>
      <w:sz w:val="24"/>
      <w:szCs w:val="24"/>
      <w:u w:val="none"/>
    </w:rPr>
  </w:style>
  <w:style w:type="character" w:customStyle="1" w:styleId="56">
    <w:name w:val="无间隔 Char"/>
    <w:link w:val="57"/>
    <w:qFormat/>
    <w:uiPriority w:val="1"/>
    <w:rPr>
      <w:rFonts w:eastAsia="仿宋_GB2312" w:cs="黑体"/>
      <w:kern w:val="2"/>
      <w:sz w:val="28"/>
      <w:szCs w:val="22"/>
      <w:lang w:val="en-US" w:eastAsia="zh-CN" w:bidi="ar-SA"/>
    </w:rPr>
  </w:style>
  <w:style w:type="paragraph" w:styleId="57">
    <w:name w:val="No Spacing"/>
    <w:link w:val="56"/>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8">
    <w:name w:val="List Paragraph"/>
    <w:basedOn w:val="1"/>
    <w:qFormat/>
    <w:uiPriority w:val="34"/>
    <w:pPr>
      <w:ind w:firstLine="420"/>
    </w:pPr>
  </w:style>
  <w:style w:type="paragraph" w:customStyle="1" w:styleId="59">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character" w:customStyle="1" w:styleId="60">
    <w:name w:val="font71"/>
    <w:basedOn w:val="26"/>
    <w:uiPriority w:val="0"/>
    <w:rPr>
      <w:rFonts w:hint="eastAsia" w:ascii="微软雅黑" w:hAnsi="微软雅黑" w:eastAsia="微软雅黑" w:cs="微软雅黑"/>
      <w:b/>
      <w:bCs/>
      <w:color w:val="000000"/>
      <w:sz w:val="32"/>
      <w:szCs w:val="32"/>
      <w:u w:val="none"/>
    </w:rPr>
  </w:style>
  <w:style w:type="paragraph" w:customStyle="1" w:styleId="61">
    <w:name w:val="标题2"/>
    <w:basedOn w:val="5"/>
    <w:qFormat/>
    <w:uiPriority w:val="0"/>
    <w:pPr>
      <w:numPr>
        <w:ilvl w:val="0"/>
        <w:numId w:val="1"/>
      </w:numPr>
      <w:spacing w:before="120" w:after="120" w:line="500" w:lineRule="exact"/>
    </w:pPr>
    <w:rPr>
      <w:rFonts w:ascii="仿宋_GB2312" w:eastAsia="仿宋_GB2312" w:cs="Times New Roman"/>
    </w:rPr>
  </w:style>
  <w:style w:type="paragraph" w:customStyle="1" w:styleId="62">
    <w:name w:val="Char"/>
    <w:basedOn w:val="1"/>
    <w:qFormat/>
    <w:uiPriority w:val="0"/>
    <w:rPr>
      <w:rFonts w:ascii="仿宋_GB2312" w:eastAsia="仿宋_GB2312" w:cs="黑体"/>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B46A2F80D47D4A068EDAF93ADE31AAC7_13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5e38668e-1c8e-4573-9d80-07edb8623b3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12820</Words>
  <Characters>13809</Characters>
  <Lines>44</Lines>
  <Paragraphs>12</Paragraphs>
  <TotalTime>2</TotalTime>
  <ScaleCrop>false</ScaleCrop>
  <LinksUpToDate>false</LinksUpToDate>
  <CharactersWithSpaces>13932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2025-12-25T11:13:09Z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B46A2F80D47D4A068EDAF93ADE31AAC7_13</vt:lpwstr>
  </property>
  <property fmtid="{D5CDD505-2E9C-101B-9397-08002B2CF9AE}" pid="4" name="KSOTemplateDocerSaveRecord">
    <vt:lpwstr>eyJoZGlkIjoiYjM4NWYyMWE2NWU1OGNiMmIxMmZkYzA5MWEwNzJlZmIiLCJ1c2VySWQiOiI0MzE2NzY3NzkifQ==</vt:lpwstr>
  </property>
</Properties>
</file>