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6427A"/>
    <w:p w14:paraId="51D0C42C">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kern w:val="0"/>
          <w:sz w:val="32"/>
          <w:szCs w:val="32"/>
          <w:lang w:val="en-US" w:eastAsia="zh-CN" w:bidi="en-US"/>
        </w:rPr>
      </w:pPr>
    </w:p>
    <w:p w14:paraId="430EBC19">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和田地区洛浦县法律顾问服务项目</w:t>
      </w:r>
    </w:p>
    <w:p w14:paraId="4A560A79">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支出绩效评价报告</w:t>
      </w:r>
    </w:p>
    <w:p w14:paraId="3F354B3F">
      <w:pPr>
        <w:pStyle w:val="6"/>
        <w:jc w:val="center"/>
        <w:rPr>
          <w:rFonts w:hint="eastAsia" w:eastAsia="仿宋_GB2312"/>
          <w:lang w:eastAsia="zh-CN"/>
        </w:rPr>
      </w:pPr>
      <w:r>
        <w:rPr>
          <w:rFonts w:hint="eastAsia"/>
          <w:lang w:eastAsia="zh-CN"/>
        </w:rPr>
        <w:t>（</w:t>
      </w:r>
      <w:r>
        <w:rPr>
          <w:rFonts w:hint="eastAsia"/>
          <w:lang w:val="en-US" w:eastAsia="zh-CN"/>
        </w:rPr>
        <w:t>2024年度</w:t>
      </w:r>
      <w:r>
        <w:rPr>
          <w:rFonts w:hint="eastAsia"/>
          <w:lang w:eastAsia="zh-CN"/>
        </w:rPr>
        <w:t>）</w:t>
      </w:r>
    </w:p>
    <w:p w14:paraId="202C6899">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063E31A0">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73A2D2D8">
      <w:pPr>
        <w:pStyle w:val="6"/>
        <w:rPr>
          <w:rFonts w:hint="eastAsia" w:eastAsia="方正仿宋_GBK" w:cs="方正仿宋_GBK"/>
          <w:b/>
          <w:kern w:val="0"/>
          <w:sz w:val="32"/>
          <w:szCs w:val="32"/>
          <w:lang w:bidi="en-US"/>
        </w:rPr>
      </w:pPr>
    </w:p>
    <w:p w14:paraId="01BDA9F4">
      <w:pPr>
        <w:rPr>
          <w:rFonts w:hint="eastAsia" w:eastAsia="方正仿宋_GBK" w:cs="方正仿宋_GBK"/>
          <w:b/>
          <w:kern w:val="0"/>
          <w:sz w:val="32"/>
          <w:szCs w:val="32"/>
          <w:lang w:bidi="en-US"/>
        </w:rPr>
      </w:pPr>
    </w:p>
    <w:p w14:paraId="3C83D70D">
      <w:pPr>
        <w:pStyle w:val="6"/>
        <w:rPr>
          <w:rFonts w:hint="eastAsia"/>
        </w:rPr>
      </w:pPr>
    </w:p>
    <w:p w14:paraId="0CC07C83">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eastAsia="方正仿宋_GBK" w:cs="方正仿宋_GBK"/>
          <w:b/>
          <w:sz w:val="32"/>
          <w:lang w:bidi="en-US"/>
        </w:rPr>
      </w:pPr>
    </w:p>
    <w:p w14:paraId="16A84522">
      <w:pPr>
        <w:pageBreakBefore w:val="0"/>
        <w:widowControl w:val="0"/>
        <w:kinsoku/>
        <w:wordWrap/>
        <w:topLinePunct w:val="0"/>
        <w:autoSpaceDE/>
        <w:autoSpaceDN/>
        <w:bidi w:val="0"/>
        <w:spacing w:line="560" w:lineRule="exact"/>
        <w:ind w:left="0" w:leftChars="0" w:firstLine="560"/>
        <w:textAlignment w:val="auto"/>
        <w:rPr>
          <w:rFonts w:hint="eastAsia"/>
        </w:rPr>
      </w:pPr>
    </w:p>
    <w:p w14:paraId="385CC82C">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kern w:val="0"/>
          <w:sz w:val="32"/>
          <w:szCs w:val="32"/>
          <w:lang w:bidi="en-US"/>
        </w:rPr>
      </w:pPr>
    </w:p>
    <w:p w14:paraId="306486D7">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kern w:val="0"/>
          <w:sz w:val="28"/>
          <w:szCs w:val="28"/>
          <w:lang w:bidi="en-US"/>
        </w:rPr>
        <w:t>项目名称</w:t>
      </w:r>
      <w:r>
        <w:rPr>
          <w:rFonts w:hint="eastAsia" w:ascii="宋体" w:hAnsi="宋体" w:eastAsia="宋体" w:cs="宋体"/>
          <w:color w:val="auto"/>
          <w:kern w:val="0"/>
          <w:sz w:val="28"/>
          <w:szCs w:val="28"/>
          <w:lang w:bidi="en-US"/>
        </w:rPr>
        <w:t>：</w:t>
      </w:r>
      <w:r>
        <w:rPr>
          <w:rFonts w:hint="eastAsia" w:ascii="宋体" w:hAnsi="宋体" w:eastAsia="宋体" w:cs="宋体"/>
          <w:color w:val="auto"/>
          <w:kern w:val="0"/>
          <w:sz w:val="28"/>
          <w:szCs w:val="28"/>
          <w:lang w:eastAsia="zh-CN" w:bidi="en-US"/>
        </w:rPr>
        <w:t>法律顾问服务</w:t>
      </w:r>
      <w:r>
        <w:rPr>
          <w:rFonts w:hint="eastAsia" w:ascii="宋体" w:hAnsi="宋体" w:eastAsia="宋体" w:cs="宋体"/>
          <w:color w:val="auto"/>
          <w:kern w:val="0"/>
          <w:sz w:val="28"/>
          <w:szCs w:val="28"/>
          <w:lang w:bidi="en-US"/>
        </w:rPr>
        <w:t>项目</w:t>
      </w:r>
    </w:p>
    <w:p w14:paraId="13062D8F">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eastAsia="zh-CN" w:bidi="en-US"/>
        </w:rPr>
      </w:pPr>
      <w:r>
        <w:rPr>
          <w:rFonts w:hint="eastAsia" w:ascii="宋体" w:hAnsi="宋体" w:eastAsia="宋体" w:cs="宋体"/>
          <w:color w:val="auto"/>
          <w:kern w:val="0"/>
          <w:sz w:val="28"/>
          <w:szCs w:val="28"/>
          <w:lang w:bidi="en-US"/>
        </w:rPr>
        <w:t>项目单位：</w:t>
      </w:r>
      <w:r>
        <w:rPr>
          <w:rFonts w:hint="eastAsia" w:ascii="宋体" w:hAnsi="宋体" w:eastAsia="宋体" w:cs="宋体"/>
          <w:color w:val="auto"/>
          <w:kern w:val="0"/>
          <w:sz w:val="28"/>
          <w:szCs w:val="28"/>
          <w:lang w:eastAsia="zh-CN" w:bidi="en-US"/>
        </w:rPr>
        <w:t>洛浦县人民政府办公室</w:t>
      </w:r>
    </w:p>
    <w:p w14:paraId="55B8B247">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eastAsia="zh-CN" w:bidi="en-US"/>
        </w:rPr>
      </w:pPr>
      <w:r>
        <w:rPr>
          <w:rFonts w:hint="eastAsia" w:ascii="宋体" w:hAnsi="宋体" w:eastAsia="宋体" w:cs="宋体"/>
          <w:color w:val="auto"/>
          <w:kern w:val="0"/>
          <w:sz w:val="28"/>
          <w:szCs w:val="28"/>
          <w:lang w:bidi="en-US"/>
        </w:rPr>
        <w:t>主管部门：</w:t>
      </w:r>
      <w:r>
        <w:rPr>
          <w:rFonts w:hint="eastAsia" w:ascii="宋体" w:hAnsi="宋体" w:eastAsia="宋体" w:cs="宋体"/>
          <w:color w:val="auto"/>
          <w:kern w:val="0"/>
          <w:sz w:val="28"/>
          <w:szCs w:val="28"/>
          <w:lang w:eastAsia="zh-CN" w:bidi="en-US"/>
        </w:rPr>
        <w:t>洛浦县人民政府办公室</w:t>
      </w:r>
    </w:p>
    <w:p w14:paraId="180D9E43">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eastAsia="zh-CN" w:bidi="en-US"/>
        </w:rPr>
      </w:pPr>
      <w:r>
        <w:rPr>
          <w:rFonts w:hint="eastAsia" w:ascii="宋体" w:hAnsi="宋体" w:eastAsia="宋体" w:cs="宋体"/>
          <w:kern w:val="0"/>
          <w:sz w:val="28"/>
          <w:szCs w:val="28"/>
          <w:lang w:bidi="en-US"/>
        </w:rPr>
        <w:t>项目负责人：</w:t>
      </w:r>
      <w:r>
        <w:rPr>
          <w:rFonts w:hint="eastAsia" w:ascii="宋体" w:hAnsi="宋体" w:eastAsia="宋体" w:cs="宋体"/>
          <w:kern w:val="0"/>
          <w:sz w:val="28"/>
          <w:szCs w:val="28"/>
          <w:lang w:eastAsia="zh-CN" w:bidi="en-US"/>
        </w:rPr>
        <w:t>张永周</w:t>
      </w:r>
    </w:p>
    <w:p w14:paraId="7F522FAF">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bidi="en-US"/>
        </w:rPr>
      </w:pPr>
      <w:r>
        <w:rPr>
          <w:rFonts w:hint="eastAsia" w:ascii="宋体" w:hAnsi="宋体" w:eastAsia="宋体" w:cs="宋体"/>
          <w:kern w:val="0"/>
          <w:sz w:val="28"/>
          <w:szCs w:val="28"/>
          <w:lang w:bidi="en-US"/>
        </w:rPr>
        <w:t>填报时间：</w:t>
      </w:r>
      <w:r>
        <w:rPr>
          <w:rFonts w:hint="eastAsia" w:ascii="宋体" w:hAnsi="宋体" w:eastAsia="宋体" w:cs="宋体"/>
          <w:kern w:val="0"/>
          <w:sz w:val="28"/>
          <w:szCs w:val="28"/>
          <w:lang w:val="en-US" w:eastAsia="zh-CN" w:bidi="en-US"/>
        </w:rPr>
        <w:t>2025</w:t>
      </w:r>
      <w:r>
        <w:rPr>
          <w:rFonts w:hint="eastAsia" w:ascii="宋体" w:hAnsi="宋体" w:eastAsia="宋体" w:cs="宋体"/>
          <w:kern w:val="0"/>
          <w:sz w:val="28"/>
          <w:szCs w:val="28"/>
          <w:lang w:bidi="en-US"/>
        </w:rPr>
        <w:t>年</w:t>
      </w:r>
      <w:r>
        <w:rPr>
          <w:rFonts w:hint="eastAsia" w:ascii="宋体" w:hAnsi="宋体" w:eastAsia="宋体" w:cs="宋体"/>
          <w:kern w:val="0"/>
          <w:sz w:val="28"/>
          <w:szCs w:val="28"/>
          <w:lang w:val="en-US" w:eastAsia="zh-CN" w:bidi="en-US"/>
        </w:rPr>
        <w:t>3</w:t>
      </w:r>
      <w:r>
        <w:rPr>
          <w:rFonts w:hint="eastAsia" w:ascii="宋体" w:hAnsi="宋体" w:eastAsia="宋体" w:cs="宋体"/>
          <w:kern w:val="0"/>
          <w:sz w:val="28"/>
          <w:szCs w:val="28"/>
          <w:lang w:bidi="en-US"/>
        </w:rPr>
        <w:t>月</w:t>
      </w:r>
      <w:r>
        <w:rPr>
          <w:rFonts w:hint="eastAsia" w:ascii="宋体" w:hAnsi="宋体" w:eastAsia="宋体" w:cs="宋体"/>
          <w:kern w:val="0"/>
          <w:sz w:val="28"/>
          <w:szCs w:val="28"/>
          <w:lang w:val="en-US" w:eastAsia="zh-CN" w:bidi="en-US"/>
        </w:rPr>
        <w:t>31</w:t>
      </w:r>
      <w:r>
        <w:rPr>
          <w:rFonts w:hint="eastAsia" w:ascii="宋体" w:hAnsi="宋体" w:eastAsia="宋体" w:cs="宋体"/>
          <w:kern w:val="0"/>
          <w:sz w:val="28"/>
          <w:szCs w:val="28"/>
          <w:lang w:bidi="en-US"/>
        </w:rPr>
        <w:t>日</w:t>
      </w:r>
    </w:p>
    <w:p w14:paraId="388030CF">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b/>
          <w:kern w:val="0"/>
          <w:sz w:val="28"/>
          <w:szCs w:val="28"/>
          <w:lang w:bidi="en-US"/>
        </w:rPr>
      </w:pPr>
    </w:p>
    <w:p w14:paraId="6049C390">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sz w:val="24"/>
          <w:szCs w:val="24"/>
        </w:rPr>
      </w:pPr>
      <w:bookmarkStart w:id="0" w:name="_Toc68364657"/>
      <w:r>
        <w:rPr>
          <w:rFonts w:hint="eastAsia" w:ascii="黑体" w:hAnsi="黑体" w:eastAsia="黑体" w:cs="黑体"/>
          <w:sz w:val="24"/>
          <w:szCs w:val="24"/>
          <w:lang w:val="en-US" w:eastAsia="zh-CN"/>
        </w:rPr>
        <w:t>一、</w:t>
      </w:r>
      <w:r>
        <w:rPr>
          <w:rFonts w:hint="eastAsia" w:ascii="黑体" w:hAnsi="黑体" w:eastAsia="黑体" w:cs="黑体"/>
          <w:sz w:val="24"/>
          <w:szCs w:val="24"/>
        </w:rPr>
        <w:t>基本情况</w:t>
      </w:r>
      <w:bookmarkEnd w:id="0"/>
    </w:p>
    <w:p w14:paraId="6865D4F8">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 w:name="_Toc68364658"/>
      <w:r>
        <w:rPr>
          <w:rFonts w:hint="eastAsia" w:ascii="宋体" w:hAnsi="宋体" w:eastAsia="宋体" w:cs="宋体"/>
          <w:sz w:val="24"/>
          <w:szCs w:val="24"/>
          <w:lang w:eastAsia="zh-CN"/>
        </w:rPr>
        <w:t>（一）</w:t>
      </w:r>
      <w:r>
        <w:rPr>
          <w:rFonts w:hint="eastAsia" w:ascii="宋体" w:hAnsi="宋体" w:eastAsia="宋体" w:cs="宋体"/>
          <w:sz w:val="24"/>
          <w:szCs w:val="24"/>
        </w:rPr>
        <w:t>项目概况</w:t>
      </w:r>
      <w:bookmarkEnd w:id="1"/>
    </w:p>
    <w:p w14:paraId="7A87A344">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项目背景</w:t>
      </w:r>
    </w:p>
    <w:p w14:paraId="7DF4C90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sz w:val="24"/>
          <w:szCs w:val="24"/>
          <w:lang w:val="en-US" w:eastAsia="zh-CN"/>
        </w:rPr>
      </w:pPr>
      <w:r>
        <w:rPr>
          <w:rFonts w:hint="eastAsia" w:ascii="宋体" w:hAnsi="宋体" w:eastAsia="宋体" w:cs="宋体"/>
          <w:color w:val="auto"/>
          <w:sz w:val="24"/>
          <w:szCs w:val="24"/>
        </w:rPr>
        <w:t>本项目</w:t>
      </w:r>
      <w:r>
        <w:rPr>
          <w:rFonts w:hint="eastAsia" w:ascii="宋体" w:hAnsi="宋体" w:eastAsia="宋体" w:cs="宋体"/>
          <w:color w:val="auto"/>
          <w:sz w:val="24"/>
          <w:szCs w:val="24"/>
          <w:lang w:eastAsia="zh-CN"/>
        </w:rPr>
        <w:t>习近平新时代中国特色社会主义思想</w:t>
      </w:r>
      <w:r>
        <w:rPr>
          <w:rFonts w:hint="eastAsia" w:ascii="宋体" w:hAnsi="宋体" w:eastAsia="宋体" w:cs="宋体"/>
          <w:color w:val="auto"/>
          <w:sz w:val="24"/>
          <w:szCs w:val="24"/>
        </w:rPr>
        <w:t>为指导，深入贯彻落实科学发展观，聘请政府法律顾问在建设法治政府和依法行政中有较大价值和重要作用:一、建立和完善政府法律顾问制度是推进依法行政，加强执政能力的客观需要。二、建立和完善政府法律顾问制度是化解行政争议，解决经济和社会发展中诸多涉法问题和矛盾的迫切要求。三、建立和完善政府法律顾问制度是加强政府自身建设，顺利实现政府职能转变的重要推动力量。四、建立和完善政府法律顾问制度是贯彻落实科学发展观，坚持依法决策的重要保障。五、设立政府法律顾问，对构建和谐社会、建立亲民行政、倡导行政为民具有重要作用。政府法律顾问是为政府及其领导决策提供法律咨询，其职责是为政府及其领导决策提供优质、高效及时、准确的法律服务。</w:t>
      </w:r>
      <w:r>
        <w:rPr>
          <w:rFonts w:hint="eastAsia" w:ascii="宋体" w:hAnsi="宋体" w:eastAsia="宋体" w:cs="宋体"/>
          <w:color w:val="auto"/>
          <w:sz w:val="24"/>
          <w:szCs w:val="24"/>
          <w:lang w:val="en-US" w:eastAsia="zh-CN"/>
        </w:rPr>
        <w:t xml:space="preserve">   </w:t>
      </w:r>
      <w:r>
        <w:rPr>
          <w:rFonts w:hint="eastAsia" w:ascii="宋体" w:hAnsi="宋体" w:eastAsia="宋体" w:cs="宋体"/>
          <w:sz w:val="24"/>
          <w:szCs w:val="24"/>
          <w:lang w:val="en-US" w:eastAsia="zh-CN"/>
        </w:rPr>
        <w:t xml:space="preserve"> </w:t>
      </w:r>
    </w:p>
    <w:p w14:paraId="2BF06183">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主要内容及实施情况</w:t>
      </w:r>
    </w:p>
    <w:p w14:paraId="1179A38A">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1）主要内容</w:t>
      </w:r>
    </w:p>
    <w:p w14:paraId="0C79C6B3">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项目实施内容：根据《洛浦县财经委员会会议纪要》（洛财纪字【2023】19号）实施此项目，聘请1家第三方法律服务机构，通过项目实施，保障全县法律咨询服务。</w:t>
      </w:r>
    </w:p>
    <w:p w14:paraId="5293B332">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2.实施情况</w:t>
      </w:r>
    </w:p>
    <w:p w14:paraId="37DD0B01">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default"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1）项目实施主体</w:t>
      </w:r>
    </w:p>
    <w:p w14:paraId="7B58A91E">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本项目的主管部门为洛浦县人民政府办公室,实施单位为洛浦县人民政府办公室，主要职责为政府及其领导决策提供法律咨询。</w:t>
      </w:r>
    </w:p>
    <w:p w14:paraId="7649C982">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default" w:ascii="宋体" w:hAnsi="宋体" w:eastAsia="宋体" w:cs="宋体"/>
          <w:b w:val="0"/>
          <w:bCs w:val="0"/>
          <w:color w:val="FF0000"/>
          <w:sz w:val="24"/>
          <w:szCs w:val="24"/>
          <w:lang w:val="en-US" w:eastAsia="zh-CN"/>
        </w:rPr>
      </w:pPr>
      <w:r>
        <w:rPr>
          <w:rFonts w:hint="eastAsia" w:ascii="宋体" w:hAnsi="宋体" w:eastAsia="宋体" w:cs="宋体"/>
          <w:b/>
          <w:bCs/>
          <w:sz w:val="24"/>
          <w:szCs w:val="24"/>
          <w:lang w:val="en-US" w:eastAsia="zh-CN"/>
        </w:rPr>
        <w:t>（2）项目实施时间：</w:t>
      </w:r>
      <w:r>
        <w:rPr>
          <w:rFonts w:hint="eastAsia" w:ascii="宋体" w:hAnsi="宋体" w:eastAsia="宋体" w:cs="宋体"/>
          <w:b w:val="0"/>
          <w:bCs w:val="0"/>
          <w:color w:val="auto"/>
          <w:sz w:val="24"/>
          <w:szCs w:val="24"/>
          <w:lang w:val="en-US" w:eastAsia="zh-CN"/>
        </w:rPr>
        <w:t>2024年1月-2024年12月</w:t>
      </w:r>
    </w:p>
    <w:p w14:paraId="2A5BD366">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bCs/>
          <w:sz w:val="24"/>
          <w:szCs w:val="24"/>
          <w:lang w:val="en-US" w:eastAsia="zh-CN"/>
        </w:rPr>
        <w:t>（3）项目实施情况：</w:t>
      </w:r>
      <w:r>
        <w:rPr>
          <w:rFonts w:hint="eastAsia" w:ascii="宋体" w:hAnsi="宋体" w:eastAsia="宋体" w:cs="宋体"/>
          <w:b w:val="0"/>
          <w:bCs w:val="0"/>
          <w:sz w:val="24"/>
          <w:szCs w:val="24"/>
          <w:lang w:val="en-US" w:eastAsia="zh-CN"/>
        </w:rPr>
        <w:t>聘请1家第三方法律服务机构，通过项目实施，保障全县法律咨询服务。</w:t>
      </w:r>
    </w:p>
    <w:p w14:paraId="3B3DF902">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资金投入和使用情况</w:t>
      </w:r>
    </w:p>
    <w:p w14:paraId="3FF29F4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（1）项目资金安排</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投入情况</w:t>
      </w:r>
    </w:p>
    <w:p w14:paraId="72CC65D6">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资金投入情况：本项目总投资</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万元，资金来源为本级部门预算。资金使用情况：根据项目实施情况，项目资金实际支付</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万元，资金执行率达到100%。具体使用情况如下：为政府及其领导决策提供法律咨询</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w:t>
      </w:r>
    </w:p>
    <w:p w14:paraId="4735E36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（2）项目资金实际使用情况分析</w:t>
      </w:r>
    </w:p>
    <w:p w14:paraId="380D1A6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本项目资金主要用政府及其领导决策提供法律咨询</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w:t>
      </w:r>
      <w:r>
        <w:rPr>
          <w:rFonts w:hint="eastAsia" w:ascii="宋体" w:hAnsi="宋体" w:eastAsia="宋体" w:cs="宋体"/>
          <w:color w:val="auto"/>
          <w:sz w:val="24"/>
          <w:szCs w:val="24"/>
          <w:lang w:eastAsia="zh-CN"/>
        </w:rPr>
        <w:t>。</w:t>
      </w:r>
    </w:p>
    <w:p w14:paraId="214DEAF0">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2" w:name="_Toc68364659"/>
      <w:r>
        <w:rPr>
          <w:rFonts w:hint="eastAsia" w:ascii="宋体" w:hAnsi="宋体" w:eastAsia="宋体" w:cs="宋体"/>
          <w:sz w:val="24"/>
          <w:szCs w:val="24"/>
        </w:rPr>
        <w:t>（二）项目绩效目标</w:t>
      </w:r>
      <w:bookmarkEnd w:id="2"/>
    </w:p>
    <w:p w14:paraId="4697201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sz w:val="24"/>
          <w:szCs w:val="24"/>
        </w:rPr>
      </w:pPr>
      <w:r>
        <w:rPr>
          <w:rFonts w:hint="eastAsia" w:ascii="宋体" w:hAnsi="宋体" w:eastAsia="宋体" w:cs="宋体"/>
          <w:sz w:val="24"/>
          <w:szCs w:val="24"/>
        </w:rPr>
        <w:t>项目绩效目标包括项目总</w:t>
      </w:r>
      <w:r>
        <w:rPr>
          <w:rFonts w:hint="eastAsia" w:ascii="宋体" w:hAnsi="宋体" w:eastAsia="宋体" w:cs="宋体"/>
          <w:sz w:val="24"/>
          <w:szCs w:val="24"/>
          <w:lang w:val="en-US" w:eastAsia="zh-CN"/>
        </w:rPr>
        <w:t>体</w:t>
      </w:r>
      <w:r>
        <w:rPr>
          <w:rFonts w:hint="eastAsia" w:ascii="宋体" w:hAnsi="宋体" w:eastAsia="宋体" w:cs="宋体"/>
          <w:sz w:val="24"/>
          <w:szCs w:val="24"/>
        </w:rPr>
        <w:t>目标和阶段性目标。</w:t>
      </w:r>
    </w:p>
    <w:p w14:paraId="66132944">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1.总</w:t>
      </w:r>
      <w:r>
        <w:rPr>
          <w:rFonts w:hint="eastAsia" w:ascii="宋体" w:hAnsi="宋体" w:eastAsia="宋体" w:cs="宋体"/>
          <w:b/>
          <w:bCs/>
          <w:sz w:val="24"/>
          <w:szCs w:val="24"/>
          <w:lang w:val="en-US" w:eastAsia="zh-CN"/>
        </w:rPr>
        <w:t>体</w:t>
      </w:r>
      <w:r>
        <w:rPr>
          <w:rFonts w:hint="eastAsia" w:ascii="宋体" w:hAnsi="宋体" w:eastAsia="宋体" w:cs="宋体"/>
          <w:b/>
          <w:bCs/>
          <w:sz w:val="24"/>
          <w:szCs w:val="24"/>
        </w:rPr>
        <w:t>目标</w:t>
      </w:r>
    </w:p>
    <w:p w14:paraId="3A2758FB">
      <w:pPr>
        <w:spacing w:line="540" w:lineRule="exact"/>
        <w:ind w:firstLine="567"/>
        <w:rPr>
          <w:rStyle w:val="26"/>
          <w:rFonts w:hint="eastAsia" w:ascii="楷体" w:hAnsi="楷体" w:eastAsia="楷体"/>
          <w:b w:val="0"/>
          <w:bCs w:val="0"/>
          <w:color w:val="auto"/>
          <w:spacing w:val="-4"/>
          <w:sz w:val="32"/>
          <w:szCs w:val="32"/>
        </w:rPr>
      </w:pPr>
      <w:r>
        <w:rPr>
          <w:rFonts w:hint="eastAsia" w:ascii="宋体" w:hAnsi="宋体" w:eastAsia="宋体" w:cs="宋体"/>
          <w:color w:val="auto"/>
          <w:kern w:val="0"/>
          <w:sz w:val="24"/>
          <w:szCs w:val="24"/>
          <w:lang w:val="en-US" w:eastAsia="zh-CN" w:bidi="ar-SA"/>
        </w:rPr>
        <w:t>年度总体目标为：根据《洛浦县财经委员会会议纪要》（洛财纪字【2023】19号）实施此项目，聘请1家第三方法律服务机构，通过项目实施，保障全县法律咨询服务。</w:t>
      </w:r>
    </w:p>
    <w:p w14:paraId="4F957D25">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20540B78">
      <w:pPr>
        <w:pStyle w:val="46"/>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598E70F1">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产出指标</w:t>
      </w:r>
    </w:p>
    <w:p w14:paraId="0E940935">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数量指标:</w:t>
      </w:r>
    </w:p>
    <w:p w14:paraId="144E383E">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指标1：聘请第三方法律服务机构数量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1家；</w:t>
      </w:r>
    </w:p>
    <w:p w14:paraId="30D3126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2）质量指标：</w:t>
      </w:r>
    </w:p>
    <w:p w14:paraId="6D2A5CF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指标1：资金使用合规率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预期指标值为=100%；</w:t>
      </w:r>
    </w:p>
    <w:p w14:paraId="6937D1D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3）时效目标：</w:t>
      </w:r>
    </w:p>
    <w:p w14:paraId="1F8FA85A">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指标1：项目完成时间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预期指标值为2024年12月；</w:t>
      </w:r>
    </w:p>
    <w:p w14:paraId="511DBC72">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指标2：资金支付及时率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预期指标值为=100%；</w:t>
      </w:r>
    </w:p>
    <w:p w14:paraId="06235B5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 xml:space="preserve">（2）成本指标： </w:t>
      </w:r>
    </w:p>
    <w:p w14:paraId="2CA7C72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1）经济成本指标</w:t>
      </w:r>
    </w:p>
    <w:p w14:paraId="757EDB6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指标1：法律咨询服务费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20万元；</w:t>
      </w:r>
    </w:p>
    <w:p w14:paraId="71AAE09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2）社会成本指标</w:t>
      </w:r>
    </w:p>
    <w:p w14:paraId="074CE6A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该项目无社会成本指标；</w:t>
      </w:r>
    </w:p>
    <w:p w14:paraId="3362B3E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3）生态成本指标</w:t>
      </w:r>
    </w:p>
    <w:p w14:paraId="2AFB6C15">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该项目无生态成本指标</w:t>
      </w:r>
    </w:p>
    <w:p w14:paraId="0CE931BD">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效益指标：</w:t>
      </w:r>
    </w:p>
    <w:p w14:paraId="2A0036EE">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经济</w:t>
      </w:r>
      <w:r>
        <w:rPr>
          <w:rFonts w:hint="eastAsia" w:ascii="宋体" w:hAnsi="宋体" w:eastAsia="宋体" w:cs="宋体"/>
          <w:color w:val="auto"/>
          <w:sz w:val="24"/>
          <w:szCs w:val="24"/>
        </w:rPr>
        <w:t>效益指标：</w:t>
      </w:r>
    </w:p>
    <w:p w14:paraId="1FCFFE8C">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该项目无经济效益指标；</w:t>
      </w:r>
    </w:p>
    <w:p w14:paraId="36307DC9">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2）社会效益指标：</w:t>
      </w:r>
    </w:p>
    <w:p w14:paraId="4E92891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指标1：保障全县法律咨询服务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val="en-US" w:eastAsia="zh-CN"/>
        </w:rPr>
        <w:t>有效保障</w:t>
      </w:r>
      <w:r>
        <w:rPr>
          <w:rFonts w:hint="eastAsia" w:ascii="宋体" w:hAnsi="宋体" w:eastAsia="宋体" w:cs="宋体"/>
          <w:color w:val="auto"/>
          <w:sz w:val="24"/>
          <w:szCs w:val="24"/>
        </w:rPr>
        <w:t>；</w:t>
      </w:r>
    </w:p>
    <w:p w14:paraId="55D9334C">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生态</w:t>
      </w:r>
      <w:r>
        <w:rPr>
          <w:rFonts w:hint="eastAsia" w:ascii="宋体" w:hAnsi="宋体" w:eastAsia="宋体" w:cs="宋体"/>
          <w:color w:val="auto"/>
          <w:sz w:val="24"/>
          <w:szCs w:val="24"/>
        </w:rPr>
        <w:t>效益指标：</w:t>
      </w:r>
    </w:p>
    <w:p w14:paraId="70E64915">
      <w:pPr>
        <w:pStyle w:val="46"/>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该项目无生态效益指标；</w:t>
      </w:r>
    </w:p>
    <w:p w14:paraId="171DD56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）服务对象满意度指标：</w:t>
      </w:r>
    </w:p>
    <w:p w14:paraId="1A20D342">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指标1：受益单位满意度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w:t>
      </w:r>
    </w:p>
    <w:p w14:paraId="45BCB022">
      <w:pPr>
        <w:pStyle w:val="4"/>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sz w:val="24"/>
          <w:szCs w:val="24"/>
        </w:rPr>
      </w:pPr>
      <w:r>
        <w:rPr>
          <w:rFonts w:hint="eastAsia" w:ascii="黑体" w:hAnsi="黑体" w:eastAsia="黑体" w:cs="黑体"/>
          <w:sz w:val="24"/>
          <w:szCs w:val="24"/>
        </w:rPr>
        <w:t>二、绩效评价工作开展情况</w:t>
      </w:r>
      <w:bookmarkEnd w:id="3"/>
    </w:p>
    <w:p w14:paraId="6711B850">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4" w:name="_Toc68364661"/>
      <w:r>
        <w:rPr>
          <w:rFonts w:hint="eastAsia" w:ascii="宋体" w:hAnsi="宋体" w:eastAsia="宋体" w:cs="宋体"/>
          <w:sz w:val="24"/>
          <w:szCs w:val="24"/>
        </w:rPr>
        <w:t>（一）绩效评价目的、对象和范围</w:t>
      </w:r>
      <w:bookmarkEnd w:id="4"/>
    </w:p>
    <w:p w14:paraId="0E067FB9">
      <w:pPr>
        <w:pStyle w:val="46"/>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绩效评价目的</w:t>
      </w:r>
    </w:p>
    <w:p w14:paraId="3503EDD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rPr>
        <w:t>本次绩效评价</w:t>
      </w:r>
      <w:r>
        <w:rPr>
          <w:rFonts w:hint="eastAsia" w:ascii="宋体" w:hAnsi="宋体" w:eastAsia="宋体" w:cs="宋体"/>
          <w:color w:val="auto"/>
          <w:sz w:val="24"/>
          <w:szCs w:val="24"/>
        </w:rPr>
        <w:t>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rPr>
        <w:t>项目开展本次部门项目支出绩效评价工作。全面了解</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675F5394">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418C862B">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1478C4E8">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方正仿宋_GBK" w:hAnsi="方正仿宋_GBK" w:eastAsia="方正仿宋_GBK" w:cs="方正仿宋_GBK"/>
          <w:b/>
          <w:bCs/>
          <w:color w:val="auto"/>
          <w:sz w:val="32"/>
          <w:szCs w:val="32"/>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348647E0">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66421155">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5BE4F32B">
      <w:pPr>
        <w:pStyle w:val="46"/>
        <w:pageBreakBefore w:val="0"/>
        <w:widowControl w:val="0"/>
        <w:kinsoku/>
        <w:wordWrap/>
        <w:topLinePunct w:val="0"/>
        <w:autoSpaceDE/>
        <w:autoSpaceDN/>
        <w:bidi w:val="0"/>
        <w:spacing w:line="560" w:lineRule="exact"/>
        <w:ind w:left="0" w:leftChars="0" w:firstLine="64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绩效评价范围</w:t>
      </w:r>
    </w:p>
    <w:p w14:paraId="260F686E">
      <w:pPr>
        <w:pStyle w:val="46"/>
        <w:pageBreakBefore w:val="0"/>
        <w:widowControl w:val="0"/>
        <w:kinsoku/>
        <w:wordWrap/>
        <w:topLinePunct w:val="0"/>
        <w:autoSpaceDE/>
        <w:autoSpaceDN/>
        <w:bidi w:val="0"/>
        <w:spacing w:line="560" w:lineRule="exact"/>
        <w:ind w:left="0" w:leftChars="0" w:firstLine="640"/>
        <w:textAlignment w:val="auto"/>
        <w:rPr>
          <w:rFonts w:hint="eastAsia" w:ascii="宋体" w:hAnsi="宋体" w:eastAsia="宋体" w:cs="宋体"/>
          <w:sz w:val="24"/>
          <w:szCs w:val="24"/>
        </w:rPr>
      </w:pPr>
      <w:r>
        <w:rPr>
          <w:rFonts w:hint="eastAsia" w:ascii="宋体" w:hAnsi="宋体" w:eastAsia="宋体" w:cs="宋体"/>
          <w:color w:val="auto"/>
          <w:sz w:val="24"/>
          <w:szCs w:val="24"/>
        </w:rPr>
        <w:t>本次绩效评价主要围绕</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rPr>
        <w:t>项目决策、项目资金管理、项目实施过程管理，以及项目实施所带来的产出和效果等内容，</w:t>
      </w:r>
      <w:r>
        <w:rPr>
          <w:rFonts w:hint="eastAsia" w:ascii="宋体" w:hAnsi="宋体" w:eastAsia="宋体" w:cs="宋体"/>
          <w:sz w:val="24"/>
          <w:szCs w:val="24"/>
        </w:rPr>
        <w:t>进行综合评价。范围涵盖项目总体绩效目标、各项绩效指标完成情况以及预算执行情况</w:t>
      </w:r>
      <w:bookmarkStart w:id="5" w:name="_Toc68364662"/>
      <w:r>
        <w:rPr>
          <w:rFonts w:hint="eastAsia" w:ascii="宋体" w:hAnsi="宋体" w:eastAsia="宋体" w:cs="宋体"/>
          <w:sz w:val="24"/>
          <w:szCs w:val="24"/>
          <w:lang w:eastAsia="zh-CN"/>
        </w:rPr>
        <w:t>，</w:t>
      </w:r>
      <w:r>
        <w:rPr>
          <w:rFonts w:hint="eastAsia" w:ascii="宋体" w:hAnsi="宋体" w:eastAsia="宋体" w:cs="宋体"/>
          <w:sz w:val="24"/>
          <w:szCs w:val="24"/>
        </w:rPr>
        <w:t>覆盖预算资金支出项目的所有内容进行评价。</w:t>
      </w:r>
    </w:p>
    <w:p w14:paraId="2AE90F7E">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（二）绩效评价原则、评价指标体系、评价方法评价标准</w:t>
      </w:r>
      <w:bookmarkEnd w:id="5"/>
    </w:p>
    <w:p w14:paraId="3BA8B2EC">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绩效评价原则</w:t>
      </w:r>
    </w:p>
    <w:p w14:paraId="3A8D0740">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sz w:val="24"/>
          <w:szCs w:val="24"/>
        </w:rPr>
      </w:pPr>
      <w:r>
        <w:rPr>
          <w:rFonts w:hint="eastAsia" w:ascii="宋体" w:hAnsi="宋体" w:eastAsia="宋体" w:cs="宋体"/>
          <w:sz w:val="24"/>
          <w:szCs w:val="24"/>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093479AB">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（1）科学公正。绩效评价应当运用科学合理的方法，按照规范的程序，对项目绩效进行客观、公正的反映。</w:t>
      </w:r>
    </w:p>
    <w:p w14:paraId="5A128D30">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A3C95AB">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（3）激励约束。绩效评价结果应与预算安排、政策调整、改进管理实质性挂钩，体现奖优罚劣和激励相容导向，有效要安排、低效要压减、无效要问责。</w:t>
      </w:r>
    </w:p>
    <w:p w14:paraId="474A6E52">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（4）公开透明。绩效评价结果应依法依规公开，并自觉接受社会监督。</w:t>
      </w:r>
    </w:p>
    <w:p w14:paraId="37589490">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根据以上原则，绩效评价应遵循如下要求:</w:t>
      </w:r>
    </w:p>
    <w:p w14:paraId="6FCBD782">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（1）在数据采集时，采取客观数据，主管部门审查、社会中介组织复查，与问卷调查相结合的形式，以保证各项指标的真实性。</w:t>
      </w:r>
    </w:p>
    <w:p w14:paraId="7D6DF4E1">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（2）保证评价结果的真实性、公正性，提高评价报告的公信力。</w:t>
      </w:r>
    </w:p>
    <w:p w14:paraId="6A12FA11">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sz w:val="24"/>
          <w:szCs w:val="24"/>
        </w:rPr>
      </w:pPr>
      <w:r>
        <w:rPr>
          <w:rFonts w:hint="eastAsia" w:ascii="宋体" w:hAnsi="宋体" w:eastAsia="宋体" w:cs="宋体"/>
          <w:sz w:val="24"/>
          <w:szCs w:val="24"/>
        </w:rPr>
        <w:t>（3）绩</w:t>
      </w:r>
      <w:r>
        <w:rPr>
          <w:rFonts w:hint="eastAsia" w:ascii="宋体" w:hAnsi="宋体" w:eastAsia="宋体" w:cs="宋体"/>
          <w:sz w:val="24"/>
          <w:szCs w:val="24"/>
          <w:lang w:val="en-US" w:eastAsia="zh-CN"/>
        </w:rPr>
        <w:t>效</w:t>
      </w:r>
      <w:r>
        <w:rPr>
          <w:rFonts w:hint="eastAsia" w:ascii="宋体" w:hAnsi="宋体" w:eastAsia="宋体" w:cs="宋体"/>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4082BBC7">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2. 绩效评价指标体系</w:t>
      </w:r>
    </w:p>
    <w:p w14:paraId="6F31EB4A">
      <w:pPr>
        <w:pStyle w:val="46"/>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sz w:val="24"/>
          <w:szCs w:val="24"/>
        </w:rPr>
      </w:pPr>
      <w:r>
        <w:rPr>
          <w:rFonts w:hint="eastAsia" w:ascii="宋体" w:hAnsi="宋体" w:eastAsia="宋体" w:cs="宋体"/>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sz w:val="24"/>
          <w:szCs w:val="24"/>
          <w:lang w:val="en-US" w:eastAsia="zh-CN"/>
        </w:rPr>
        <w:t>2</w:t>
      </w:r>
      <w:r>
        <w:rPr>
          <w:rFonts w:hint="eastAsia" w:ascii="宋体" w:hAnsi="宋体" w:eastAsia="宋体" w:cs="宋体"/>
          <w:sz w:val="24"/>
          <w:szCs w:val="24"/>
        </w:rPr>
        <w:t>个二级指标。项目绩效评价体系</w:t>
      </w:r>
      <w:r>
        <w:rPr>
          <w:rFonts w:hint="eastAsia" w:ascii="宋体" w:hAnsi="宋体" w:eastAsia="宋体" w:cs="宋体"/>
          <w:sz w:val="24"/>
          <w:szCs w:val="24"/>
          <w:lang w:eastAsia="zh-CN"/>
        </w:rPr>
        <w:t>。</w:t>
      </w:r>
      <w:r>
        <w:rPr>
          <w:rFonts w:hint="eastAsia" w:ascii="宋体" w:hAnsi="宋体" w:eastAsia="宋体" w:cs="宋体"/>
          <w:sz w:val="24"/>
          <w:szCs w:val="24"/>
        </w:rPr>
        <w:t>详细指标体系见“附件1：项目支出绩效评价体系”。</w:t>
      </w:r>
    </w:p>
    <w:p w14:paraId="73B56C60">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3. 绩效评价方法</w:t>
      </w:r>
    </w:p>
    <w:p w14:paraId="60FAEDAD">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3C4812D9">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具体</w:t>
      </w:r>
      <w:r>
        <w:rPr>
          <w:rFonts w:hint="eastAsia" w:ascii="宋体" w:hAnsi="宋体" w:eastAsia="宋体" w:cs="宋体"/>
          <w:b w:val="0"/>
          <w:bCs/>
          <w:sz w:val="24"/>
          <w:szCs w:val="24"/>
        </w:rPr>
        <w:t>评价方法的应用如下:</w:t>
      </w:r>
    </w:p>
    <w:p w14:paraId="3F0115B3">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立项依据充分性：比较法、文献法，查找法律法规政策以及规划，对比实际执行内容和政策支持内容是否匹配。</w:t>
      </w:r>
    </w:p>
    <w:p w14:paraId="755CEDB4">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立项程序规范性：比较法、文献法，查找相关项目设立的政策和文件要求，对比分析实际执行程序是否按照政策及文件要求执行，分析立项程序的规范性。</w:t>
      </w:r>
    </w:p>
    <w:p w14:paraId="03AA41CE">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绩效目标合理性：比较法，对比分析年初编制项目支出绩效目标表与项目内容的相关性、资金的匹配性等。</w:t>
      </w:r>
    </w:p>
    <w:p w14:paraId="10F2F1DD">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绩效指标明确性：比较法，比较分析年初编制项目支出绩效目标表是否符合双七原则，是否可衡量。</w:t>
      </w:r>
    </w:p>
    <w:p w14:paraId="70648DDC">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预算编制科学性</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成本效益分析法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分析在产出一定的情况下，成本取值是否有依据，是否经过询价，是否按照市场最低成本编制。</w:t>
      </w:r>
    </w:p>
    <w:p w14:paraId="31EB2228">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lang w:eastAsia="zh-CN"/>
        </w:rPr>
      </w:pPr>
      <w:r>
        <w:rPr>
          <w:rFonts w:hint="eastAsia" w:ascii="宋体" w:hAnsi="宋体" w:eastAsia="宋体" w:cs="宋体"/>
          <w:b w:val="0"/>
          <w:bCs/>
          <w:sz w:val="24"/>
          <w:szCs w:val="24"/>
        </w:rPr>
        <w:t>资金分配合理性：因素分析法，综合分析资金的分配依据是否充分，分配金额是否与项目实施单位需求金额一致</w:t>
      </w:r>
      <w:r>
        <w:rPr>
          <w:rFonts w:hint="eastAsia" w:ascii="宋体" w:hAnsi="宋体" w:eastAsia="宋体" w:cs="宋体"/>
          <w:b w:val="0"/>
          <w:bCs/>
          <w:sz w:val="24"/>
          <w:szCs w:val="24"/>
          <w:lang w:eastAsia="zh-CN"/>
        </w:rPr>
        <w:t>。</w:t>
      </w:r>
    </w:p>
    <w:p w14:paraId="7D8B8A3C">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资金到位率：比较法，资金到位率预期指标值应为100%，通过实际计算，分析实际完成值和预期指标值之间的差距和原因。</w:t>
      </w:r>
    </w:p>
    <w:p w14:paraId="5A2171F2">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预算执行率：比较法，预算执行率预期指标值应为100%，通过实际计算，分析实际完成值和预期指标值之间的差距和原因。</w:t>
      </w:r>
    </w:p>
    <w:p w14:paraId="43ABF1AF">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资金使用合规性：文献法、实地勘察法，一是查找资金管理办法，包括专项资金管理办法和单位自有资金管理办法；二是通过查账了解具体开支情况，是否专用专用，是否按照标准支出。</w:t>
      </w:r>
    </w:p>
    <w:p w14:paraId="58BB8C48">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管理制度健全性：文献法、比较法，查阅项目实施人员提供的财务和业务管理制度，将已建立的制度与现行的法律法规和政策要求进行对比，分析项目制度的合法性、合规性、完整性。</w:t>
      </w:r>
    </w:p>
    <w:p w14:paraId="64CD7838">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制度执行有效性：比较法，结合项目实际实施过程性文件，根据已建设的财务管理制度和项目管理制度综合分析制度执行的有效性。</w:t>
      </w:r>
    </w:p>
    <w:p w14:paraId="4E3CCFB3">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03EBAA1">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定性指标：公众评判法，通过问卷及抽样调查等方式评价本项目实施后社会公众对于其实施效果的满意程度。</w:t>
      </w:r>
    </w:p>
    <w:p w14:paraId="6B919EF6">
      <w:pPr>
        <w:pStyle w:val="46"/>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绩效评价标准</w:t>
      </w:r>
    </w:p>
    <w:p w14:paraId="00060E12">
      <w:pPr>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FF0000"/>
          <w:sz w:val="24"/>
          <w:szCs w:val="24"/>
        </w:rPr>
      </w:pPr>
      <w:bookmarkStart w:id="6" w:name="_Toc68364663"/>
      <w:r>
        <w:rPr>
          <w:rFonts w:hint="eastAsia" w:ascii="宋体" w:hAnsi="宋体" w:eastAsia="宋体" w:cs="宋体"/>
          <w:sz w:val="24"/>
          <w:szCs w:val="24"/>
        </w:rPr>
        <w:t>绩效评价标准通常包括计划标准，用于对绩效指标完成情况进行比较、分析、评价。</w:t>
      </w:r>
    </w:p>
    <w:p w14:paraId="14AFEBA1">
      <w:pPr>
        <w:pageBreakBefore w:val="0"/>
        <w:widowControl w:val="0"/>
        <w:kinsoku/>
        <w:wordWrap/>
        <w:overflowPunct/>
        <w:topLinePunct w:val="0"/>
        <w:autoSpaceDE/>
        <w:autoSpaceDN/>
        <w:bidi w:val="0"/>
        <w:adjustRightInd/>
        <w:snapToGrid/>
        <w:spacing w:line="360" w:lineRule="auto"/>
        <w:ind w:left="0" w:leftChars="0" w:firstLine="643"/>
        <w:textAlignment w:val="auto"/>
        <w:rPr>
          <w:rFonts w:hint="eastAsia" w:ascii="宋体" w:hAnsi="宋体" w:eastAsia="宋体" w:cs="宋体"/>
          <w:sz w:val="24"/>
          <w:szCs w:val="24"/>
        </w:rPr>
      </w:pPr>
      <w:bookmarkStart w:id="7" w:name="_Toc17882"/>
      <w:bookmarkStart w:id="8" w:name="_Toc31464"/>
      <w:r>
        <w:rPr>
          <w:rFonts w:hint="eastAsia" w:ascii="宋体" w:hAnsi="宋体" w:eastAsia="宋体" w:cs="宋体"/>
          <w:b/>
          <w:bCs/>
          <w:sz w:val="24"/>
          <w:szCs w:val="24"/>
        </w:rPr>
        <w:t>计划标准：</w:t>
      </w:r>
      <w:r>
        <w:rPr>
          <w:rFonts w:hint="eastAsia" w:ascii="宋体" w:hAnsi="宋体" w:eastAsia="宋体" w:cs="宋体"/>
          <w:sz w:val="24"/>
          <w:szCs w:val="24"/>
        </w:rPr>
        <w:t>指以预先制定的目标、计划、预算、定额等作为评价标准。</w:t>
      </w:r>
      <w:bookmarkEnd w:id="7"/>
      <w:bookmarkEnd w:id="8"/>
    </w:p>
    <w:p w14:paraId="20060903">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（三）绩效评价工作过程</w:t>
      </w:r>
      <w:bookmarkEnd w:id="6"/>
    </w:p>
    <w:p w14:paraId="7B8693C5">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sz w:val="24"/>
          <w:szCs w:val="24"/>
        </w:rPr>
      </w:pPr>
      <w:bookmarkStart w:id="9" w:name="_Toc68364664"/>
      <w:r>
        <w:rPr>
          <w:rFonts w:hint="eastAsia" w:ascii="宋体" w:hAnsi="宋体" w:eastAsia="宋体" w:cs="宋体"/>
          <w:sz w:val="24"/>
          <w:szCs w:val="24"/>
        </w:rPr>
        <w:t>1.前期准备</w:t>
      </w:r>
    </w:p>
    <w:p w14:paraId="10C0A8B9">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sz w:val="24"/>
          <w:szCs w:val="24"/>
        </w:rPr>
        <w:t>我</w:t>
      </w:r>
      <w:r>
        <w:rPr>
          <w:rFonts w:hint="eastAsia" w:ascii="宋体" w:hAnsi="宋体" w:eastAsia="宋体" w:cs="宋体"/>
          <w:color w:val="auto"/>
          <w:sz w:val="24"/>
          <w:szCs w:val="24"/>
        </w:rPr>
        <w:t>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日，确定绩</w:t>
      </w:r>
      <w:r>
        <w:rPr>
          <w:rFonts w:hint="eastAsia" w:ascii="宋体" w:hAnsi="宋体" w:eastAsia="宋体" w:cs="宋体"/>
          <w:sz w:val="24"/>
          <w:szCs w:val="24"/>
        </w:rPr>
        <w:t>效评价工作小组，正式开始前期准备工作，通过对评价对象前期调研，确定了评价的目的、方法以及评价的原则，根据项目的内容和特征制定了评价指标体系及评价标准。绩效评价工作小组人员名单及分工如</w:t>
      </w:r>
      <w:r>
        <w:rPr>
          <w:rFonts w:hint="eastAsia" w:ascii="宋体" w:hAnsi="宋体" w:eastAsia="宋体" w:cs="宋体"/>
          <w:color w:val="auto"/>
          <w:sz w:val="24"/>
          <w:szCs w:val="24"/>
        </w:rPr>
        <w:t>下：</w:t>
      </w:r>
    </w:p>
    <w:p w14:paraId="6105B0BC">
      <w:pPr>
        <w:pageBreakBefore w:val="0"/>
        <w:widowControl w:val="0"/>
        <w:kinsoku/>
        <w:wordWrap/>
        <w:overflowPunct/>
        <w:topLinePunct w:val="0"/>
        <w:autoSpaceDE/>
        <w:autoSpaceDN/>
        <w:bidi w:val="0"/>
        <w:adjustRightInd/>
        <w:snapToGrid/>
        <w:spacing w:line="360" w:lineRule="auto"/>
        <w:ind w:firstLine="560"/>
        <w:jc w:val="both"/>
        <w:textAlignment w:val="auto"/>
        <w:rPr>
          <w:rStyle w:val="26"/>
          <w:rFonts w:hint="eastAsia" w:ascii="楷体" w:hAnsi="楷体" w:eastAsia="楷体"/>
          <w:b w:val="0"/>
          <w:bCs w:val="0"/>
          <w:color w:val="auto"/>
          <w:spacing w:val="-4"/>
          <w:sz w:val="32"/>
          <w:szCs w:val="32"/>
        </w:rPr>
      </w:pPr>
      <w:r>
        <w:rPr>
          <w:rFonts w:hint="eastAsia" w:ascii="宋体" w:hAnsi="宋体" w:eastAsia="宋体" w:cs="宋体"/>
          <w:color w:val="auto"/>
          <w:sz w:val="24"/>
          <w:szCs w:val="24"/>
          <w:lang w:eastAsia="zh-CN"/>
        </w:rPr>
        <w:t>胡琦</w:t>
      </w:r>
      <w:r>
        <w:rPr>
          <w:rFonts w:hint="eastAsia" w:ascii="宋体" w:hAnsi="宋体" w:eastAsia="宋体" w:cs="宋体"/>
          <w:color w:val="auto"/>
          <w:sz w:val="24"/>
          <w:szCs w:val="24"/>
        </w:rPr>
        <w:t>（评价小组组长）：主要负责组织安排绩效评价工作</w:t>
      </w:r>
    </w:p>
    <w:p w14:paraId="6E168633">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高亚楠</w:t>
      </w:r>
      <w:r>
        <w:rPr>
          <w:rFonts w:hint="eastAsia" w:ascii="宋体" w:hAnsi="宋体" w:eastAsia="宋体" w:cs="宋体"/>
          <w:color w:val="auto"/>
          <w:sz w:val="24"/>
          <w:szCs w:val="24"/>
        </w:rPr>
        <w:t>（评价小组组员）：主要负责资料整理及信息汇总工作</w:t>
      </w:r>
    </w:p>
    <w:p w14:paraId="78B8BBDC">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eastAsia="zh-CN"/>
        </w:rPr>
        <w:t>张永周</w:t>
      </w:r>
      <w:r>
        <w:rPr>
          <w:rFonts w:hint="eastAsia" w:ascii="宋体" w:hAnsi="宋体" w:eastAsia="宋体" w:cs="宋体"/>
          <w:color w:val="auto"/>
          <w:sz w:val="24"/>
          <w:szCs w:val="24"/>
        </w:rPr>
        <w:t>（评价小组组</w:t>
      </w:r>
      <w:r>
        <w:rPr>
          <w:rFonts w:hint="eastAsia" w:ascii="宋体" w:hAnsi="宋体" w:eastAsia="宋体" w:cs="宋体"/>
          <w:sz w:val="24"/>
          <w:szCs w:val="24"/>
        </w:rPr>
        <w:t>员）：主要负责出具项目绩效评价报告</w:t>
      </w:r>
    </w:p>
    <w:p w14:paraId="5E14FED9">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sz w:val="24"/>
          <w:szCs w:val="24"/>
        </w:rPr>
      </w:pPr>
      <w:r>
        <w:rPr>
          <w:rFonts w:hint="eastAsia" w:ascii="宋体" w:hAnsi="宋体" w:eastAsia="宋体" w:cs="宋体"/>
          <w:sz w:val="24"/>
          <w:szCs w:val="24"/>
        </w:rPr>
        <w:t>2.组织实施</w:t>
      </w:r>
    </w:p>
    <w:p w14:paraId="1EBB65ED">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日，评价工作进</w:t>
      </w:r>
      <w:r>
        <w:rPr>
          <w:rFonts w:hint="eastAsia" w:ascii="宋体" w:hAnsi="宋体" w:eastAsia="宋体" w:cs="宋体"/>
          <w:sz w:val="24"/>
          <w:szCs w:val="24"/>
        </w:rPr>
        <w:t>入实施阶段。在数据采集方面，评价小组整理单位前期提交的资料，与项目实施负责人沟通，了解资金的内容、操作流程、管理机制、资金使用方向等情况并采集信息，了解项目设置背景及资金使用等情况。</w:t>
      </w:r>
    </w:p>
    <w:p w14:paraId="62E8D718">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sz w:val="24"/>
          <w:szCs w:val="24"/>
        </w:rPr>
      </w:pPr>
      <w:r>
        <w:rPr>
          <w:rFonts w:hint="eastAsia" w:ascii="宋体" w:hAnsi="宋体" w:eastAsia="宋体" w:cs="宋体"/>
          <w:sz w:val="24"/>
          <w:szCs w:val="24"/>
        </w:rPr>
        <w:t>3.分析评价</w:t>
      </w:r>
    </w:p>
    <w:p w14:paraId="3507242F">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28</w:t>
      </w:r>
      <w:r>
        <w:rPr>
          <w:rFonts w:hint="eastAsia" w:ascii="宋体" w:hAnsi="宋体" w:eastAsia="宋体" w:cs="宋体"/>
          <w:color w:val="auto"/>
          <w:sz w:val="24"/>
          <w:szCs w:val="24"/>
        </w:rPr>
        <w:t>日，评价小组</w:t>
      </w:r>
      <w:r>
        <w:rPr>
          <w:rFonts w:hint="eastAsia" w:ascii="宋体" w:hAnsi="宋体" w:eastAsia="宋体" w:cs="宋体"/>
          <w:sz w:val="24"/>
          <w:szCs w:val="24"/>
        </w:rPr>
        <w:t>按照绩效评价的原则和规范，对取得的资料进行审查核实，对采集的数据进行分析，按照绩效评价指标评分表逐项进行打分、分析、汇总各方评价结果。</w:t>
      </w:r>
    </w:p>
    <w:p w14:paraId="11CF67F0">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sz w:val="24"/>
          <w:szCs w:val="24"/>
        </w:rPr>
      </w:pPr>
      <w:r>
        <w:rPr>
          <w:rFonts w:hint="eastAsia" w:ascii="宋体" w:hAnsi="宋体" w:eastAsia="宋体" w:cs="宋体"/>
          <w:sz w:val="24"/>
          <w:szCs w:val="24"/>
        </w:rPr>
        <w:t>4.撰写与提交评价报告</w:t>
      </w:r>
    </w:p>
    <w:p w14:paraId="516689BE">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sz w:val="24"/>
          <w:szCs w:val="24"/>
          <w:highlight w:val="none"/>
        </w:rPr>
        <w:t>撰写绩效评价报告，按照新疆</w:t>
      </w:r>
      <w:r>
        <w:rPr>
          <w:rFonts w:hint="eastAsia" w:ascii="宋体" w:hAnsi="宋体" w:eastAsia="宋体" w:cs="宋体"/>
          <w:sz w:val="24"/>
          <w:szCs w:val="24"/>
          <w:highlight w:val="none"/>
          <w:lang w:eastAsia="zh-CN"/>
        </w:rPr>
        <w:t>维吾尔自治区财政绩效管理信息系统</w:t>
      </w:r>
      <w:r>
        <w:rPr>
          <w:rFonts w:hint="eastAsia" w:ascii="宋体" w:hAnsi="宋体" w:eastAsia="宋体" w:cs="宋体"/>
          <w:sz w:val="24"/>
          <w:szCs w:val="24"/>
          <w:highlight w:val="none"/>
        </w:rPr>
        <w:t>绩效评价模块中统一格式和文本框架撰写绩效评价报告并提交审核。</w:t>
      </w:r>
    </w:p>
    <w:p w14:paraId="35DC0DEF">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sz w:val="24"/>
          <w:szCs w:val="24"/>
        </w:rPr>
      </w:pPr>
      <w:r>
        <w:rPr>
          <w:rFonts w:hint="eastAsia" w:ascii="宋体" w:hAnsi="宋体" w:eastAsia="宋体" w:cs="宋体"/>
          <w:sz w:val="24"/>
          <w:szCs w:val="24"/>
        </w:rPr>
        <w:t>5.问题整改</w:t>
      </w:r>
    </w:p>
    <w:p w14:paraId="462076A5">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sz w:val="24"/>
          <w:szCs w:val="24"/>
        </w:rPr>
      </w:pPr>
      <w:r>
        <w:rPr>
          <w:rFonts w:hint="eastAsia" w:ascii="宋体" w:hAnsi="宋体" w:eastAsia="宋体" w:cs="宋体"/>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606BD57">
      <w:pPr>
        <w:pStyle w:val="6"/>
        <w:pageBreakBefore w:val="0"/>
        <w:widowControl w:val="0"/>
        <w:kinsoku/>
        <w:wordWrap/>
        <w:overflowPunct/>
        <w:topLinePunct w:val="0"/>
        <w:autoSpaceDE/>
        <w:autoSpaceDN/>
        <w:bidi w:val="0"/>
        <w:adjustRightInd/>
        <w:snapToGrid/>
        <w:spacing w:before="0" w:after="0" w:line="360" w:lineRule="auto"/>
        <w:ind w:firstLine="562"/>
        <w:jc w:val="both"/>
        <w:textAlignment w:val="auto"/>
        <w:rPr>
          <w:rFonts w:hint="eastAsia" w:ascii="宋体" w:hAnsi="宋体" w:eastAsia="宋体" w:cs="宋体"/>
          <w:sz w:val="24"/>
          <w:szCs w:val="24"/>
        </w:rPr>
      </w:pPr>
      <w:r>
        <w:rPr>
          <w:rFonts w:hint="eastAsia" w:ascii="宋体" w:hAnsi="宋体" w:eastAsia="宋体" w:cs="宋体"/>
          <w:sz w:val="24"/>
          <w:szCs w:val="24"/>
        </w:rPr>
        <w:t>6.档案整理</w:t>
      </w:r>
    </w:p>
    <w:p w14:paraId="34EA7A29">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sz w:val="24"/>
          <w:szCs w:val="24"/>
        </w:rPr>
      </w:pPr>
      <w:r>
        <w:rPr>
          <w:rFonts w:hint="eastAsia" w:ascii="宋体" w:hAnsi="宋体" w:eastAsia="宋体" w:cs="宋体"/>
          <w:sz w:val="24"/>
          <w:szCs w:val="24"/>
        </w:rPr>
        <w:t>建立和落实档案管理制度，将项目相关资料存档，包括但不限于：评价项目基本情况和相关文件、评价实施方案、项目支付资料等相关档案。</w:t>
      </w:r>
    </w:p>
    <w:p w14:paraId="06C1D25F">
      <w:pPr>
        <w:pStyle w:val="4"/>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sz w:val="24"/>
          <w:szCs w:val="24"/>
        </w:rPr>
      </w:pPr>
      <w:r>
        <w:rPr>
          <w:rFonts w:hint="eastAsia" w:ascii="黑体" w:hAnsi="黑体" w:eastAsia="黑体" w:cs="黑体"/>
          <w:sz w:val="24"/>
          <w:szCs w:val="24"/>
        </w:rPr>
        <w:t>三、综合评价情况及评价结论</w:t>
      </w:r>
      <w:bookmarkEnd w:id="9"/>
    </w:p>
    <w:p w14:paraId="6192ACBD">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0" w:name="_Toc68364665"/>
      <w:r>
        <w:rPr>
          <w:rFonts w:hint="eastAsia" w:ascii="宋体" w:hAnsi="宋体" w:eastAsia="宋体" w:cs="宋体"/>
          <w:sz w:val="24"/>
          <w:szCs w:val="24"/>
        </w:rPr>
        <w:t>（一）综合评价情况</w:t>
      </w:r>
      <w:bookmarkEnd w:id="10"/>
    </w:p>
    <w:p w14:paraId="10470E0A">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bookmarkStart w:id="11" w:name="_Toc68364666"/>
      <w:r>
        <w:rPr>
          <w:rFonts w:hint="default" w:ascii="宋体" w:hAnsi="宋体" w:eastAsia="宋体" w:cs="宋体"/>
          <w:color w:val="auto"/>
          <w:sz w:val="24"/>
          <w:szCs w:val="24"/>
          <w:lang w:val="en-US" w:eastAsia="zh-CN"/>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法律顾问服务费用项目综合得分为100分，评价结果为优。</w:t>
      </w:r>
      <w:r>
        <w:rPr>
          <w:rFonts w:hint="eastAsia" w:ascii="宋体" w:hAnsi="宋体" w:eastAsia="宋体" w:cs="宋体"/>
          <w:color w:val="auto"/>
          <w:sz w:val="24"/>
          <w:szCs w:val="24"/>
        </w:rPr>
        <w:t>其中：</w:t>
      </w:r>
    </w:p>
    <w:p w14:paraId="51F56439">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w:t>
      </w:r>
      <w:r>
        <w:rPr>
          <w:rFonts w:hint="default" w:ascii="宋体" w:hAnsi="宋体" w:eastAsia="宋体" w:cs="宋体"/>
          <w:color w:val="auto"/>
          <w:sz w:val="24"/>
          <w:szCs w:val="24"/>
          <w:lang w:val="en-US" w:eastAsia="zh-CN"/>
        </w:rPr>
        <w:t>本项目的立项符合相关法规政策及部门职责，依据充分；项目严格按照规定的程序申请设立；审批文件、材料符合相关要求；项目前期已经过必要的绩效评估、集体决策。项目根据相关文件要求设置了绩效目标，项目绩效目标基本合理，绩效目标与实际工作内容相关；项目预期产出效益和效果符合正常的业绩水平；目标设置与预算确定的项目投资额或资金量相匹配。严格按照要求将项目绩效目标细化分解为具体的绩效指标并通过清晰、可衡量的指标值予以体现；与项目目标任务数或计划数相对应。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宋体" w:hAnsi="宋体" w:eastAsia="宋体" w:cs="宋体"/>
          <w:color w:val="auto"/>
          <w:sz w:val="24"/>
          <w:szCs w:val="24"/>
          <w:lang w:val="en-US" w:eastAsia="zh-CN"/>
        </w:rPr>
        <w:t xml:space="preserve">。 </w:t>
      </w:r>
    </w:p>
    <w:p w14:paraId="5C52C0CC">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项目过程：</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rPr>
        <w:t xml:space="preserve">项目预算安排 </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万元，实际支出</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%。项目资金使用合规，项目财务管理制度健全，财务监控到位，所有资金支付均按照国库集中支付制度严格执行，现有项目管理制度执行情况良好。</w:t>
      </w:r>
    </w:p>
    <w:p w14:paraId="7EF262D4">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项目产出：</w:t>
      </w:r>
      <w:r>
        <w:rPr>
          <w:rFonts w:hint="eastAsia" w:ascii="宋体" w:hAnsi="宋体" w:eastAsia="宋体" w:cs="宋体"/>
          <w:sz w:val="24"/>
          <w:szCs w:val="24"/>
        </w:rPr>
        <w:t>项目实施产生的数量、质量等</w:t>
      </w:r>
      <w:r>
        <w:rPr>
          <w:rFonts w:hint="eastAsia" w:ascii="宋体" w:hAnsi="宋体" w:eastAsia="宋体" w:cs="宋体"/>
          <w:sz w:val="24"/>
          <w:szCs w:val="24"/>
          <w:lang w:val="en-US" w:eastAsia="zh-CN"/>
        </w:rPr>
        <w:t>完成情况（</w:t>
      </w:r>
      <w:r>
        <w:rPr>
          <w:rFonts w:hint="eastAsia" w:ascii="宋体" w:hAnsi="宋体" w:eastAsia="宋体" w:cs="宋体"/>
          <w:sz w:val="24"/>
          <w:szCs w:val="24"/>
        </w:rPr>
        <w:t>截止2024年12月31日，该项目已实施完毕，已支付资金</w:t>
      </w:r>
      <w:r>
        <w:rPr>
          <w:rFonts w:hint="eastAsia" w:ascii="宋体" w:hAnsi="宋体" w:eastAsia="宋体" w:cs="宋体"/>
          <w:sz w:val="24"/>
          <w:szCs w:val="24"/>
          <w:lang w:val="en-US" w:eastAsia="zh-CN"/>
        </w:rPr>
        <w:t>20</w:t>
      </w:r>
      <w:r>
        <w:rPr>
          <w:rFonts w:hint="eastAsia" w:ascii="宋体" w:hAnsi="宋体" w:eastAsia="宋体" w:cs="宋体"/>
          <w:sz w:val="24"/>
          <w:szCs w:val="24"/>
        </w:rPr>
        <w:t>万元，项目已完成的主要内容</w:t>
      </w:r>
      <w:r>
        <w:rPr>
          <w:rFonts w:hint="eastAsia" w:ascii="宋体" w:hAnsi="宋体" w:eastAsia="宋体" w:cs="宋体"/>
          <w:sz w:val="24"/>
          <w:szCs w:val="24"/>
          <w:lang w:eastAsia="zh-CN"/>
        </w:rPr>
        <w:t>：</w:t>
      </w:r>
      <w:r>
        <w:rPr>
          <w:rFonts w:hint="eastAsia" w:ascii="宋体" w:hAnsi="宋体" w:eastAsia="宋体" w:cs="宋体"/>
          <w:sz w:val="24"/>
          <w:szCs w:val="24"/>
        </w:rPr>
        <w:t>全县法律咨询服务</w:t>
      </w:r>
      <w:r>
        <w:rPr>
          <w:rFonts w:hint="eastAsia" w:ascii="宋体" w:hAnsi="宋体" w:eastAsia="宋体" w:cs="宋体"/>
          <w:sz w:val="24"/>
          <w:szCs w:val="24"/>
          <w:lang w:eastAsia="zh-CN"/>
        </w:rPr>
        <w:t>。</w:t>
      </w:r>
    </w:p>
    <w:p w14:paraId="298CC4DF">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项目效益：</w:t>
      </w:r>
      <w:r>
        <w:rPr>
          <w:rFonts w:hint="default" w:ascii="宋体" w:hAnsi="宋体" w:eastAsia="宋体" w:cs="宋体"/>
          <w:color w:val="auto"/>
          <w:sz w:val="24"/>
          <w:szCs w:val="24"/>
          <w:lang w:val="en-US" w:eastAsia="zh-CN"/>
        </w:rPr>
        <w:t>通过实施该项目，保障全县法律咨询服务。</w:t>
      </w:r>
    </w:p>
    <w:p w14:paraId="54CFFE5C">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00434B1E">
      <w:pPr>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黑体" w:hAnsi="黑体" w:eastAsia="黑体" w:cs="黑体"/>
          <w:color w:val="auto"/>
          <w:sz w:val="24"/>
          <w:szCs w:val="24"/>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70分以下为“差”。经对</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rPr>
        <w:t>项目进行客观评价，最终评分结果：评价总分</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分，绩效等级为“</w:t>
      </w:r>
      <w:r>
        <w:rPr>
          <w:rFonts w:hint="eastAsia" w:ascii="宋体" w:hAnsi="宋体" w:eastAsia="宋体" w:cs="宋体"/>
          <w:color w:val="auto"/>
          <w:sz w:val="24"/>
          <w:szCs w:val="24"/>
          <w:lang w:eastAsia="zh-CN"/>
        </w:rPr>
        <w:t>优</w:t>
      </w:r>
      <w:r>
        <w:rPr>
          <w:rFonts w:hint="eastAsia" w:ascii="宋体" w:hAnsi="宋体" w:eastAsia="宋体" w:cs="宋体"/>
          <w:color w:val="auto"/>
          <w:sz w:val="24"/>
          <w:szCs w:val="24"/>
        </w:rPr>
        <w:t>”。</w:t>
      </w:r>
      <w:bookmarkEnd w:id="11"/>
      <w:bookmarkStart w:id="12" w:name="_Toc68364667"/>
    </w:p>
    <w:p w14:paraId="504FF163">
      <w:pPr>
        <w:pStyle w:val="4"/>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p>
    <w:p w14:paraId="05D6DA82">
      <w:pPr>
        <w:pStyle w:val="4"/>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四、绩效评价指标分析</w:t>
      </w:r>
      <w:bookmarkEnd w:id="12"/>
    </w:p>
    <w:p w14:paraId="54E2981A">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3" w:name="_Toc68364668"/>
      <w:r>
        <w:rPr>
          <w:rFonts w:hint="eastAsia" w:ascii="宋体" w:hAnsi="宋体" w:eastAsia="宋体" w:cs="宋体"/>
          <w:color w:val="auto"/>
          <w:sz w:val="24"/>
          <w:szCs w:val="24"/>
        </w:rPr>
        <w:t>（一）项目决策情况</w:t>
      </w:r>
    </w:p>
    <w:p w14:paraId="1C83429E">
      <w:pPr>
        <w:keepNext w:val="0"/>
        <w:keepLines w:val="0"/>
        <w:pageBreakBefore w:val="0"/>
        <w:widowControl w:val="0"/>
        <w:kinsoku/>
        <w:wordWrap/>
        <w:overflowPunct w:val="0"/>
        <w:topLinePunct w:val="0"/>
        <w:autoSpaceDE/>
        <w:autoSpaceDN/>
        <w:bidi w:val="0"/>
        <w:adjustRightInd/>
        <w:snapToGrid/>
        <w:spacing w:line="360" w:lineRule="auto"/>
        <w:ind w:left="0" w:leftChars="0" w:firstLine="64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项目决策类指标包括项目立项、绩效目标和资金投入三方面的内容，由6个三级指标构成，权重分</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rPr>
        <w:t>，实际得分</w:t>
      </w: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分，得分率为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21E10C9">
      <w:pPr>
        <w:keepNext w:val="0"/>
        <w:keepLines w:val="0"/>
        <w:pageBreakBefore w:val="0"/>
        <w:widowControl w:val="0"/>
        <w:numPr>
          <w:ilvl w:val="0"/>
          <w:numId w:val="2"/>
        </w:numPr>
        <w:kinsoku/>
        <w:wordWrap/>
        <w:topLinePunct w:val="0"/>
        <w:autoSpaceDE/>
        <w:autoSpaceDN/>
        <w:bidi w:val="0"/>
        <w:adjustRightInd/>
        <w:snapToGrid/>
        <w:spacing w:line="360" w:lineRule="auto"/>
        <w:ind w:firstLine="56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立项依据充分性：</w:t>
      </w:r>
    </w:p>
    <w:p w14:paraId="27F29FA4">
      <w:pPr>
        <w:keepNext w:val="0"/>
        <w:keepLines w:val="0"/>
        <w:pageBreakBefore w:val="0"/>
        <w:widowControl w:val="0"/>
        <w:kinsoku/>
        <w:wordWrap/>
        <w:topLinePunct w:val="0"/>
        <w:autoSpaceDE/>
        <w:autoSpaceDN/>
        <w:bidi w:val="0"/>
        <w:adjustRightInd/>
        <w:snapToGrid/>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绩效评价遵循财政部《项目支出绩效评价管理办法》（财预〔2020〕10号）和自治区财政厅《自治区财政支出绩效评价管理暂行办法》（新财预〔2018〕189号）等相关政策文件与规定，旨在评价法律顾问及乡村振兴专项法律服务费用项目实施前期、过程及效果，评价财政预算资金使用的效率及效益。</w:t>
      </w:r>
    </w:p>
    <w:p w14:paraId="3A4D8834">
      <w:pPr>
        <w:keepNext w:val="0"/>
        <w:keepLines w:val="0"/>
        <w:pageBreakBefore w:val="0"/>
        <w:widowControl w:val="0"/>
        <w:kinsoku/>
        <w:wordWrap/>
        <w:topLinePunct w:val="0"/>
        <w:autoSpaceDE/>
        <w:autoSpaceDN/>
        <w:bidi w:val="0"/>
        <w:adjustRightInd/>
        <w:snapToGrid/>
        <w:spacing w:line="360" w:lineRule="auto"/>
        <w:ind w:firstLine="56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4DFCE0FE">
      <w:pPr>
        <w:keepNext w:val="0"/>
        <w:keepLines w:val="0"/>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（2）立项程序规范性：</w:t>
      </w:r>
    </w:p>
    <w:p w14:paraId="7CAD3796">
      <w:pPr>
        <w:keepNext w:val="0"/>
        <w:keepLines w:val="0"/>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eastAsia="zh-CN"/>
        </w:rPr>
        <w:t>特定</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20.00</w:t>
      </w:r>
      <w:r>
        <w:rPr>
          <w:rFonts w:hint="eastAsia" w:ascii="宋体" w:hAnsi="宋体" w:eastAsia="宋体" w:cs="宋体"/>
          <w:color w:val="auto"/>
          <w:sz w:val="24"/>
          <w:szCs w:val="24"/>
          <w:highlight w:val="none"/>
        </w:rPr>
        <w:t>万元，不涉及事前绩效评估和风险评估，已完成本项目可行性研究报告的编制，并经过专家论证。</w:t>
      </w:r>
    </w:p>
    <w:p w14:paraId="01E225CE">
      <w:pPr>
        <w:keepNext w:val="0"/>
        <w:keepLines w:val="0"/>
        <w:pageBreakBefore w:val="0"/>
        <w:widowControl w:val="0"/>
        <w:kinsoku/>
        <w:wordWrap/>
        <w:topLinePunct w:val="0"/>
        <w:autoSpaceDE/>
        <w:autoSpaceDN/>
        <w:bidi w:val="0"/>
        <w:adjustRightInd/>
        <w:snapToGrid/>
        <w:spacing w:line="360" w:lineRule="auto"/>
        <w:ind w:left="476" w:leftChars="170" w:firstLine="0" w:firstLineChars="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综上所述，本指标满分为3分，根</w:t>
      </w:r>
      <w:r>
        <w:rPr>
          <w:rFonts w:hint="eastAsia" w:ascii="宋体" w:hAnsi="宋体" w:eastAsia="宋体" w:cs="宋体"/>
          <w:color w:val="auto"/>
          <w:sz w:val="24"/>
          <w:szCs w:val="24"/>
        </w:rPr>
        <w:t>据评分标准得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分，本项目立项程序合规。</w:t>
      </w:r>
      <w:r>
        <w:rPr>
          <w:rFonts w:hint="eastAsia" w:ascii="宋体" w:hAnsi="宋体" w:eastAsia="宋体" w:cs="宋体"/>
          <w:b/>
          <w:bCs/>
          <w:color w:val="auto"/>
          <w:sz w:val="24"/>
          <w:szCs w:val="24"/>
        </w:rPr>
        <w:t>（3）绩效目标合理性</w:t>
      </w:r>
      <w:r>
        <w:rPr>
          <w:rFonts w:hint="eastAsia" w:ascii="宋体" w:hAnsi="宋体" w:eastAsia="宋体" w:cs="宋体"/>
          <w:color w:val="auto"/>
          <w:sz w:val="24"/>
          <w:szCs w:val="24"/>
        </w:rPr>
        <w:t>：</w:t>
      </w:r>
    </w:p>
    <w:p w14:paraId="0E694E07">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①该项目已设置年度绩效目标，具体内容为“</w:t>
      </w:r>
      <w:r>
        <w:rPr>
          <w:rFonts w:hint="eastAsia" w:ascii="宋体" w:hAnsi="宋体" w:eastAsia="宋体" w:cs="宋体"/>
          <w:color w:val="auto"/>
          <w:sz w:val="24"/>
          <w:szCs w:val="24"/>
          <w:lang w:eastAsia="zh-CN"/>
        </w:rPr>
        <w:t>法律顾问服务</w:t>
      </w:r>
      <w:r>
        <w:rPr>
          <w:rFonts w:hint="eastAsia" w:ascii="宋体" w:hAnsi="宋体" w:eastAsia="宋体" w:cs="宋体"/>
          <w:color w:val="auto"/>
          <w:sz w:val="24"/>
          <w:szCs w:val="24"/>
        </w:rPr>
        <w:t>”。</w:t>
      </w:r>
    </w:p>
    <w:p w14:paraId="72D4AD53">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②该项目实际工作内容为：</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。绩效目标与实际工作内容一致，两者具有相关性。</w:t>
      </w:r>
    </w:p>
    <w:p w14:paraId="03CC3970">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③该项目按照绩效目标完成数量指标、质量指标、时效指标、成本指标，完成了</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，达到</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效益，预期产出效益和效果是否符合正常的业绩水平。</w:t>
      </w:r>
    </w:p>
    <w:p w14:paraId="07AE387C">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④该项目批复的预算金额为</w:t>
      </w:r>
      <w:r>
        <w:rPr>
          <w:rFonts w:hint="eastAsia" w:ascii="宋体" w:hAnsi="宋体" w:eastAsia="宋体" w:cs="宋体"/>
          <w:color w:val="auto"/>
          <w:sz w:val="24"/>
          <w:szCs w:val="24"/>
          <w:highlight w:val="none"/>
          <w:lang w:val="en-US" w:eastAsia="zh-CN"/>
        </w:rPr>
        <w:t>20.00</w:t>
      </w:r>
      <w:r>
        <w:rPr>
          <w:rFonts w:hint="eastAsia" w:ascii="宋体" w:hAnsi="宋体" w:eastAsia="宋体" w:cs="宋体"/>
          <w:color w:val="auto"/>
          <w:sz w:val="24"/>
          <w:szCs w:val="24"/>
          <w:highlight w:val="none"/>
        </w:rPr>
        <w:t>万元，《项目支出绩效目标表》中预算金额为</w:t>
      </w:r>
      <w:r>
        <w:rPr>
          <w:rFonts w:hint="eastAsia" w:ascii="宋体" w:hAnsi="宋体" w:eastAsia="宋体" w:cs="宋体"/>
          <w:color w:val="auto"/>
          <w:sz w:val="24"/>
          <w:szCs w:val="24"/>
          <w:highlight w:val="none"/>
          <w:lang w:val="en-US" w:eastAsia="zh-CN"/>
        </w:rPr>
        <w:t>20.00</w:t>
      </w:r>
      <w:r>
        <w:rPr>
          <w:rFonts w:hint="eastAsia" w:ascii="宋体" w:hAnsi="宋体" w:eastAsia="宋体" w:cs="宋体"/>
          <w:color w:val="auto"/>
          <w:sz w:val="24"/>
          <w:szCs w:val="24"/>
          <w:highlight w:val="none"/>
        </w:rPr>
        <w:t>万元，预算确定的项目资金与预算确定的项目投资额相匹配。</w:t>
      </w:r>
    </w:p>
    <w:p w14:paraId="3C2999CE">
      <w:pPr>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⑤本单位</w:t>
      </w:r>
      <w:r>
        <w:rPr>
          <w:rFonts w:hint="eastAsia" w:ascii="宋体" w:hAnsi="宋体" w:eastAsia="宋体" w:cs="宋体"/>
          <w:color w:val="auto"/>
          <w:sz w:val="24"/>
          <w:szCs w:val="24"/>
          <w:highlight w:val="none"/>
        </w:rPr>
        <w:t>制定了实施方案，明确了总体思路及目标、并对任务进行了详细分解，对目标进行了细化，根据评分标准，该指标不扣分，得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39AB6C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绩效指标明确性</w:t>
      </w:r>
      <w:r>
        <w:rPr>
          <w:rFonts w:hint="eastAsia" w:ascii="宋体" w:hAnsi="宋体" w:eastAsia="宋体" w:cs="宋体"/>
          <w:b/>
          <w:bCs/>
          <w:color w:val="auto"/>
          <w:sz w:val="24"/>
          <w:szCs w:val="24"/>
          <w:highlight w:val="none"/>
          <w:lang w:eastAsia="zh-CN"/>
        </w:rPr>
        <w:t>：</w:t>
      </w:r>
    </w:p>
    <w:p w14:paraId="014A2A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经检查我单位年初设置的《项目支出绩效目标表》，得出如下结论：本项目已将年度绩效目标进行细化为绩效指标</w:t>
      </w:r>
      <w:r>
        <w:rPr>
          <w:rFonts w:hint="eastAsia" w:ascii="宋体" w:hAnsi="宋体" w:eastAsia="宋体" w:cs="宋体"/>
          <w:color w:val="auto"/>
          <w:sz w:val="24"/>
          <w:szCs w:val="24"/>
          <w:highlight w:val="none"/>
          <w:lang w:val="en-US" w:eastAsia="zh-CN"/>
        </w:rPr>
        <w:t>体系</w:t>
      </w:r>
      <w:r>
        <w:rPr>
          <w:rFonts w:hint="eastAsia" w:ascii="宋体" w:hAnsi="宋体" w:eastAsia="宋体" w:cs="宋体"/>
          <w:color w:val="auto"/>
          <w:sz w:val="24"/>
          <w:szCs w:val="24"/>
          <w:highlight w:val="none"/>
        </w:rPr>
        <w:t>，共设置一级指标</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个，二级指标</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个，三级指标</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个，定量指标</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个，定性指标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个，指标量化率为</w:t>
      </w:r>
      <w:r>
        <w:rPr>
          <w:rFonts w:hint="eastAsia" w:ascii="宋体" w:hAnsi="宋体" w:eastAsia="宋体" w:cs="宋体"/>
          <w:color w:val="auto"/>
          <w:sz w:val="24"/>
          <w:szCs w:val="24"/>
          <w:highlight w:val="none"/>
          <w:lang w:val="en-US" w:eastAsia="zh-CN"/>
        </w:rPr>
        <w:t>85.71</w:t>
      </w:r>
      <w:r>
        <w:rPr>
          <w:rFonts w:hint="eastAsia" w:ascii="宋体" w:hAnsi="宋体" w:eastAsia="宋体" w:cs="宋体"/>
          <w:color w:val="auto"/>
          <w:sz w:val="24"/>
          <w:szCs w:val="24"/>
          <w:highlight w:val="none"/>
        </w:rPr>
        <w:t>%，量化率达70.0%以上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将项目绩效目标细化分解为具体的绩效指标</w:t>
      </w:r>
      <w:r>
        <w:rPr>
          <w:rFonts w:hint="eastAsia" w:ascii="宋体" w:hAnsi="宋体" w:eastAsia="宋体" w:cs="宋体"/>
          <w:color w:val="auto"/>
          <w:sz w:val="24"/>
          <w:szCs w:val="24"/>
          <w:highlight w:val="none"/>
          <w:lang w:eastAsia="zh-CN"/>
        </w:rPr>
        <w:t>。</w:t>
      </w:r>
    </w:p>
    <w:p w14:paraId="150826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该《项目绩效目标申报表》中，数量指标指标值为聘请第三方法律服务机构数量，三级指标的年度指标值与年度绩效目标中任务数一致（或不完全一致），已设置时效指标“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”。已设置的绩效目标具备明确性、可衡量性、可实现性、相关性、时限性。根据评分标准，该指标不扣分，得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153772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预算编制科学性：</w:t>
      </w:r>
    </w:p>
    <w:p w14:paraId="2D1DD36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，即预算编制较科学且经过论证；</w:t>
      </w:r>
    </w:p>
    <w:p w14:paraId="002DAAA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预算申请内容为</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，项目实际内容为</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，预算申请与《</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项目实施方案》中涉及的项目内容匹配；</w:t>
      </w:r>
    </w:p>
    <w:p w14:paraId="202DD93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rPr>
        <w:t>万元。预算确定资金量与实际工作任务相匹配。本项目预算额度测算依据充分，严格按照标准编制，预算确定资金量与实际工作任务相匹配；根据评分标准，该指标不扣分，得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5890A6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资金分配合理性：</w:t>
      </w:r>
    </w:p>
    <w:p w14:paraId="606F6E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本项目实际分配资金以《关于申请</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项目资金的请示》和《</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项目实施方案》为依据进行资金分配，预算资金分配依据充分。根据《洛浦县财经委员会会议纪要》（洛财纪字【2023】19号）实施此项目），本项目实际到位资金</w:t>
      </w:r>
      <w:r>
        <w:rPr>
          <w:rFonts w:hint="eastAsia" w:ascii="宋体" w:hAnsi="宋体" w:eastAsia="宋体" w:cs="宋体"/>
          <w:color w:val="auto"/>
          <w:sz w:val="24"/>
          <w:szCs w:val="24"/>
          <w:highlight w:val="none"/>
          <w:lang w:val="en-US" w:eastAsia="zh-CN"/>
        </w:rPr>
        <w:t>20.00</w:t>
      </w:r>
      <w:r>
        <w:rPr>
          <w:rFonts w:hint="eastAsia" w:ascii="宋体" w:hAnsi="宋体" w:eastAsia="宋体" w:cs="宋体"/>
          <w:color w:val="auto"/>
          <w:sz w:val="24"/>
          <w:szCs w:val="24"/>
          <w:highlight w:val="none"/>
        </w:rPr>
        <w:t>万元，资金分配额度合理，与我单位实际需求相适应。资金分配与实际相适应，根据评分标准，该指标不扣分，得2分。</w:t>
      </w:r>
    </w:p>
    <w:p w14:paraId="02675F71">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4BA9796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 5个三级指标构成，权重分为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2AAB6120">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资金到位率：</w:t>
      </w:r>
    </w:p>
    <w:p w14:paraId="2074CF1B">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本项目预算资金为</w:t>
      </w:r>
      <w:r>
        <w:rPr>
          <w:rFonts w:hint="eastAsia" w:ascii="宋体" w:hAnsi="宋体" w:eastAsia="宋体" w:cs="宋体"/>
          <w:b w:val="0"/>
          <w:bCs w:val="0"/>
          <w:color w:val="auto"/>
          <w:sz w:val="24"/>
          <w:szCs w:val="24"/>
          <w:highlight w:val="none"/>
          <w:lang w:val="en-US" w:eastAsia="zh-CN"/>
        </w:rPr>
        <w:t>20.00</w:t>
      </w:r>
      <w:r>
        <w:rPr>
          <w:rFonts w:hint="eastAsia" w:ascii="宋体" w:hAnsi="宋体" w:eastAsia="宋体" w:cs="宋体"/>
          <w:b w:val="0"/>
          <w:bCs w:val="0"/>
          <w:color w:val="auto"/>
          <w:sz w:val="24"/>
          <w:szCs w:val="24"/>
          <w:highlight w:val="none"/>
        </w:rPr>
        <w:t>万元，其中：财政安排资金</w:t>
      </w:r>
      <w:r>
        <w:rPr>
          <w:rFonts w:hint="eastAsia" w:ascii="宋体" w:hAnsi="宋体" w:eastAsia="宋体" w:cs="宋体"/>
          <w:b w:val="0"/>
          <w:bCs w:val="0"/>
          <w:color w:val="auto"/>
          <w:sz w:val="24"/>
          <w:szCs w:val="24"/>
          <w:highlight w:val="none"/>
          <w:lang w:val="en-US" w:eastAsia="zh-CN"/>
        </w:rPr>
        <w:t>20.00</w:t>
      </w:r>
      <w:r>
        <w:rPr>
          <w:rFonts w:hint="eastAsia" w:ascii="宋体" w:hAnsi="宋体" w:eastAsia="宋体" w:cs="宋体"/>
          <w:b w:val="0"/>
          <w:bCs w:val="0"/>
          <w:color w:val="auto"/>
          <w:sz w:val="24"/>
          <w:szCs w:val="24"/>
          <w:highlight w:val="none"/>
        </w:rPr>
        <w:t>万元，其他资金</w:t>
      </w:r>
      <w:r>
        <w:rPr>
          <w:rFonts w:hint="eastAsia" w:ascii="宋体" w:hAnsi="宋体" w:eastAsia="宋体" w:cs="宋体"/>
          <w:b w:val="0"/>
          <w:bCs w:val="0"/>
          <w:color w:val="auto"/>
          <w:sz w:val="24"/>
          <w:szCs w:val="24"/>
          <w:highlight w:val="none"/>
          <w:lang w:val="en-US" w:eastAsia="zh-CN"/>
        </w:rPr>
        <w:t>00.00</w:t>
      </w:r>
      <w:r>
        <w:rPr>
          <w:rFonts w:hint="eastAsia" w:ascii="宋体" w:hAnsi="宋体" w:eastAsia="宋体" w:cs="宋体"/>
          <w:b w:val="0"/>
          <w:bCs w:val="0"/>
          <w:color w:val="auto"/>
          <w:sz w:val="24"/>
          <w:szCs w:val="24"/>
          <w:highlight w:val="none"/>
        </w:rPr>
        <w:t>万元，实际到位资金</w:t>
      </w:r>
      <w:r>
        <w:rPr>
          <w:rFonts w:hint="eastAsia" w:ascii="宋体" w:hAnsi="宋体" w:eastAsia="宋体" w:cs="宋体"/>
          <w:b w:val="0"/>
          <w:bCs w:val="0"/>
          <w:color w:val="auto"/>
          <w:sz w:val="24"/>
          <w:szCs w:val="24"/>
          <w:highlight w:val="none"/>
          <w:lang w:val="en-US" w:eastAsia="zh-CN"/>
        </w:rPr>
        <w:t>2000</w:t>
      </w:r>
      <w:r>
        <w:rPr>
          <w:rFonts w:hint="eastAsia" w:ascii="宋体" w:hAnsi="宋体" w:eastAsia="宋体" w:cs="宋体"/>
          <w:b w:val="0"/>
          <w:bCs w:val="0"/>
          <w:color w:val="auto"/>
          <w:sz w:val="24"/>
          <w:szCs w:val="24"/>
          <w:highlight w:val="none"/>
        </w:rPr>
        <w:t>万元，资金到位率=</w:t>
      </w:r>
      <w:r>
        <w:rPr>
          <w:rFonts w:hint="eastAsia" w:ascii="宋体" w:hAnsi="宋体" w:eastAsia="宋体" w:cs="宋体"/>
          <w:b w:val="0"/>
          <w:bCs w:val="0"/>
          <w:color w:val="auto"/>
          <w:sz w:val="24"/>
          <w:szCs w:val="24"/>
          <w:highlight w:val="none"/>
          <w:lang w:val="en-US" w:eastAsia="zh-CN"/>
        </w:rPr>
        <w:t>100%；通过分析可知，该项目</w:t>
      </w:r>
      <w:r>
        <w:rPr>
          <w:rFonts w:hint="eastAsia" w:ascii="宋体" w:hAnsi="宋体" w:eastAsia="宋体" w:cs="宋体"/>
          <w:b w:val="0"/>
          <w:bCs w:val="0"/>
          <w:color w:val="auto"/>
          <w:sz w:val="24"/>
          <w:szCs w:val="24"/>
          <w:highlight w:val="none"/>
        </w:rPr>
        <w:t>财政资金足额拨付到位，能够及时足额</w:t>
      </w:r>
      <w:r>
        <w:rPr>
          <w:rFonts w:hint="eastAsia" w:ascii="宋体" w:hAnsi="宋体" w:eastAsia="宋体" w:cs="宋体"/>
          <w:b w:val="0"/>
          <w:bCs w:val="0"/>
          <w:color w:val="auto"/>
          <w:sz w:val="24"/>
          <w:szCs w:val="24"/>
          <w:highlight w:val="none"/>
          <w:lang w:val="en-US" w:eastAsia="zh-CN"/>
        </w:rPr>
        <w:t>支付</w:t>
      </w:r>
      <w:r>
        <w:rPr>
          <w:rFonts w:hint="eastAsia" w:ascii="宋体" w:hAnsi="宋体" w:eastAsia="宋体" w:cs="宋体"/>
          <w:b w:val="0"/>
          <w:bCs w:val="0"/>
          <w:color w:val="auto"/>
          <w:sz w:val="24"/>
          <w:szCs w:val="24"/>
          <w:highlight w:val="none"/>
        </w:rPr>
        <w:t>给</w:t>
      </w:r>
      <w:r>
        <w:rPr>
          <w:rFonts w:hint="eastAsia" w:ascii="宋体" w:hAnsi="宋体" w:eastAsia="宋体" w:cs="宋体"/>
          <w:b w:val="0"/>
          <w:bCs w:val="0"/>
          <w:color w:val="auto"/>
          <w:sz w:val="24"/>
          <w:szCs w:val="24"/>
          <w:highlight w:val="none"/>
          <w:lang w:val="en-US" w:eastAsia="zh-CN"/>
        </w:rPr>
        <w:t>实施</w:t>
      </w:r>
      <w:r>
        <w:rPr>
          <w:rFonts w:hint="eastAsia" w:ascii="宋体" w:hAnsi="宋体" w:eastAsia="宋体" w:cs="宋体"/>
          <w:b w:val="0"/>
          <w:bCs w:val="0"/>
          <w:color w:val="auto"/>
          <w:sz w:val="24"/>
          <w:szCs w:val="24"/>
          <w:highlight w:val="none"/>
        </w:rPr>
        <w:t>单位</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 xml:space="preserve">分。   </w:t>
      </w:r>
    </w:p>
    <w:p w14:paraId="349D78BB">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预算执行率：</w:t>
      </w:r>
    </w:p>
    <w:p w14:paraId="2068AA1E">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20.00</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rPr>
        <w:t>×100</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rPr>
        <w:t>%</w:t>
      </w:r>
      <w:r>
        <w:rPr>
          <w:rFonts w:hint="eastAsia" w:ascii="宋体" w:hAnsi="宋体" w:eastAsia="宋体" w:cs="宋体"/>
          <w:color w:val="auto"/>
          <w:sz w:val="24"/>
          <w:szCs w:val="24"/>
          <w:highlight w:val="none"/>
          <w:lang w:val="en-US" w:eastAsia="zh-CN"/>
        </w:rPr>
        <w:t>；通过分析可知，该项目预算编制较为详细，项目资金支出总</w:t>
      </w:r>
      <w:r>
        <w:rPr>
          <w:rFonts w:hint="eastAsia" w:ascii="宋体" w:hAnsi="宋体" w:eastAsia="宋体" w:cs="宋体"/>
          <w:color w:val="auto"/>
          <w:sz w:val="24"/>
          <w:szCs w:val="24"/>
          <w:highlight w:val="none"/>
        </w:rPr>
        <w:t>体能够按照预算执行，根据评分标准，该指标不扣分，得3分。</w:t>
      </w:r>
    </w:p>
    <w:p w14:paraId="21A40B0E">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资金使用合规性：</w:t>
      </w:r>
    </w:p>
    <w:p w14:paraId="6A3E5BAB">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color w:val="auto"/>
          <w:sz w:val="24"/>
          <w:szCs w:val="24"/>
          <w:highlight w:val="none"/>
        </w:rPr>
        <w:t>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378FF494">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管理制度健全性：</w:t>
      </w:r>
    </w:p>
    <w:p w14:paraId="408EBC34">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我单位已制定《</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制度均符合行政事业单位内控管理要求，财务和业务管理制度合法、合规、完整，本项目执行符合上述制度规定。根据评分标准，该指标不扣分，得</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分。</w:t>
      </w:r>
    </w:p>
    <w:p w14:paraId="2C1D4B8E">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制度执行有效性</w:t>
      </w:r>
      <w:r>
        <w:rPr>
          <w:rFonts w:hint="eastAsia" w:ascii="宋体" w:hAnsi="宋体" w:eastAsia="宋体" w:cs="宋体"/>
          <w:color w:val="auto"/>
          <w:sz w:val="24"/>
          <w:szCs w:val="24"/>
          <w:highlight w:val="none"/>
        </w:rPr>
        <w:t>：</w:t>
      </w:r>
    </w:p>
    <w:p w14:paraId="3B4137DF">
      <w:pPr>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①该项目的实施符合《</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color w:val="auto"/>
          <w:sz w:val="24"/>
          <w:szCs w:val="24"/>
          <w:highlight w:val="none"/>
        </w:rPr>
        <w:t>办法》《</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color w:val="auto"/>
          <w:sz w:val="24"/>
          <w:szCs w:val="24"/>
          <w:highlight w:val="none"/>
        </w:rPr>
        <w:t>管理制度》《</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color w:val="auto"/>
          <w:sz w:val="24"/>
          <w:szCs w:val="24"/>
          <w:highlight w:val="none"/>
        </w:rPr>
        <w:t>采购业务管理制度》《</w:t>
      </w:r>
      <w:r>
        <w:rPr>
          <w:rFonts w:hint="eastAsia" w:ascii="宋体" w:hAnsi="宋体" w:eastAsia="宋体" w:cs="宋体"/>
          <w:color w:val="auto"/>
          <w:sz w:val="24"/>
          <w:szCs w:val="24"/>
          <w:highlight w:val="none"/>
          <w:lang w:eastAsia="zh-CN"/>
        </w:rPr>
        <w:t>洛浦县人民政府办公室</w:t>
      </w:r>
      <w:r>
        <w:rPr>
          <w:rFonts w:hint="eastAsia" w:ascii="宋体" w:hAnsi="宋体" w:eastAsia="宋体" w:cs="宋体"/>
          <w:color w:val="auto"/>
          <w:sz w:val="24"/>
          <w:szCs w:val="24"/>
          <w:highlight w:val="none"/>
        </w:rPr>
        <w:t>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76008E4F">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1F3CA32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③该项目实施过程中不存在调整事项。</w:t>
      </w:r>
    </w:p>
    <w:p w14:paraId="43AADFF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w:t>
      </w:r>
      <w:r>
        <w:rPr>
          <w:rFonts w:hint="eastAsia" w:ascii="宋体" w:hAnsi="宋体" w:eastAsia="宋体" w:cs="宋体"/>
          <w:color w:val="auto"/>
          <w:sz w:val="24"/>
          <w:szCs w:val="24"/>
          <w:highlight w:val="none"/>
          <w:lang w:eastAsia="zh-CN"/>
        </w:rPr>
        <w:t>法律顾问服务</w:t>
      </w:r>
      <w:r>
        <w:rPr>
          <w:rFonts w:hint="eastAsia" w:ascii="宋体" w:hAnsi="宋体" w:eastAsia="宋体" w:cs="宋体"/>
          <w:color w:val="auto"/>
          <w:sz w:val="24"/>
          <w:szCs w:val="24"/>
          <w:highlight w:val="none"/>
        </w:rPr>
        <w:t>项目工作领导小组，由</w:t>
      </w:r>
      <w:r>
        <w:rPr>
          <w:rFonts w:hint="eastAsia" w:ascii="宋体" w:hAnsi="宋体" w:eastAsia="宋体" w:cs="宋体"/>
          <w:color w:val="auto"/>
          <w:sz w:val="24"/>
          <w:szCs w:val="24"/>
          <w:highlight w:val="none"/>
          <w:lang w:eastAsia="zh-CN"/>
        </w:rPr>
        <w:t>胡琦</w:t>
      </w:r>
      <w:r>
        <w:rPr>
          <w:rFonts w:hint="eastAsia" w:ascii="宋体" w:hAnsi="宋体" w:eastAsia="宋体" w:cs="宋体"/>
          <w:color w:val="auto"/>
          <w:sz w:val="24"/>
          <w:szCs w:val="24"/>
          <w:highlight w:val="none"/>
        </w:rPr>
        <w:t>任组长，负责项目的组织工作；组员包括：</w:t>
      </w:r>
      <w:r>
        <w:rPr>
          <w:rFonts w:hint="eastAsia" w:ascii="宋体" w:hAnsi="宋体" w:eastAsia="宋体" w:cs="宋体"/>
          <w:color w:val="auto"/>
          <w:sz w:val="24"/>
          <w:szCs w:val="24"/>
          <w:highlight w:val="none"/>
          <w:lang w:eastAsia="zh-CN"/>
        </w:rPr>
        <w:t>张永周</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eastAsia="zh-CN"/>
        </w:rPr>
        <w:t>高亚楠</w:t>
      </w:r>
      <w:r>
        <w:rPr>
          <w:rFonts w:hint="eastAsia" w:ascii="宋体" w:hAnsi="宋体" w:eastAsia="宋体" w:cs="宋体"/>
          <w:color w:val="auto"/>
          <w:sz w:val="24"/>
          <w:szCs w:val="24"/>
          <w:highlight w:val="none"/>
        </w:rPr>
        <w:t>，主要负责项目监督管理、验收以及资金核拨等工作。根据评分标准，该指标不扣分，得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12F0592A">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71A5A41C">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43E3B2F6">
      <w:pPr>
        <w:pageBreakBefore w:val="0"/>
        <w:widowControl w:val="0"/>
        <w:numPr>
          <w:ilvl w:val="0"/>
          <w:numId w:val="3"/>
        </w:numPr>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093C5222">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聘请第三方法律服务机构数量指标</w:t>
      </w:r>
      <w:r>
        <w:rPr>
          <w:rFonts w:hint="eastAsia" w:ascii="宋体" w:hAnsi="宋体" w:eastAsia="宋体" w:cs="宋体"/>
          <w:color w:val="auto"/>
          <w:sz w:val="24"/>
          <w:szCs w:val="24"/>
          <w:highlight w:val="none"/>
        </w:rPr>
        <w:t>，预期指标值为</w:t>
      </w:r>
      <w:r>
        <w:rPr>
          <w:rFonts w:hint="default" w:ascii="宋体" w:hAnsi="宋体" w:eastAsia="宋体" w:cs="宋体"/>
          <w:color w:val="auto"/>
          <w:sz w:val="24"/>
          <w:szCs w:val="24"/>
          <w:highlight w:val="none"/>
          <w:lang w:val="en-US" w:eastAsia="zh-CN"/>
        </w:rPr>
        <w:t>1家</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1家</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77AD87DD">
      <w:pPr>
        <w:pageBreakBefore w:val="0"/>
        <w:widowControl w:val="0"/>
        <w:numPr>
          <w:ilvl w:val="0"/>
          <w:numId w:val="3"/>
        </w:numPr>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对于“产出质量”：</w:t>
      </w:r>
    </w:p>
    <w:p w14:paraId="6EFCDFBE">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资金使用合格率</w:t>
      </w:r>
      <w:r>
        <w:rPr>
          <w:rFonts w:hint="eastAsia" w:ascii="宋体" w:hAnsi="宋体" w:eastAsia="宋体" w:cs="宋体"/>
          <w:color w:val="auto"/>
          <w:sz w:val="24"/>
          <w:szCs w:val="24"/>
          <w:highlight w:val="none"/>
          <w:lang w:val="en-US" w:eastAsia="zh-CN"/>
        </w:rPr>
        <w:t>，预期指标值为</w:t>
      </w:r>
      <w:r>
        <w:rPr>
          <w:rFonts w:hint="default"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，实际完成值为</w:t>
      </w:r>
      <w:r>
        <w:rPr>
          <w:rFonts w:hint="default"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，指标完成率为</w:t>
      </w:r>
      <w:r>
        <w:rPr>
          <w:rFonts w:hint="default"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，与预期目标一致，根据评分标准，该指标不扣分，得10分。</w:t>
      </w:r>
    </w:p>
    <w:p w14:paraId="54F114CE">
      <w:pPr>
        <w:pStyle w:val="10"/>
        <w:pageBreakBefore w:val="0"/>
        <w:widowControl w:val="0"/>
        <w:numPr>
          <w:ilvl w:val="0"/>
          <w:numId w:val="3"/>
        </w:numPr>
        <w:kinsoku/>
        <w:wordWrap/>
        <w:topLinePunct w:val="0"/>
        <w:autoSpaceDE/>
        <w:autoSpaceDN/>
        <w:bidi w:val="0"/>
        <w:adjustRightInd/>
        <w:snapToGrid/>
        <w:spacing w:before="0" w:after="0" w:line="360" w:lineRule="auto"/>
        <w:ind w:left="0" w:leftChars="0" w:firstLine="643"/>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对于“产出时效”：</w:t>
      </w:r>
    </w:p>
    <w:p w14:paraId="78EEC665">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项目完成时间</w:t>
      </w:r>
      <w:r>
        <w:rPr>
          <w:rFonts w:hint="eastAsia" w:ascii="宋体" w:hAnsi="宋体" w:eastAsia="宋体" w:cs="宋体"/>
          <w:color w:val="auto"/>
          <w:sz w:val="24"/>
          <w:szCs w:val="24"/>
          <w:highlight w:val="none"/>
          <w:lang w:val="en-US" w:eastAsia="zh-CN"/>
        </w:rPr>
        <w:t>，预期指标值为</w:t>
      </w:r>
      <w:r>
        <w:rPr>
          <w:rFonts w:hint="default" w:ascii="宋体" w:hAnsi="宋体" w:eastAsia="宋体" w:cs="宋体"/>
          <w:color w:val="auto"/>
          <w:sz w:val="24"/>
          <w:szCs w:val="24"/>
          <w:highlight w:val="none"/>
          <w:lang w:val="en-US" w:eastAsia="zh-CN"/>
        </w:rPr>
        <w:t>202</w:t>
      </w:r>
      <w:r>
        <w:rPr>
          <w:rFonts w:hint="eastAsia" w:ascii="宋体" w:hAnsi="宋体" w:eastAsia="宋体" w:cs="宋体"/>
          <w:color w:val="auto"/>
          <w:sz w:val="24"/>
          <w:szCs w:val="24"/>
          <w:highlight w:val="none"/>
          <w:lang w:val="en-US" w:eastAsia="zh-CN"/>
        </w:rPr>
        <w:t>4</w:t>
      </w:r>
      <w:r>
        <w:rPr>
          <w:rFonts w:hint="default" w:ascii="宋体" w:hAnsi="宋体" w:eastAsia="宋体" w:cs="宋体"/>
          <w:color w:val="auto"/>
          <w:sz w:val="24"/>
          <w:szCs w:val="24"/>
          <w:highlight w:val="none"/>
          <w:lang w:val="en-US" w:eastAsia="zh-CN"/>
        </w:rPr>
        <w:t>年12月</w:t>
      </w:r>
      <w:r>
        <w:rPr>
          <w:rFonts w:hint="eastAsia" w:ascii="宋体" w:hAnsi="宋体" w:eastAsia="宋体" w:cs="宋体"/>
          <w:color w:val="auto"/>
          <w:sz w:val="24"/>
          <w:szCs w:val="24"/>
          <w:highlight w:val="none"/>
          <w:lang w:val="en-US" w:eastAsia="zh-CN"/>
        </w:rPr>
        <w:t>，实际完成值为</w:t>
      </w:r>
      <w:r>
        <w:rPr>
          <w:rFonts w:hint="default" w:ascii="宋体" w:hAnsi="宋体" w:eastAsia="宋体" w:cs="宋体"/>
          <w:color w:val="auto"/>
          <w:sz w:val="24"/>
          <w:szCs w:val="24"/>
          <w:highlight w:val="none"/>
          <w:lang w:val="en-US" w:eastAsia="zh-CN"/>
        </w:rPr>
        <w:t>202</w:t>
      </w:r>
      <w:r>
        <w:rPr>
          <w:rFonts w:hint="eastAsia" w:ascii="宋体" w:hAnsi="宋体" w:eastAsia="宋体" w:cs="宋体"/>
          <w:color w:val="auto"/>
          <w:sz w:val="24"/>
          <w:szCs w:val="24"/>
          <w:highlight w:val="none"/>
          <w:lang w:val="en-US" w:eastAsia="zh-CN"/>
        </w:rPr>
        <w:t>4</w:t>
      </w:r>
      <w:r>
        <w:rPr>
          <w:rFonts w:hint="default" w:ascii="宋体" w:hAnsi="宋体" w:eastAsia="宋体" w:cs="宋体"/>
          <w:color w:val="auto"/>
          <w:sz w:val="24"/>
          <w:szCs w:val="24"/>
          <w:highlight w:val="none"/>
          <w:lang w:val="en-US" w:eastAsia="zh-CN"/>
        </w:rPr>
        <w:t>年12月</w:t>
      </w:r>
      <w:r>
        <w:rPr>
          <w:rFonts w:hint="eastAsia" w:ascii="宋体" w:hAnsi="宋体" w:eastAsia="宋体" w:cs="宋体"/>
          <w:color w:val="auto"/>
          <w:sz w:val="24"/>
          <w:szCs w:val="24"/>
          <w:highlight w:val="none"/>
          <w:lang w:val="en-US" w:eastAsia="zh-CN"/>
        </w:rPr>
        <w:t>，指标完成率为100%，与预期目标一致，根据评分标准，该指标不扣分，得5分。</w:t>
      </w:r>
    </w:p>
    <w:p w14:paraId="47CD9ABD">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资金支付及时率</w:t>
      </w:r>
      <w:r>
        <w:rPr>
          <w:rFonts w:hint="eastAsia" w:ascii="宋体" w:hAnsi="宋体" w:eastAsia="宋体" w:cs="宋体"/>
          <w:color w:val="auto"/>
          <w:sz w:val="24"/>
          <w:szCs w:val="24"/>
          <w:highlight w:val="none"/>
          <w:lang w:val="en-US" w:eastAsia="zh-CN"/>
        </w:rPr>
        <w:t>，预期指标值为</w:t>
      </w:r>
      <w:r>
        <w:rPr>
          <w:rFonts w:hint="default"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，实际完成值为</w:t>
      </w:r>
      <w:r>
        <w:rPr>
          <w:rFonts w:hint="default"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，指标完成率为</w:t>
      </w:r>
      <w:r>
        <w:rPr>
          <w:rFonts w:hint="default"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val="en-US" w:eastAsia="zh-CN"/>
        </w:rPr>
        <w:t>，与预期目标一致，根据评分标准，该指标不扣分，得5分。</w:t>
      </w:r>
    </w:p>
    <w:p w14:paraId="5C141986">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合计得10分。</w:t>
      </w:r>
    </w:p>
    <w:p w14:paraId="23A4D69B">
      <w:pPr>
        <w:pStyle w:val="46"/>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（4）对于“产出成本”：</w:t>
      </w:r>
    </w:p>
    <w:p w14:paraId="56A8BEA8">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sz w:val="24"/>
          <w:szCs w:val="24"/>
          <w:highlight w:val="none"/>
        </w:rPr>
      </w:pPr>
      <w:r>
        <w:rPr>
          <w:rFonts w:hint="default" w:ascii="宋体" w:hAnsi="宋体" w:eastAsia="宋体" w:cs="宋体"/>
          <w:sz w:val="24"/>
          <w:szCs w:val="24"/>
          <w:highlight w:val="none"/>
          <w:lang w:val="en-US" w:eastAsia="zh-CN"/>
        </w:rPr>
        <w:t>法律咨询服务费</w:t>
      </w:r>
      <w:r>
        <w:rPr>
          <w:rFonts w:hint="eastAsia" w:ascii="宋体" w:hAnsi="宋体" w:eastAsia="宋体" w:cs="宋体"/>
          <w:sz w:val="24"/>
          <w:szCs w:val="24"/>
          <w:highlight w:val="none"/>
          <w:lang w:val="en-US" w:eastAsia="zh-CN"/>
        </w:rPr>
        <w:t>指标</w:t>
      </w:r>
      <w:r>
        <w:rPr>
          <w:rFonts w:hint="default" w:ascii="宋体" w:hAnsi="宋体" w:eastAsia="宋体" w:cs="宋体"/>
          <w:sz w:val="24"/>
          <w:szCs w:val="24"/>
          <w:highlight w:val="none"/>
          <w:lang w:val="en-US" w:eastAsia="zh-CN"/>
        </w:rPr>
        <w:t>，预期指标值为小于等于</w:t>
      </w: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0万元，实际完成值为</w:t>
      </w:r>
      <w:r>
        <w:rPr>
          <w:rFonts w:hint="eastAsia" w:ascii="宋体" w:hAnsi="宋体" w:eastAsia="宋体" w:cs="宋体"/>
          <w:sz w:val="24"/>
          <w:szCs w:val="24"/>
          <w:highlight w:val="none"/>
          <w:lang w:val="en-US" w:eastAsia="zh-CN"/>
        </w:rPr>
        <w:t>2</w:t>
      </w:r>
      <w:r>
        <w:rPr>
          <w:rFonts w:hint="default" w:ascii="宋体" w:hAnsi="宋体" w:eastAsia="宋体" w:cs="宋体"/>
          <w:sz w:val="24"/>
          <w:szCs w:val="24"/>
          <w:highlight w:val="none"/>
          <w:lang w:val="en-US" w:eastAsia="zh-CN"/>
        </w:rPr>
        <w:t>0万元，达到了预期目标</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根据评分标准，该指标不扣分，得1</w:t>
      </w:r>
      <w:r>
        <w:rPr>
          <w:rFonts w:hint="eastAsia" w:ascii="宋体" w:hAnsi="宋体" w:eastAsia="宋体" w:cs="宋体"/>
          <w:sz w:val="24"/>
          <w:szCs w:val="24"/>
          <w:highlight w:val="none"/>
          <w:lang w:val="en-US" w:eastAsia="zh-CN"/>
        </w:rPr>
        <w:t>0</w:t>
      </w:r>
      <w:r>
        <w:rPr>
          <w:rFonts w:hint="eastAsia" w:ascii="宋体" w:hAnsi="宋体" w:eastAsia="宋体" w:cs="宋体"/>
          <w:sz w:val="24"/>
          <w:szCs w:val="24"/>
          <w:highlight w:val="none"/>
        </w:rPr>
        <w:t>分。</w:t>
      </w:r>
    </w:p>
    <w:p w14:paraId="6DEC4273">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（四）项目效益情况</w:t>
      </w:r>
    </w:p>
    <w:p w14:paraId="35031773">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项目效益类指标包括项目效益1个方面的内容，由2个三级指标构成，权重分为</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分，实际得分</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分，得分率为100%。</w:t>
      </w:r>
    </w:p>
    <w:p w14:paraId="008407CB">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（1）对于“社会效益指标”：</w:t>
      </w:r>
    </w:p>
    <w:p w14:paraId="5902F27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项目实施产生的社会效益指标为保障全县法律咨询服务，预期指标值为有效保障，实际完成值为有效保障，</w:t>
      </w:r>
      <w:r>
        <w:rPr>
          <w:rFonts w:hint="eastAsia" w:ascii="宋体" w:hAnsi="宋体" w:eastAsia="宋体" w:cs="宋体"/>
          <w:sz w:val="24"/>
          <w:szCs w:val="24"/>
          <w:highlight w:val="none"/>
        </w:rPr>
        <w:t>与预期指标一致，根据评分标准，该指标不扣分，得</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分。</w:t>
      </w:r>
    </w:p>
    <w:p w14:paraId="7FD3B5BE">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（3）满意度指标分析</w:t>
      </w:r>
    </w:p>
    <w:p w14:paraId="19C390CC">
      <w:pPr>
        <w:pStyle w:val="46"/>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黑体" w:hAnsi="黑体" w:eastAsia="黑体" w:cs="黑体"/>
          <w:color w:val="auto"/>
          <w:sz w:val="24"/>
          <w:szCs w:val="24"/>
        </w:rPr>
      </w:pPr>
      <w:r>
        <w:rPr>
          <w:rFonts w:hint="eastAsia" w:ascii="宋体" w:hAnsi="宋体" w:eastAsia="宋体" w:cs="宋体"/>
          <w:color w:val="auto"/>
          <w:sz w:val="24"/>
          <w:szCs w:val="24"/>
        </w:rPr>
        <w:t>对于“满意度指标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群众</w:t>
      </w:r>
      <w:r>
        <w:rPr>
          <w:rFonts w:hint="eastAsia" w:ascii="宋体" w:hAnsi="宋体" w:eastAsia="宋体" w:cs="宋体"/>
          <w:color w:val="auto"/>
          <w:sz w:val="24"/>
          <w:szCs w:val="24"/>
        </w:rPr>
        <w:t>满意度，该指标预期指标值为</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，实际完成值为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，指标完成率为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，与预期目标一致，根据评分标准，该指标不扣分,得10分。</w:t>
      </w:r>
      <w:bookmarkEnd w:id="13"/>
    </w:p>
    <w:p w14:paraId="2FE6DCC7">
      <w:pPr>
        <w:pStyle w:val="4"/>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sz w:val="24"/>
          <w:szCs w:val="24"/>
        </w:rPr>
      </w:pPr>
    </w:p>
    <w:p w14:paraId="5FA6C666">
      <w:pPr>
        <w:pStyle w:val="4"/>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sz w:val="24"/>
          <w:szCs w:val="24"/>
        </w:rPr>
        <w:t>五</w:t>
      </w:r>
      <w:r>
        <w:rPr>
          <w:rFonts w:hint="eastAsia" w:ascii="黑体" w:hAnsi="黑体" w:eastAsia="黑体" w:cs="黑体"/>
          <w:color w:val="auto"/>
          <w:sz w:val="24"/>
          <w:szCs w:val="24"/>
        </w:rPr>
        <w:t>、预算执行进度与绩效指标偏差情况</w:t>
      </w:r>
    </w:p>
    <w:p w14:paraId="2BAB096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20.00</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20.00</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20.00</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67D9E5D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78F03C4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w:t>
      </w:r>
      <w:bookmarkStart w:id="14" w:name="_Toc68364673"/>
    </w:p>
    <w:p w14:paraId="0E101B6A">
      <w:pPr>
        <w:pStyle w:val="46"/>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黑体" w:hAnsi="黑体" w:eastAsia="黑体" w:cs="黑体"/>
          <w:b/>
          <w:bCs/>
          <w:color w:val="auto"/>
          <w:sz w:val="24"/>
          <w:szCs w:val="24"/>
        </w:rPr>
      </w:pPr>
    </w:p>
    <w:p w14:paraId="323380A9">
      <w:pPr>
        <w:pStyle w:val="46"/>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黑体" w:hAnsi="黑体" w:eastAsia="黑体" w:cs="黑体"/>
          <w:b/>
          <w:bCs/>
          <w:color w:val="auto"/>
          <w:sz w:val="24"/>
          <w:szCs w:val="24"/>
        </w:rPr>
      </w:pPr>
      <w:r>
        <w:rPr>
          <w:rFonts w:hint="eastAsia" w:ascii="黑体" w:hAnsi="黑体" w:eastAsia="黑体" w:cs="黑体"/>
          <w:b/>
          <w:bCs/>
          <w:color w:val="auto"/>
          <w:sz w:val="24"/>
          <w:szCs w:val="24"/>
        </w:rPr>
        <w:t>六、主要经验及做法、存在的问题及原因分析</w:t>
      </w:r>
    </w:p>
    <w:p w14:paraId="33890E67">
      <w:pPr>
        <w:pStyle w:val="45"/>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（一）主要经验及做法</w:t>
      </w:r>
      <w:bookmarkEnd w:id="14"/>
      <w:r>
        <w:rPr>
          <w:rFonts w:hint="eastAsia" w:ascii="宋体" w:hAnsi="宋体" w:eastAsia="宋体" w:cs="宋体"/>
          <w:sz w:val="24"/>
          <w:szCs w:val="24"/>
          <w:lang w:eastAsia="zh-CN"/>
        </w:rPr>
        <w:t>：</w:t>
      </w:r>
    </w:p>
    <w:p w14:paraId="7C679435">
      <w:pPr>
        <w:pStyle w:val="45"/>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FF0000"/>
          <w:sz w:val="24"/>
          <w:szCs w:val="24"/>
        </w:rPr>
      </w:pPr>
      <w:r>
        <w:rPr>
          <w:rFonts w:hint="eastAsia" w:ascii="宋体" w:hAnsi="宋体" w:eastAsia="宋体" w:cs="宋体"/>
          <w:b w:val="0"/>
          <w:bCs w:val="0"/>
          <w:sz w:val="24"/>
          <w:szCs w:val="24"/>
          <w:lang w:val="en-US" w:eastAsia="zh-CN"/>
        </w:rPr>
        <w:t>本项目实施效果较好的原因主要是管理制度完善、责任落实到位，跟踪考核机制完善且运行有效，在项目实施过程中创新管理办法，使项目取得了良好的效果。</w:t>
      </w:r>
    </w:p>
    <w:p w14:paraId="1790D559">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一是本项目能够严格按照《项目实施方案》执行，项目执行情况较好。</w:t>
      </w:r>
    </w:p>
    <w:p w14:paraId="16683442">
      <w:pPr>
        <w:pStyle w:val="45"/>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二是加强组织领导，本项目绩效评价工作，有主要领导亲自挂帅，分管领导具体负责，从项目到资金，均能够很好的执行。</w:t>
      </w:r>
    </w:p>
    <w:p w14:paraId="1A4519A2">
      <w:pPr>
        <w:pStyle w:val="45"/>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三是加强沟通协调，我单位及时向领导汇报项目建设进度，加强与施工单位的沟通，确保项目按期完工。</w:t>
      </w:r>
    </w:p>
    <w:p w14:paraId="07127E6A">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FF0000"/>
          <w:sz w:val="24"/>
          <w:szCs w:val="24"/>
        </w:rPr>
      </w:pPr>
      <w:bookmarkStart w:id="15" w:name="_Toc68364674"/>
      <w:r>
        <w:rPr>
          <w:rFonts w:hint="eastAsia" w:ascii="宋体" w:hAnsi="宋体" w:eastAsia="宋体" w:cs="宋体"/>
          <w:sz w:val="24"/>
          <w:szCs w:val="24"/>
        </w:rPr>
        <w:t>（二）存在问题及原因分析</w:t>
      </w:r>
      <w:bookmarkEnd w:id="15"/>
    </w:p>
    <w:p w14:paraId="273B5FD7">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一是对各项指标和指标值要进一步优化、完善，主要在细化、量化上改进</w:t>
      </w:r>
      <w:r>
        <w:rPr>
          <w:rFonts w:hint="eastAsia" w:ascii="宋体" w:hAnsi="宋体" w:eastAsia="宋体" w:cs="宋体"/>
          <w:color w:val="auto"/>
          <w:sz w:val="24"/>
          <w:szCs w:val="24"/>
          <w:highlight w:val="none"/>
          <w:lang w:eastAsia="zh-CN"/>
        </w:rPr>
        <w:t>；</w:t>
      </w:r>
    </w:p>
    <w:p w14:paraId="2C4086E2">
      <w:pPr>
        <w:pStyle w:val="46"/>
        <w:pageBreakBefore w:val="0"/>
        <w:widowControl w:val="0"/>
        <w:kinsoku/>
        <w:wordWrap/>
        <w:overflowPunct/>
        <w:topLinePunct w:val="0"/>
        <w:autoSpaceDE/>
        <w:autoSpaceDN/>
        <w:bidi w:val="0"/>
        <w:adjustRightInd/>
        <w:snapToGrid/>
        <w:spacing w:line="360" w:lineRule="auto"/>
        <w:ind w:left="0" w:leftChars="0" w:firstLine="64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二是</w:t>
      </w:r>
      <w:r>
        <w:rPr>
          <w:rFonts w:hint="eastAsia" w:ascii="宋体" w:hAnsi="宋体" w:eastAsia="宋体" w:cs="宋体"/>
          <w:color w:val="auto"/>
          <w:sz w:val="24"/>
          <w:szCs w:val="24"/>
          <w:highlight w:val="none"/>
          <w:lang w:val="en-US" w:eastAsia="zh-CN"/>
        </w:rPr>
        <w:t>部门</w:t>
      </w:r>
      <w:r>
        <w:rPr>
          <w:rFonts w:hint="eastAsia" w:ascii="宋体" w:hAnsi="宋体" w:eastAsia="宋体" w:cs="宋体"/>
          <w:color w:val="auto"/>
          <w:sz w:val="24"/>
          <w:szCs w:val="24"/>
          <w:highlight w:val="none"/>
        </w:rPr>
        <w:t>评价工作还存在自我审定的局限性，会影响评价质量，容易造成问题的疏漏，在客观性和公正性上说服力不强</w:t>
      </w:r>
      <w:r>
        <w:rPr>
          <w:rFonts w:hint="eastAsia" w:ascii="宋体" w:hAnsi="宋体" w:eastAsia="宋体" w:cs="宋体"/>
          <w:color w:val="auto"/>
          <w:sz w:val="24"/>
          <w:szCs w:val="24"/>
          <w:highlight w:val="none"/>
          <w:lang w:eastAsia="zh-CN"/>
        </w:rPr>
        <w:t>；</w:t>
      </w:r>
    </w:p>
    <w:p w14:paraId="188374F0">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三是缺少带着问题去评价的意识</w:t>
      </w:r>
      <w:r>
        <w:rPr>
          <w:rFonts w:hint="eastAsia" w:ascii="宋体" w:hAnsi="宋体" w:eastAsia="宋体" w:cs="宋体"/>
          <w:color w:val="auto"/>
          <w:sz w:val="24"/>
          <w:szCs w:val="24"/>
          <w:highlight w:val="none"/>
          <w:lang w:eastAsia="zh-CN"/>
        </w:rPr>
        <w:t>；</w:t>
      </w:r>
    </w:p>
    <w:p w14:paraId="5180D3AF">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四是现场评价的工作量少，后续效益评价具体措施和方法较少。</w:t>
      </w:r>
    </w:p>
    <w:p w14:paraId="7D83D36E">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color w:val="auto"/>
          <w:sz w:val="24"/>
          <w:szCs w:val="24"/>
          <w:highlight w:val="none"/>
        </w:rPr>
      </w:pPr>
      <w:bookmarkStart w:id="16" w:name="_Toc68364675"/>
    </w:p>
    <w:p w14:paraId="48DF075D">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lang w:val="en-US" w:eastAsia="zh-CN"/>
        </w:rPr>
        <w:t>七、</w:t>
      </w:r>
      <w:r>
        <w:rPr>
          <w:rFonts w:hint="eastAsia" w:ascii="黑体" w:hAnsi="黑体" w:eastAsia="黑体" w:cs="黑体"/>
          <w:color w:val="auto"/>
          <w:sz w:val="24"/>
          <w:szCs w:val="24"/>
          <w:highlight w:val="none"/>
        </w:rPr>
        <w:t>有关建议</w:t>
      </w:r>
      <w:bookmarkEnd w:id="16"/>
    </w:p>
    <w:p w14:paraId="473D280E">
      <w:pPr>
        <w:pStyle w:val="4"/>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eastAsia="zh-CN"/>
        </w:rPr>
        <w:t>严格规范法律顾问选聘程序，杜</w:t>
      </w:r>
      <w:r>
        <w:rPr>
          <w:rFonts w:hint="eastAsia" w:ascii="宋体" w:hAnsi="宋体" w:eastAsia="宋体" w:cs="宋体"/>
          <w:b w:val="0"/>
          <w:bCs w:val="0"/>
          <w:color w:val="auto"/>
          <w:kern w:val="0"/>
          <w:sz w:val="24"/>
          <w:szCs w:val="24"/>
          <w:highlight w:val="none"/>
          <w:lang w:val="en-US" w:eastAsia="zh-CN" w:bidi="ar-SA"/>
        </w:rPr>
        <w:t>绝利益输送，确保公平竞争。针对突发公共事件（如群体性纠纷），制定法律顾问快速响应预案</w:t>
      </w:r>
      <w:r>
        <w:rPr>
          <w:rFonts w:hint="eastAsia" w:ascii="宋体" w:hAnsi="宋体" w:eastAsia="宋体" w:cs="宋体"/>
          <w:b w:val="0"/>
          <w:bCs w:val="0"/>
          <w:color w:val="auto"/>
          <w:sz w:val="24"/>
          <w:szCs w:val="24"/>
          <w:highlight w:val="none"/>
          <w:lang w:eastAsia="zh-CN"/>
        </w:rPr>
        <w:t>。</w:t>
      </w:r>
      <w:bookmarkStart w:id="17" w:name="_Toc68364676"/>
    </w:p>
    <w:p w14:paraId="64E80B2A">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b/>
          <w:bCs/>
          <w:color w:val="auto"/>
          <w:sz w:val="24"/>
          <w:szCs w:val="24"/>
          <w:highlight w:val="none"/>
          <w:lang w:val="en-US" w:eastAsia="zh-CN"/>
        </w:rPr>
      </w:pPr>
    </w:p>
    <w:p w14:paraId="51A1806E">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b/>
          <w:bCs/>
          <w:color w:val="auto"/>
          <w:sz w:val="24"/>
          <w:szCs w:val="24"/>
          <w:highlight w:val="none"/>
          <w:lang w:val="en-US" w:eastAsia="zh-CN"/>
        </w:rPr>
      </w:pPr>
      <w:r>
        <w:rPr>
          <w:rFonts w:hint="eastAsia" w:ascii="黑体" w:hAnsi="黑体" w:eastAsia="黑体" w:cs="黑体"/>
          <w:b/>
          <w:bCs/>
          <w:color w:val="auto"/>
          <w:sz w:val="24"/>
          <w:szCs w:val="24"/>
          <w:highlight w:val="none"/>
          <w:lang w:val="en-US" w:eastAsia="zh-CN"/>
        </w:rPr>
        <w:t>八、其他需要说明的问题</w:t>
      </w:r>
      <w:bookmarkEnd w:id="17"/>
    </w:p>
    <w:p w14:paraId="051F2C9E">
      <w:pPr>
        <w:pStyle w:val="46"/>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我单位对上述项目支出绩效评价报告内反映内容的真实性、完整性负责，</w:t>
      </w:r>
      <w:r>
        <w:rPr>
          <w:rFonts w:hint="eastAsia" w:ascii="宋体" w:hAnsi="宋体" w:eastAsia="宋体" w:cs="宋体"/>
          <w:color w:val="auto"/>
          <w:sz w:val="24"/>
          <w:szCs w:val="24"/>
          <w:highlight w:val="none"/>
          <w:lang w:val="en-US" w:eastAsia="zh-CN"/>
        </w:rPr>
        <w:t>愿</w:t>
      </w:r>
      <w:r>
        <w:rPr>
          <w:rFonts w:hint="eastAsia" w:ascii="宋体" w:hAnsi="宋体" w:eastAsia="宋体" w:cs="宋体"/>
          <w:color w:val="auto"/>
          <w:sz w:val="24"/>
          <w:szCs w:val="24"/>
          <w:highlight w:val="none"/>
        </w:rPr>
        <w:t>接受上级部门及社会公众监督。</w:t>
      </w:r>
    </w:p>
    <w:p w14:paraId="781E03BB">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p>
    <w:p w14:paraId="60784FE7">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附件1：法律顾问服务项目绩效评价指标体系</w:t>
      </w:r>
    </w:p>
    <w:p w14:paraId="6F13078E">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附件2：法律顾问服务项目综合得分表</w:t>
      </w:r>
    </w:p>
    <w:p w14:paraId="11398376">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附件3：满意度调查问分析情况</w:t>
      </w:r>
    </w:p>
    <w:p w14:paraId="6332AAFE">
      <w:pPr>
        <w:pStyle w:val="10"/>
        <w:ind w:left="0" w:leftChars="0" w:firstLine="0" w:firstLineChars="0"/>
        <w:jc w:val="both"/>
        <w:rPr>
          <w:rFonts w:hint="eastAsia" w:ascii="宋体" w:hAnsi="宋体" w:eastAsia="宋体" w:cs="宋体"/>
          <w:color w:val="auto"/>
          <w:sz w:val="24"/>
          <w:szCs w:val="24"/>
          <w:highlight w:val="none"/>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3"/>
        <w:tblW w:w="136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4"/>
        <w:gridCol w:w="717"/>
        <w:gridCol w:w="649"/>
        <w:gridCol w:w="551"/>
        <w:gridCol w:w="666"/>
        <w:gridCol w:w="551"/>
        <w:gridCol w:w="1916"/>
        <w:gridCol w:w="1367"/>
        <w:gridCol w:w="4757"/>
        <w:gridCol w:w="952"/>
        <w:gridCol w:w="807"/>
      </w:tblGrid>
      <w:tr w14:paraId="06E75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51" w:type="dxa"/>
            <w:gridSpan w:val="4"/>
            <w:tcBorders>
              <w:top w:val="nil"/>
              <w:left w:val="nil"/>
              <w:bottom w:val="nil"/>
              <w:right w:val="nil"/>
            </w:tcBorders>
            <w:noWrap/>
            <w:vAlign w:val="center"/>
          </w:tcPr>
          <w:p w14:paraId="20C768E3">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附件1：</w:t>
            </w:r>
          </w:p>
        </w:tc>
        <w:tc>
          <w:tcPr>
            <w:tcW w:w="666" w:type="dxa"/>
            <w:tcBorders>
              <w:top w:val="nil"/>
              <w:left w:val="nil"/>
              <w:bottom w:val="nil"/>
              <w:right w:val="nil"/>
            </w:tcBorders>
            <w:noWrap/>
            <w:vAlign w:val="center"/>
          </w:tcPr>
          <w:p w14:paraId="36833DC6">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p>
        </w:tc>
        <w:tc>
          <w:tcPr>
            <w:tcW w:w="551" w:type="dxa"/>
            <w:tcBorders>
              <w:top w:val="nil"/>
              <w:left w:val="nil"/>
              <w:bottom w:val="nil"/>
              <w:right w:val="nil"/>
            </w:tcBorders>
            <w:noWrap/>
            <w:vAlign w:val="center"/>
          </w:tcPr>
          <w:p w14:paraId="33B07714">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p>
        </w:tc>
        <w:tc>
          <w:tcPr>
            <w:tcW w:w="1916" w:type="dxa"/>
            <w:tcBorders>
              <w:top w:val="nil"/>
              <w:left w:val="nil"/>
              <w:bottom w:val="nil"/>
              <w:right w:val="nil"/>
            </w:tcBorders>
            <w:noWrap/>
            <w:vAlign w:val="center"/>
          </w:tcPr>
          <w:p w14:paraId="58409BA4">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highlight w:val="none"/>
                <w:u w:val="none"/>
              </w:rPr>
            </w:pPr>
          </w:p>
        </w:tc>
        <w:tc>
          <w:tcPr>
            <w:tcW w:w="1367" w:type="dxa"/>
            <w:tcBorders>
              <w:top w:val="nil"/>
              <w:left w:val="nil"/>
              <w:bottom w:val="nil"/>
              <w:right w:val="nil"/>
            </w:tcBorders>
            <w:noWrap/>
            <w:vAlign w:val="center"/>
          </w:tcPr>
          <w:p w14:paraId="246A4BE0">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p>
        </w:tc>
        <w:tc>
          <w:tcPr>
            <w:tcW w:w="4757" w:type="dxa"/>
            <w:tcBorders>
              <w:top w:val="nil"/>
              <w:left w:val="nil"/>
              <w:bottom w:val="nil"/>
              <w:right w:val="nil"/>
            </w:tcBorders>
            <w:noWrap/>
            <w:vAlign w:val="center"/>
          </w:tcPr>
          <w:p w14:paraId="44673CF2">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p>
        </w:tc>
        <w:tc>
          <w:tcPr>
            <w:tcW w:w="952" w:type="dxa"/>
            <w:tcBorders>
              <w:top w:val="nil"/>
              <w:left w:val="nil"/>
              <w:bottom w:val="nil"/>
              <w:right w:val="nil"/>
            </w:tcBorders>
            <w:noWrap/>
            <w:vAlign w:val="center"/>
          </w:tcPr>
          <w:p w14:paraId="506A9CAA">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p>
        </w:tc>
        <w:tc>
          <w:tcPr>
            <w:tcW w:w="807" w:type="dxa"/>
            <w:tcBorders>
              <w:top w:val="nil"/>
              <w:left w:val="nil"/>
              <w:bottom w:val="nil"/>
              <w:right w:val="nil"/>
            </w:tcBorders>
            <w:noWrap/>
            <w:vAlign w:val="center"/>
          </w:tcPr>
          <w:p w14:paraId="2B909381">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highlight w:val="none"/>
                <w:u w:val="none"/>
              </w:rPr>
            </w:pPr>
          </w:p>
        </w:tc>
      </w:tr>
      <w:tr w14:paraId="1D5DF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667" w:type="dxa"/>
            <w:gridSpan w:val="11"/>
            <w:tcBorders>
              <w:top w:val="nil"/>
              <w:left w:val="nil"/>
              <w:bottom w:val="nil"/>
              <w:right w:val="nil"/>
            </w:tcBorders>
            <w:noWrap w:val="0"/>
            <w:vAlign w:val="center"/>
          </w:tcPr>
          <w:p w14:paraId="4990E3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法律顾问服务项目</w:t>
            </w:r>
            <w:r>
              <w:rPr>
                <w:rStyle w:val="52"/>
                <w:rFonts w:hint="eastAsia" w:ascii="宋体" w:hAnsi="宋体" w:eastAsia="宋体" w:cs="宋体"/>
                <w:color w:val="auto"/>
                <w:sz w:val="21"/>
                <w:szCs w:val="21"/>
                <w:highlight w:val="none"/>
                <w:lang w:val="en-US" w:eastAsia="zh-CN"/>
              </w:rPr>
              <w:t>绩效评价指标体系综合评分表</w:t>
            </w:r>
          </w:p>
        </w:tc>
      </w:tr>
      <w:tr w14:paraId="76F1F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4" w:type="dxa"/>
            <w:tcBorders>
              <w:top w:val="single" w:color="auto" w:sz="4" w:space="0"/>
              <w:left w:val="single" w:color="auto" w:sz="4" w:space="0"/>
              <w:bottom w:val="single" w:color="auto" w:sz="4" w:space="0"/>
              <w:right w:val="single" w:color="auto" w:sz="4" w:space="0"/>
            </w:tcBorders>
            <w:noWrap w:val="0"/>
            <w:vAlign w:val="center"/>
          </w:tcPr>
          <w:p w14:paraId="7F37AB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一级指标</w:t>
            </w:r>
          </w:p>
        </w:tc>
        <w:tc>
          <w:tcPr>
            <w:tcW w:w="717" w:type="dxa"/>
            <w:tcBorders>
              <w:top w:val="single" w:color="auto" w:sz="4" w:space="0"/>
              <w:left w:val="single" w:color="auto" w:sz="4" w:space="0"/>
              <w:bottom w:val="single" w:color="auto" w:sz="4" w:space="0"/>
              <w:right w:val="single" w:color="auto" w:sz="4" w:space="0"/>
            </w:tcBorders>
            <w:noWrap w:val="0"/>
            <w:vAlign w:val="center"/>
          </w:tcPr>
          <w:p w14:paraId="31350B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分值</w:t>
            </w:r>
          </w:p>
        </w:tc>
        <w:tc>
          <w:tcPr>
            <w:tcW w:w="649" w:type="dxa"/>
            <w:tcBorders>
              <w:top w:val="single" w:color="auto" w:sz="4" w:space="0"/>
              <w:left w:val="single" w:color="auto" w:sz="4" w:space="0"/>
              <w:bottom w:val="single" w:color="auto" w:sz="4" w:space="0"/>
              <w:right w:val="single" w:color="auto" w:sz="4" w:space="0"/>
            </w:tcBorders>
            <w:noWrap w:val="0"/>
            <w:vAlign w:val="center"/>
          </w:tcPr>
          <w:p w14:paraId="3309D9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二级指标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49B749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分值</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32B55E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三级指标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37A439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分值</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4EF73E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指标解释</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325031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标杆值</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758110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评分标准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516BA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完成值</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566427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得分</w:t>
            </w:r>
          </w:p>
        </w:tc>
      </w:tr>
      <w:tr w14:paraId="54FB0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5" w:hRule="atLeast"/>
        </w:trPr>
        <w:tc>
          <w:tcPr>
            <w:tcW w:w="734" w:type="dxa"/>
            <w:vMerge w:val="restart"/>
            <w:tcBorders>
              <w:top w:val="single" w:color="auto" w:sz="4" w:space="0"/>
              <w:left w:val="single" w:color="auto" w:sz="4" w:space="0"/>
              <w:bottom w:val="single" w:color="auto" w:sz="4" w:space="0"/>
              <w:right w:val="single" w:color="auto" w:sz="4" w:space="0"/>
            </w:tcBorders>
            <w:noWrap w:val="0"/>
            <w:vAlign w:val="center"/>
          </w:tcPr>
          <w:p w14:paraId="649E1D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项目决策</w:t>
            </w:r>
          </w:p>
        </w:tc>
        <w:tc>
          <w:tcPr>
            <w:tcW w:w="717" w:type="dxa"/>
            <w:vMerge w:val="restart"/>
            <w:tcBorders>
              <w:top w:val="single" w:color="auto" w:sz="4" w:space="0"/>
              <w:left w:val="single" w:color="auto" w:sz="4" w:space="0"/>
              <w:bottom w:val="single" w:color="auto" w:sz="4" w:space="0"/>
              <w:right w:val="single" w:color="auto" w:sz="4" w:space="0"/>
            </w:tcBorders>
            <w:noWrap w:val="0"/>
            <w:vAlign w:val="center"/>
          </w:tcPr>
          <w:p w14:paraId="233959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23</w:t>
            </w:r>
          </w:p>
        </w:tc>
        <w:tc>
          <w:tcPr>
            <w:tcW w:w="649" w:type="dxa"/>
            <w:vMerge w:val="restart"/>
            <w:tcBorders>
              <w:top w:val="single" w:color="auto" w:sz="4" w:space="0"/>
              <w:left w:val="single" w:color="auto" w:sz="4" w:space="0"/>
              <w:bottom w:val="single" w:color="auto" w:sz="4" w:space="0"/>
              <w:right w:val="single" w:color="auto" w:sz="4" w:space="0"/>
            </w:tcBorders>
            <w:noWrap w:val="0"/>
            <w:vAlign w:val="center"/>
          </w:tcPr>
          <w:p w14:paraId="109BA2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项目立项</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5BA486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2992F6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立项依据充分性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218F6E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3C259F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项目立项是否符合法律法规、相关政策、发展规划以及部门职责，用以反映和考核项目立项依据情况。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221A14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充分</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7335593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①项目立项是否符合国家法律法规、国民经济发展规划和相关政策；</w:t>
            </w:r>
          </w:p>
          <w:p w14:paraId="7DE1281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②项目立项是否符合行业发展规划和政策要求；</w:t>
            </w:r>
          </w:p>
          <w:p w14:paraId="135E359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③项目立项是否与部门职责范围相符，</w:t>
            </w:r>
            <w:bookmarkStart w:id="18" w:name="_GoBack"/>
            <w:bookmarkEnd w:id="18"/>
            <w:r>
              <w:rPr>
                <w:rFonts w:hint="eastAsia" w:ascii="宋体" w:hAnsi="宋体" w:eastAsia="宋体" w:cs="宋体"/>
                <w:i w:val="0"/>
                <w:iCs w:val="0"/>
                <w:color w:val="auto"/>
                <w:kern w:val="0"/>
                <w:sz w:val="21"/>
                <w:szCs w:val="21"/>
                <w:highlight w:val="none"/>
                <w:u w:val="none"/>
                <w:lang w:val="en-US" w:eastAsia="zh-CN"/>
              </w:rPr>
              <w:t>属于部门履职所需；</w:t>
            </w:r>
          </w:p>
          <w:p w14:paraId="0F45FEC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④项目是否属于公共财政支持范围，是否符合中央、地方事权支出责任划分原则；</w:t>
            </w:r>
          </w:p>
          <w:p w14:paraId="3B4D46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⑤项目是否与相关部门同类项目或部门内部相关项目重复。</w:t>
            </w:r>
          </w:p>
          <w:p w14:paraId="39386C1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以上每条要素占权重分的20%，每有一条不符合，扣除对应权重分，扣完为止。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CA0CC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充分</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401BF0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14:paraId="7AC52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42C8B8F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37C479A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7BFE858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61B9E0E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09A294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立项程序规范性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6BFC3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60945D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项目申请、设立过程是否符合相关要求，用以反映和考核项目立项的规范情况。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4F50D2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规范</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3A8DAD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①项目是否按照规定的程序申请设立；</w:t>
            </w:r>
          </w:p>
          <w:p w14:paraId="4CA097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②审批文件、材料是否符合相关要求；</w:t>
            </w:r>
          </w:p>
          <w:p w14:paraId="4B8AB3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③事前是否已经过必要的可行性研究、专家论证、风险评估、绩效评估、集体决策。</w:t>
            </w:r>
          </w:p>
          <w:p w14:paraId="596AAC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①②③齐全得权重分的100%，缺①扣权重分的40%，缺②扣权重分的30%，缺③扣权重分的30%。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3AF56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规范</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3AC734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r>
      <w:tr w14:paraId="2B060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1"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38A85D2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685123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restart"/>
            <w:tcBorders>
              <w:top w:val="single" w:color="auto" w:sz="4" w:space="0"/>
              <w:left w:val="single" w:color="auto" w:sz="4" w:space="0"/>
              <w:bottom w:val="single" w:color="auto" w:sz="4" w:space="0"/>
              <w:right w:val="single" w:color="auto" w:sz="4" w:space="0"/>
            </w:tcBorders>
            <w:noWrap w:val="0"/>
            <w:vAlign w:val="center"/>
          </w:tcPr>
          <w:p w14:paraId="6B255D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绩效目标</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175EFB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260A2A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绩效目标合理性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52921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5B0135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项目所设定的绩效目标是否依据充分，是否符合客观实际，用以反映和考核项目绩效目标与项目实施的相符情况。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24D54D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25058F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①项目是否有绩效目标；</w:t>
            </w:r>
          </w:p>
          <w:p w14:paraId="6338C0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②项目绩效目标与实际工作内容是否具有相关性；</w:t>
            </w:r>
          </w:p>
          <w:p w14:paraId="7FC6F1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③项目预期产出效益和效果是否符合正常的业绩水平；</w:t>
            </w:r>
          </w:p>
          <w:p w14:paraId="47EF26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④是否与预算确定的项目投资额或资金量相匹配。</w:t>
            </w:r>
          </w:p>
          <w:p w14:paraId="0D56DB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以上每条要素各占权重的25%，每有一条不符合，扣除对应的权重分，扣完为止。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1B60A8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7D5516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r>
      <w:tr w14:paraId="4A603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4"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002CF7F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1941138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10BFBEB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71747C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35E06F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绩效指标明确性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1FEF98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535F2C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依据绩效目标设定的绩效指标是否清晰、细化、可衡量等，用以反映和考核项目绩效目标的明细化情况。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CB25C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明确</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4A8ACC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①是否将项目绩效目标细化分解为具体的绩效指标；</w:t>
            </w:r>
          </w:p>
          <w:p w14:paraId="570558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②是否通过清晰、可衡量的指标值予以体现；</w:t>
            </w:r>
          </w:p>
          <w:p w14:paraId="353328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③是否与项目目标任务数或计划数相对应。</w:t>
            </w:r>
          </w:p>
          <w:p w14:paraId="24B663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①②③齐全得权重分的100%，缺①扣权重分的20%，缺②扣权重分的50%，缺③扣权重分的30%。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6D6A6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明确</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7EA259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r>
      <w:tr w14:paraId="60DCC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1"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52F5E97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265F692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restart"/>
            <w:tcBorders>
              <w:top w:val="single" w:color="auto" w:sz="4" w:space="0"/>
              <w:left w:val="single" w:color="auto" w:sz="4" w:space="0"/>
              <w:bottom w:val="single" w:color="auto" w:sz="4" w:space="0"/>
              <w:right w:val="single" w:color="auto" w:sz="4" w:space="0"/>
            </w:tcBorders>
            <w:noWrap w:val="0"/>
            <w:vAlign w:val="center"/>
          </w:tcPr>
          <w:p w14:paraId="47EB74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资金投入</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4B9D4F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8</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4434C8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预算编制科学性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47F67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032A1D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项目预算编制是否经过科学论证、有明确标准，资金额度与年度目标是否相适应，用以反映和考核项目预算编制的科学性、合理性情况。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30FE5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科学</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339734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①预算编制是否经过科学论证；</w:t>
            </w:r>
          </w:p>
          <w:p w14:paraId="415FF2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②预算内容与项目内容是否匹配；</w:t>
            </w:r>
          </w:p>
          <w:p w14:paraId="33A5F9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③预算额度测算依据是否充分，是否按照标准编制；</w:t>
            </w:r>
          </w:p>
          <w:p w14:paraId="293D17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④预算确定的项目投资额或资金量是否与工作任务相匹配。</w:t>
            </w:r>
          </w:p>
          <w:p w14:paraId="67CA2B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以上每条要素各占权重的25%，每有一条不符合，扣除对应的权重分，扣完为止。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5AA6F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科学</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224A15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w:t>
            </w:r>
          </w:p>
        </w:tc>
      </w:tr>
      <w:tr w14:paraId="5429A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6"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0761328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596816E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6E40353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7E8802D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331B04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资金分配合理性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3784AC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3ABD7E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项目预算资金分配是否有测算依据，与补助单位或地方实际是否相适应，用以反映和考核项目预算资金分配的科学性、合理性情况。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6515E4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791F59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①预算资金分配依据是否充分；</w:t>
            </w:r>
          </w:p>
          <w:p w14:paraId="7BE46D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②资金分配额度是否合理，与项目单位或地方实际是否相适应。</w:t>
            </w:r>
          </w:p>
          <w:p w14:paraId="33E10CC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以上每条要素各占权重的50%，每有一条不符合，扣除对应的权重分，扣完为止。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95118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1A01319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w:t>
            </w:r>
          </w:p>
        </w:tc>
      </w:tr>
      <w:tr w14:paraId="185D9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2" w:hRule="atLeast"/>
        </w:trPr>
        <w:tc>
          <w:tcPr>
            <w:tcW w:w="734" w:type="dxa"/>
            <w:vMerge w:val="restart"/>
            <w:tcBorders>
              <w:top w:val="single" w:color="auto" w:sz="4" w:space="0"/>
              <w:left w:val="single" w:color="auto" w:sz="4" w:space="0"/>
              <w:bottom w:val="single" w:color="auto" w:sz="4" w:space="0"/>
              <w:right w:val="single" w:color="auto" w:sz="4" w:space="0"/>
            </w:tcBorders>
            <w:noWrap w:val="0"/>
            <w:vAlign w:val="center"/>
          </w:tcPr>
          <w:p w14:paraId="133279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项目过程</w:t>
            </w:r>
          </w:p>
        </w:tc>
        <w:tc>
          <w:tcPr>
            <w:tcW w:w="717" w:type="dxa"/>
            <w:vMerge w:val="restart"/>
            <w:tcBorders>
              <w:top w:val="single" w:color="auto" w:sz="4" w:space="0"/>
              <w:left w:val="single" w:color="auto" w:sz="4" w:space="0"/>
              <w:bottom w:val="single" w:color="auto" w:sz="4" w:space="0"/>
              <w:right w:val="single" w:color="auto" w:sz="4" w:space="0"/>
            </w:tcBorders>
            <w:noWrap w:val="0"/>
            <w:vAlign w:val="center"/>
          </w:tcPr>
          <w:p w14:paraId="5B7408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12</w:t>
            </w:r>
          </w:p>
        </w:tc>
        <w:tc>
          <w:tcPr>
            <w:tcW w:w="649" w:type="dxa"/>
            <w:vMerge w:val="restart"/>
            <w:tcBorders>
              <w:top w:val="single" w:color="auto" w:sz="4" w:space="0"/>
              <w:left w:val="single" w:color="auto" w:sz="4" w:space="0"/>
              <w:bottom w:val="single" w:color="auto" w:sz="4" w:space="0"/>
              <w:right w:val="single" w:color="auto" w:sz="4" w:space="0"/>
            </w:tcBorders>
            <w:noWrap w:val="0"/>
            <w:vAlign w:val="center"/>
          </w:tcPr>
          <w:p w14:paraId="45712E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资金管理</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6C31CF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6</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799384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资金到位率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1C45AE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454C92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实际到位资金与预算资金的比率，用以反映和考核资金落实情况对项目实施的总体保障程度。</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454F35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177285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资金到位率=（实际到位资金/预算资金）×100%。</w:t>
            </w:r>
          </w:p>
          <w:p w14:paraId="25D1BD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资金到位率=100%，得权重分满分，每降低1%，扣除5%权重分，扣完为止。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FB547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0B01F7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14:paraId="6DA66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75B17F5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1725BA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432FC85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7221B50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792D77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预算执行率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CC45C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3C0875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项目预算资金是否按照计划执行，用以反映或考核项目预算执行情况。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EA77C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678A60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预算执行率=（实际支出资金/实际到位资金）×100%。</w:t>
            </w:r>
          </w:p>
          <w:p w14:paraId="6E210F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预算执行率=100%，得权重分满分；若预算执行率＜100%，得分=预算执行率*分值；若执行率≤60%，则不得分。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F254B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100%</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7C5E52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14:paraId="3A05C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2"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61676B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7B012F6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518E0F7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4FA8D7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555CBC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资金使用合规性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0597E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71F981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项目资金使用是否符合相关的财务管理制度规定，用以反映和考核项目资金的规范运行情况。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371BE0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合规</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6C44EC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①否符合国家财经法规和财务管理制度以及有关专项资金管理办法的规定；</w:t>
            </w:r>
          </w:p>
          <w:p w14:paraId="01B042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②资金的拨付是否有完整的审批程序和手续；</w:t>
            </w:r>
          </w:p>
          <w:p w14:paraId="15FE0B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③是否符合项目预算批复或合同规定的用途；</w:t>
            </w:r>
          </w:p>
          <w:p w14:paraId="04E19D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④是否存在截留、挤占、挪用、虚列支出等情况。</w:t>
            </w:r>
          </w:p>
          <w:p w14:paraId="26537D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以上每条指标各占权重分的25%，要素①②不符合，扣除对应权重分；要素③④不符合属于重大违纪，该指标不得分。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A7187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合规</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1A592B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r>
      <w:tr w14:paraId="5AFFC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2E6F32D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6E0171E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restart"/>
            <w:tcBorders>
              <w:top w:val="single" w:color="auto" w:sz="4" w:space="0"/>
              <w:left w:val="single" w:color="auto" w:sz="4" w:space="0"/>
              <w:bottom w:val="single" w:color="auto" w:sz="4" w:space="0"/>
              <w:right w:val="single" w:color="auto" w:sz="4" w:space="0"/>
            </w:tcBorders>
            <w:noWrap w:val="0"/>
            <w:vAlign w:val="center"/>
          </w:tcPr>
          <w:p w14:paraId="6A17B3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组织实施</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187FD0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6</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782D15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管理制度健全性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62455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32EDEB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项目实施单位的财务和业务管理制度是否健全，用以反映和考核财务和业务管理制度对项目顺利实施的保障情况。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6A8031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健全</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0AF036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①是否已制定或具有相应的财务和业务管理制度；</w:t>
            </w:r>
          </w:p>
          <w:p w14:paraId="528DC8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②财务和业务管理制度是否合法、合规、完整。</w:t>
            </w:r>
          </w:p>
          <w:p w14:paraId="0A144D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以上每条要素各占权重的50%，每有一条不符合，扣除对应的权重分，扣完为止。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C5F3C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健全</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15450A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r>
      <w:tr w14:paraId="05152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72A6084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3FF6256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072BBC4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7638FE1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148F90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制度执行有效性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432941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67DABB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项目实施是否符合相关管理规定，用以反映和考核相关管理制度的有效执行情况。</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5AB3E9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有效</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3FAB40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①否遵守相关法律法规和相关管理规定；</w:t>
            </w:r>
          </w:p>
          <w:p w14:paraId="49A57A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②项目调整及支出调整手续是否完备；</w:t>
            </w:r>
          </w:p>
          <w:p w14:paraId="5185A1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③项目资料是否齐全并及时归档。</w:t>
            </w:r>
          </w:p>
          <w:p w14:paraId="0C68F0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①②③齐全得权重分的100%，缺①扣权重分的30%，缺②扣权重分的40%，缺③扣权重分的30%。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EAFBA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有效</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350C32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r>
      <w:tr w14:paraId="61EB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734" w:type="dxa"/>
            <w:vMerge w:val="restart"/>
            <w:tcBorders>
              <w:top w:val="single" w:color="auto" w:sz="4" w:space="0"/>
              <w:left w:val="single" w:color="auto" w:sz="4" w:space="0"/>
              <w:bottom w:val="single" w:color="auto" w:sz="4" w:space="0"/>
              <w:right w:val="single" w:color="auto" w:sz="4" w:space="0"/>
            </w:tcBorders>
            <w:noWrap w:val="0"/>
            <w:vAlign w:val="center"/>
          </w:tcPr>
          <w:p w14:paraId="7BFFA0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项目产出</w:t>
            </w:r>
          </w:p>
        </w:tc>
        <w:tc>
          <w:tcPr>
            <w:tcW w:w="717" w:type="dxa"/>
            <w:vMerge w:val="restart"/>
            <w:tcBorders>
              <w:top w:val="single" w:color="auto" w:sz="4" w:space="0"/>
              <w:left w:val="single" w:color="auto" w:sz="4" w:space="0"/>
              <w:bottom w:val="single" w:color="auto" w:sz="4" w:space="0"/>
              <w:right w:val="single" w:color="auto" w:sz="4" w:space="0"/>
            </w:tcBorders>
            <w:noWrap w:val="0"/>
            <w:vAlign w:val="center"/>
          </w:tcPr>
          <w:p w14:paraId="0FC6A2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40</w:t>
            </w:r>
          </w:p>
        </w:tc>
        <w:tc>
          <w:tcPr>
            <w:tcW w:w="649" w:type="dxa"/>
            <w:tcBorders>
              <w:top w:val="single" w:color="auto" w:sz="4" w:space="0"/>
              <w:left w:val="single" w:color="auto" w:sz="4" w:space="0"/>
              <w:bottom w:val="single" w:color="auto" w:sz="4" w:space="0"/>
              <w:right w:val="single" w:color="auto" w:sz="4" w:space="0"/>
            </w:tcBorders>
            <w:noWrap w:val="0"/>
            <w:vAlign w:val="center"/>
          </w:tcPr>
          <w:p w14:paraId="3DDD06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产出数量</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32D798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465387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实际完成率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2C03BED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08D4D7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聘请第三方法律服务机构数量</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15CE05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=1家</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595D64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实际完成率=（实际完成/预期完成）×100%。</w:t>
            </w:r>
            <w:r>
              <w:rPr>
                <w:rFonts w:hint="eastAsia" w:ascii="宋体" w:hAnsi="宋体" w:eastAsia="宋体" w:cs="宋体"/>
                <w:i w:val="0"/>
                <w:iCs w:val="0"/>
                <w:color w:val="auto"/>
                <w:kern w:val="0"/>
                <w:sz w:val="21"/>
                <w:szCs w:val="21"/>
                <w:highlight w:val="none"/>
                <w:u w:val="none"/>
                <w:lang w:val="en-US" w:eastAsia="zh-CN"/>
              </w:rPr>
              <w:br w:type="textWrapping"/>
            </w:r>
            <w:r>
              <w:rPr>
                <w:rFonts w:hint="eastAsia" w:ascii="宋体" w:hAnsi="宋体" w:eastAsia="宋体" w:cs="宋体"/>
                <w:i w:val="0"/>
                <w:iCs w:val="0"/>
                <w:color w:val="auto"/>
                <w:kern w:val="0"/>
                <w:sz w:val="21"/>
                <w:szCs w:val="21"/>
                <w:highlight w:val="none"/>
                <w:u w:val="none"/>
                <w:lang w:val="en-US" w:eastAsia="zh-CN"/>
              </w:rPr>
              <w:t>①实际完成率≥100%，且偏离程度＜20%，得满分；</w:t>
            </w:r>
            <w:r>
              <w:rPr>
                <w:rFonts w:hint="eastAsia" w:ascii="宋体" w:hAnsi="宋体" w:eastAsia="宋体" w:cs="宋体"/>
                <w:i w:val="0"/>
                <w:iCs w:val="0"/>
                <w:color w:val="auto"/>
                <w:kern w:val="0"/>
                <w:sz w:val="21"/>
                <w:szCs w:val="21"/>
                <w:highlight w:val="none"/>
                <w:u w:val="none"/>
                <w:lang w:val="en-US" w:eastAsia="zh-CN"/>
              </w:rPr>
              <w:br w:type="textWrapping"/>
            </w:r>
            <w:r>
              <w:rPr>
                <w:rFonts w:hint="eastAsia" w:ascii="宋体" w:hAnsi="宋体" w:eastAsia="宋体" w:cs="宋体"/>
                <w:i w:val="0"/>
                <w:iCs w:val="0"/>
                <w:color w:val="auto"/>
                <w:kern w:val="0"/>
                <w:sz w:val="21"/>
                <w:szCs w:val="21"/>
                <w:highlight w:val="none"/>
                <w:u w:val="none"/>
                <w:lang w:val="en-US" w:eastAsia="zh-CN"/>
              </w:rPr>
              <w:t>②实际完成率≥100%，偏离程度≥20%，得0分；</w:t>
            </w:r>
            <w:r>
              <w:rPr>
                <w:rFonts w:hint="eastAsia" w:ascii="宋体" w:hAnsi="宋体" w:eastAsia="宋体" w:cs="宋体"/>
                <w:i w:val="0"/>
                <w:iCs w:val="0"/>
                <w:color w:val="auto"/>
                <w:kern w:val="0"/>
                <w:sz w:val="21"/>
                <w:szCs w:val="21"/>
                <w:highlight w:val="none"/>
                <w:u w:val="none"/>
                <w:lang w:val="en-US" w:eastAsia="zh-CN"/>
              </w:rPr>
              <w:br w:type="textWrapping"/>
            </w:r>
            <w:r>
              <w:rPr>
                <w:rFonts w:hint="eastAsia" w:ascii="宋体" w:hAnsi="宋体" w:eastAsia="宋体" w:cs="宋体"/>
                <w:i w:val="0"/>
                <w:iCs w:val="0"/>
                <w:color w:val="auto"/>
                <w:kern w:val="0"/>
                <w:sz w:val="21"/>
                <w:szCs w:val="21"/>
                <w:highlight w:val="none"/>
                <w:u w:val="none"/>
                <w:lang w:val="en-US" w:eastAsia="zh-CN"/>
              </w:rPr>
              <w:t>③实际完成率×100%＜100%，得分=实际完成率×指标分值。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2670EE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1家</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512D0DD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val="en-US" w:eastAsia="zh-CN"/>
              </w:rPr>
              <w:t>10</w:t>
            </w:r>
          </w:p>
        </w:tc>
      </w:tr>
      <w:tr w14:paraId="47941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04E12A8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53A0403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tcBorders>
              <w:top w:val="single" w:color="auto" w:sz="4" w:space="0"/>
              <w:left w:val="single" w:color="auto" w:sz="4" w:space="0"/>
              <w:bottom w:val="single" w:color="auto" w:sz="4" w:space="0"/>
              <w:right w:val="single" w:color="auto" w:sz="4" w:space="0"/>
            </w:tcBorders>
            <w:noWrap w:val="0"/>
            <w:vAlign w:val="center"/>
          </w:tcPr>
          <w:p w14:paraId="232C35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产出质量</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FD137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573883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质量达标率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4A0E997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33E2D3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资金使用合格率</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2870FA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4757" w:type="dxa"/>
            <w:tcBorders>
              <w:top w:val="single" w:color="auto" w:sz="4" w:space="0"/>
              <w:left w:val="single" w:color="auto" w:sz="4" w:space="0"/>
              <w:right w:val="single" w:color="auto" w:sz="4" w:space="0"/>
            </w:tcBorders>
            <w:noWrap w:val="0"/>
            <w:vAlign w:val="center"/>
          </w:tcPr>
          <w:p w14:paraId="687FB6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若指标达到标杆值，则得100%权重分；否则，得分=（实际完成/预期完成）×100%×指标分值。</w:t>
            </w:r>
          </w:p>
          <w:p w14:paraId="25F67B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若指标完成值达到标杆值，则得100%权重分；否则，不得分。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5D4EA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239CFF9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val="en-US" w:eastAsia="zh-CN"/>
              </w:rPr>
              <w:t>10</w:t>
            </w:r>
          </w:p>
        </w:tc>
      </w:tr>
      <w:tr w14:paraId="3E75D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1E5239D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04AEDB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restart"/>
            <w:tcBorders>
              <w:top w:val="single" w:color="auto" w:sz="4" w:space="0"/>
              <w:left w:val="single" w:color="auto" w:sz="4" w:space="0"/>
              <w:right w:val="single" w:color="auto" w:sz="4" w:space="0"/>
            </w:tcBorders>
            <w:noWrap w:val="0"/>
            <w:vAlign w:val="center"/>
          </w:tcPr>
          <w:p w14:paraId="712F8D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产出时效</w:t>
            </w:r>
          </w:p>
        </w:tc>
        <w:tc>
          <w:tcPr>
            <w:tcW w:w="551" w:type="dxa"/>
            <w:vMerge w:val="restart"/>
            <w:tcBorders>
              <w:top w:val="single" w:color="auto" w:sz="4" w:space="0"/>
              <w:left w:val="single" w:color="auto" w:sz="4" w:space="0"/>
              <w:right w:val="single" w:color="auto" w:sz="4" w:space="0"/>
            </w:tcBorders>
            <w:noWrap w:val="0"/>
            <w:vAlign w:val="center"/>
          </w:tcPr>
          <w:p w14:paraId="548A7A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666" w:type="dxa"/>
            <w:vMerge w:val="restart"/>
            <w:tcBorders>
              <w:top w:val="single" w:color="auto" w:sz="4" w:space="0"/>
              <w:left w:val="single" w:color="auto" w:sz="4" w:space="0"/>
              <w:right w:val="single" w:color="auto" w:sz="4" w:space="0"/>
            </w:tcBorders>
            <w:noWrap w:val="0"/>
            <w:vAlign w:val="center"/>
          </w:tcPr>
          <w:p w14:paraId="003E23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完成及时率</w:t>
            </w:r>
          </w:p>
        </w:tc>
        <w:tc>
          <w:tcPr>
            <w:tcW w:w="551" w:type="dxa"/>
            <w:vMerge w:val="restart"/>
            <w:tcBorders>
              <w:top w:val="single" w:color="auto" w:sz="4" w:space="0"/>
              <w:left w:val="single" w:color="auto" w:sz="4" w:space="0"/>
              <w:right w:val="single" w:color="auto" w:sz="4" w:space="0"/>
            </w:tcBorders>
            <w:noWrap w:val="0"/>
            <w:vAlign w:val="center"/>
          </w:tcPr>
          <w:p w14:paraId="1CE6333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681AAB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项目完成时间</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7B945E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2024年12月</w:t>
            </w:r>
          </w:p>
        </w:tc>
        <w:tc>
          <w:tcPr>
            <w:tcW w:w="4757" w:type="dxa"/>
            <w:vMerge w:val="restart"/>
            <w:tcBorders>
              <w:top w:val="single" w:color="auto" w:sz="4" w:space="0"/>
              <w:left w:val="single" w:color="auto" w:sz="4" w:space="0"/>
              <w:right w:val="single" w:color="auto" w:sz="4" w:space="0"/>
            </w:tcBorders>
            <w:noWrap w:val="0"/>
            <w:vAlign w:val="center"/>
          </w:tcPr>
          <w:p w14:paraId="01E6A3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若指标完成值达到标杆值，则得100%权重分；否则，得分=（实际完成/预期完成）×100%×指标分值。</w:t>
            </w:r>
          </w:p>
          <w:p w14:paraId="2E9932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若在规定时间内完成，得100%权重分；若未在规定的时间内完成，得分=（1-未在规定时间内完成工作数/实际完成工作总数）×分值。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7CBBD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2024年12月</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3ECA76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val="en-US" w:eastAsia="zh-CN"/>
              </w:rPr>
              <w:t>5</w:t>
            </w:r>
          </w:p>
        </w:tc>
      </w:tr>
      <w:tr w14:paraId="4FE4A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34" w:type="dxa"/>
            <w:vMerge w:val="continue"/>
            <w:tcBorders>
              <w:left w:val="single" w:color="auto" w:sz="4" w:space="0"/>
              <w:bottom w:val="single" w:color="auto" w:sz="4" w:space="0"/>
              <w:right w:val="single" w:color="auto" w:sz="4" w:space="0"/>
            </w:tcBorders>
            <w:noWrap w:val="0"/>
            <w:vAlign w:val="center"/>
          </w:tcPr>
          <w:p w14:paraId="2046B7D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717" w:type="dxa"/>
            <w:vMerge w:val="continue"/>
            <w:tcBorders>
              <w:left w:val="single" w:color="auto" w:sz="4" w:space="0"/>
              <w:bottom w:val="single" w:color="auto" w:sz="4" w:space="0"/>
              <w:right w:val="single" w:color="auto" w:sz="4" w:space="0"/>
            </w:tcBorders>
            <w:noWrap w:val="0"/>
            <w:vAlign w:val="center"/>
          </w:tcPr>
          <w:p w14:paraId="5AC38F8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649" w:type="dxa"/>
            <w:vMerge w:val="continue"/>
            <w:tcBorders>
              <w:left w:val="single" w:color="auto" w:sz="4" w:space="0"/>
              <w:bottom w:val="single" w:color="auto" w:sz="4" w:space="0"/>
              <w:right w:val="single" w:color="auto" w:sz="4" w:space="0"/>
            </w:tcBorders>
            <w:noWrap w:val="0"/>
            <w:vAlign w:val="center"/>
          </w:tcPr>
          <w:p w14:paraId="0803F60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551" w:type="dxa"/>
            <w:vMerge w:val="continue"/>
            <w:tcBorders>
              <w:left w:val="single" w:color="auto" w:sz="4" w:space="0"/>
              <w:bottom w:val="single" w:color="auto" w:sz="4" w:space="0"/>
              <w:right w:val="single" w:color="auto" w:sz="4" w:space="0"/>
            </w:tcBorders>
            <w:noWrap w:val="0"/>
            <w:vAlign w:val="center"/>
          </w:tcPr>
          <w:p w14:paraId="4CA6461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666" w:type="dxa"/>
            <w:vMerge w:val="continue"/>
            <w:tcBorders>
              <w:left w:val="single" w:color="auto" w:sz="4" w:space="0"/>
              <w:bottom w:val="single" w:color="auto" w:sz="4" w:space="0"/>
              <w:right w:val="single" w:color="auto" w:sz="4" w:space="0"/>
            </w:tcBorders>
            <w:noWrap w:val="0"/>
            <w:vAlign w:val="center"/>
          </w:tcPr>
          <w:p w14:paraId="1EABA9C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551" w:type="dxa"/>
            <w:vMerge w:val="continue"/>
            <w:tcBorders>
              <w:left w:val="single" w:color="auto" w:sz="4" w:space="0"/>
              <w:bottom w:val="single" w:color="auto" w:sz="4" w:space="0"/>
              <w:right w:val="single" w:color="auto" w:sz="4" w:space="0"/>
            </w:tcBorders>
            <w:noWrap w:val="0"/>
            <w:vAlign w:val="center"/>
          </w:tcPr>
          <w:p w14:paraId="345CB8A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16" w:type="dxa"/>
            <w:tcBorders>
              <w:top w:val="single" w:color="auto" w:sz="4" w:space="0"/>
              <w:left w:val="single" w:color="auto" w:sz="4" w:space="0"/>
              <w:bottom w:val="single" w:color="auto" w:sz="4" w:space="0"/>
              <w:right w:val="single" w:color="auto" w:sz="4" w:space="0"/>
            </w:tcBorders>
            <w:noWrap w:val="0"/>
            <w:vAlign w:val="center"/>
          </w:tcPr>
          <w:p w14:paraId="764769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资金支付及时率</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6DF7F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4757" w:type="dxa"/>
            <w:vMerge w:val="continue"/>
            <w:tcBorders>
              <w:left w:val="single" w:color="auto" w:sz="4" w:space="0"/>
              <w:right w:val="single" w:color="auto" w:sz="4" w:space="0"/>
            </w:tcBorders>
            <w:noWrap w:val="0"/>
            <w:vAlign w:val="center"/>
          </w:tcPr>
          <w:p w14:paraId="04A9C28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sz w:val="24"/>
                <w:szCs w:val="24"/>
                <w:highlight w:val="none"/>
                <w:lang w:val="en-US" w:eastAsia="zh-CN"/>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74AB2F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625C504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sz w:val="21"/>
                <w:szCs w:val="21"/>
                <w:highlight w:val="none"/>
                <w:u w:val="none"/>
                <w:lang w:val="en-US" w:eastAsia="zh-CN"/>
              </w:rPr>
              <w:t>5</w:t>
            </w:r>
          </w:p>
        </w:tc>
      </w:tr>
      <w:tr w14:paraId="3565C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2B9C500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5F3C72A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tcBorders>
              <w:top w:val="single" w:color="auto" w:sz="4" w:space="0"/>
              <w:left w:val="single" w:color="auto" w:sz="4" w:space="0"/>
              <w:bottom w:val="single" w:color="auto" w:sz="4" w:space="0"/>
              <w:right w:val="single" w:color="auto" w:sz="4" w:space="0"/>
            </w:tcBorders>
            <w:noWrap w:val="0"/>
            <w:vAlign w:val="center"/>
          </w:tcPr>
          <w:p w14:paraId="77252C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产出成本</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07C4C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195EF1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成本节约率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69E7AFB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0902A8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法律咨询服务费</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4B07DB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&lt;=20万元</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2E36CF7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实际完成率=（实际支付资金数/计划应支付资金数）×100%。</w:t>
            </w:r>
            <w:r>
              <w:rPr>
                <w:rFonts w:hint="eastAsia" w:ascii="宋体" w:hAnsi="宋体" w:eastAsia="宋体" w:cs="宋体"/>
                <w:i w:val="0"/>
                <w:iCs w:val="0"/>
                <w:color w:val="auto"/>
                <w:kern w:val="0"/>
                <w:sz w:val="21"/>
                <w:szCs w:val="21"/>
                <w:highlight w:val="none"/>
                <w:u w:val="none"/>
                <w:lang w:val="en-US" w:eastAsia="zh-CN"/>
              </w:rPr>
              <w:br w:type="textWrapping"/>
            </w:r>
            <w:r>
              <w:rPr>
                <w:rFonts w:hint="eastAsia" w:ascii="宋体" w:hAnsi="宋体" w:eastAsia="宋体" w:cs="宋体"/>
                <w:i w:val="0"/>
                <w:iCs w:val="0"/>
                <w:color w:val="auto"/>
                <w:kern w:val="0"/>
                <w:sz w:val="21"/>
                <w:szCs w:val="21"/>
                <w:highlight w:val="none"/>
                <w:u w:val="none"/>
                <w:lang w:val="en-US" w:eastAsia="zh-CN"/>
              </w:rPr>
              <w:t>①实际完成率＞年度指标值，得0得分；</w:t>
            </w:r>
            <w:r>
              <w:rPr>
                <w:rFonts w:hint="eastAsia" w:ascii="宋体" w:hAnsi="宋体" w:eastAsia="宋体" w:cs="宋体"/>
                <w:i w:val="0"/>
                <w:iCs w:val="0"/>
                <w:color w:val="auto"/>
                <w:kern w:val="0"/>
                <w:sz w:val="21"/>
                <w:szCs w:val="21"/>
                <w:highlight w:val="none"/>
                <w:u w:val="none"/>
                <w:lang w:val="en-US" w:eastAsia="zh-CN"/>
              </w:rPr>
              <w:br w:type="textWrapping"/>
            </w:r>
            <w:r>
              <w:rPr>
                <w:rFonts w:hint="eastAsia" w:ascii="宋体" w:hAnsi="宋体" w:eastAsia="宋体" w:cs="宋体"/>
                <w:i w:val="0"/>
                <w:iCs w:val="0"/>
                <w:color w:val="auto"/>
                <w:kern w:val="0"/>
                <w:sz w:val="21"/>
                <w:szCs w:val="21"/>
                <w:highlight w:val="none"/>
                <w:u w:val="none"/>
                <w:lang w:val="en-US" w:eastAsia="zh-CN"/>
              </w:rPr>
              <w:t>②实际完成率≤年度指标值，且偏离程度＜20%，得满分；</w:t>
            </w:r>
            <w:r>
              <w:rPr>
                <w:rFonts w:hint="eastAsia" w:ascii="宋体" w:hAnsi="宋体" w:eastAsia="宋体" w:cs="宋体"/>
                <w:i w:val="0"/>
                <w:iCs w:val="0"/>
                <w:color w:val="auto"/>
                <w:kern w:val="0"/>
                <w:sz w:val="21"/>
                <w:szCs w:val="21"/>
                <w:highlight w:val="none"/>
                <w:u w:val="none"/>
                <w:lang w:val="en-US" w:eastAsia="zh-CN"/>
              </w:rPr>
              <w:br w:type="textWrapping"/>
            </w:r>
            <w:r>
              <w:rPr>
                <w:rFonts w:hint="eastAsia" w:ascii="宋体" w:hAnsi="宋体" w:eastAsia="宋体" w:cs="宋体"/>
                <w:i w:val="0"/>
                <w:iCs w:val="0"/>
                <w:color w:val="auto"/>
                <w:kern w:val="0"/>
                <w:sz w:val="21"/>
                <w:szCs w:val="21"/>
                <w:highlight w:val="none"/>
                <w:u w:val="none"/>
                <w:lang w:val="en-US" w:eastAsia="zh-CN"/>
              </w:rPr>
              <w:t>③实际完成率＜年度指标值，且偏离程度≥20%，得分=实际完成率×分值。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A110B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20万元</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4ACD2EE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w:t>
            </w:r>
          </w:p>
        </w:tc>
      </w:tr>
      <w:tr w14:paraId="1904A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3" w:hRule="atLeast"/>
        </w:trPr>
        <w:tc>
          <w:tcPr>
            <w:tcW w:w="734" w:type="dxa"/>
            <w:vMerge w:val="restart"/>
            <w:tcBorders>
              <w:top w:val="single" w:color="auto" w:sz="4" w:space="0"/>
              <w:left w:val="single" w:color="auto" w:sz="4" w:space="0"/>
              <w:bottom w:val="single" w:color="auto" w:sz="4" w:space="0"/>
              <w:right w:val="single" w:color="auto" w:sz="4" w:space="0"/>
            </w:tcBorders>
            <w:noWrap w:val="0"/>
            <w:vAlign w:val="center"/>
          </w:tcPr>
          <w:p w14:paraId="49E8D3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项目效益</w:t>
            </w:r>
          </w:p>
        </w:tc>
        <w:tc>
          <w:tcPr>
            <w:tcW w:w="717" w:type="dxa"/>
            <w:vMerge w:val="restart"/>
            <w:tcBorders>
              <w:top w:val="single" w:color="auto" w:sz="4" w:space="0"/>
              <w:left w:val="single" w:color="auto" w:sz="4" w:space="0"/>
              <w:bottom w:val="single" w:color="auto" w:sz="4" w:space="0"/>
              <w:right w:val="single" w:color="auto" w:sz="4" w:space="0"/>
            </w:tcBorders>
            <w:noWrap w:val="0"/>
            <w:vAlign w:val="center"/>
          </w:tcPr>
          <w:p w14:paraId="2EFA7D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25</w:t>
            </w:r>
          </w:p>
        </w:tc>
        <w:tc>
          <w:tcPr>
            <w:tcW w:w="649" w:type="dxa"/>
            <w:vMerge w:val="restart"/>
            <w:tcBorders>
              <w:top w:val="single" w:color="auto" w:sz="4" w:space="0"/>
              <w:left w:val="single" w:color="auto" w:sz="4" w:space="0"/>
              <w:bottom w:val="single" w:color="auto" w:sz="4" w:space="0"/>
              <w:right w:val="single" w:color="auto" w:sz="4" w:space="0"/>
            </w:tcBorders>
            <w:noWrap w:val="0"/>
            <w:vAlign w:val="center"/>
          </w:tcPr>
          <w:p w14:paraId="64D601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项目效益</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050BBA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25</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2FF36D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社会效益</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78EEF4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15</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72F21FB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default" w:ascii="宋体" w:hAnsi="宋体" w:eastAsia="宋体" w:cs="宋体"/>
                <w:color w:val="auto"/>
                <w:sz w:val="24"/>
                <w:szCs w:val="24"/>
                <w:highlight w:val="none"/>
                <w:lang w:val="en-US" w:eastAsia="zh-CN"/>
              </w:rPr>
              <w:t>保障全县法律咨询服务</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132218A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eastAsia="zh-CN"/>
              </w:rPr>
            </w:pPr>
            <w:r>
              <w:rPr>
                <w:rFonts w:hint="eastAsia" w:ascii="宋体" w:hAnsi="宋体" w:eastAsia="宋体" w:cs="宋体"/>
                <w:i w:val="0"/>
                <w:iCs w:val="0"/>
                <w:color w:val="auto"/>
                <w:sz w:val="21"/>
                <w:szCs w:val="21"/>
                <w:highlight w:val="none"/>
                <w:u w:val="none"/>
                <w:lang w:eastAsia="zh-CN"/>
              </w:rPr>
              <w:t>有效保障</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4B5A20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按评判等级赋分。分为基本达成目标、部分实现目标、实现目标程度较低三个档次，并分别按照该指标对应分值区间100%-80%（含）、80%-60%（含）、60%-0%合理确定分值。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D1446B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sz w:val="21"/>
                <w:szCs w:val="21"/>
                <w:highlight w:val="none"/>
                <w:u w:val="none"/>
                <w:lang w:eastAsia="zh-CN"/>
              </w:rPr>
              <w:t>有效保障</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13F0C2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15</w:t>
            </w:r>
          </w:p>
        </w:tc>
      </w:tr>
      <w:tr w14:paraId="116B9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34" w:type="dxa"/>
            <w:vMerge w:val="continue"/>
            <w:tcBorders>
              <w:top w:val="single" w:color="auto" w:sz="4" w:space="0"/>
              <w:left w:val="single" w:color="auto" w:sz="4" w:space="0"/>
              <w:bottom w:val="single" w:color="auto" w:sz="4" w:space="0"/>
              <w:right w:val="single" w:color="auto" w:sz="4" w:space="0"/>
            </w:tcBorders>
            <w:noWrap w:val="0"/>
            <w:vAlign w:val="center"/>
          </w:tcPr>
          <w:p w14:paraId="6C1C9D4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717" w:type="dxa"/>
            <w:vMerge w:val="continue"/>
            <w:tcBorders>
              <w:top w:val="single" w:color="auto" w:sz="4" w:space="0"/>
              <w:left w:val="single" w:color="auto" w:sz="4" w:space="0"/>
              <w:bottom w:val="single" w:color="auto" w:sz="4" w:space="0"/>
              <w:right w:val="single" w:color="auto" w:sz="4" w:space="0"/>
            </w:tcBorders>
            <w:noWrap w:val="0"/>
            <w:vAlign w:val="center"/>
          </w:tcPr>
          <w:p w14:paraId="630074A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49" w:type="dxa"/>
            <w:vMerge w:val="continue"/>
            <w:tcBorders>
              <w:top w:val="single" w:color="auto" w:sz="4" w:space="0"/>
              <w:left w:val="single" w:color="auto" w:sz="4" w:space="0"/>
              <w:bottom w:val="single" w:color="auto" w:sz="4" w:space="0"/>
              <w:right w:val="single" w:color="auto" w:sz="4" w:space="0"/>
            </w:tcBorders>
            <w:noWrap w:val="0"/>
            <w:vAlign w:val="center"/>
          </w:tcPr>
          <w:p w14:paraId="71F58E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4EA7E56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17F54B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服务对象满意度</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70686D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24011E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color w:val="auto"/>
                <w:sz w:val="24"/>
                <w:szCs w:val="24"/>
                <w:highlight w:val="none"/>
                <w:lang w:val="en-US" w:eastAsia="zh-CN"/>
              </w:rPr>
              <w:t>群众</w:t>
            </w:r>
            <w:r>
              <w:rPr>
                <w:rFonts w:hint="eastAsia" w:ascii="宋体" w:hAnsi="宋体" w:eastAsia="宋体" w:cs="宋体"/>
                <w:color w:val="auto"/>
                <w:sz w:val="24"/>
                <w:szCs w:val="24"/>
                <w:highlight w:val="none"/>
              </w:rPr>
              <w:t>满意度</w:t>
            </w:r>
          </w:p>
        </w:tc>
        <w:tc>
          <w:tcPr>
            <w:tcW w:w="1367" w:type="dxa"/>
            <w:tcBorders>
              <w:top w:val="single" w:color="auto" w:sz="4" w:space="0"/>
              <w:left w:val="single" w:color="auto" w:sz="4" w:space="0"/>
              <w:bottom w:val="single" w:color="auto" w:sz="4" w:space="0"/>
              <w:right w:val="single" w:color="auto" w:sz="4" w:space="0"/>
            </w:tcBorders>
            <w:noWrap w:val="0"/>
            <w:vAlign w:val="center"/>
          </w:tcPr>
          <w:p w14:paraId="792062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95%</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7736F7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根据问卷调查，满意度达到标杆值，得权重分的100%；否则低于95%，得分=实际满意度*指标分值。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4505B8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r>
              <w:rPr>
                <w:rFonts w:hint="eastAsia" w:ascii="宋体" w:hAnsi="宋体" w:eastAsia="宋体" w:cs="宋体"/>
                <w:color w:val="auto"/>
                <w:sz w:val="24"/>
                <w:szCs w:val="24"/>
                <w:highlight w:val="none"/>
                <w:lang w:val="en-US" w:eastAsia="zh-CN"/>
              </w:rPr>
              <w:t>100%</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21717B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r>
      <w:tr w14:paraId="71D47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34" w:type="dxa"/>
            <w:tcBorders>
              <w:top w:val="single" w:color="auto" w:sz="4" w:space="0"/>
              <w:left w:val="single" w:color="auto" w:sz="4" w:space="0"/>
              <w:bottom w:val="single" w:color="auto" w:sz="4" w:space="0"/>
              <w:right w:val="single" w:color="auto" w:sz="4" w:space="0"/>
            </w:tcBorders>
            <w:noWrap w:val="0"/>
            <w:vAlign w:val="center"/>
          </w:tcPr>
          <w:p w14:paraId="4E95C5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总分</w:t>
            </w:r>
          </w:p>
        </w:tc>
        <w:tc>
          <w:tcPr>
            <w:tcW w:w="717" w:type="dxa"/>
            <w:tcBorders>
              <w:top w:val="single" w:color="auto" w:sz="4" w:space="0"/>
              <w:left w:val="single" w:color="auto" w:sz="4" w:space="0"/>
              <w:bottom w:val="single" w:color="auto" w:sz="4" w:space="0"/>
              <w:right w:val="single" w:color="auto" w:sz="4" w:space="0"/>
            </w:tcBorders>
            <w:noWrap w:val="0"/>
            <w:vAlign w:val="center"/>
          </w:tcPr>
          <w:p w14:paraId="60335E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649" w:type="dxa"/>
            <w:tcBorders>
              <w:top w:val="single" w:color="auto" w:sz="4" w:space="0"/>
              <w:left w:val="single" w:color="auto" w:sz="4" w:space="0"/>
              <w:bottom w:val="single" w:color="auto" w:sz="4" w:space="0"/>
              <w:right w:val="single" w:color="auto" w:sz="4" w:space="0"/>
            </w:tcBorders>
            <w:noWrap w:val="0"/>
            <w:vAlign w:val="center"/>
          </w:tcPr>
          <w:p w14:paraId="69AFEBF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tcBorders>
              <w:top w:val="single" w:color="auto" w:sz="4" w:space="0"/>
              <w:left w:val="single" w:color="auto" w:sz="4" w:space="0"/>
              <w:bottom w:val="single" w:color="auto" w:sz="4" w:space="0"/>
              <w:right w:val="single" w:color="auto" w:sz="4" w:space="0"/>
            </w:tcBorders>
            <w:noWrap w:val="0"/>
            <w:vAlign w:val="center"/>
          </w:tcPr>
          <w:p w14:paraId="54815E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7976B21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551" w:type="dxa"/>
            <w:tcBorders>
              <w:top w:val="single" w:color="auto" w:sz="4" w:space="0"/>
              <w:left w:val="single" w:color="auto" w:sz="4" w:space="0"/>
              <w:bottom w:val="single" w:color="auto" w:sz="4" w:space="0"/>
              <w:right w:val="single" w:color="auto" w:sz="4" w:space="0"/>
            </w:tcBorders>
            <w:noWrap w:val="0"/>
            <w:vAlign w:val="center"/>
          </w:tcPr>
          <w:p w14:paraId="78DE59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1916" w:type="dxa"/>
            <w:tcBorders>
              <w:top w:val="single" w:color="auto" w:sz="4" w:space="0"/>
              <w:left w:val="single" w:color="auto" w:sz="4" w:space="0"/>
              <w:bottom w:val="single" w:color="auto" w:sz="4" w:space="0"/>
              <w:right w:val="single" w:color="auto" w:sz="4" w:space="0"/>
            </w:tcBorders>
            <w:noWrap w:val="0"/>
            <w:vAlign w:val="center"/>
          </w:tcPr>
          <w:p w14:paraId="7BCF310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1367" w:type="dxa"/>
            <w:tcBorders>
              <w:top w:val="single" w:color="auto" w:sz="4" w:space="0"/>
              <w:left w:val="single" w:color="auto" w:sz="4" w:space="0"/>
              <w:bottom w:val="single" w:color="auto" w:sz="4" w:space="0"/>
              <w:right w:val="single" w:color="auto" w:sz="4" w:space="0"/>
            </w:tcBorders>
            <w:noWrap w:val="0"/>
            <w:vAlign w:val="center"/>
          </w:tcPr>
          <w:p w14:paraId="0A1FE0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95%</w:t>
            </w:r>
          </w:p>
        </w:tc>
        <w:tc>
          <w:tcPr>
            <w:tcW w:w="4757" w:type="dxa"/>
            <w:tcBorders>
              <w:top w:val="single" w:color="auto" w:sz="4" w:space="0"/>
              <w:left w:val="single" w:color="auto" w:sz="4" w:space="0"/>
              <w:bottom w:val="single" w:color="auto" w:sz="4" w:space="0"/>
              <w:right w:val="single" w:color="auto" w:sz="4" w:space="0"/>
            </w:tcBorders>
            <w:noWrap w:val="0"/>
            <w:vAlign w:val="center"/>
          </w:tcPr>
          <w:p w14:paraId="7CB6C93C">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highlight w:val="none"/>
                <w:u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E6E0C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100%</w:t>
            </w:r>
          </w:p>
        </w:tc>
        <w:tc>
          <w:tcPr>
            <w:tcW w:w="807" w:type="dxa"/>
            <w:tcBorders>
              <w:top w:val="single" w:color="auto" w:sz="4" w:space="0"/>
              <w:left w:val="single" w:color="auto" w:sz="4" w:space="0"/>
              <w:bottom w:val="single" w:color="auto" w:sz="4" w:space="0"/>
              <w:right w:val="single" w:color="auto" w:sz="4" w:space="0"/>
            </w:tcBorders>
            <w:noWrap w:val="0"/>
            <w:vAlign w:val="center"/>
          </w:tcPr>
          <w:p w14:paraId="2D0D838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100</w:t>
            </w:r>
          </w:p>
        </w:tc>
      </w:tr>
    </w:tbl>
    <w:p w14:paraId="1214C9FE">
      <w:pPr>
        <w:pStyle w:val="10"/>
        <w:rPr>
          <w:rFonts w:hint="eastAsia" w:ascii="宋体" w:hAnsi="宋体" w:eastAsia="宋体" w:cs="宋体"/>
          <w:color w:val="auto"/>
          <w:sz w:val="24"/>
          <w:szCs w:val="24"/>
          <w:highlight w:val="none"/>
          <w:lang w:eastAsia="zh-CN"/>
        </w:rPr>
      </w:pPr>
    </w:p>
    <w:p w14:paraId="1BA7068D">
      <w:pPr>
        <w:pStyle w:val="10"/>
        <w:rPr>
          <w:rFonts w:hint="eastAsia" w:ascii="宋体" w:hAnsi="宋体" w:eastAsia="宋体" w:cs="宋体"/>
          <w:color w:val="auto"/>
          <w:sz w:val="24"/>
          <w:szCs w:val="24"/>
          <w:highlight w:val="none"/>
          <w:lang w:eastAsia="zh-CN"/>
        </w:rPr>
      </w:pPr>
    </w:p>
    <w:p w14:paraId="69D842BE">
      <w:pPr>
        <w:pStyle w:val="10"/>
        <w:rPr>
          <w:rFonts w:hint="eastAsia" w:ascii="宋体" w:hAnsi="宋体" w:eastAsia="宋体" w:cs="宋体"/>
          <w:color w:val="auto"/>
          <w:sz w:val="24"/>
          <w:szCs w:val="24"/>
          <w:highlight w:val="none"/>
          <w:lang w:eastAsia="zh-CN"/>
        </w:rPr>
      </w:pPr>
    </w:p>
    <w:p w14:paraId="453C9E74">
      <w:pPr>
        <w:pStyle w:val="10"/>
        <w:rPr>
          <w:rFonts w:hint="eastAsia" w:ascii="宋体" w:hAnsi="宋体" w:eastAsia="宋体" w:cs="宋体"/>
          <w:color w:val="auto"/>
          <w:sz w:val="24"/>
          <w:szCs w:val="24"/>
          <w:highlight w:val="none"/>
          <w:lang w:eastAsia="zh-CN"/>
        </w:rPr>
      </w:pPr>
    </w:p>
    <w:p w14:paraId="65A1A9F6">
      <w:pPr>
        <w:pStyle w:val="10"/>
        <w:rPr>
          <w:rFonts w:hint="eastAsia" w:ascii="宋体" w:hAnsi="宋体" w:eastAsia="宋体" w:cs="宋体"/>
          <w:color w:val="auto"/>
          <w:sz w:val="24"/>
          <w:szCs w:val="24"/>
          <w:highlight w:val="none"/>
          <w:lang w:eastAsia="zh-CN"/>
        </w:rPr>
      </w:pPr>
    </w:p>
    <w:p w14:paraId="0D290D9C">
      <w:pPr>
        <w:pStyle w:val="10"/>
        <w:rPr>
          <w:rFonts w:hint="eastAsia" w:ascii="宋体" w:hAnsi="宋体" w:eastAsia="宋体" w:cs="宋体"/>
          <w:color w:val="auto"/>
          <w:sz w:val="24"/>
          <w:szCs w:val="24"/>
          <w:highlight w:val="none"/>
          <w:lang w:eastAsia="zh-CN"/>
        </w:rPr>
      </w:pPr>
    </w:p>
    <w:p w14:paraId="28A28B83">
      <w:pPr>
        <w:pStyle w:val="10"/>
        <w:rPr>
          <w:rFonts w:hint="eastAsia" w:ascii="宋体" w:hAnsi="宋体" w:eastAsia="宋体" w:cs="宋体"/>
          <w:color w:val="auto"/>
          <w:sz w:val="24"/>
          <w:szCs w:val="24"/>
          <w:highlight w:val="none"/>
          <w:lang w:eastAsia="zh-CN"/>
        </w:rPr>
      </w:pPr>
    </w:p>
    <w:p w14:paraId="20CA7947">
      <w:pPr>
        <w:pStyle w:val="10"/>
        <w:ind w:left="0" w:leftChars="0"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附件2：</w:t>
      </w:r>
    </w:p>
    <w:tbl>
      <w:tblPr>
        <w:tblStyle w:val="2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38274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2D0C2E9D">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2"/>
                <w:szCs w:val="22"/>
                <w:highlight w:val="none"/>
                <w:u w:val="none"/>
              </w:rPr>
            </w:pPr>
          </w:p>
        </w:tc>
        <w:tc>
          <w:tcPr>
            <w:tcW w:w="1778" w:type="dxa"/>
            <w:tcBorders>
              <w:top w:val="nil"/>
              <w:left w:val="nil"/>
              <w:bottom w:val="nil"/>
              <w:right w:val="nil"/>
            </w:tcBorders>
            <w:noWrap/>
            <w:vAlign w:val="center"/>
          </w:tcPr>
          <w:p w14:paraId="06C5A50E">
            <w:pPr>
              <w:rPr>
                <w:rFonts w:hint="eastAsia" w:ascii="宋体" w:hAnsi="宋体" w:eastAsia="宋体" w:cs="宋体"/>
                <w:i w:val="0"/>
                <w:iCs w:val="0"/>
                <w:color w:val="auto"/>
                <w:sz w:val="22"/>
                <w:szCs w:val="22"/>
                <w:highlight w:val="none"/>
                <w:u w:val="none"/>
              </w:rPr>
            </w:pPr>
          </w:p>
        </w:tc>
        <w:tc>
          <w:tcPr>
            <w:tcW w:w="2786" w:type="dxa"/>
            <w:tcBorders>
              <w:top w:val="nil"/>
              <w:left w:val="nil"/>
              <w:bottom w:val="nil"/>
              <w:right w:val="nil"/>
            </w:tcBorders>
            <w:noWrap/>
            <w:vAlign w:val="center"/>
          </w:tcPr>
          <w:p w14:paraId="6EBE2E6C">
            <w:pPr>
              <w:rPr>
                <w:rFonts w:hint="eastAsia" w:ascii="宋体" w:hAnsi="宋体" w:eastAsia="宋体" w:cs="宋体"/>
                <w:i w:val="0"/>
                <w:iCs w:val="0"/>
                <w:color w:val="auto"/>
                <w:sz w:val="22"/>
                <w:szCs w:val="22"/>
                <w:highlight w:val="none"/>
                <w:u w:val="none"/>
              </w:rPr>
            </w:pPr>
          </w:p>
        </w:tc>
        <w:tc>
          <w:tcPr>
            <w:tcW w:w="2314" w:type="dxa"/>
            <w:tcBorders>
              <w:top w:val="nil"/>
              <w:left w:val="nil"/>
              <w:bottom w:val="nil"/>
              <w:right w:val="nil"/>
            </w:tcBorders>
            <w:noWrap/>
            <w:vAlign w:val="center"/>
          </w:tcPr>
          <w:p w14:paraId="474137E0">
            <w:pPr>
              <w:rPr>
                <w:rFonts w:hint="eastAsia" w:ascii="宋体" w:hAnsi="宋体" w:eastAsia="宋体" w:cs="宋体"/>
                <w:i w:val="0"/>
                <w:iCs w:val="0"/>
                <w:color w:val="auto"/>
                <w:sz w:val="22"/>
                <w:szCs w:val="22"/>
                <w:highlight w:val="none"/>
                <w:u w:val="none"/>
              </w:rPr>
            </w:pPr>
          </w:p>
        </w:tc>
        <w:tc>
          <w:tcPr>
            <w:tcW w:w="3449" w:type="dxa"/>
            <w:tcBorders>
              <w:top w:val="nil"/>
              <w:left w:val="nil"/>
              <w:bottom w:val="nil"/>
              <w:right w:val="nil"/>
            </w:tcBorders>
            <w:noWrap/>
            <w:vAlign w:val="center"/>
          </w:tcPr>
          <w:p w14:paraId="298ACF3A">
            <w:pPr>
              <w:rPr>
                <w:rFonts w:hint="eastAsia" w:ascii="宋体" w:hAnsi="宋体" w:eastAsia="宋体" w:cs="宋体"/>
                <w:i w:val="0"/>
                <w:iCs w:val="0"/>
                <w:color w:val="auto"/>
                <w:sz w:val="22"/>
                <w:szCs w:val="22"/>
                <w:highlight w:val="none"/>
                <w:u w:val="none"/>
              </w:rPr>
            </w:pPr>
          </w:p>
        </w:tc>
        <w:tc>
          <w:tcPr>
            <w:tcW w:w="1331" w:type="dxa"/>
            <w:tcBorders>
              <w:top w:val="nil"/>
              <w:left w:val="nil"/>
              <w:bottom w:val="nil"/>
              <w:right w:val="nil"/>
            </w:tcBorders>
            <w:noWrap/>
            <w:vAlign w:val="center"/>
          </w:tcPr>
          <w:p w14:paraId="2282558A">
            <w:pPr>
              <w:rPr>
                <w:rFonts w:hint="eastAsia" w:ascii="宋体" w:hAnsi="宋体" w:eastAsia="宋体" w:cs="宋体"/>
                <w:i w:val="0"/>
                <w:iCs w:val="0"/>
                <w:color w:val="auto"/>
                <w:sz w:val="22"/>
                <w:szCs w:val="22"/>
                <w:highlight w:val="none"/>
                <w:u w:val="none"/>
              </w:rPr>
            </w:pPr>
          </w:p>
        </w:tc>
      </w:tr>
      <w:tr w14:paraId="3E4CE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63325667">
            <w:pPr>
              <w:keepNext w:val="0"/>
              <w:keepLines w:val="0"/>
              <w:widowControl/>
              <w:suppressLineNumbers w:val="0"/>
              <w:jc w:val="center"/>
              <w:textAlignment w:val="center"/>
              <w:rPr>
                <w:rFonts w:hint="eastAsia" w:ascii="宋体" w:hAnsi="宋体" w:eastAsia="宋体" w:cs="宋体"/>
                <w:b/>
                <w:bCs/>
                <w:i w:val="0"/>
                <w:iCs w:val="0"/>
                <w:color w:val="auto"/>
                <w:sz w:val="36"/>
                <w:szCs w:val="36"/>
                <w:highlight w:val="none"/>
                <w:u w:val="none"/>
              </w:rPr>
            </w:pPr>
            <w:r>
              <w:rPr>
                <w:rFonts w:hint="eastAsia" w:ascii="宋体" w:hAnsi="宋体" w:eastAsia="宋体" w:cs="宋体"/>
                <w:b/>
                <w:bCs/>
                <w:i w:val="0"/>
                <w:iCs w:val="0"/>
                <w:color w:val="auto"/>
                <w:kern w:val="0"/>
                <w:sz w:val="36"/>
                <w:szCs w:val="36"/>
                <w:highlight w:val="none"/>
                <w:u w:val="none"/>
                <w:lang w:val="en-US" w:eastAsia="zh-CN"/>
              </w:rPr>
              <w:t>法律顾问服务项目综合得分表</w:t>
            </w:r>
          </w:p>
        </w:tc>
      </w:tr>
      <w:tr w14:paraId="64149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3A78E8E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1AFB13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43C52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45C2CC1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34D6D7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44DD19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合计</w:t>
            </w:r>
          </w:p>
        </w:tc>
      </w:tr>
      <w:tr w14:paraId="4C5BE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629B0EE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22664AE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23.00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5FEE85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12.00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7287E5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0D44701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25.00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13EC445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100.00 </w:t>
            </w:r>
          </w:p>
        </w:tc>
      </w:tr>
      <w:tr w14:paraId="23CF8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479567D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770AFB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7CAB9C6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6675617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40.00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1B489DA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25.00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5A9D72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100.00</w:t>
            </w:r>
          </w:p>
        </w:tc>
      </w:tr>
      <w:tr w14:paraId="4E697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280FA27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6823E5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736572D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37C9E7B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65A058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4D95CF3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100.00%</w:t>
            </w:r>
          </w:p>
        </w:tc>
      </w:tr>
    </w:tbl>
    <w:p w14:paraId="09C7B3B6">
      <w:pPr>
        <w:pStyle w:val="10"/>
        <w:ind w:left="0" w:leftChars="0" w:firstLine="0" w:firstLineChars="0"/>
        <w:jc w:val="both"/>
        <w:rPr>
          <w:rFonts w:hint="default" w:ascii="宋体" w:hAnsi="宋体" w:eastAsia="宋体" w:cs="宋体"/>
          <w:sz w:val="24"/>
          <w:szCs w:val="24"/>
          <w:lang w:val="en-US" w:eastAsia="zh-CN"/>
        </w:rPr>
      </w:pPr>
    </w:p>
    <w:p w14:paraId="3027712A">
      <w:pPr>
        <w:pStyle w:val="10"/>
        <w:ind w:left="0" w:leftChars="0" w:firstLine="0" w:firstLineChars="0"/>
        <w:jc w:val="both"/>
        <w:rPr>
          <w:rFonts w:hint="eastAsia" w:ascii="宋体" w:hAnsi="宋体" w:eastAsia="宋体" w:cs="宋体"/>
          <w:sz w:val="24"/>
          <w:szCs w:val="24"/>
          <w:lang w:eastAsia="zh-CN"/>
        </w:rPr>
        <w:sectPr>
          <w:pgSz w:w="16838" w:h="11906" w:orient="landscape"/>
          <w:pgMar w:top="1531" w:right="1985" w:bottom="1531" w:left="1701" w:header="851" w:footer="992" w:gutter="0"/>
          <w:pgNumType w:start="1"/>
          <w:cols w:space="720" w:num="1"/>
          <w:docGrid w:type="linesAndChars" w:linePitch="386" w:charSpace="0"/>
        </w:sectPr>
      </w:pPr>
    </w:p>
    <w:p w14:paraId="62D75020">
      <w:pPr>
        <w:pStyle w:val="10"/>
        <w:ind w:left="0" w:leftChars="0" w:firstLine="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附件3：</w:t>
      </w:r>
    </w:p>
    <w:p w14:paraId="3E0C3A43">
      <w:pPr>
        <w:pStyle w:val="10"/>
        <w:ind w:left="0" w:leftChars="0" w:firstLine="0" w:firstLine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法律顾问服务项目调查问卷</w:t>
      </w:r>
    </w:p>
    <w:p w14:paraId="401A342B">
      <w:pPr>
        <w:pStyle w:val="10"/>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pict>
          <v:shape id="_x0000_i1025" o:spt="75" alt="法律顾问调查问卷案1 001" type="#_x0000_t75" style="height:560.25pt;width:441.85pt;" filled="f" o:preferrelative="t" stroked="f" coordsize="21600,21600">
            <v:path/>
            <v:fill on="f" focussize="0,0"/>
            <v:stroke on="f" joinstyle="miter"/>
            <v:imagedata r:id="rId8" o:title="法律顾问调查问卷案1 001"/>
            <o:lock v:ext="edit" aspectratio="t"/>
            <w10:wrap type="none"/>
            <w10:anchorlock/>
          </v:shape>
        </w:pict>
      </w:r>
    </w:p>
    <w:p w14:paraId="507EAF9C">
      <w:pPr>
        <w:pStyle w:val="10"/>
        <w:keepNext w:val="0"/>
        <w:keepLines w:val="0"/>
        <w:pageBreakBefore w:val="0"/>
        <w:widowControl w:val="0"/>
        <w:kinsoku/>
        <w:wordWrap/>
        <w:overflowPunct/>
        <w:topLinePunct w:val="0"/>
        <w:bidi w:val="0"/>
        <w:snapToGrid w:val="0"/>
        <w:spacing w:line="360" w:lineRule="auto"/>
        <w:textAlignment w:val="auto"/>
        <w:rPr>
          <w:rFonts w:hint="eastAsia" w:ascii="宋体" w:hAnsi="宋体" w:eastAsia="宋体" w:cs="宋体"/>
          <w:b/>
          <w:bCs/>
          <w:sz w:val="24"/>
          <w:szCs w:val="24"/>
          <w:highlight w:val="none"/>
          <w:lang w:val="en-US" w:eastAsia="zh-CN"/>
        </w:rPr>
      </w:pPr>
    </w:p>
    <w:p w14:paraId="5DA119BF">
      <w:pPr>
        <w:pStyle w:val="10"/>
        <w:keepNext w:val="0"/>
        <w:keepLines w:val="0"/>
        <w:pageBreakBefore w:val="0"/>
        <w:widowControl w:val="0"/>
        <w:kinsoku/>
        <w:wordWrap/>
        <w:overflowPunct/>
        <w:topLinePunct w:val="0"/>
        <w:bidi w:val="0"/>
        <w:snapToGrid w:val="0"/>
        <w:spacing w:line="360" w:lineRule="auto"/>
        <w:jc w:val="both"/>
        <w:textAlignment w:val="auto"/>
        <w:rPr>
          <w:rFonts w:hint="eastAsia" w:ascii="宋体" w:hAnsi="宋体" w:eastAsia="宋体" w:cs="宋体"/>
          <w:sz w:val="24"/>
          <w:szCs w:val="24"/>
          <w:lang w:eastAsia="zh-CN"/>
        </w:rPr>
      </w:pPr>
      <w:r>
        <w:rPr>
          <w:rFonts w:hint="eastAsia" w:ascii="宋体" w:hAnsi="宋体" w:eastAsia="宋体" w:cs="宋体"/>
          <w:b/>
          <w:bCs/>
          <w:sz w:val="24"/>
          <w:szCs w:val="24"/>
          <w:highlight w:val="none"/>
          <w:lang w:val="en-US" w:eastAsia="zh-CN"/>
        </w:rPr>
        <w:pict>
          <v:shape id="_x0000_i1026" o:spt="75" alt="法律顾问调查问卷2 001" type="#_x0000_t75" style="height:607.7pt;width:441.85pt;" filled="f" o:preferrelative="t" stroked="f" coordsize="21600,21600">
            <v:path/>
            <v:fill on="f" focussize="0,0"/>
            <v:stroke on="f" joinstyle="miter"/>
            <v:imagedata r:id="rId9" o:title="法律顾问调查问卷2 001"/>
            <o:lock v:ext="edit" aspectratio="t"/>
            <w10:wrap type="none"/>
            <w10:anchorlock/>
          </v:shape>
        </w:pic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C73661-B259-46F3-95B7-2073DA2BC0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E2AAF8F-A36A-4349-9576-6367314330EB}"/>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script"/>
    <w:pitch w:val="default"/>
    <w:sig w:usb0="A00002BF" w:usb1="38CF7CFA" w:usb2="00082016" w:usb3="00000000" w:csb0="00040001" w:csb1="00000000"/>
    <w:embedRegular r:id="rId3" w:fontKey="{FC8F9AD1-C12E-4065-AFF4-BA2D530EA3B2}"/>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4" w:fontKey="{BF18EA94-57EE-49E7-BC1B-69276F310D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8F9A9">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2E5A02">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suff w:val="nothing"/>
      <w:lvlText w:val="（%1）"/>
      <w:lvlJc w:val="left"/>
    </w:lvl>
  </w:abstractNum>
  <w:abstractNum w:abstractNumId="1">
    <w:nsid w:val="0053208E"/>
    <w:multiLevelType w:val="singleLevel"/>
    <w:tmpl w:val="0053208E"/>
    <w:lvl w:ilvl="0" w:tentative="0">
      <w:start w:val="2"/>
      <w:numFmt w:val="decimal"/>
      <w:lvlText w:val="%1."/>
      <w:lvlJc w:val="left"/>
      <w:pPr>
        <w:tabs>
          <w:tab w:val="left" w:pos="312"/>
        </w:tabs>
      </w:pPr>
    </w:lvl>
  </w:abstractNum>
  <w:abstractNum w:abstractNumId="2">
    <w:nsid w:val="59ADCABA"/>
    <w:multiLevelType w:val="singleLevel"/>
    <w:tmpl w:val="59ADCABA"/>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407438D8"/>
    <w:rsid w:val="57014FFE"/>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3"/>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4"/>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5"/>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6"/>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2"/>
    <w:unhideWhenUsed/>
    <w:uiPriority w:val="0"/>
    <w:pPr>
      <w:ind w:firstLine="420"/>
    </w:pPr>
  </w:style>
  <w:style w:type="paragraph" w:styleId="3">
    <w:name w:val="Body Text Indent"/>
    <w:basedOn w:val="1"/>
    <w:link w:val="31"/>
    <w:unhideWhenUsed/>
    <w:qFormat/>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7"/>
    <w:unhideWhenUsed/>
    <w:qFormat/>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toc 8"/>
    <w:basedOn w:val="1"/>
    <w:next w:val="1"/>
    <w:unhideWhenUsed/>
    <w:uiPriority w:val="39"/>
    <w:pPr>
      <w:ind w:left="1960"/>
      <w:jc w:val="left"/>
    </w:pPr>
    <w:rPr>
      <w:rFonts w:ascii="Calibri" w:hAnsi="Calibri" w:cs="Calibri"/>
      <w:sz w:val="18"/>
      <w:szCs w:val="18"/>
    </w:rPr>
  </w:style>
  <w:style w:type="paragraph" w:styleId="14">
    <w:name w:val="Balloon Text"/>
    <w:basedOn w:val="1"/>
    <w:link w:val="39"/>
    <w:unhideWhenUsed/>
    <w:uiPriority w:val="99"/>
    <w:rPr>
      <w:rFonts w:cs="Times New Roman"/>
      <w:kern w:val="0"/>
      <w:sz w:val="18"/>
      <w:szCs w:val="18"/>
    </w:rPr>
  </w:style>
  <w:style w:type="paragraph" w:styleId="15">
    <w:name w:val="footer"/>
    <w:basedOn w:val="1"/>
    <w:link w:val="40"/>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Title"/>
    <w:basedOn w:val="1"/>
    <w:next w:val="1"/>
    <w:link w:val="42"/>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0"/>
    <w:rPr>
      <w:b/>
      <w:bCs/>
    </w:rPr>
  </w:style>
  <w:style w:type="character" w:styleId="27">
    <w:name w:val="Hyperlink"/>
    <w:unhideWhenUsed/>
    <w:uiPriority w:val="99"/>
    <w:rPr>
      <w:color w:val="0000FF"/>
      <w:u w:val="single"/>
    </w:rPr>
  </w:style>
  <w:style w:type="paragraph" w:customStyle="1" w:styleId="28">
    <w:name w:val="Comment Text"/>
    <w:basedOn w:val="1"/>
    <w:link w:val="38"/>
    <w:unhideWhenUsed/>
    <w:uiPriority w:val="99"/>
    <w:rPr>
      <w:rFonts w:cs="Times New Roman"/>
      <w:kern w:val="0"/>
      <w:sz w:val="20"/>
      <w:szCs w:val="20"/>
    </w:rPr>
  </w:style>
  <w:style w:type="paragraph" w:customStyle="1" w:styleId="29">
    <w:name w:val="Comment Subject"/>
    <w:basedOn w:val="28"/>
    <w:next w:val="28"/>
    <w:link w:val="43"/>
    <w:unhideWhenUsed/>
    <w:uiPriority w:val="99"/>
    <w:rPr>
      <w:b/>
      <w:bCs/>
    </w:rPr>
  </w:style>
  <w:style w:type="character" w:customStyle="1" w:styleId="30">
    <w:name w:val="Comment Reference"/>
    <w:unhideWhenUsed/>
    <w:uiPriority w:val="99"/>
    <w:rPr>
      <w:sz w:val="16"/>
      <w:szCs w:val="16"/>
    </w:rPr>
  </w:style>
  <w:style w:type="character" w:customStyle="1" w:styleId="31">
    <w:name w:val="正文文本缩进 Char"/>
    <w:link w:val="3"/>
    <w:semiHidden/>
    <w:uiPriority w:val="99"/>
    <w:rPr>
      <w:rFonts w:ascii="Calibri" w:hAnsi="Calibri" w:eastAsia="仿宋_GB2312" w:cs="黑体"/>
      <w:sz w:val="28"/>
    </w:rPr>
  </w:style>
  <w:style w:type="character" w:customStyle="1" w:styleId="32">
    <w:name w:val="正文首行缩进 2 Char"/>
    <w:link w:val="2"/>
    <w:uiPriority w:val="0"/>
    <w:rPr>
      <w:rFonts w:ascii="Calibri" w:hAnsi="Calibri" w:eastAsia="仿宋_GB2312" w:cs="黑体"/>
      <w:sz w:val="28"/>
    </w:rPr>
  </w:style>
  <w:style w:type="character" w:customStyle="1" w:styleId="33">
    <w:name w:val="标题 1 Char"/>
    <w:link w:val="4"/>
    <w:uiPriority w:val="9"/>
    <w:rPr>
      <w:rFonts w:ascii="Times New Roman" w:hAnsi="Times New Roman" w:eastAsia="仿宋_GB2312" w:cs="Times New Roman"/>
      <w:b/>
      <w:bCs/>
      <w:kern w:val="44"/>
      <w:sz w:val="32"/>
      <w:szCs w:val="44"/>
    </w:rPr>
  </w:style>
  <w:style w:type="character" w:customStyle="1" w:styleId="34">
    <w:name w:val="标题 2 Char"/>
    <w:link w:val="5"/>
    <w:uiPriority w:val="0"/>
    <w:rPr>
      <w:rFonts w:ascii="Cambria" w:hAnsi="Cambria" w:eastAsia="仿宋_GB2312" w:cs="Times New Roman"/>
      <w:b/>
      <w:bCs/>
      <w:kern w:val="0"/>
      <w:sz w:val="30"/>
      <w:szCs w:val="32"/>
    </w:rPr>
  </w:style>
  <w:style w:type="character" w:customStyle="1" w:styleId="35">
    <w:name w:val="标题 3 Char"/>
    <w:link w:val="6"/>
    <w:uiPriority w:val="9"/>
    <w:rPr>
      <w:rFonts w:ascii="Calibri" w:hAnsi="Calibri" w:eastAsia="仿宋_GB2312" w:cs="黑体"/>
      <w:bCs/>
      <w:sz w:val="28"/>
      <w:szCs w:val="32"/>
    </w:rPr>
  </w:style>
  <w:style w:type="character" w:customStyle="1" w:styleId="36">
    <w:name w:val="标题 4 Char"/>
    <w:link w:val="7"/>
    <w:semiHidden/>
    <w:uiPriority w:val="9"/>
    <w:rPr>
      <w:rFonts w:ascii="Cambria" w:hAnsi="Cambria" w:eastAsia="宋体" w:cs="Times New Roman"/>
      <w:b/>
      <w:bCs/>
      <w:sz w:val="28"/>
      <w:szCs w:val="28"/>
    </w:rPr>
  </w:style>
  <w:style w:type="character" w:customStyle="1" w:styleId="37">
    <w:name w:val="文档结构图 Char"/>
    <w:link w:val="9"/>
    <w:semiHidden/>
    <w:uiPriority w:val="99"/>
    <w:rPr>
      <w:rFonts w:ascii="宋体" w:hAnsi="Calibri" w:eastAsia="宋体" w:cs="黑体"/>
      <w:sz w:val="18"/>
      <w:szCs w:val="18"/>
    </w:rPr>
  </w:style>
  <w:style w:type="character" w:customStyle="1" w:styleId="38">
    <w:name w:val="批注文字 Char"/>
    <w:link w:val="28"/>
    <w:semiHidden/>
    <w:uiPriority w:val="99"/>
    <w:rPr>
      <w:rFonts w:ascii="Calibri" w:hAnsi="Calibri" w:eastAsia="仿宋_GB2312" w:cs="黑体"/>
      <w:sz w:val="20"/>
      <w:szCs w:val="20"/>
    </w:rPr>
  </w:style>
  <w:style w:type="character" w:customStyle="1" w:styleId="39">
    <w:name w:val="批注框文本 Char"/>
    <w:link w:val="14"/>
    <w:semiHidden/>
    <w:uiPriority w:val="99"/>
    <w:rPr>
      <w:rFonts w:ascii="Calibri" w:hAnsi="Calibri" w:eastAsia="仿宋_GB2312" w:cs="黑体"/>
      <w:sz w:val="18"/>
      <w:szCs w:val="18"/>
    </w:rPr>
  </w:style>
  <w:style w:type="character" w:customStyle="1" w:styleId="40">
    <w:name w:val="页脚 Char"/>
    <w:link w:val="15"/>
    <w:uiPriority w:val="99"/>
    <w:rPr>
      <w:rFonts w:ascii="Calibri" w:hAnsi="Calibri" w:eastAsia="仿宋_GB2312" w:cs="黑体"/>
      <w:sz w:val="18"/>
      <w:szCs w:val="18"/>
    </w:rPr>
  </w:style>
  <w:style w:type="character" w:customStyle="1" w:styleId="41">
    <w:name w:val="页眉 Char"/>
    <w:link w:val="16"/>
    <w:uiPriority w:val="99"/>
    <w:rPr>
      <w:rFonts w:ascii="Calibri" w:hAnsi="Calibri" w:eastAsia="仿宋_GB2312" w:cs="黑体"/>
      <w:sz w:val="18"/>
      <w:szCs w:val="18"/>
    </w:rPr>
  </w:style>
  <w:style w:type="character" w:customStyle="1" w:styleId="42">
    <w:name w:val="标题 Char"/>
    <w:link w:val="22"/>
    <w:uiPriority w:val="10"/>
    <w:rPr>
      <w:rFonts w:ascii="Cambria" w:hAnsi="Cambria"/>
      <w:b/>
      <w:bCs/>
      <w:kern w:val="2"/>
      <w:sz w:val="32"/>
      <w:szCs w:val="32"/>
    </w:rPr>
  </w:style>
  <w:style w:type="character" w:customStyle="1" w:styleId="43">
    <w:name w:val="批注主题 Char"/>
    <w:link w:val="29"/>
    <w:semiHidden/>
    <w:uiPriority w:val="99"/>
    <w:rPr>
      <w:rFonts w:ascii="Calibri" w:hAnsi="Calibri" w:eastAsia="仿宋_GB2312" w:cs="黑体"/>
      <w:b/>
      <w:bCs/>
      <w:sz w:val="20"/>
      <w:szCs w:val="20"/>
    </w:rPr>
  </w:style>
  <w:style w:type="character" w:customStyle="1" w:styleId="44">
    <w:name w:val="闻政-正文二级标题 Char"/>
    <w:link w:val="45"/>
    <w:uiPriority w:val="3"/>
    <w:rPr>
      <w:rFonts w:ascii="Times New Roman" w:hAnsi="Times New Roman" w:eastAsia="仿宋_GB2312"/>
      <w:b/>
      <w:bCs/>
      <w:sz w:val="28"/>
      <w:szCs w:val="32"/>
    </w:rPr>
  </w:style>
  <w:style w:type="paragraph" w:customStyle="1" w:styleId="45">
    <w:name w:val="闻政-正文二级标题"/>
    <w:basedOn w:val="5"/>
    <w:next w:val="46"/>
    <w:link w:val="44"/>
    <w:qFormat/>
    <w:uiPriority w:val="3"/>
    <w:pPr>
      <w:spacing w:before="120" w:after="60" w:line="500" w:lineRule="exact"/>
      <w:ind w:left="200" w:leftChars="200" w:firstLine="0" w:firstLineChars="0"/>
    </w:pPr>
    <w:rPr>
      <w:rFonts w:ascii="Times New Roman" w:hAnsi="Times New Roman"/>
      <w:sz w:val="28"/>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uiPriority w:val="3"/>
    <w:rPr>
      <w:rFonts w:ascii="Times New Roman" w:hAnsi="Times New Roman" w:eastAsia="仿宋_GB2312"/>
      <w:sz w:val="28"/>
      <w:szCs w:val="28"/>
    </w:rPr>
  </w:style>
  <w:style w:type="character" w:customStyle="1" w:styleId="48">
    <w:name w:val="font21"/>
    <w:uiPriority w:val="0"/>
    <w:rPr>
      <w:rFonts w:hint="default" w:ascii="Times New Roman" w:hAnsi="Times New Roman" w:cs="Times New Roman"/>
      <w:color w:val="000000"/>
      <w:sz w:val="24"/>
      <w:szCs w:val="24"/>
      <w:u w:val="none"/>
    </w:rPr>
  </w:style>
  <w:style w:type="character" w:customStyle="1" w:styleId="49">
    <w:name w:val="font11"/>
    <w:uiPriority w:val="0"/>
    <w:rPr>
      <w:rFonts w:hint="eastAsia" w:ascii="方正仿宋_GBK" w:hAnsi="方正仿宋_GBK" w:eastAsia="方正仿宋_GBK" w:cs="方正仿宋_GBK"/>
      <w:color w:val="000000"/>
      <w:sz w:val="24"/>
      <w:szCs w:val="24"/>
      <w:u w:val="none"/>
    </w:rPr>
  </w:style>
  <w:style w:type="character" w:customStyle="1" w:styleId="50">
    <w:name w:val="闻政-正文三级标题 Char"/>
    <w:link w:val="51"/>
    <w:uiPriority w:val="3"/>
    <w:rPr>
      <w:rFonts w:ascii="Times New Roman" w:hAnsi="Times New Roman" w:eastAsia="仿宋_GB2312"/>
      <w:b/>
      <w:snapToGrid w:val="0"/>
      <w:sz w:val="28"/>
      <w:szCs w:val="28"/>
    </w:rPr>
  </w:style>
  <w:style w:type="paragraph" w:customStyle="1" w:styleId="51">
    <w:name w:val="闻政-正文三级标题"/>
    <w:basedOn w:val="1"/>
    <w:next w:val="46"/>
    <w:link w:val="50"/>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2">
    <w:name w:val="font71"/>
    <w:basedOn w:val="25"/>
    <w:uiPriority w:val="0"/>
    <w:rPr>
      <w:rFonts w:hint="eastAsia" w:ascii="微软雅黑" w:hAnsi="微软雅黑" w:eastAsia="微软雅黑" w:cs="微软雅黑"/>
      <w:b/>
      <w:bCs/>
      <w:color w:val="000000"/>
      <w:sz w:val="32"/>
      <w:szCs w:val="32"/>
      <w:u w:val="none"/>
    </w:rPr>
  </w:style>
  <w:style w:type="character" w:customStyle="1" w:styleId="53">
    <w:name w:val="无间隔 Char"/>
    <w:link w:val="54"/>
    <w:uiPriority w:val="1"/>
    <w:rPr>
      <w:rFonts w:eastAsia="仿宋_GB2312" w:cs="黑体"/>
      <w:kern w:val="2"/>
      <w:sz w:val="28"/>
      <w:szCs w:val="22"/>
      <w:lang w:val="en-US" w:eastAsia="zh-CN" w:bidi="ar-SA"/>
    </w:rPr>
  </w:style>
  <w:style w:type="paragraph" w:styleId="54">
    <w:name w:val="No Spacing"/>
    <w:link w:val="53"/>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55">
    <w:name w:val="55"/>
    <w:qFormat/>
    <w:uiPriority w:val="0"/>
    <w:rPr>
      <w:b/>
      <w:bCs/>
      <w:smallCaps/>
      <w:color w:val="C0504D"/>
      <w:spacing w:val="5"/>
      <w:u w:val="single"/>
    </w:rPr>
  </w:style>
  <w:style w:type="character" w:customStyle="1" w:styleId="56">
    <w:name w:val="闻政-正文一级标题 Char"/>
    <w:link w:val="57"/>
    <w:uiPriority w:val="3"/>
    <w:rPr>
      <w:rFonts w:ascii="黑体" w:hAnsi="黑体" w:eastAsia="黑体"/>
      <w:bCs/>
      <w:sz w:val="32"/>
      <w:szCs w:val="32"/>
    </w:rPr>
  </w:style>
  <w:style w:type="paragraph" w:customStyle="1" w:styleId="57">
    <w:name w:val="闻政-正文一级标题"/>
    <w:basedOn w:val="6"/>
    <w:next w:val="46"/>
    <w:link w:val="56"/>
    <w:qFormat/>
    <w:uiPriority w:val="3"/>
    <w:pPr>
      <w:spacing w:before="120" w:after="60" w:line="500" w:lineRule="exact"/>
      <w:ind w:firstLine="0" w:firstLineChars="0"/>
      <w:outlineLvl w:val="0"/>
    </w:pPr>
    <w:rPr>
      <w:rFonts w:ascii="黑体" w:hAnsi="黑体" w:eastAsia="黑体"/>
      <w:sz w:val="32"/>
    </w:rPr>
  </w:style>
  <w:style w:type="paragraph" w:styleId="58">
    <w:name w:val="List Paragraph"/>
    <w:basedOn w:val="1"/>
    <w:qFormat/>
    <w:uiPriority w:val="34"/>
    <w:pPr>
      <w:ind w:firstLine="420"/>
    </w:pPr>
  </w:style>
  <w:style w:type="paragraph" w:customStyle="1" w:styleId="59">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0E1E0220AEEF4801A206903A8CC6308B_13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e5258072-77f6-491a-8699-dcdda4c8dc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12032</Words>
  <Characters>12682</Characters>
  <Lines>44</Lines>
  <Paragraphs>12</Paragraphs>
  <TotalTime>7</TotalTime>
  <ScaleCrop>false</ScaleCrop>
  <LinksUpToDate>false</LinksUpToDate>
  <CharactersWithSpaces>12708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2025-12-25T11:11:12Z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0E1E0220AEEF4801A206903A8CC6308B_13</vt:lpwstr>
  </property>
  <property fmtid="{D5CDD505-2E9C-101B-9397-08002B2CF9AE}" pid="4" name="KSOTemplateDocerSaveRecord">
    <vt:lpwstr>eyJoZGlkIjoiYjM4NWYyMWE2NWU1OGNiMmIxMmZkYzA5MWEwNzJlZmIiLCJ1c2VySWQiOiI0MzE2NzY3NzkifQ==</vt:lpwstr>
  </property>
</Properties>
</file>