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97F745">
      <w:bookmarkStart w:id="20" w:name="_GoBack"/>
      <w:bookmarkEnd w:id="20"/>
    </w:p>
    <w:p w14:paraId="6682903D">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kern w:val="0"/>
          <w:sz w:val="32"/>
          <w:szCs w:val="32"/>
          <w:highlight w:val="none"/>
          <w:lang w:val="en-US" w:eastAsia="zh-CN" w:bidi="en-US"/>
        </w:rPr>
      </w:pPr>
    </w:p>
    <w:p w14:paraId="56D90702">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rPr>
          <w:rFonts w:hint="eastAsia" w:ascii="宋体" w:hAnsi="宋体" w:eastAsia="宋体" w:cs="宋体"/>
          <w:b/>
          <w:sz w:val="36"/>
          <w:szCs w:val="36"/>
          <w:highlight w:val="none"/>
          <w:lang w:val="en-US" w:eastAsia="zh-CN"/>
        </w:rPr>
      </w:pPr>
    </w:p>
    <w:p w14:paraId="39AECB88">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rPr>
          <w:rFonts w:hint="eastAsia" w:ascii="宋体" w:hAnsi="宋体" w:eastAsia="宋体" w:cs="宋体"/>
          <w:b/>
          <w:sz w:val="36"/>
          <w:szCs w:val="36"/>
          <w:highlight w:val="none"/>
          <w:lang w:val="en-US" w:eastAsia="zh-CN"/>
        </w:rPr>
      </w:pPr>
    </w:p>
    <w:p w14:paraId="2E490695">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宋体" w:hAnsi="宋体" w:eastAsia="宋体" w:cs="宋体"/>
          <w:highlight w:val="none"/>
        </w:rPr>
      </w:pPr>
      <w:r>
        <w:rPr>
          <w:rFonts w:hint="eastAsia" w:ascii="宋体" w:hAnsi="宋体" w:eastAsia="宋体" w:cs="宋体"/>
          <w:b/>
          <w:sz w:val="36"/>
          <w:szCs w:val="36"/>
          <w:highlight w:val="none"/>
          <w:lang w:val="en-US" w:eastAsia="zh-CN"/>
        </w:rPr>
        <w:t>和田地区洛浦县行政服务中心及保障性住房水电费</w:t>
      </w:r>
      <w:r>
        <w:rPr>
          <w:rFonts w:hint="eastAsia" w:ascii="宋体" w:hAnsi="宋体" w:eastAsia="宋体" w:cs="宋体"/>
          <w:b/>
          <w:sz w:val="36"/>
          <w:szCs w:val="36"/>
          <w:highlight w:val="none"/>
        </w:rPr>
        <w:t>项目支出绩效评价报告</w:t>
      </w:r>
    </w:p>
    <w:p w14:paraId="33537803">
      <w:pPr>
        <w:pStyle w:val="6"/>
        <w:tabs>
          <w:tab w:val="left" w:pos="3354"/>
          <w:tab w:val="center" w:pos="4680"/>
        </w:tabs>
        <w:jc w:val="center"/>
        <w:rPr>
          <w:rFonts w:hint="eastAsia" w:ascii="宋体" w:hAnsi="宋体" w:eastAsia="宋体" w:cs="宋体"/>
          <w:highlight w:val="none"/>
          <w:lang w:eastAsia="zh-CN"/>
        </w:rPr>
      </w:pPr>
      <w:r>
        <w:rPr>
          <w:rFonts w:hint="eastAsia" w:ascii="宋体" w:hAnsi="宋体" w:eastAsia="宋体" w:cs="宋体"/>
          <w:highlight w:val="none"/>
          <w:lang w:eastAsia="zh-CN"/>
        </w:rPr>
        <w:t>（</w:t>
      </w:r>
      <w:r>
        <w:rPr>
          <w:rFonts w:hint="eastAsia" w:ascii="宋体" w:hAnsi="宋体" w:eastAsia="宋体" w:cs="宋体"/>
          <w:highlight w:val="none"/>
          <w:lang w:val="en-US" w:eastAsia="zh-CN"/>
        </w:rPr>
        <w:t>2024年度</w:t>
      </w:r>
      <w:r>
        <w:rPr>
          <w:rFonts w:hint="eastAsia" w:ascii="宋体" w:hAnsi="宋体" w:eastAsia="宋体" w:cs="宋体"/>
          <w:highlight w:val="none"/>
          <w:lang w:eastAsia="zh-CN"/>
        </w:rPr>
        <w:t>）</w:t>
      </w:r>
    </w:p>
    <w:p w14:paraId="567CEB9B">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highlight w:val="none"/>
          <w:lang w:bidi="en-US"/>
        </w:rPr>
      </w:pPr>
    </w:p>
    <w:p w14:paraId="4CAD5774">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highlight w:val="none"/>
          <w:lang w:bidi="en-US"/>
        </w:rPr>
      </w:pPr>
    </w:p>
    <w:p w14:paraId="465BCF6E">
      <w:pPr>
        <w:pageBreakBefore w:val="0"/>
        <w:widowControl w:val="0"/>
        <w:kinsoku/>
        <w:wordWrap/>
        <w:topLinePunct w:val="0"/>
        <w:autoSpaceDE/>
        <w:autoSpaceDN/>
        <w:bidi w:val="0"/>
        <w:spacing w:line="560" w:lineRule="exact"/>
        <w:ind w:left="0" w:leftChars="0" w:firstLine="560"/>
        <w:textAlignment w:val="auto"/>
        <w:rPr>
          <w:rFonts w:hint="eastAsia"/>
          <w:highlight w:val="none"/>
        </w:rPr>
      </w:pPr>
    </w:p>
    <w:p w14:paraId="1B43BE23">
      <w:pPr>
        <w:pStyle w:val="2"/>
        <w:rPr>
          <w:rFonts w:hint="eastAsia"/>
          <w:highlight w:val="none"/>
        </w:rPr>
      </w:pPr>
    </w:p>
    <w:p w14:paraId="3550ED6C">
      <w:pPr>
        <w:pStyle w:val="2"/>
        <w:rPr>
          <w:rFonts w:hint="eastAsia"/>
          <w:highlight w:val="none"/>
        </w:rPr>
      </w:pPr>
    </w:p>
    <w:p w14:paraId="7748754B">
      <w:pPr>
        <w:pStyle w:val="2"/>
        <w:rPr>
          <w:rFonts w:hint="eastAsia"/>
          <w:highlight w:val="none"/>
        </w:rPr>
      </w:pPr>
    </w:p>
    <w:p w14:paraId="315766B8">
      <w:pPr>
        <w:pStyle w:val="2"/>
        <w:rPr>
          <w:rFonts w:hint="eastAsia"/>
          <w:highlight w:val="none"/>
        </w:rPr>
      </w:pPr>
    </w:p>
    <w:p w14:paraId="10F753AB">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kern w:val="0"/>
          <w:sz w:val="32"/>
          <w:szCs w:val="32"/>
          <w:highlight w:val="none"/>
          <w:lang w:bidi="en-US"/>
        </w:rPr>
      </w:pPr>
    </w:p>
    <w:p w14:paraId="7D2BB21D">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color w:val="auto"/>
          <w:kern w:val="0"/>
          <w:sz w:val="28"/>
          <w:szCs w:val="28"/>
          <w:highlight w:val="none"/>
          <w:lang w:bidi="en-US"/>
        </w:rPr>
      </w:pPr>
      <w:r>
        <w:rPr>
          <w:rFonts w:hint="eastAsia" w:ascii="宋体" w:hAnsi="宋体" w:eastAsia="宋体" w:cs="宋体"/>
          <w:color w:val="auto"/>
          <w:kern w:val="0"/>
          <w:sz w:val="28"/>
          <w:szCs w:val="28"/>
          <w:highlight w:val="none"/>
          <w:lang w:bidi="en-US"/>
        </w:rPr>
        <w:t>项目名称：行政服务中心及保障性住房水电费项目</w:t>
      </w:r>
    </w:p>
    <w:p w14:paraId="2AD1CCCA">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color w:val="FF0000"/>
          <w:kern w:val="0"/>
          <w:sz w:val="28"/>
          <w:szCs w:val="28"/>
          <w:highlight w:val="none"/>
          <w:lang w:val="en-US" w:eastAsia="zh-CN" w:bidi="en-US"/>
        </w:rPr>
      </w:pPr>
      <w:r>
        <w:rPr>
          <w:rFonts w:hint="eastAsia" w:ascii="宋体" w:hAnsi="宋体" w:eastAsia="宋体" w:cs="宋体"/>
          <w:kern w:val="0"/>
          <w:sz w:val="28"/>
          <w:szCs w:val="28"/>
          <w:highlight w:val="none"/>
          <w:lang w:bidi="en-US"/>
        </w:rPr>
        <w:t>项目单位：</w:t>
      </w:r>
      <w:r>
        <w:rPr>
          <w:rFonts w:hint="eastAsia" w:ascii="宋体" w:hAnsi="宋体" w:eastAsia="宋体" w:cs="宋体"/>
          <w:kern w:val="0"/>
          <w:sz w:val="28"/>
          <w:szCs w:val="28"/>
          <w:highlight w:val="none"/>
          <w:lang w:eastAsia="zh-CN" w:bidi="en-US"/>
        </w:rPr>
        <w:t>中共洛浦县委办公室</w:t>
      </w:r>
    </w:p>
    <w:p w14:paraId="0C395C6F">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color w:val="FF0000"/>
          <w:kern w:val="0"/>
          <w:sz w:val="28"/>
          <w:szCs w:val="28"/>
          <w:highlight w:val="none"/>
          <w:lang w:bidi="en-US"/>
        </w:rPr>
      </w:pPr>
      <w:r>
        <w:rPr>
          <w:rFonts w:hint="eastAsia" w:ascii="宋体" w:hAnsi="宋体" w:eastAsia="宋体" w:cs="宋体"/>
          <w:kern w:val="0"/>
          <w:sz w:val="28"/>
          <w:szCs w:val="28"/>
          <w:highlight w:val="none"/>
          <w:lang w:bidi="en-US"/>
        </w:rPr>
        <w:t>主管部门：</w:t>
      </w:r>
      <w:r>
        <w:rPr>
          <w:rFonts w:hint="eastAsia" w:ascii="宋体" w:hAnsi="宋体" w:eastAsia="宋体" w:cs="宋体"/>
          <w:kern w:val="0"/>
          <w:sz w:val="28"/>
          <w:szCs w:val="28"/>
          <w:highlight w:val="none"/>
          <w:lang w:eastAsia="zh-CN" w:bidi="en-US"/>
        </w:rPr>
        <w:t>中共洛浦县委</w:t>
      </w:r>
    </w:p>
    <w:p w14:paraId="0B03C54D">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kern w:val="0"/>
          <w:sz w:val="28"/>
          <w:szCs w:val="28"/>
          <w:highlight w:val="none"/>
          <w:lang w:eastAsia="zh-CN" w:bidi="en-US"/>
        </w:rPr>
      </w:pPr>
      <w:r>
        <w:rPr>
          <w:rFonts w:hint="eastAsia" w:ascii="宋体" w:hAnsi="宋体" w:eastAsia="宋体" w:cs="宋体"/>
          <w:kern w:val="0"/>
          <w:sz w:val="28"/>
          <w:szCs w:val="28"/>
          <w:highlight w:val="none"/>
          <w:lang w:bidi="en-US"/>
        </w:rPr>
        <w:t>项目负责人：</w:t>
      </w:r>
      <w:r>
        <w:rPr>
          <w:rFonts w:hint="eastAsia" w:ascii="宋体" w:hAnsi="宋体" w:eastAsia="宋体" w:cs="宋体"/>
          <w:kern w:val="0"/>
          <w:sz w:val="28"/>
          <w:szCs w:val="28"/>
          <w:highlight w:val="none"/>
          <w:lang w:eastAsia="zh-CN" w:bidi="en-US"/>
        </w:rPr>
        <w:t>王刚</w:t>
      </w:r>
    </w:p>
    <w:p w14:paraId="64997C7C">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kern w:val="0"/>
          <w:sz w:val="28"/>
          <w:szCs w:val="28"/>
          <w:highlight w:val="none"/>
          <w:lang w:bidi="en-US"/>
        </w:rPr>
      </w:pPr>
      <w:r>
        <w:rPr>
          <w:rFonts w:hint="eastAsia" w:ascii="宋体" w:hAnsi="宋体" w:eastAsia="宋体" w:cs="宋体"/>
          <w:kern w:val="0"/>
          <w:sz w:val="28"/>
          <w:szCs w:val="28"/>
          <w:highlight w:val="none"/>
          <w:lang w:bidi="en-US"/>
        </w:rPr>
        <w:t xml:space="preserve">填报时间： </w:t>
      </w:r>
      <w:r>
        <w:rPr>
          <w:rFonts w:hint="eastAsia" w:ascii="宋体" w:hAnsi="宋体" w:eastAsia="宋体" w:cs="宋体"/>
          <w:kern w:val="0"/>
          <w:sz w:val="28"/>
          <w:szCs w:val="28"/>
          <w:highlight w:val="none"/>
          <w:lang w:val="en-US" w:eastAsia="zh-CN" w:bidi="en-US"/>
        </w:rPr>
        <w:t>2025</w:t>
      </w:r>
      <w:r>
        <w:rPr>
          <w:rFonts w:hint="eastAsia" w:ascii="宋体" w:hAnsi="宋体" w:eastAsia="宋体" w:cs="宋体"/>
          <w:kern w:val="0"/>
          <w:sz w:val="28"/>
          <w:szCs w:val="28"/>
          <w:highlight w:val="none"/>
          <w:lang w:bidi="en-US"/>
        </w:rPr>
        <w:t>年</w:t>
      </w:r>
      <w:r>
        <w:rPr>
          <w:rFonts w:hint="eastAsia" w:ascii="宋体" w:hAnsi="宋体" w:eastAsia="宋体" w:cs="宋体"/>
          <w:kern w:val="0"/>
          <w:sz w:val="28"/>
          <w:szCs w:val="28"/>
          <w:highlight w:val="none"/>
          <w:lang w:val="en-US" w:eastAsia="zh-CN" w:bidi="en-US"/>
        </w:rPr>
        <w:t>3</w:t>
      </w:r>
      <w:r>
        <w:rPr>
          <w:rFonts w:hint="eastAsia" w:ascii="宋体" w:hAnsi="宋体" w:eastAsia="宋体" w:cs="宋体"/>
          <w:kern w:val="0"/>
          <w:sz w:val="28"/>
          <w:szCs w:val="28"/>
          <w:highlight w:val="none"/>
          <w:lang w:bidi="en-US"/>
        </w:rPr>
        <w:t>月</w:t>
      </w:r>
      <w:r>
        <w:rPr>
          <w:rFonts w:hint="eastAsia" w:ascii="宋体" w:hAnsi="宋体" w:eastAsia="宋体" w:cs="宋体"/>
          <w:kern w:val="0"/>
          <w:sz w:val="28"/>
          <w:szCs w:val="28"/>
          <w:highlight w:val="none"/>
          <w:lang w:val="en-US" w:eastAsia="zh-CN" w:bidi="en-US"/>
        </w:rPr>
        <w:t>31</w:t>
      </w:r>
      <w:r>
        <w:rPr>
          <w:rFonts w:hint="eastAsia" w:ascii="宋体" w:hAnsi="宋体" w:eastAsia="宋体" w:cs="宋体"/>
          <w:kern w:val="0"/>
          <w:sz w:val="28"/>
          <w:szCs w:val="28"/>
          <w:highlight w:val="none"/>
          <w:lang w:bidi="en-US"/>
        </w:rPr>
        <w:t>日</w:t>
      </w:r>
    </w:p>
    <w:p w14:paraId="6F48D000">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b/>
          <w:kern w:val="0"/>
          <w:sz w:val="28"/>
          <w:szCs w:val="28"/>
          <w:highlight w:val="none"/>
          <w:lang w:bidi="en-US"/>
        </w:rPr>
      </w:pPr>
    </w:p>
    <w:p w14:paraId="7187E93D">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highlight w:val="none"/>
          <w:lang w:val="en-US" w:eastAsia="zh-CN"/>
        </w:rPr>
        <w:sectPr>
          <w:headerReference r:id="rId5" w:type="default"/>
          <w:footerReference r:id="rId6" w:type="default"/>
          <w:pgSz w:w="11906" w:h="16838"/>
          <w:pgMar w:top="1440" w:right="1803" w:bottom="1440" w:left="1803" w:header="851" w:footer="992" w:gutter="0"/>
          <w:pgNumType w:start="1"/>
          <w:cols w:space="720" w:num="1"/>
          <w:docGrid w:type="linesAndChars" w:linePitch="386" w:charSpace="0"/>
        </w:sectPr>
      </w:pPr>
      <w:bookmarkStart w:id="0" w:name="_Toc68364657"/>
    </w:p>
    <w:p w14:paraId="001B0BDF">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一、</w:t>
      </w:r>
      <w:r>
        <w:rPr>
          <w:rFonts w:hint="eastAsia" w:ascii="黑体" w:hAnsi="黑体" w:eastAsia="黑体" w:cs="黑体"/>
          <w:sz w:val="24"/>
          <w:szCs w:val="24"/>
          <w:highlight w:val="none"/>
        </w:rPr>
        <w:t>基本情况</w:t>
      </w:r>
      <w:bookmarkEnd w:id="0"/>
    </w:p>
    <w:p w14:paraId="289AD15E">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bookmarkStart w:id="1" w:name="_Toc68364658"/>
      <w:r>
        <w:rPr>
          <w:rFonts w:hint="eastAsia" w:ascii="宋体" w:hAnsi="宋体" w:eastAsia="宋体" w:cs="宋体"/>
          <w:sz w:val="24"/>
          <w:szCs w:val="24"/>
          <w:highlight w:val="none"/>
          <w:lang w:eastAsia="zh-CN"/>
        </w:rPr>
        <w:t>（一）</w:t>
      </w:r>
      <w:r>
        <w:rPr>
          <w:rFonts w:hint="eastAsia" w:ascii="宋体" w:hAnsi="宋体" w:eastAsia="宋体" w:cs="宋体"/>
          <w:sz w:val="24"/>
          <w:szCs w:val="24"/>
          <w:highlight w:val="none"/>
        </w:rPr>
        <w:t>项目概况</w:t>
      </w:r>
      <w:bookmarkEnd w:id="1"/>
    </w:p>
    <w:p w14:paraId="6D1ABB09">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 项目背景</w:t>
      </w:r>
    </w:p>
    <w:p w14:paraId="07CE015A">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背景包括：项目预算资金为89.55万元，主要用途为支付行政服务中心12层楼及保障性住房2栋六层楼的办公、生活用水用电，缴费率为100%，资金拨付及时性为100%，项目开展时间为1年。水费项目为洛浦县财政预算支出的一般行政管理事务，每年均有发生。水费项目为保障保障行政服务中心12层楼及保障性住房2栋六层楼的办公、生活正常用水用电，提高工作人员的工作积极性，确保各单位正常运转。</w:t>
      </w:r>
    </w:p>
    <w:p w14:paraId="01C620FF">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b/>
          <w:bCs/>
          <w:sz w:val="24"/>
          <w:szCs w:val="24"/>
          <w:highlight w:val="none"/>
        </w:rPr>
        <w:t>主要内容及实施情况</w:t>
      </w:r>
    </w:p>
    <w:p w14:paraId="48A25791">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1）主要内容</w:t>
      </w:r>
    </w:p>
    <w:p w14:paraId="0CA84F80">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项目主要内容为：项目预算资金为89.55万元，主要用途为支付行政服务中心12层楼及保障性住房2栋六层楼的办公、生活用水用电，缴费率为100%，资金拨付及时性为100%，项目开展时间为1年。行政服务中心及保障性住房水电费项目为洛浦县财政预算支出的一般行政管理事务，每年均有发生。行政服务中心及保障性住房水电费项目为保障保障行政服务中心12层楼及保障性住房2栋六层楼的办公、生活正常用水用电，提高工作人员的工作积极性，确保各单位正常运转。</w:t>
      </w:r>
    </w:p>
    <w:p w14:paraId="613751A1">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2.实施情况</w:t>
      </w:r>
    </w:p>
    <w:p w14:paraId="410E881F">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1）项目实施主体</w:t>
      </w:r>
    </w:p>
    <w:p w14:paraId="31450F4B">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FF0000"/>
          <w:sz w:val="24"/>
          <w:szCs w:val="24"/>
          <w:highlight w:val="none"/>
          <w:lang w:val="en-US" w:eastAsia="zh-CN"/>
        </w:rPr>
      </w:pPr>
      <w:r>
        <w:rPr>
          <w:rFonts w:hint="eastAsia" w:ascii="宋体" w:hAnsi="宋体" w:eastAsia="宋体" w:cs="宋体"/>
          <w:b w:val="0"/>
          <w:bCs w:val="0"/>
          <w:sz w:val="24"/>
          <w:szCs w:val="24"/>
          <w:highlight w:val="none"/>
          <w:lang w:val="en-US" w:eastAsia="zh-CN"/>
        </w:rPr>
        <w:t>本项目主管部门为中共洛浦县委，实施单位为中共洛浦县委办公室。</w:t>
      </w:r>
    </w:p>
    <w:p w14:paraId="1C1E33C5">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bCs/>
          <w:sz w:val="24"/>
          <w:szCs w:val="24"/>
          <w:highlight w:val="none"/>
          <w:lang w:val="en-US" w:eastAsia="zh-CN"/>
        </w:rPr>
        <w:t>（2）项目实施时间：</w:t>
      </w:r>
      <w:r>
        <w:rPr>
          <w:rFonts w:hint="eastAsia" w:ascii="宋体" w:hAnsi="宋体" w:eastAsia="宋体" w:cs="宋体"/>
          <w:b w:val="0"/>
          <w:bCs w:val="0"/>
          <w:color w:val="auto"/>
          <w:sz w:val="24"/>
          <w:szCs w:val="24"/>
          <w:highlight w:val="none"/>
          <w:lang w:val="en-US" w:eastAsia="zh-CN"/>
        </w:rPr>
        <w:t>2024年1月-2024年12月</w:t>
      </w:r>
    </w:p>
    <w:p w14:paraId="7E016357">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FF0000"/>
          <w:sz w:val="24"/>
          <w:szCs w:val="24"/>
          <w:highlight w:val="none"/>
          <w:lang w:val="en-US" w:eastAsia="zh-CN"/>
        </w:rPr>
      </w:pPr>
      <w:r>
        <w:rPr>
          <w:rFonts w:hint="eastAsia" w:ascii="宋体" w:hAnsi="宋体" w:eastAsia="宋体" w:cs="宋体"/>
          <w:b/>
          <w:bCs/>
          <w:sz w:val="24"/>
          <w:szCs w:val="24"/>
          <w:highlight w:val="none"/>
          <w:lang w:val="en-US" w:eastAsia="zh-CN"/>
        </w:rPr>
        <w:t>（3）项目实施情况</w:t>
      </w:r>
    </w:p>
    <w:p w14:paraId="6EB16FB6">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本项目于2024年12月31日前全部完工。</w:t>
      </w:r>
    </w:p>
    <w:p w14:paraId="5BB64FA9">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项目根据历年来的用水用电情况和年初部门预算精神立项并实施。本着“节能降耗”的精神，加强行政服务中心用水用电管理，保证用水用电设备安全、正常运行，合理使用水电资源，减少水、电资源浪费。保障行政服务中心12层楼及保障性住房2栋六层楼的办公、生活用水用电，确保办公、生活正常运行。确保各单位日常支出并保证正常开展业务，提高工作人员的工作积极性，提高社会服务能力。</w:t>
      </w:r>
    </w:p>
    <w:p w14:paraId="6A481056">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4. 资金投入和使用情况</w:t>
      </w:r>
    </w:p>
    <w:p w14:paraId="399FEEDF">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（1）项目资金安排</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投入情况</w:t>
      </w:r>
    </w:p>
    <w:p w14:paraId="26BB11F0">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本项目预算安排总额为</w:t>
      </w:r>
      <w:r>
        <w:rPr>
          <w:rFonts w:hint="eastAsia" w:ascii="宋体" w:hAnsi="宋体" w:eastAsia="宋体" w:cs="宋体"/>
          <w:color w:val="auto"/>
          <w:sz w:val="24"/>
          <w:szCs w:val="24"/>
          <w:highlight w:val="none"/>
          <w:lang w:val="en-US" w:eastAsia="zh-CN"/>
        </w:rPr>
        <w:t>89.55</w:t>
      </w:r>
      <w:r>
        <w:rPr>
          <w:rFonts w:hint="eastAsia" w:ascii="宋体" w:hAnsi="宋体" w:eastAsia="宋体" w:cs="宋体"/>
          <w:color w:val="auto"/>
          <w:sz w:val="24"/>
          <w:szCs w:val="24"/>
          <w:highlight w:val="none"/>
        </w:rPr>
        <w:t>万元，资金来源为部门预算</w:t>
      </w:r>
      <w:r>
        <w:rPr>
          <w:rFonts w:hint="eastAsia" w:ascii="宋体" w:hAnsi="宋体" w:eastAsia="宋体" w:cs="宋体"/>
          <w:color w:val="auto"/>
          <w:sz w:val="24"/>
          <w:szCs w:val="24"/>
          <w:highlight w:val="none"/>
          <w:lang w:eastAsia="zh-CN"/>
        </w:rPr>
        <w:t>资金</w:t>
      </w:r>
      <w:r>
        <w:rPr>
          <w:rFonts w:hint="eastAsia" w:ascii="宋体" w:hAnsi="宋体" w:eastAsia="宋体" w:cs="宋体"/>
          <w:color w:val="auto"/>
          <w:sz w:val="24"/>
          <w:szCs w:val="24"/>
          <w:highlight w:val="none"/>
        </w:rPr>
        <w:t>，其中：财政资金</w:t>
      </w:r>
      <w:r>
        <w:rPr>
          <w:rFonts w:hint="eastAsia" w:ascii="宋体" w:hAnsi="宋体" w:eastAsia="宋体" w:cs="宋体"/>
          <w:color w:val="auto"/>
          <w:sz w:val="24"/>
          <w:szCs w:val="24"/>
          <w:highlight w:val="none"/>
          <w:lang w:val="en-US" w:eastAsia="zh-CN"/>
        </w:rPr>
        <w:t>89.55</w:t>
      </w:r>
      <w:r>
        <w:rPr>
          <w:rFonts w:hint="eastAsia" w:ascii="宋体" w:hAnsi="宋体" w:eastAsia="宋体" w:cs="宋体"/>
          <w:color w:val="auto"/>
          <w:sz w:val="24"/>
          <w:szCs w:val="24"/>
          <w:highlight w:val="none"/>
        </w:rPr>
        <w:t>万元，其他资金</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含自有资金、社会资金及以前年度结转结余资金）0</w:t>
      </w:r>
      <w:r>
        <w:rPr>
          <w:rFonts w:hint="eastAsia" w:ascii="宋体" w:hAnsi="宋体" w:eastAsia="宋体" w:cs="宋体"/>
          <w:color w:val="auto"/>
          <w:sz w:val="24"/>
          <w:szCs w:val="24"/>
          <w:highlight w:val="none"/>
        </w:rPr>
        <w:t>万元，202</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年实际收到预算资金</w:t>
      </w:r>
      <w:r>
        <w:rPr>
          <w:rFonts w:hint="eastAsia" w:ascii="宋体" w:hAnsi="宋体" w:eastAsia="宋体" w:cs="宋体"/>
          <w:color w:val="auto"/>
          <w:sz w:val="24"/>
          <w:szCs w:val="24"/>
          <w:highlight w:val="none"/>
          <w:lang w:val="en-US" w:eastAsia="zh-CN"/>
        </w:rPr>
        <w:t>89.55</w:t>
      </w:r>
      <w:r>
        <w:rPr>
          <w:rFonts w:hint="eastAsia" w:ascii="宋体" w:hAnsi="宋体" w:eastAsia="宋体" w:cs="宋体"/>
          <w:color w:val="auto"/>
          <w:sz w:val="24"/>
          <w:szCs w:val="24"/>
          <w:highlight w:val="none"/>
        </w:rPr>
        <w:t>万元，预算资金到位率为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558B1269">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（2）项目资金实际使用情况分析</w:t>
      </w:r>
    </w:p>
    <w:p w14:paraId="4189653F">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本项目实际支付资金</w:t>
      </w:r>
      <w:r>
        <w:rPr>
          <w:rFonts w:hint="eastAsia" w:ascii="宋体" w:hAnsi="宋体" w:eastAsia="宋体" w:cs="宋体"/>
          <w:color w:val="auto"/>
          <w:sz w:val="24"/>
          <w:szCs w:val="24"/>
          <w:highlight w:val="none"/>
          <w:lang w:val="en-US" w:eastAsia="zh-CN"/>
        </w:rPr>
        <w:t>89.55</w:t>
      </w:r>
      <w:r>
        <w:rPr>
          <w:rFonts w:hint="eastAsia" w:ascii="宋体" w:hAnsi="宋体" w:eastAsia="宋体" w:cs="宋体"/>
          <w:color w:val="auto"/>
          <w:sz w:val="24"/>
          <w:szCs w:val="24"/>
          <w:highlight w:val="none"/>
        </w:rPr>
        <w:t>万元，预算执行率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%。本项目资金主要用于支付</w:t>
      </w:r>
      <w:r>
        <w:rPr>
          <w:rFonts w:hint="eastAsia" w:ascii="宋体" w:hAnsi="宋体" w:eastAsia="宋体" w:cs="宋体"/>
          <w:color w:val="auto"/>
          <w:sz w:val="24"/>
          <w:szCs w:val="24"/>
          <w:highlight w:val="none"/>
          <w:lang w:val="en-US" w:eastAsia="zh-CN"/>
        </w:rPr>
        <w:t>行政服务中心12层楼及保障性住房2栋六层楼的办公、生活用水</w:t>
      </w:r>
      <w:r>
        <w:rPr>
          <w:rFonts w:hint="eastAsia" w:ascii="宋体" w:hAnsi="宋体" w:eastAsia="宋体" w:cs="宋体"/>
          <w:color w:val="auto"/>
          <w:sz w:val="24"/>
          <w:szCs w:val="24"/>
          <w:highlight w:val="none"/>
        </w:rPr>
        <w:t>费用</w:t>
      </w:r>
      <w:r>
        <w:rPr>
          <w:rFonts w:hint="eastAsia" w:ascii="宋体" w:hAnsi="宋体" w:eastAsia="宋体" w:cs="宋体"/>
          <w:color w:val="auto"/>
          <w:sz w:val="24"/>
          <w:szCs w:val="24"/>
          <w:highlight w:val="none"/>
          <w:lang w:val="en-US" w:eastAsia="zh-CN"/>
        </w:rPr>
        <w:t>20.28</w:t>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用电</w:t>
      </w:r>
      <w:r>
        <w:rPr>
          <w:rFonts w:hint="eastAsia" w:ascii="宋体" w:hAnsi="宋体" w:eastAsia="宋体" w:cs="宋体"/>
          <w:color w:val="auto"/>
          <w:sz w:val="24"/>
          <w:szCs w:val="24"/>
          <w:highlight w:val="none"/>
        </w:rPr>
        <w:t>费用</w:t>
      </w:r>
      <w:r>
        <w:rPr>
          <w:rFonts w:hint="eastAsia" w:ascii="宋体" w:hAnsi="宋体" w:eastAsia="宋体" w:cs="宋体"/>
          <w:color w:val="auto"/>
          <w:sz w:val="24"/>
          <w:szCs w:val="24"/>
          <w:highlight w:val="none"/>
          <w:lang w:val="en-US" w:eastAsia="zh-CN"/>
        </w:rPr>
        <w:t>69.27</w:t>
      </w:r>
      <w:r>
        <w:rPr>
          <w:rFonts w:hint="eastAsia" w:ascii="宋体" w:hAnsi="宋体" w:eastAsia="宋体" w:cs="宋体"/>
          <w:color w:val="auto"/>
          <w:sz w:val="24"/>
          <w:szCs w:val="24"/>
          <w:highlight w:val="none"/>
        </w:rPr>
        <w:t>万元。</w:t>
      </w:r>
    </w:p>
    <w:p w14:paraId="3B54B1ED">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bookmarkStart w:id="2" w:name="_Toc68364659"/>
      <w:r>
        <w:rPr>
          <w:rFonts w:hint="eastAsia" w:ascii="宋体" w:hAnsi="宋体" w:eastAsia="宋体" w:cs="宋体"/>
          <w:sz w:val="24"/>
          <w:szCs w:val="24"/>
          <w:highlight w:val="none"/>
        </w:rPr>
        <w:t>（二）项目绩效目标</w:t>
      </w:r>
      <w:bookmarkEnd w:id="2"/>
    </w:p>
    <w:p w14:paraId="2370F7F3">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项目绩效目标包括项目总</w:t>
      </w:r>
      <w:r>
        <w:rPr>
          <w:rFonts w:hint="eastAsia" w:ascii="宋体" w:hAnsi="宋体" w:eastAsia="宋体" w:cs="宋体"/>
          <w:sz w:val="24"/>
          <w:szCs w:val="24"/>
          <w:highlight w:val="none"/>
          <w:lang w:val="en-US" w:eastAsia="zh-CN"/>
        </w:rPr>
        <w:t>体</w:t>
      </w:r>
      <w:r>
        <w:rPr>
          <w:rFonts w:hint="eastAsia" w:ascii="宋体" w:hAnsi="宋体" w:eastAsia="宋体" w:cs="宋体"/>
          <w:sz w:val="24"/>
          <w:szCs w:val="24"/>
          <w:highlight w:val="none"/>
        </w:rPr>
        <w:t>目标和阶段性目标。</w:t>
      </w:r>
    </w:p>
    <w:p w14:paraId="2EB3C830">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1.总</w:t>
      </w:r>
      <w:r>
        <w:rPr>
          <w:rFonts w:hint="eastAsia" w:ascii="宋体" w:hAnsi="宋体" w:eastAsia="宋体" w:cs="宋体"/>
          <w:b/>
          <w:bCs/>
          <w:sz w:val="24"/>
          <w:szCs w:val="24"/>
          <w:highlight w:val="none"/>
          <w:lang w:val="en-US" w:eastAsia="zh-CN"/>
        </w:rPr>
        <w:t>体</w:t>
      </w:r>
      <w:r>
        <w:rPr>
          <w:rFonts w:hint="eastAsia" w:ascii="宋体" w:hAnsi="宋体" w:eastAsia="宋体" w:cs="宋体"/>
          <w:b/>
          <w:bCs/>
          <w:sz w:val="24"/>
          <w:szCs w:val="24"/>
          <w:highlight w:val="none"/>
        </w:rPr>
        <w:t>目标</w:t>
      </w:r>
    </w:p>
    <w:p w14:paraId="6A42277E">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FF0000"/>
          <w:sz w:val="24"/>
          <w:szCs w:val="24"/>
          <w:highlight w:val="none"/>
        </w:rPr>
      </w:pPr>
      <w:r>
        <w:rPr>
          <w:rFonts w:hint="eastAsia" w:ascii="宋体" w:hAnsi="宋体" w:eastAsia="宋体" w:cs="宋体"/>
          <w:color w:val="auto"/>
          <w:sz w:val="24"/>
          <w:szCs w:val="24"/>
          <w:highlight w:val="none"/>
          <w:lang w:eastAsia="zh-CN"/>
        </w:rPr>
        <w:t>根据《洛浦县财经委员会会议纪要》洛财预[2024]04号文件实施此项目，项目主要内容为：保障行政服务中心及保障性住房水电正常运转，总成本为</w:t>
      </w:r>
      <w:r>
        <w:rPr>
          <w:rFonts w:hint="eastAsia" w:ascii="宋体" w:hAnsi="宋体" w:eastAsia="宋体" w:cs="宋体"/>
          <w:color w:val="auto"/>
          <w:sz w:val="24"/>
          <w:szCs w:val="24"/>
          <w:highlight w:val="none"/>
          <w:lang w:val="en-US" w:eastAsia="zh-CN"/>
        </w:rPr>
        <w:t>89.55</w:t>
      </w:r>
      <w:r>
        <w:rPr>
          <w:rFonts w:hint="eastAsia" w:ascii="宋体" w:hAnsi="宋体" w:eastAsia="宋体" w:cs="宋体"/>
          <w:color w:val="auto"/>
          <w:sz w:val="24"/>
          <w:szCs w:val="24"/>
          <w:highlight w:val="none"/>
          <w:lang w:eastAsia="zh-CN"/>
        </w:rPr>
        <w:t>万元。通过实施本项目，有效提升了公共服务能力，持续保障了行政服务中心及保障性住房正常运转，有效提高了工作人员的工作积极性。</w:t>
      </w:r>
    </w:p>
    <w:p w14:paraId="73F78710">
      <w:pPr>
        <w:pStyle w:val="46"/>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阶段性目标</w:t>
      </w:r>
    </w:p>
    <w:p w14:paraId="6CE08D13">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bookmarkStart w:id="3" w:name="_Toc68364660"/>
      <w:r>
        <w:rPr>
          <w:rFonts w:hint="eastAsia" w:ascii="宋体" w:hAnsi="宋体" w:eastAsia="宋体" w:cs="宋体"/>
          <w:color w:val="auto"/>
          <w:sz w:val="24"/>
          <w:szCs w:val="24"/>
          <w:highlight w:val="none"/>
          <w:lang w:val="en-US" w:eastAsia="zh-CN"/>
        </w:rPr>
        <w:t>我</w:t>
      </w:r>
      <w:r>
        <w:rPr>
          <w:rFonts w:hint="eastAsia" w:ascii="宋体" w:hAnsi="宋体" w:eastAsia="宋体" w:cs="宋体"/>
          <w:color w:val="auto"/>
          <w:sz w:val="24"/>
          <w:szCs w:val="24"/>
          <w:highlight w:val="none"/>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065C2DE8">
      <w:pPr>
        <w:pStyle w:val="46"/>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产出指标</w:t>
      </w:r>
    </w:p>
    <w:p w14:paraId="6E748E57">
      <w:pPr>
        <w:pStyle w:val="46"/>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数量指标:</w:t>
      </w:r>
    </w:p>
    <w:p w14:paraId="38D1C141">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数量指标为行政服务中心及保障性住房正常运转个数</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预期指标值</w:t>
      </w:r>
      <w:r>
        <w:rPr>
          <w:rFonts w:hint="eastAsia" w:ascii="宋体" w:hAnsi="宋体" w:eastAsia="宋体" w:cs="宋体"/>
          <w:color w:val="auto"/>
          <w:sz w:val="24"/>
          <w:szCs w:val="24"/>
          <w:highlight w:val="none"/>
          <w:lang w:val="en-US" w:eastAsia="zh-CN"/>
        </w:rPr>
        <w:t>为3个，</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3个</w:t>
      </w:r>
      <w:r>
        <w:rPr>
          <w:rFonts w:hint="eastAsia" w:ascii="宋体" w:hAnsi="宋体" w:eastAsia="宋体" w:cs="宋体"/>
          <w:color w:val="auto"/>
          <w:sz w:val="24"/>
          <w:szCs w:val="24"/>
          <w:highlight w:val="none"/>
        </w:rPr>
        <w:t>，指标达到预期目标</w:t>
      </w:r>
      <w:r>
        <w:rPr>
          <w:rFonts w:hint="eastAsia" w:ascii="宋体" w:hAnsi="宋体" w:eastAsia="宋体" w:cs="宋体"/>
          <w:color w:val="auto"/>
          <w:sz w:val="24"/>
          <w:szCs w:val="24"/>
          <w:highlight w:val="none"/>
          <w:lang w:eastAsia="zh-CN"/>
        </w:rPr>
        <w:t>。</w:t>
      </w:r>
    </w:p>
    <w:p w14:paraId="0AE5DA11">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2）质量指标：</w:t>
      </w:r>
    </w:p>
    <w:p w14:paraId="0C478291">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质量指标</w:t>
      </w:r>
      <w:r>
        <w:rPr>
          <w:rFonts w:hint="eastAsia" w:ascii="宋体" w:hAnsi="宋体" w:eastAsia="宋体" w:cs="宋体"/>
          <w:color w:val="auto"/>
          <w:sz w:val="24"/>
          <w:szCs w:val="24"/>
          <w:highlight w:val="none"/>
          <w:lang w:eastAsia="zh-CN"/>
        </w:rPr>
        <w:t>为</w:t>
      </w:r>
      <w:r>
        <w:rPr>
          <w:rFonts w:hint="eastAsia" w:ascii="宋体" w:hAnsi="宋体" w:eastAsia="宋体" w:cs="宋体"/>
          <w:color w:val="auto"/>
          <w:sz w:val="24"/>
          <w:szCs w:val="24"/>
          <w:highlight w:val="none"/>
        </w:rPr>
        <w:t>资金使用覆盖率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预期指标值为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，指标达到预期目标</w:t>
      </w:r>
      <w:r>
        <w:rPr>
          <w:rFonts w:hint="eastAsia" w:ascii="宋体" w:hAnsi="宋体" w:eastAsia="宋体" w:cs="宋体"/>
          <w:color w:val="auto"/>
          <w:sz w:val="24"/>
          <w:szCs w:val="24"/>
          <w:highlight w:val="none"/>
          <w:lang w:eastAsia="zh-CN"/>
        </w:rPr>
        <w:t>。</w:t>
      </w:r>
    </w:p>
    <w:p w14:paraId="4F85A83C">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rPr>
        <w:t>质量指标</w:t>
      </w:r>
      <w:r>
        <w:rPr>
          <w:rFonts w:hint="eastAsia" w:ascii="宋体" w:hAnsi="宋体" w:eastAsia="宋体" w:cs="宋体"/>
          <w:color w:val="auto"/>
          <w:sz w:val="24"/>
          <w:szCs w:val="24"/>
          <w:highlight w:val="none"/>
          <w:lang w:eastAsia="zh-CN"/>
        </w:rPr>
        <w:t>为</w:t>
      </w:r>
      <w:r>
        <w:rPr>
          <w:rFonts w:hint="eastAsia" w:ascii="宋体" w:hAnsi="宋体" w:eastAsia="宋体" w:cs="宋体"/>
          <w:color w:val="auto"/>
          <w:sz w:val="24"/>
          <w:szCs w:val="24"/>
          <w:highlight w:val="none"/>
        </w:rPr>
        <w:t>资金使用合规率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预期指标值为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，指标达到预期目标</w:t>
      </w:r>
      <w:r>
        <w:rPr>
          <w:rFonts w:hint="eastAsia" w:ascii="宋体" w:hAnsi="宋体" w:eastAsia="宋体" w:cs="宋体"/>
          <w:color w:val="auto"/>
          <w:sz w:val="24"/>
          <w:szCs w:val="24"/>
          <w:highlight w:val="none"/>
          <w:lang w:eastAsia="zh-CN"/>
        </w:rPr>
        <w:t>。</w:t>
      </w:r>
    </w:p>
    <w:p w14:paraId="1EE75907">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3）时效目标：</w:t>
      </w:r>
    </w:p>
    <w:p w14:paraId="68D65B79">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时效目标</w:t>
      </w:r>
      <w:r>
        <w:rPr>
          <w:rFonts w:hint="eastAsia" w:ascii="宋体" w:hAnsi="宋体" w:eastAsia="宋体" w:cs="宋体"/>
          <w:color w:val="auto"/>
          <w:sz w:val="24"/>
          <w:szCs w:val="24"/>
          <w:highlight w:val="none"/>
          <w:lang w:eastAsia="zh-CN"/>
        </w:rPr>
        <w:t>为</w:t>
      </w:r>
      <w:r>
        <w:rPr>
          <w:rFonts w:hint="eastAsia" w:ascii="宋体" w:hAnsi="宋体" w:eastAsia="宋体" w:cs="宋体"/>
          <w:color w:val="auto"/>
          <w:sz w:val="24"/>
          <w:szCs w:val="24"/>
          <w:highlight w:val="none"/>
        </w:rPr>
        <w:t>项目完成时间</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预期指标值为2024年12月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实际完成值为2024年12月，指标达到预期目标</w:t>
      </w:r>
      <w:r>
        <w:rPr>
          <w:rFonts w:hint="eastAsia" w:ascii="宋体" w:hAnsi="宋体" w:eastAsia="宋体" w:cs="宋体"/>
          <w:color w:val="auto"/>
          <w:sz w:val="24"/>
          <w:szCs w:val="24"/>
          <w:highlight w:val="none"/>
          <w:lang w:eastAsia="zh-CN"/>
        </w:rPr>
        <w:t>。</w:t>
      </w:r>
    </w:p>
    <w:p w14:paraId="382DAFBC">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时效目标</w:t>
      </w:r>
      <w:r>
        <w:rPr>
          <w:rFonts w:hint="eastAsia" w:ascii="宋体" w:hAnsi="宋体" w:eastAsia="宋体" w:cs="宋体"/>
          <w:color w:val="auto"/>
          <w:sz w:val="24"/>
          <w:szCs w:val="24"/>
          <w:highlight w:val="none"/>
          <w:lang w:eastAsia="zh-CN"/>
        </w:rPr>
        <w:t>为</w:t>
      </w:r>
      <w:r>
        <w:rPr>
          <w:rFonts w:hint="eastAsia" w:ascii="宋体" w:hAnsi="宋体" w:eastAsia="宋体" w:cs="宋体"/>
          <w:color w:val="auto"/>
          <w:sz w:val="24"/>
          <w:szCs w:val="24"/>
          <w:highlight w:val="none"/>
        </w:rPr>
        <w:t>资金支付及时率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预期指标值为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，指标达到预期目标</w:t>
      </w:r>
      <w:r>
        <w:rPr>
          <w:rFonts w:hint="eastAsia" w:ascii="宋体" w:hAnsi="宋体" w:eastAsia="宋体" w:cs="宋体"/>
          <w:color w:val="auto"/>
          <w:sz w:val="24"/>
          <w:szCs w:val="24"/>
          <w:highlight w:val="none"/>
          <w:lang w:eastAsia="zh-CN"/>
        </w:rPr>
        <w:t>。</w:t>
      </w:r>
    </w:p>
    <w:p w14:paraId="08F953CE">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（2）成本指标： </w:t>
      </w:r>
    </w:p>
    <w:p w14:paraId="01BF9DA4">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经济成本指标为</w:t>
      </w:r>
      <w:r>
        <w:rPr>
          <w:rFonts w:hint="eastAsia" w:ascii="宋体" w:hAnsi="宋体" w:eastAsia="宋体" w:cs="宋体"/>
          <w:color w:val="auto"/>
          <w:sz w:val="24"/>
          <w:szCs w:val="24"/>
          <w:highlight w:val="none"/>
        </w:rPr>
        <w:t>水费</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预期指标值为50万元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实际完成值为20.28万元，指标达到预期目标</w:t>
      </w:r>
      <w:r>
        <w:rPr>
          <w:rFonts w:hint="eastAsia" w:ascii="宋体" w:hAnsi="宋体" w:eastAsia="宋体" w:cs="宋体"/>
          <w:color w:val="auto"/>
          <w:sz w:val="24"/>
          <w:szCs w:val="24"/>
          <w:highlight w:val="none"/>
          <w:lang w:eastAsia="zh-CN"/>
        </w:rPr>
        <w:t>。</w:t>
      </w:r>
    </w:p>
    <w:p w14:paraId="397FF67F">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afterAutospacing="0"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经济成本指标为</w:t>
      </w:r>
      <w:r>
        <w:rPr>
          <w:rFonts w:hint="eastAsia" w:ascii="宋体" w:hAnsi="宋体" w:eastAsia="宋体" w:cs="宋体"/>
          <w:color w:val="auto"/>
          <w:sz w:val="24"/>
          <w:szCs w:val="24"/>
          <w:highlight w:val="none"/>
          <w:lang w:eastAsia="zh-CN"/>
        </w:rPr>
        <w:t>电</w:t>
      </w:r>
      <w:r>
        <w:rPr>
          <w:rFonts w:hint="eastAsia" w:ascii="宋体" w:hAnsi="宋体" w:eastAsia="宋体" w:cs="宋体"/>
          <w:color w:val="auto"/>
          <w:sz w:val="24"/>
          <w:szCs w:val="24"/>
          <w:highlight w:val="none"/>
        </w:rPr>
        <w:t>费</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预期指标值为</w:t>
      </w:r>
      <w:r>
        <w:rPr>
          <w:rFonts w:hint="eastAsia" w:ascii="宋体" w:hAnsi="宋体" w:eastAsia="宋体" w:cs="宋体"/>
          <w:color w:val="auto"/>
          <w:sz w:val="24"/>
          <w:szCs w:val="24"/>
          <w:highlight w:val="none"/>
          <w:lang w:val="en-US" w:eastAsia="zh-CN"/>
        </w:rPr>
        <w:t>110</w:t>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69.27</w:t>
      </w:r>
      <w:r>
        <w:rPr>
          <w:rFonts w:hint="eastAsia" w:ascii="宋体" w:hAnsi="宋体" w:eastAsia="宋体" w:cs="宋体"/>
          <w:color w:val="auto"/>
          <w:sz w:val="24"/>
          <w:szCs w:val="24"/>
          <w:highlight w:val="none"/>
        </w:rPr>
        <w:t>万元，指标达到预期目标</w:t>
      </w:r>
      <w:r>
        <w:rPr>
          <w:rFonts w:hint="eastAsia" w:ascii="宋体" w:hAnsi="宋体" w:eastAsia="宋体" w:cs="宋体"/>
          <w:color w:val="auto"/>
          <w:sz w:val="24"/>
          <w:szCs w:val="24"/>
          <w:highlight w:val="none"/>
          <w:lang w:eastAsia="zh-CN"/>
        </w:rPr>
        <w:t>。</w:t>
      </w:r>
    </w:p>
    <w:p w14:paraId="0D2DEB30">
      <w:pPr>
        <w:keepNext w:val="0"/>
        <w:keepLines w:val="0"/>
        <w:pageBreakBefore w:val="0"/>
        <w:widowControl w:val="0"/>
        <w:numPr>
          <w:ilvl w:val="0"/>
          <w:numId w:val="2"/>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afterAutospacing="0"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效益指标：社会效益指标</w:t>
      </w:r>
      <w:r>
        <w:rPr>
          <w:rFonts w:hint="eastAsia" w:ascii="宋体" w:hAnsi="宋体" w:eastAsia="宋体" w:cs="宋体"/>
          <w:color w:val="auto"/>
          <w:sz w:val="24"/>
          <w:szCs w:val="24"/>
          <w:highlight w:val="none"/>
          <w:lang w:eastAsia="zh-CN"/>
        </w:rPr>
        <w:t>为</w:t>
      </w:r>
      <w:r>
        <w:rPr>
          <w:rFonts w:hint="eastAsia" w:ascii="宋体" w:hAnsi="宋体" w:eastAsia="宋体" w:cs="宋体"/>
          <w:color w:val="auto"/>
          <w:sz w:val="24"/>
          <w:szCs w:val="24"/>
          <w:highlight w:val="none"/>
        </w:rPr>
        <w:t>提升公共服务能力</w:t>
      </w:r>
      <w:r>
        <w:rPr>
          <w:rFonts w:hint="eastAsia" w:ascii="宋体" w:hAnsi="宋体" w:eastAsia="宋体" w:cs="宋体"/>
          <w:color w:val="FF0000"/>
          <w:sz w:val="24"/>
          <w:szCs w:val="24"/>
          <w:highlight w:val="none"/>
          <w:lang w:eastAsia="zh-CN"/>
        </w:rPr>
        <w:t>，</w:t>
      </w:r>
      <w:r>
        <w:rPr>
          <w:rFonts w:hint="eastAsia" w:ascii="宋体" w:hAnsi="宋体" w:eastAsia="宋体" w:cs="宋体"/>
          <w:color w:val="auto"/>
          <w:sz w:val="24"/>
          <w:szCs w:val="24"/>
          <w:highlight w:val="none"/>
        </w:rPr>
        <w:t>预期指标值为有效提升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实际完成值为有效提升，指标达到预期目标</w:t>
      </w:r>
      <w:r>
        <w:rPr>
          <w:rFonts w:hint="eastAsia" w:ascii="宋体" w:hAnsi="宋体" w:eastAsia="宋体" w:cs="宋体"/>
          <w:color w:val="auto"/>
          <w:sz w:val="24"/>
          <w:szCs w:val="24"/>
          <w:highlight w:val="none"/>
          <w:lang w:eastAsia="zh-CN"/>
        </w:rPr>
        <w:t>。</w:t>
      </w:r>
    </w:p>
    <w:p w14:paraId="3BF0AC69">
      <w:pPr>
        <w:keepNext w:val="0"/>
        <w:keepLines w:val="0"/>
        <w:pageBreakBefore w:val="0"/>
        <w:widowControl w:val="0"/>
        <w:numPr>
          <w:ilvl w:val="0"/>
          <w:numId w:val="2"/>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afterAutospacing="0"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服务对象满意度指标：服务对象满意度指标为受益群众和工作人员满意度，预期指标值为95%，实际完成值为95%，指标达到预期目标。</w:t>
      </w:r>
    </w:p>
    <w:p w14:paraId="3442FA01">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afterAutospacing="0" w:line="360" w:lineRule="auto"/>
        <w:ind w:leftChars="0" w:firstLine="480" w:firstLineChars="200"/>
        <w:jc w:val="both"/>
        <w:textAlignment w:val="auto"/>
        <w:rPr>
          <w:rFonts w:hint="eastAsia" w:ascii="黑体" w:hAnsi="黑体" w:eastAsia="黑体" w:cs="黑体"/>
          <w:color w:val="auto"/>
          <w:sz w:val="24"/>
          <w:szCs w:val="24"/>
          <w:highlight w:val="none"/>
          <w:lang w:val="en-US" w:eastAsia="zh-CN"/>
        </w:rPr>
      </w:pPr>
    </w:p>
    <w:p w14:paraId="13A9ADC9">
      <w:pPr>
        <w:keepNext w:val="0"/>
        <w:keepLines w:val="0"/>
        <w:pageBreakBefore w:val="0"/>
        <w:widowControl w:val="0"/>
        <w:numPr>
          <w:ilvl w:val="0"/>
          <w:numId w:val="4"/>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afterAutospacing="0" w:line="360" w:lineRule="auto"/>
        <w:ind w:leftChars="0" w:firstLine="480" w:firstLineChars="200"/>
        <w:jc w:val="both"/>
        <w:textAlignment w:val="auto"/>
        <w:rPr>
          <w:rFonts w:hint="eastAsia" w:ascii="黑体" w:hAnsi="黑体" w:eastAsia="黑体" w:cs="黑体"/>
          <w:color w:val="auto"/>
          <w:sz w:val="24"/>
          <w:szCs w:val="24"/>
          <w:highlight w:val="none"/>
          <w:lang w:val="en-US" w:eastAsia="zh-CN"/>
        </w:rPr>
      </w:pPr>
      <w:r>
        <w:rPr>
          <w:rFonts w:hint="eastAsia" w:ascii="黑体" w:hAnsi="黑体" w:eastAsia="黑体" w:cs="黑体"/>
          <w:color w:val="auto"/>
          <w:sz w:val="24"/>
          <w:szCs w:val="24"/>
          <w:highlight w:val="none"/>
          <w:lang w:val="en-US" w:eastAsia="zh-CN"/>
        </w:rPr>
        <w:t>绩效评价工作开展情况</w:t>
      </w:r>
      <w:bookmarkEnd w:id="3"/>
      <w:bookmarkStart w:id="4" w:name="_Toc68364661"/>
    </w:p>
    <w:p w14:paraId="6AB121DB">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snapToGrid/>
        <w:spacing w:afterAutospacing="0" w:line="360" w:lineRule="auto"/>
        <w:ind w:left="560" w:left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（一）绩效评价目的、对象和范围</w:t>
      </w:r>
      <w:bookmarkEnd w:id="4"/>
    </w:p>
    <w:p w14:paraId="7B40014C">
      <w:pPr>
        <w:pStyle w:val="4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 绩效评价目的</w:t>
      </w:r>
    </w:p>
    <w:p w14:paraId="3C7A4C36">
      <w:pPr>
        <w:pStyle w:val="4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次绩效评价遵循财政部《项目支出绩效评价管理办法》（财预〔2020〕10号）《自治区财政支出绩效评价管理暂行办法》（新财预〔2018〕189号）及自治区财政厅《关于印发〈自治区项目支出绩效目标设置指引〉的通知》（新财预〔2022〕42号）等相关政策文件与规定，对政服务中心及保障性住房水电费项目开展本次部门项目支出绩效评价工作。全面了解政服务中心及保障性住房水电费项目预算编制合理性、资金使用合规性、项目管理的规范性、项目目标的实现情况、服务对象的满意度等项目实施前期、过程及实施效果情况。</w:t>
      </w:r>
    </w:p>
    <w:p w14:paraId="769FF6C3">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2F4628F5">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26340D5F">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同时，通过部门项目支出绩效评价，可促进本单位发现预算项目管理中的问题、总结经验、改进工作，以提高财政预算资金使用的效率及效益。</w:t>
      </w:r>
    </w:p>
    <w:p w14:paraId="23EA46B5">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 绩效评价对象</w:t>
      </w:r>
    </w:p>
    <w:p w14:paraId="23592F26">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次绩效评价遵循财政部《项目支出绩效评价管理办法》（财预〔2020〕10号）和《自治区财政支出绩效评价管理暂行办法》（新财预〔2018〕189号）等政策文件规定，以政服务中心及保障性住房水电费项目为评价对象，对该项目决策、项目资金管理、项目实施过程管理，以及项目实施所带来的产出和效果等内容，进行综合评价。</w:t>
      </w:r>
    </w:p>
    <w:p w14:paraId="4A7EE925">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 绩效评价范围</w:t>
      </w:r>
    </w:p>
    <w:p w14:paraId="36B12A64">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次绩效评价主要围绕政服务中心及保障性住房水电费项目决策、项目资金管理、项目实施过程管理，以及项目实施所带来的产出和效果等内容，进行综合评价。范围涵盖项目总体绩效目标、各项绩效指标完成情况以及预算执行情况</w:t>
      </w:r>
      <w:bookmarkStart w:id="5" w:name="_Toc68364662"/>
      <w:r>
        <w:rPr>
          <w:rFonts w:hint="eastAsia" w:ascii="宋体" w:hAnsi="宋体" w:eastAsia="宋体" w:cs="宋体"/>
          <w:color w:val="auto"/>
          <w:sz w:val="24"/>
          <w:szCs w:val="24"/>
          <w:highlight w:val="none"/>
          <w:lang w:val="en-US" w:eastAsia="zh-CN"/>
        </w:rPr>
        <w:t>，覆盖预算资金支出项目的所有内容进行评价。</w:t>
      </w:r>
    </w:p>
    <w:p w14:paraId="04829A58">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（二）绩效评价原则、评价指标体系、评价方法评价标准</w:t>
      </w:r>
      <w:bookmarkEnd w:id="5"/>
    </w:p>
    <w:p w14:paraId="65A82EA4">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 绩效评价原则</w:t>
      </w:r>
    </w:p>
    <w:p w14:paraId="459E9D89">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76EC8A0E">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（1）科学公正。绩效评价应当运用科学合理的方法，按照规范的程序，对项目绩效进行客观、公正的反映。</w:t>
      </w:r>
    </w:p>
    <w:p w14:paraId="14CE72E5">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3F338F0B">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（3）激励约束。绩效评价结果应与预算安排、政策调整、改进管理实质性挂钩，体现奖优罚劣和激励相容导向，有效要安排、低效要压减、无效要问责。</w:t>
      </w:r>
    </w:p>
    <w:p w14:paraId="2AA63127">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（4）公开透明。绩效评价结果应依法依规公开，并自觉接受社会监督。</w:t>
      </w:r>
    </w:p>
    <w:p w14:paraId="1ED6D955">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根据以上原则，绩效评价应遵循如下要求:</w:t>
      </w:r>
    </w:p>
    <w:p w14:paraId="70CA8586">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（1）在数据采集时，采取客观数据，主管部门审查、社会中介组织复查，与问卷调查相结合的形式，以保证各项指标的真实性。</w:t>
      </w:r>
    </w:p>
    <w:p w14:paraId="5AFCFADE">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（2）保证评价结果的真实性、公正性，提高评价报告的公信力。</w:t>
      </w:r>
    </w:p>
    <w:p w14:paraId="3A20794D">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47517600">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 绩效评价指标体系</w:t>
      </w:r>
    </w:p>
    <w:p w14:paraId="42DBAD36">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细指标体系见“附件1：项目支出绩效评价体系”。</w:t>
      </w:r>
    </w:p>
    <w:p w14:paraId="4E2FD5CD">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 绩效评价方法</w:t>
      </w:r>
    </w:p>
    <w:p w14:paraId="20477181">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309C1D0D">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具体评价方法的应用如下:</w:t>
      </w:r>
    </w:p>
    <w:p w14:paraId="008053B4">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立项依据充分性：比较法、文献法，查找法律法规政策以及规划，对比实际执行内容和政策支持内容是否匹配。</w:t>
      </w:r>
    </w:p>
    <w:p w14:paraId="2A7F6A80">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立项程序规范性：比较法、文献法，查找相关项目设立的政策和文件要求，对比分析实际执行程序是否按照政策及文件要求执行，分析立项程序的规范性。</w:t>
      </w:r>
    </w:p>
    <w:p w14:paraId="3D4249B9">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绩效目标合理性：比较法，对比分析年初编制项目支出绩效目标表与项目内容的相关性、资金的匹配性等。</w:t>
      </w:r>
    </w:p>
    <w:p w14:paraId="072FBD53">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绩效指标明确性：比较法，比较分析年初编制项目支出绩效目标表是否符合双七原则，是否可衡量。</w:t>
      </w:r>
    </w:p>
    <w:p w14:paraId="3515DD31">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预算编制科学性：成本效益分析法，分析在产出一定的情况下，成本取值是否有依据，是否经过询价，是否按照市场最低成本编制。</w:t>
      </w:r>
    </w:p>
    <w:p w14:paraId="60204943">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资金分配合理性：因素分析法，综合分析资金的分配依据是否充分，分配金额是否与项目实施单位需求金额一致。</w:t>
      </w:r>
    </w:p>
    <w:p w14:paraId="2A3B2B30">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资金到位率：比较法，资金到位率预期指标值应为100%，通过实际计算，分析实际完成值和预期指标值之间的差距和原因。</w:t>
      </w:r>
    </w:p>
    <w:p w14:paraId="466FB83A">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预算执行率：比较法，预算执行率预期指标值应为100%，通过实际计算，分析实际完成值和预期指标值之间的差距和原因。</w:t>
      </w:r>
    </w:p>
    <w:p w14:paraId="24787827">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资金使用合规性：文献法、实地勘察法，一是查找资金管理办法，包括专项资金管理办法和单位自有资金管理办法；二是通过查账了解具体开支情况，是否专用专用，是否按照标准支出。</w:t>
      </w:r>
    </w:p>
    <w:p w14:paraId="50CB8623">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14:paraId="377F05B5">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制度执行有效性：比较法，结合项目实际实施过程性文件，根据已建设的财务管理制度和项目管理制度综合分析制度执行的有效性。</w:t>
      </w:r>
    </w:p>
    <w:p w14:paraId="4ADF7560">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096DA55F">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定性指标：公众评判法，通过问卷及抽样调查等方式评价本项目实施后社会公众对于其实施效果的满意程度。</w:t>
      </w:r>
    </w:p>
    <w:p w14:paraId="22D5F38C">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 绩效评价标准</w:t>
      </w:r>
    </w:p>
    <w:p w14:paraId="2A04BBE8">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FF0000"/>
          <w:sz w:val="24"/>
          <w:szCs w:val="24"/>
          <w:highlight w:val="none"/>
        </w:rPr>
      </w:pPr>
      <w:bookmarkStart w:id="6" w:name="_Toc68364663"/>
      <w:r>
        <w:rPr>
          <w:rFonts w:hint="eastAsia" w:ascii="宋体" w:hAnsi="宋体" w:eastAsia="宋体" w:cs="宋体"/>
          <w:sz w:val="24"/>
          <w:szCs w:val="24"/>
          <w:highlight w:val="none"/>
        </w:rPr>
        <w:t>绩效评价标准通常包括计划标准、行业标准、历史标准等，用于对绩效指标完成情况进行比较、分析、评价。本次评价主要采用了行业标准、历史标准。</w:t>
      </w:r>
    </w:p>
    <w:p w14:paraId="555D0C1B">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highlight w:val="none"/>
        </w:rPr>
      </w:pPr>
      <w:bookmarkStart w:id="7" w:name="_Toc5633"/>
      <w:bookmarkStart w:id="8" w:name="_Toc2318"/>
      <w:r>
        <w:rPr>
          <w:rFonts w:hint="eastAsia" w:ascii="宋体" w:hAnsi="宋体" w:eastAsia="宋体" w:cs="宋体"/>
          <w:b/>
          <w:bCs/>
          <w:sz w:val="24"/>
          <w:szCs w:val="24"/>
          <w:highlight w:val="none"/>
        </w:rPr>
        <w:t>行业标准：</w:t>
      </w:r>
      <w:r>
        <w:rPr>
          <w:rFonts w:hint="eastAsia" w:ascii="宋体" w:hAnsi="宋体" w:eastAsia="宋体" w:cs="宋体"/>
          <w:sz w:val="24"/>
          <w:szCs w:val="24"/>
          <w:highlight w:val="none"/>
        </w:rPr>
        <w:t>指参照国家公布的行业指标数据制定的评价标准。</w:t>
      </w:r>
      <w:bookmarkEnd w:id="7"/>
      <w:bookmarkEnd w:id="8"/>
    </w:p>
    <w:p w14:paraId="27B88462">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highlight w:val="none"/>
        </w:rPr>
      </w:pPr>
      <w:bookmarkStart w:id="9" w:name="_Toc16028"/>
      <w:bookmarkStart w:id="10" w:name="_Toc430"/>
      <w:r>
        <w:rPr>
          <w:rFonts w:hint="eastAsia" w:ascii="宋体" w:hAnsi="宋体" w:eastAsia="宋体" w:cs="宋体"/>
          <w:b/>
          <w:bCs/>
          <w:sz w:val="24"/>
          <w:szCs w:val="24"/>
          <w:highlight w:val="none"/>
        </w:rPr>
        <w:t>历史标准：</w:t>
      </w:r>
      <w:r>
        <w:rPr>
          <w:rFonts w:hint="eastAsia" w:ascii="宋体" w:hAnsi="宋体" w:eastAsia="宋体" w:cs="宋体"/>
          <w:sz w:val="24"/>
          <w:szCs w:val="24"/>
          <w:highlight w:val="none"/>
        </w:rPr>
        <w:t>指参照历史数据制定的评价标准，为体现绩效改进的原则，在可实现的条件下应当确定相对较高的评价标准。</w:t>
      </w:r>
      <w:bookmarkEnd w:id="9"/>
      <w:bookmarkEnd w:id="10"/>
    </w:p>
    <w:p w14:paraId="5999A160">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（三）绩效评价工作过程</w:t>
      </w:r>
      <w:bookmarkEnd w:id="6"/>
    </w:p>
    <w:p w14:paraId="00DDD717">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bookmarkStart w:id="11" w:name="_Toc68364664"/>
      <w:r>
        <w:rPr>
          <w:rFonts w:hint="eastAsia" w:ascii="宋体" w:hAnsi="宋体" w:eastAsia="宋体" w:cs="宋体"/>
          <w:sz w:val="24"/>
          <w:szCs w:val="24"/>
          <w:highlight w:val="none"/>
        </w:rPr>
        <w:t>1.前期准备</w:t>
      </w:r>
    </w:p>
    <w:p w14:paraId="2D07D3D5">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我</w:t>
      </w:r>
      <w:r>
        <w:rPr>
          <w:rFonts w:hint="eastAsia" w:ascii="宋体" w:hAnsi="宋体" w:eastAsia="宋体" w:cs="宋体"/>
          <w:color w:val="auto"/>
          <w:sz w:val="24"/>
          <w:szCs w:val="24"/>
          <w:highlight w:val="none"/>
        </w:rPr>
        <w:t>单位于</w:t>
      </w: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日，确定绩</w:t>
      </w:r>
      <w:r>
        <w:rPr>
          <w:rFonts w:hint="eastAsia" w:ascii="宋体" w:hAnsi="宋体" w:eastAsia="宋体" w:cs="宋体"/>
          <w:sz w:val="24"/>
          <w:szCs w:val="24"/>
          <w:highlight w:val="none"/>
        </w:rPr>
        <w:t>效评价工作小组，正式开始前期准备工作，通过对评价对象前期调研，确定了评价的目的、方法以及评价的原则，根据项目的内容和特征制定了评价指标体系及评价标准。绩效评价工作小组人员名单及分工如下：</w:t>
      </w:r>
    </w:p>
    <w:p w14:paraId="0BDAD735">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王刚</w:t>
      </w:r>
      <w:r>
        <w:rPr>
          <w:rFonts w:hint="eastAsia" w:ascii="宋体" w:hAnsi="宋体" w:eastAsia="宋体" w:cs="宋体"/>
          <w:sz w:val="24"/>
          <w:szCs w:val="24"/>
          <w:highlight w:val="none"/>
        </w:rPr>
        <w:t>评价小组组长：主要负责</w:t>
      </w:r>
      <w:r>
        <w:rPr>
          <w:rFonts w:hint="eastAsia" w:ascii="宋体" w:hAnsi="宋体" w:eastAsia="宋体" w:cs="宋体"/>
          <w:sz w:val="24"/>
          <w:szCs w:val="24"/>
          <w:highlight w:val="none"/>
          <w:lang w:val="en-US" w:eastAsia="zh-CN"/>
        </w:rPr>
        <w:t>组织安排绩效评价工作</w:t>
      </w:r>
      <w:r>
        <w:rPr>
          <w:rFonts w:hint="eastAsia" w:ascii="宋体" w:hAnsi="宋体" w:eastAsia="宋体" w:cs="宋体"/>
          <w:sz w:val="24"/>
          <w:szCs w:val="24"/>
          <w:highlight w:val="none"/>
        </w:rPr>
        <w:t>;</w:t>
      </w:r>
    </w:p>
    <w:p w14:paraId="2CD54DBD">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李瑛、吐送江·麦麦提明评价小组组员：主要负责</w:t>
      </w:r>
      <w:r>
        <w:rPr>
          <w:rFonts w:hint="eastAsia" w:ascii="宋体" w:hAnsi="宋体" w:eastAsia="宋体" w:cs="宋体"/>
          <w:sz w:val="24"/>
          <w:szCs w:val="24"/>
          <w:highlight w:val="none"/>
          <w:lang w:val="en-US" w:eastAsia="zh-CN"/>
        </w:rPr>
        <w:t>资料整理及信息汇总工作</w:t>
      </w:r>
      <w:r>
        <w:rPr>
          <w:rFonts w:hint="eastAsia" w:ascii="宋体" w:hAnsi="宋体" w:eastAsia="宋体" w:cs="宋体"/>
          <w:sz w:val="24"/>
          <w:szCs w:val="24"/>
          <w:highlight w:val="none"/>
          <w:lang w:eastAsia="zh-CN"/>
        </w:rPr>
        <w:t>;</w:t>
      </w:r>
    </w:p>
    <w:p w14:paraId="28697D3E">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马丽、高向东</w:t>
      </w:r>
      <w:r>
        <w:rPr>
          <w:rFonts w:hint="eastAsia" w:ascii="宋体" w:hAnsi="宋体" w:eastAsia="宋体" w:cs="宋体"/>
          <w:sz w:val="24"/>
          <w:szCs w:val="24"/>
          <w:highlight w:val="none"/>
        </w:rPr>
        <w:t>评价小组组员：主要负责</w:t>
      </w:r>
      <w:r>
        <w:rPr>
          <w:rFonts w:hint="eastAsia" w:ascii="宋体" w:hAnsi="宋体" w:eastAsia="宋体" w:cs="宋体"/>
          <w:sz w:val="24"/>
          <w:szCs w:val="24"/>
          <w:highlight w:val="none"/>
          <w:lang w:val="en-US" w:eastAsia="zh-CN"/>
        </w:rPr>
        <w:t>出具项目绩效评价报告</w:t>
      </w:r>
      <w:r>
        <w:rPr>
          <w:rFonts w:hint="eastAsia" w:ascii="宋体" w:hAnsi="宋体" w:eastAsia="宋体" w:cs="宋体"/>
          <w:sz w:val="24"/>
          <w:szCs w:val="24"/>
          <w:highlight w:val="none"/>
        </w:rPr>
        <w:t>。</w:t>
      </w:r>
    </w:p>
    <w:p w14:paraId="43EAECEB">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2.组织实施</w:t>
      </w:r>
    </w:p>
    <w:p w14:paraId="058A41FB">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日，评价工作进</w:t>
      </w:r>
      <w:r>
        <w:rPr>
          <w:rFonts w:hint="eastAsia" w:ascii="宋体" w:hAnsi="宋体" w:eastAsia="宋体" w:cs="宋体"/>
          <w:sz w:val="24"/>
          <w:szCs w:val="24"/>
          <w:highlight w:val="none"/>
        </w:rPr>
        <w:t>入实施阶段。在数据采集方面，评价小组整理单位前期提交的资料，与项目实施负责人沟通，了解资金的内容、操作流程、管理机制、资金使用方向等情况并采集信息，了解项目设置背景及资金使用等情况。</w:t>
      </w:r>
    </w:p>
    <w:p w14:paraId="7B07869A">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3.分析评价</w:t>
      </w:r>
    </w:p>
    <w:p w14:paraId="01C7C93B">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16</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28</w:t>
      </w:r>
      <w:r>
        <w:rPr>
          <w:rFonts w:hint="eastAsia" w:ascii="宋体" w:hAnsi="宋体" w:eastAsia="宋体" w:cs="宋体"/>
          <w:color w:val="auto"/>
          <w:sz w:val="24"/>
          <w:szCs w:val="24"/>
          <w:highlight w:val="none"/>
        </w:rPr>
        <w:t>日，评价小组</w:t>
      </w:r>
      <w:r>
        <w:rPr>
          <w:rFonts w:hint="eastAsia" w:ascii="宋体" w:hAnsi="宋体" w:eastAsia="宋体" w:cs="宋体"/>
          <w:sz w:val="24"/>
          <w:szCs w:val="24"/>
          <w:highlight w:val="none"/>
        </w:rPr>
        <w:t>按照绩效评价的原则和规范，对取得的资料进行审查核实，对采集的数据进行分析，按照绩效评价指标评分表逐项进行打分、分析、汇总各方评价结果。</w:t>
      </w:r>
    </w:p>
    <w:p w14:paraId="74B9734D">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4.撰写与提交评价报告</w:t>
      </w:r>
    </w:p>
    <w:p w14:paraId="49E09AF2">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31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sz w:val="24"/>
          <w:szCs w:val="24"/>
          <w:highlight w:val="none"/>
        </w:rPr>
        <w:t>撰写绩效评价报告，按照新疆</w:t>
      </w:r>
      <w:r>
        <w:rPr>
          <w:rFonts w:hint="eastAsia" w:ascii="宋体" w:hAnsi="宋体" w:eastAsia="宋体" w:cs="宋体"/>
          <w:sz w:val="24"/>
          <w:szCs w:val="24"/>
          <w:highlight w:val="none"/>
          <w:lang w:eastAsia="zh-CN"/>
        </w:rPr>
        <w:t>维吾尔自治区财政绩效管理信息系统</w:t>
      </w:r>
      <w:r>
        <w:rPr>
          <w:rFonts w:hint="eastAsia" w:ascii="宋体" w:hAnsi="宋体" w:eastAsia="宋体" w:cs="宋体"/>
          <w:sz w:val="24"/>
          <w:szCs w:val="24"/>
          <w:highlight w:val="none"/>
        </w:rPr>
        <w:t>绩效评价模块中统一格式和文本框架撰写绩效评价报告并提交审核。</w:t>
      </w:r>
    </w:p>
    <w:p w14:paraId="1E5F36C5">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5.问题整改</w:t>
      </w:r>
    </w:p>
    <w:p w14:paraId="456D21B5">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436A4B24">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6.档案整理</w:t>
      </w:r>
    </w:p>
    <w:p w14:paraId="1392174B">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建立和落实档案管理制度，将项目相关资料存档，包括但不限于：评价项目基本情况和相关文件、评价实施方案、项目支付资料等相关档案。</w:t>
      </w:r>
    </w:p>
    <w:p w14:paraId="39C4560D">
      <w:pPr>
        <w:pStyle w:val="2"/>
        <w:rPr>
          <w:rFonts w:hint="eastAsia"/>
        </w:rPr>
      </w:pPr>
    </w:p>
    <w:p w14:paraId="3E5B9482">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highlight w:val="none"/>
        </w:rPr>
      </w:pPr>
      <w:r>
        <w:rPr>
          <w:rFonts w:hint="eastAsia" w:ascii="黑体" w:hAnsi="黑体" w:eastAsia="黑体" w:cs="黑体"/>
          <w:sz w:val="24"/>
          <w:szCs w:val="24"/>
          <w:highlight w:val="none"/>
        </w:rPr>
        <w:t>三、综合评价情况及评价结论</w:t>
      </w:r>
      <w:bookmarkEnd w:id="11"/>
    </w:p>
    <w:p w14:paraId="61523461">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bookmarkStart w:id="12" w:name="_Toc68364665"/>
      <w:r>
        <w:rPr>
          <w:rFonts w:hint="eastAsia" w:ascii="宋体" w:hAnsi="宋体" w:eastAsia="宋体" w:cs="宋体"/>
          <w:sz w:val="24"/>
          <w:szCs w:val="24"/>
          <w:highlight w:val="none"/>
        </w:rPr>
        <w:t>（一）综合评价情况</w:t>
      </w:r>
      <w:bookmarkEnd w:id="12"/>
    </w:p>
    <w:p w14:paraId="54ABA0D3">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FF0000"/>
          <w:sz w:val="24"/>
          <w:szCs w:val="24"/>
          <w:highlight w:val="none"/>
        </w:rPr>
      </w:pPr>
      <w:bookmarkStart w:id="13" w:name="_Toc68364666"/>
      <w:r>
        <w:rPr>
          <w:rFonts w:hint="eastAsia" w:ascii="宋体" w:hAnsi="宋体" w:eastAsia="宋体" w:cs="宋体"/>
          <w:sz w:val="24"/>
          <w:szCs w:val="24"/>
          <w:highlight w:val="none"/>
        </w:rPr>
        <w:t>通过实施行政服务中心及保障性住房水电费项目有效提升了公共服务能力，持续保障了行政服务中心及保障性住房正常运转，有效提高了工作人员的工作积极性。项目实施主要通过项目决策、项目过程、项目产出以及项目效益等方面进行评价，其中：</w:t>
      </w:r>
    </w:p>
    <w:p w14:paraId="05DF1341">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 xml:space="preserve">项目决策：该项目主要通过洛财纪字【2024】1号、洛财纪字【2024】12号等文件立项，项目实施符合相关政策要求，项目立项依据充分，立项程序规范。 </w:t>
      </w:r>
    </w:p>
    <w:p w14:paraId="1B7C0136">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kern w:val="2"/>
          <w:sz w:val="24"/>
          <w:szCs w:val="24"/>
          <w:highlight w:val="none"/>
          <w:lang w:val="en-US" w:eastAsia="zh-CN" w:bidi="ar-SA"/>
        </w:rPr>
        <w:t>项目过程：行政服务中心及保障性住房水电费项目预算安排89.55万元，实际支出89.55万元，预算执行率100%。项</w:t>
      </w:r>
      <w:r>
        <w:rPr>
          <w:rFonts w:hint="eastAsia" w:ascii="宋体" w:hAnsi="宋体" w:eastAsia="宋体" w:cs="宋体"/>
          <w:sz w:val="24"/>
          <w:szCs w:val="24"/>
          <w:highlight w:val="none"/>
        </w:rPr>
        <w:t>目资金使用合规，项目财务管理制度健全，财务监控到位，所有资金支付均按照国库集中支付制度严格执行，现有项目管理制度执行情况良好。</w:t>
      </w:r>
    </w:p>
    <w:p w14:paraId="66EC055D">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项目产出：项目实施产生的数量行政服务中心及保障性住房正常运转个数</w:t>
      </w:r>
      <w:r>
        <w:rPr>
          <w:rFonts w:hint="eastAsia" w:ascii="宋体" w:hAnsi="宋体" w:eastAsia="宋体" w:cs="宋体"/>
          <w:sz w:val="24"/>
          <w:szCs w:val="24"/>
          <w:highlight w:val="none"/>
          <w:lang w:eastAsia="zh-CN"/>
        </w:rPr>
        <w:t>为</w:t>
      </w:r>
      <w:r>
        <w:rPr>
          <w:rFonts w:hint="eastAsia" w:ascii="宋体" w:hAnsi="宋体" w:eastAsia="宋体" w:cs="宋体"/>
          <w:sz w:val="24"/>
          <w:szCs w:val="24"/>
          <w:highlight w:val="none"/>
          <w:lang w:val="en-US" w:eastAsia="zh-CN"/>
        </w:rPr>
        <w:t>3个</w:t>
      </w:r>
      <w:r>
        <w:rPr>
          <w:rFonts w:hint="eastAsia" w:ascii="宋体" w:hAnsi="宋体" w:eastAsia="宋体" w:cs="宋体"/>
          <w:sz w:val="24"/>
          <w:szCs w:val="24"/>
          <w:highlight w:val="none"/>
        </w:rPr>
        <w:t>、资金使用覆盖率</w:t>
      </w:r>
      <w:r>
        <w:rPr>
          <w:rFonts w:hint="eastAsia" w:ascii="宋体" w:hAnsi="宋体" w:eastAsia="宋体" w:cs="宋体"/>
          <w:sz w:val="24"/>
          <w:szCs w:val="24"/>
          <w:highlight w:val="none"/>
          <w:lang w:val="en-US" w:eastAsia="zh-CN"/>
        </w:rPr>
        <w:t>100%，资金使用合规率100%，2024年12月完成该项目，资金支付及时率100%，全年支出水费20.28万元、电费69.27万元。</w:t>
      </w:r>
    </w:p>
    <w:p w14:paraId="7FC5A913">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项目效益：通过实施此项目</w:t>
      </w:r>
      <w:r>
        <w:rPr>
          <w:rFonts w:hint="eastAsia" w:ascii="宋体" w:hAnsi="宋体" w:eastAsia="宋体" w:cs="宋体"/>
          <w:sz w:val="24"/>
          <w:szCs w:val="24"/>
          <w:highlight w:val="none"/>
          <w:lang w:eastAsia="zh-CN"/>
        </w:rPr>
        <w:t>有效</w:t>
      </w:r>
      <w:r>
        <w:rPr>
          <w:rFonts w:hint="eastAsia" w:ascii="宋体" w:hAnsi="宋体" w:eastAsia="宋体" w:cs="宋体"/>
          <w:sz w:val="24"/>
          <w:szCs w:val="24"/>
          <w:highlight w:val="none"/>
        </w:rPr>
        <w:t>提升公共服务能力</w:t>
      </w:r>
      <w:r>
        <w:rPr>
          <w:rFonts w:hint="eastAsia" w:ascii="宋体" w:hAnsi="宋体" w:eastAsia="宋体" w:cs="宋体"/>
          <w:sz w:val="24"/>
          <w:szCs w:val="24"/>
          <w:highlight w:val="none"/>
          <w:lang w:eastAsia="zh-CN"/>
        </w:rPr>
        <w:t>，受益群众和工作人员满意度达到</w:t>
      </w:r>
      <w:r>
        <w:rPr>
          <w:rFonts w:hint="eastAsia" w:ascii="宋体" w:hAnsi="宋体" w:eastAsia="宋体" w:cs="宋体"/>
          <w:sz w:val="24"/>
          <w:szCs w:val="24"/>
          <w:highlight w:val="none"/>
          <w:lang w:val="en-US" w:eastAsia="zh-CN"/>
        </w:rPr>
        <w:t>95%以上。</w:t>
      </w:r>
    </w:p>
    <w:p w14:paraId="10A4B879">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（二）综合评价结论</w:t>
      </w:r>
    </w:p>
    <w:p w14:paraId="4ED56EDB">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依据《中共中央国务院关于全面实施预算绩效管理的意见》《项目支出绩效评价管理办法》（财预〔2020〕10号）文件，绩效评价总分设置为100分，划分为四档：90（含）-100分为“优”、80（含）-90分为“良”、70（含）-80分为“中”、70分以下为“差”。经对</w:t>
      </w:r>
      <w:r>
        <w:rPr>
          <w:rFonts w:hint="eastAsia" w:ascii="宋体" w:hAnsi="宋体" w:eastAsia="宋体" w:cs="宋体"/>
          <w:sz w:val="24"/>
          <w:szCs w:val="24"/>
          <w:highlight w:val="none"/>
          <w:lang w:val="en-US" w:eastAsia="zh-CN"/>
        </w:rPr>
        <w:t>行政服务中心及保障性住房水电费项目进</w:t>
      </w:r>
      <w:r>
        <w:rPr>
          <w:rFonts w:hint="eastAsia" w:ascii="宋体" w:hAnsi="宋体" w:eastAsia="宋体" w:cs="宋体"/>
          <w:sz w:val="24"/>
          <w:szCs w:val="24"/>
          <w:highlight w:val="none"/>
          <w:lang w:eastAsia="zh-CN"/>
        </w:rPr>
        <w:t>行客观评价，最终评分结果：评价总分</w:t>
      </w:r>
      <w:r>
        <w:rPr>
          <w:rFonts w:hint="eastAsia" w:ascii="宋体" w:hAnsi="宋体" w:eastAsia="宋体" w:cs="宋体"/>
          <w:sz w:val="24"/>
          <w:szCs w:val="24"/>
          <w:highlight w:val="none"/>
          <w:lang w:val="en-US" w:eastAsia="zh-CN"/>
        </w:rPr>
        <w:t>100</w:t>
      </w:r>
      <w:r>
        <w:rPr>
          <w:rFonts w:hint="eastAsia" w:ascii="宋体" w:hAnsi="宋体" w:eastAsia="宋体" w:cs="宋体"/>
          <w:sz w:val="24"/>
          <w:szCs w:val="24"/>
          <w:highlight w:val="none"/>
          <w:lang w:eastAsia="zh-CN"/>
        </w:rPr>
        <w:t>分，绩效等级为“优”。</w:t>
      </w:r>
      <w:bookmarkEnd w:id="13"/>
      <w:bookmarkStart w:id="14" w:name="_Toc68364667"/>
    </w:p>
    <w:p w14:paraId="2106D75C">
      <w:pPr>
        <w:pStyle w:val="2"/>
        <w:rPr>
          <w:rFonts w:hint="eastAsia"/>
          <w:lang w:eastAsia="zh-CN"/>
        </w:rPr>
      </w:pPr>
    </w:p>
    <w:p w14:paraId="0D139997">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highlight w:val="none"/>
        </w:rPr>
      </w:pPr>
      <w:r>
        <w:rPr>
          <w:rFonts w:hint="eastAsia" w:ascii="黑体" w:hAnsi="黑体" w:eastAsia="黑体" w:cs="黑体"/>
          <w:sz w:val="24"/>
          <w:szCs w:val="24"/>
          <w:highlight w:val="none"/>
        </w:rPr>
        <w:t>四、绩效评价指标分析</w:t>
      </w:r>
      <w:bookmarkEnd w:id="14"/>
    </w:p>
    <w:p w14:paraId="3B8D16E8">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bookmarkStart w:id="15" w:name="_Toc68364668"/>
      <w:r>
        <w:rPr>
          <w:rFonts w:hint="eastAsia" w:ascii="宋体" w:hAnsi="宋体" w:eastAsia="宋体" w:cs="宋体"/>
          <w:sz w:val="24"/>
          <w:szCs w:val="24"/>
          <w:highlight w:val="none"/>
        </w:rPr>
        <w:t>（一）项目决策情况</w:t>
      </w:r>
    </w:p>
    <w:p w14:paraId="0B52B9E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sz w:val="24"/>
          <w:szCs w:val="24"/>
          <w:highlight w:val="none"/>
        </w:rPr>
        <w:t>项目决策类指标包括项目立项、绩效目标和资金投入三方面的内容，由6个三级指标构成，权重分为</w:t>
      </w:r>
      <w:r>
        <w:rPr>
          <w:rFonts w:hint="eastAsia" w:ascii="宋体" w:hAnsi="宋体" w:eastAsia="宋体" w:cs="宋体"/>
          <w:sz w:val="24"/>
          <w:szCs w:val="24"/>
          <w:highlight w:val="none"/>
          <w:lang w:val="en-US" w:eastAsia="zh-CN"/>
        </w:rPr>
        <w:t>23</w:t>
      </w:r>
      <w:r>
        <w:rPr>
          <w:rFonts w:hint="eastAsia" w:ascii="宋体" w:hAnsi="宋体" w:eastAsia="宋体" w:cs="宋体"/>
          <w:color w:val="000000"/>
          <w:sz w:val="24"/>
          <w:szCs w:val="24"/>
          <w:highlight w:val="none"/>
        </w:rPr>
        <w:t>分，实际得分</w:t>
      </w:r>
      <w:r>
        <w:rPr>
          <w:rFonts w:hint="eastAsia" w:ascii="宋体" w:hAnsi="宋体" w:eastAsia="宋体" w:cs="宋体"/>
          <w:color w:val="000000"/>
          <w:sz w:val="24"/>
          <w:szCs w:val="24"/>
          <w:highlight w:val="none"/>
          <w:lang w:val="en-US" w:eastAsia="zh-CN"/>
        </w:rPr>
        <w:t>23</w:t>
      </w:r>
      <w:r>
        <w:rPr>
          <w:rFonts w:hint="eastAsia" w:ascii="宋体" w:hAnsi="宋体" w:eastAsia="宋体" w:cs="宋体"/>
          <w:color w:val="000000"/>
          <w:sz w:val="24"/>
          <w:szCs w:val="24"/>
          <w:highlight w:val="none"/>
        </w:rPr>
        <w:t>分，得分率为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w:t>
      </w:r>
    </w:p>
    <w:p w14:paraId="02CE71C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b/>
          <w:bCs/>
          <w:sz w:val="24"/>
          <w:szCs w:val="24"/>
          <w:highlight w:val="none"/>
        </w:rPr>
        <w:t>（</w:t>
      </w:r>
      <w:r>
        <w:rPr>
          <w:rFonts w:hint="eastAsia" w:ascii="宋体" w:hAnsi="宋体" w:eastAsia="宋体" w:cs="宋体"/>
          <w:b/>
          <w:bCs/>
          <w:sz w:val="24"/>
          <w:szCs w:val="24"/>
          <w:highlight w:val="none"/>
          <w:lang w:val="en-US" w:eastAsia="zh-CN"/>
        </w:rPr>
        <w:t>1</w:t>
      </w:r>
      <w:r>
        <w:rPr>
          <w:rFonts w:hint="eastAsia" w:ascii="宋体" w:hAnsi="宋体" w:eastAsia="宋体" w:cs="宋体"/>
          <w:b/>
          <w:bCs/>
          <w:sz w:val="24"/>
          <w:szCs w:val="24"/>
          <w:highlight w:val="none"/>
        </w:rPr>
        <w:t>）</w:t>
      </w:r>
      <w:r>
        <w:rPr>
          <w:rFonts w:hint="eastAsia" w:ascii="宋体" w:hAnsi="宋体" w:eastAsia="宋体" w:cs="宋体"/>
          <w:color w:val="000000"/>
          <w:sz w:val="24"/>
          <w:szCs w:val="24"/>
          <w:highlight w:val="none"/>
        </w:rPr>
        <w:t>立项依据充分性：</w:t>
      </w:r>
    </w:p>
    <w:p w14:paraId="494C5079">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本项目立项符合</w:t>
      </w:r>
      <w:r>
        <w:rPr>
          <w:rFonts w:hint="eastAsia" w:ascii="宋体" w:hAnsi="宋体" w:eastAsia="宋体" w:cs="宋体"/>
          <w:sz w:val="24"/>
          <w:szCs w:val="24"/>
          <w:highlight w:val="none"/>
          <w:lang w:eastAsia="zh-CN"/>
        </w:rPr>
        <w:t>与本项目相关的法律法规</w:t>
      </w:r>
      <w:r>
        <w:rPr>
          <w:rFonts w:hint="eastAsia" w:ascii="宋体" w:hAnsi="宋体" w:eastAsia="宋体" w:cs="宋体"/>
          <w:sz w:val="24"/>
          <w:szCs w:val="24"/>
          <w:highlight w:val="none"/>
        </w:rPr>
        <w:t>中；本项目立项符合</w:t>
      </w:r>
      <w:r>
        <w:rPr>
          <w:rFonts w:hint="eastAsia" w:ascii="宋体" w:hAnsi="宋体" w:eastAsia="宋体" w:cs="宋体"/>
          <w:sz w:val="24"/>
          <w:szCs w:val="24"/>
          <w:highlight w:val="none"/>
          <w:lang w:eastAsia="zh-CN"/>
        </w:rPr>
        <w:t>所涉及的行业发展规划中的内容及规划文件</w:t>
      </w:r>
      <w:r>
        <w:rPr>
          <w:rFonts w:hint="eastAsia" w:ascii="宋体" w:hAnsi="宋体" w:eastAsia="宋体" w:cs="宋体"/>
          <w:sz w:val="24"/>
          <w:szCs w:val="24"/>
          <w:highlight w:val="none"/>
        </w:rPr>
        <w:t>，符合行业发展规划和政策要求</w:t>
      </w:r>
      <w:r>
        <w:rPr>
          <w:rFonts w:hint="eastAsia" w:ascii="宋体" w:hAnsi="宋体" w:eastAsia="宋体" w:cs="宋体"/>
          <w:sz w:val="24"/>
          <w:szCs w:val="24"/>
          <w:highlight w:val="none"/>
          <w:lang w:eastAsia="zh-CN"/>
        </w:rPr>
        <w:t>；本</w:t>
      </w:r>
      <w:r>
        <w:rPr>
          <w:rFonts w:hint="eastAsia" w:ascii="宋体" w:hAnsi="宋体" w:eastAsia="宋体" w:cs="宋体"/>
          <w:sz w:val="24"/>
          <w:szCs w:val="24"/>
          <w:highlight w:val="none"/>
        </w:rPr>
        <w:t>项目立项符合《</w:t>
      </w:r>
      <w:r>
        <w:rPr>
          <w:rFonts w:hint="eastAsia" w:ascii="宋体" w:hAnsi="宋体" w:eastAsia="宋体" w:cs="宋体"/>
          <w:sz w:val="24"/>
          <w:szCs w:val="24"/>
          <w:highlight w:val="none"/>
          <w:lang w:eastAsia="zh-CN"/>
        </w:rPr>
        <w:t>中共洛浦县委办公室</w:t>
      </w:r>
      <w:r>
        <w:rPr>
          <w:rFonts w:hint="eastAsia" w:ascii="宋体" w:hAnsi="宋体" w:eastAsia="宋体" w:cs="宋体"/>
          <w:sz w:val="24"/>
          <w:szCs w:val="24"/>
          <w:highlight w:val="none"/>
        </w:rPr>
        <w:t>单位配置内设机构和人员编制规定》属于我单位履职所需；根据《财政资金直接支付申请书》，本项目资金性质为“公共财政预算”功能分类为“</w:t>
      </w:r>
      <w:r>
        <w:rPr>
          <w:rFonts w:hint="eastAsia" w:ascii="宋体" w:hAnsi="宋体" w:eastAsia="宋体" w:cs="宋体"/>
          <w:sz w:val="24"/>
          <w:szCs w:val="24"/>
          <w:highlight w:val="none"/>
          <w:lang w:val="en-US" w:eastAsia="zh-CN"/>
        </w:rPr>
        <w:t>2013101</w:t>
      </w:r>
      <w:r>
        <w:rPr>
          <w:rFonts w:hint="eastAsia" w:ascii="宋体" w:hAnsi="宋体" w:eastAsia="宋体" w:cs="宋体"/>
          <w:sz w:val="24"/>
          <w:szCs w:val="24"/>
          <w:highlight w:val="none"/>
        </w:rPr>
        <w:t>”经济分类为“</w:t>
      </w:r>
      <w:r>
        <w:rPr>
          <w:rFonts w:hint="eastAsia" w:ascii="宋体" w:hAnsi="宋体" w:eastAsia="宋体" w:cs="宋体"/>
          <w:sz w:val="24"/>
          <w:szCs w:val="24"/>
          <w:highlight w:val="none"/>
          <w:lang w:val="en-US" w:eastAsia="zh-CN"/>
        </w:rPr>
        <w:t>50201</w:t>
      </w:r>
      <w:r>
        <w:rPr>
          <w:rFonts w:hint="eastAsia" w:ascii="宋体" w:hAnsi="宋体" w:eastAsia="宋体" w:cs="宋体"/>
          <w:sz w:val="24"/>
          <w:szCs w:val="24"/>
          <w:highlight w:val="none"/>
        </w:rPr>
        <w:t>”属于公共财政支持范围，符合中央、地方事权支出责任划分原则；经检查我单位财政应用平台指标，本项目不存在重复。</w:t>
      </w:r>
    </w:p>
    <w:p w14:paraId="6E95CCA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sz w:val="24"/>
          <w:szCs w:val="24"/>
          <w:highlight w:val="none"/>
        </w:rPr>
        <w:t>综上所述，</w:t>
      </w:r>
      <w:r>
        <w:rPr>
          <w:rFonts w:hint="eastAsia" w:ascii="宋体" w:hAnsi="宋体" w:eastAsia="宋体" w:cs="宋体"/>
          <w:color w:val="000000"/>
          <w:sz w:val="24"/>
          <w:szCs w:val="24"/>
          <w:highlight w:val="none"/>
        </w:rPr>
        <w:t>本指标满分为</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w:t>
      </w:r>
      <w:r>
        <w:rPr>
          <w:rFonts w:hint="eastAsia" w:ascii="宋体" w:hAnsi="宋体" w:eastAsia="宋体" w:cs="宋体"/>
          <w:color w:val="auto"/>
          <w:sz w:val="24"/>
          <w:szCs w:val="24"/>
          <w:highlight w:val="none"/>
        </w:rPr>
        <w:t>，根据评分标准得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分，本项目立项依据充分。</w:t>
      </w:r>
    </w:p>
    <w:p w14:paraId="505C935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（2）立项程序规范性：</w:t>
      </w:r>
    </w:p>
    <w:p w14:paraId="4B748BF9">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w:t>
      </w:r>
      <w:r>
        <w:rPr>
          <w:rFonts w:hint="eastAsia" w:ascii="宋体" w:hAnsi="宋体" w:eastAsia="宋体" w:cs="宋体"/>
          <w:kern w:val="2"/>
          <w:sz w:val="24"/>
          <w:szCs w:val="24"/>
          <w:highlight w:val="none"/>
          <w:lang w:val="en-US" w:eastAsia="zh-CN" w:bidi="ar-SA"/>
        </w:rPr>
        <w:t>行政服务中心及保障性住房水电费</w:t>
      </w:r>
      <w:r>
        <w:rPr>
          <w:rFonts w:hint="eastAsia" w:ascii="宋体" w:hAnsi="宋体" w:eastAsia="宋体" w:cs="宋体"/>
          <w:color w:val="auto"/>
          <w:sz w:val="24"/>
          <w:szCs w:val="24"/>
          <w:highlight w:val="none"/>
        </w:rPr>
        <w:t>，项目立项过程中产生的文件均符合相关要求。本项目为</w:t>
      </w:r>
      <w:r>
        <w:rPr>
          <w:rFonts w:hint="eastAsia" w:ascii="宋体" w:hAnsi="宋体" w:eastAsia="宋体" w:cs="宋体"/>
          <w:color w:val="auto"/>
          <w:sz w:val="24"/>
          <w:szCs w:val="24"/>
          <w:highlight w:val="none"/>
          <w:lang w:eastAsia="zh-CN"/>
        </w:rPr>
        <w:t>特定目标</w:t>
      </w:r>
      <w:r>
        <w:rPr>
          <w:rFonts w:hint="eastAsia" w:ascii="宋体" w:hAnsi="宋体" w:eastAsia="宋体" w:cs="宋体"/>
          <w:color w:val="auto"/>
          <w:sz w:val="24"/>
          <w:szCs w:val="24"/>
          <w:highlight w:val="none"/>
        </w:rPr>
        <w:t>类项目，属于经常性项目，项目预算金额为</w:t>
      </w:r>
      <w:r>
        <w:rPr>
          <w:rFonts w:hint="eastAsia" w:ascii="宋体" w:hAnsi="宋体" w:eastAsia="宋体" w:cs="宋体"/>
          <w:color w:val="auto"/>
          <w:sz w:val="24"/>
          <w:szCs w:val="24"/>
          <w:highlight w:val="none"/>
          <w:lang w:val="en-US" w:eastAsia="zh-CN"/>
        </w:rPr>
        <w:t>89.55</w:t>
      </w:r>
      <w:r>
        <w:rPr>
          <w:rFonts w:hint="eastAsia" w:ascii="宋体" w:hAnsi="宋体" w:eastAsia="宋体" w:cs="宋体"/>
          <w:color w:val="auto"/>
          <w:sz w:val="24"/>
          <w:szCs w:val="24"/>
          <w:highlight w:val="none"/>
        </w:rPr>
        <w:t>万元，不涉及事前绩效评估和风险评估，已委托</w:t>
      </w:r>
      <w:r>
        <w:rPr>
          <w:rFonts w:hint="eastAsia" w:ascii="宋体" w:hAnsi="宋体" w:eastAsia="宋体" w:cs="宋体"/>
          <w:color w:val="auto"/>
          <w:sz w:val="24"/>
          <w:szCs w:val="24"/>
          <w:highlight w:val="none"/>
          <w:lang w:eastAsia="zh-CN"/>
        </w:rPr>
        <w:t>中共洛浦县委办公室</w:t>
      </w:r>
      <w:r>
        <w:rPr>
          <w:rFonts w:hint="eastAsia" w:ascii="宋体" w:hAnsi="宋体" w:eastAsia="宋体" w:cs="宋体"/>
          <w:color w:val="auto"/>
          <w:sz w:val="24"/>
          <w:szCs w:val="24"/>
          <w:highlight w:val="none"/>
        </w:rPr>
        <w:t>完成本项目可行性研究报告的编制，并经过专家论证。</w:t>
      </w:r>
    </w:p>
    <w:p w14:paraId="6AB6473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rPr>
        <w:t>综上所述，本指标满分为3分，根据评分标准得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分，本项目立项程序合规。</w:t>
      </w:r>
      <w:r>
        <w:rPr>
          <w:rFonts w:hint="eastAsia" w:ascii="宋体" w:hAnsi="宋体" w:eastAsia="宋体" w:cs="宋体"/>
          <w:b/>
          <w:bCs/>
          <w:sz w:val="24"/>
          <w:szCs w:val="24"/>
          <w:highlight w:val="none"/>
        </w:rPr>
        <w:t>（3）绩效目标合理性</w:t>
      </w:r>
      <w:r>
        <w:rPr>
          <w:rFonts w:hint="eastAsia" w:ascii="宋体" w:hAnsi="宋体" w:eastAsia="宋体" w:cs="宋体"/>
          <w:sz w:val="24"/>
          <w:szCs w:val="24"/>
          <w:highlight w:val="none"/>
        </w:rPr>
        <w:t>：</w:t>
      </w:r>
    </w:p>
    <w:p w14:paraId="314BAEE5">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①该项目已设置年度绩效目标，具体内容为“保障行政服务中心及保障性住房水电正常运转”。</w:t>
      </w:r>
    </w:p>
    <w:p w14:paraId="14BE6365">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②该项目实际工作内容为：保障行政服务中心及保障性住房水电正常运转。绩效目标与实际工作内容一致，两者具有相关性。</w:t>
      </w:r>
    </w:p>
    <w:p w14:paraId="0225C75F">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③该项目按照绩效目标完成数量指标、质量指标、时效指标、成本指标，完成了</w:t>
      </w:r>
      <w:r>
        <w:rPr>
          <w:rFonts w:hint="eastAsia" w:ascii="宋体" w:hAnsi="宋体" w:eastAsia="宋体" w:cs="宋体"/>
          <w:color w:val="auto"/>
          <w:sz w:val="24"/>
          <w:szCs w:val="24"/>
          <w:highlight w:val="none"/>
          <w:lang w:val="en-US" w:eastAsia="zh-CN"/>
        </w:rPr>
        <w:t>保障行政服务中心12层楼、会务接待中心6层楼及保障性住房2栋六层楼的办公、生活用水用电，生活正常运行，确保各单位正常开展业务。提高工作人员的工作积极性，提高社会服务能力</w:t>
      </w:r>
      <w:r>
        <w:rPr>
          <w:rFonts w:hint="eastAsia" w:ascii="宋体" w:hAnsi="宋体" w:eastAsia="宋体" w:cs="宋体"/>
          <w:color w:val="auto"/>
          <w:sz w:val="24"/>
          <w:szCs w:val="24"/>
          <w:highlight w:val="none"/>
        </w:rPr>
        <w:t>，预期产出效益和效果是符合正常的业绩水平。</w:t>
      </w:r>
    </w:p>
    <w:p w14:paraId="65E5C56D">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④该项目批复的预算金</w:t>
      </w:r>
      <w:r>
        <w:rPr>
          <w:rFonts w:hint="eastAsia" w:ascii="宋体" w:hAnsi="宋体" w:eastAsia="宋体" w:cs="宋体"/>
          <w:color w:val="auto"/>
          <w:sz w:val="24"/>
          <w:szCs w:val="24"/>
          <w:highlight w:val="none"/>
          <w:lang w:val="en-US" w:eastAsia="zh-CN"/>
        </w:rPr>
        <w:t>额为160万元，《项目支出绩效目标表》中预算金额为89.55万元，预算确定的项目资金与预算</w:t>
      </w:r>
      <w:r>
        <w:rPr>
          <w:rFonts w:hint="eastAsia" w:ascii="宋体" w:hAnsi="宋体" w:eastAsia="宋体" w:cs="宋体"/>
          <w:color w:val="auto"/>
          <w:sz w:val="24"/>
          <w:szCs w:val="24"/>
          <w:highlight w:val="none"/>
        </w:rPr>
        <w:t>确定的项目投资额相匹配。</w:t>
      </w:r>
    </w:p>
    <w:p w14:paraId="654AD6F6">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⑤本单位</w:t>
      </w:r>
      <w:r>
        <w:rPr>
          <w:rFonts w:hint="eastAsia" w:ascii="宋体" w:hAnsi="宋体" w:eastAsia="宋体" w:cs="宋体"/>
          <w:color w:val="auto"/>
          <w:sz w:val="24"/>
          <w:szCs w:val="24"/>
          <w:highlight w:val="none"/>
        </w:rPr>
        <w:t>制定了实施方案，明确了总体思路及目标、并对任务进行了详细分解，对目标进行了细化，根据评分标准，该指标不扣分，得3分。</w:t>
      </w:r>
    </w:p>
    <w:p w14:paraId="62500896">
      <w:pPr>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绩效指标明确性</w:t>
      </w:r>
      <w:r>
        <w:rPr>
          <w:rFonts w:hint="eastAsia" w:ascii="宋体" w:hAnsi="宋体" w:eastAsia="宋体" w:cs="宋体"/>
          <w:b/>
          <w:bCs/>
          <w:color w:val="auto"/>
          <w:sz w:val="24"/>
          <w:szCs w:val="24"/>
          <w:highlight w:val="none"/>
          <w:lang w:eastAsia="zh-CN"/>
        </w:rPr>
        <w:t>：</w:t>
      </w:r>
      <w:r>
        <w:rPr>
          <w:rFonts w:hint="eastAsia" w:ascii="宋体" w:hAnsi="宋体" w:eastAsia="宋体" w:cs="宋体"/>
          <w:color w:val="auto"/>
          <w:sz w:val="24"/>
          <w:szCs w:val="24"/>
          <w:highlight w:val="none"/>
        </w:rPr>
        <w:t>经检查我单位年初设置的《项目支出绩效目标表》，得出如下结论：本项目已将年度绩效目标进行细化为绩效指标</w:t>
      </w:r>
      <w:r>
        <w:rPr>
          <w:rFonts w:hint="eastAsia" w:ascii="宋体" w:hAnsi="宋体" w:eastAsia="宋体" w:cs="宋体"/>
          <w:color w:val="auto"/>
          <w:sz w:val="24"/>
          <w:szCs w:val="24"/>
          <w:highlight w:val="none"/>
          <w:lang w:val="en-US" w:eastAsia="zh-CN"/>
        </w:rPr>
        <w:t>体系</w:t>
      </w:r>
      <w:r>
        <w:rPr>
          <w:rFonts w:hint="eastAsia" w:ascii="宋体" w:hAnsi="宋体" w:eastAsia="宋体" w:cs="宋体"/>
          <w:color w:val="auto"/>
          <w:sz w:val="24"/>
          <w:szCs w:val="24"/>
          <w:highlight w:val="none"/>
        </w:rPr>
        <w:t>，共设置一级指标</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个，二级指标</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个，三级指标</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个，定量指标</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个，定性指标</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个，指标量化率为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%，量化率达</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%以上</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将项目绩效目标细化分解为具体的绩效指标</w:t>
      </w:r>
      <w:r>
        <w:rPr>
          <w:rFonts w:hint="eastAsia" w:ascii="宋体" w:hAnsi="宋体" w:eastAsia="宋体" w:cs="宋体"/>
          <w:color w:val="auto"/>
          <w:sz w:val="24"/>
          <w:szCs w:val="24"/>
          <w:highlight w:val="none"/>
          <w:lang w:eastAsia="zh-CN"/>
        </w:rPr>
        <w:t>。</w:t>
      </w:r>
    </w:p>
    <w:p w14:paraId="31CBCA46">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该《项目绩效目标申报表》中，数量指标指标值为行政服务中心及保障性住房正常运转个数</w:t>
      </w:r>
      <w:r>
        <w:rPr>
          <w:rFonts w:hint="eastAsia" w:ascii="宋体" w:hAnsi="宋体" w:eastAsia="宋体" w:cs="宋体"/>
          <w:color w:val="auto"/>
          <w:sz w:val="24"/>
          <w:szCs w:val="24"/>
          <w:highlight w:val="none"/>
          <w:lang w:eastAsia="zh-CN"/>
        </w:rPr>
        <w:t>为</w:t>
      </w:r>
      <w:r>
        <w:rPr>
          <w:rFonts w:hint="eastAsia" w:ascii="宋体" w:hAnsi="宋体" w:eastAsia="宋体" w:cs="宋体"/>
          <w:color w:val="auto"/>
          <w:sz w:val="24"/>
          <w:szCs w:val="24"/>
          <w:highlight w:val="none"/>
          <w:lang w:val="en-US" w:eastAsia="zh-CN"/>
        </w:rPr>
        <w:t>3个</w:t>
      </w:r>
      <w:r>
        <w:rPr>
          <w:rFonts w:hint="eastAsia" w:ascii="宋体" w:hAnsi="宋体" w:eastAsia="宋体" w:cs="宋体"/>
          <w:color w:val="auto"/>
          <w:sz w:val="24"/>
          <w:szCs w:val="24"/>
          <w:highlight w:val="none"/>
        </w:rPr>
        <w:t>，三级指标的年度指标值与年度绩效目标中任务数一致（或不完全一致），已设置时效指标</w:t>
      </w:r>
      <w:r>
        <w:rPr>
          <w:rFonts w:hint="eastAsia" w:ascii="宋体" w:hAnsi="宋体" w:eastAsia="宋体" w:cs="宋体"/>
          <w:color w:val="auto"/>
          <w:sz w:val="24"/>
          <w:szCs w:val="24"/>
          <w:highlight w:val="none"/>
          <w:lang w:eastAsia="zh-CN"/>
        </w:rPr>
        <w:t>为</w:t>
      </w:r>
      <w:r>
        <w:rPr>
          <w:rFonts w:hint="eastAsia" w:ascii="宋体" w:hAnsi="宋体" w:eastAsia="宋体" w:cs="宋体"/>
          <w:color w:val="auto"/>
          <w:sz w:val="24"/>
          <w:szCs w:val="24"/>
          <w:highlight w:val="none"/>
          <w:lang w:val="en-US" w:eastAsia="zh-CN"/>
        </w:rPr>
        <w:t>2024年12月完成该项目，资金支付及时率为100%</w:t>
      </w:r>
      <w:r>
        <w:rPr>
          <w:rFonts w:hint="eastAsia" w:ascii="宋体" w:hAnsi="宋体" w:eastAsia="宋体" w:cs="宋体"/>
          <w:color w:val="auto"/>
          <w:sz w:val="24"/>
          <w:szCs w:val="24"/>
          <w:highlight w:val="none"/>
        </w:rPr>
        <w:t>。已设置的绩效目标具备明确性、可衡量性、可实现性、相关性、时限性。根据评分标准，该指标不扣分，得2分。</w:t>
      </w:r>
    </w:p>
    <w:p w14:paraId="385F138C">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（5）预算编制科学性：</w:t>
      </w:r>
      <w:r>
        <w:rPr>
          <w:rFonts w:hint="eastAsia" w:ascii="宋体" w:hAnsi="宋体" w:eastAsia="宋体" w:cs="宋体"/>
          <w:color w:val="auto"/>
          <w:sz w:val="24"/>
          <w:szCs w:val="24"/>
          <w:highlight w:val="none"/>
        </w:rPr>
        <w:t>本项目行政服务中心及保障性住房水电费，即预算编制较科学且经过论证；</w:t>
      </w:r>
    </w:p>
    <w:p w14:paraId="509CBC2C">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预算申请内容</w:t>
      </w:r>
      <w:r>
        <w:rPr>
          <w:rFonts w:hint="eastAsia" w:ascii="宋体" w:hAnsi="宋体" w:eastAsia="宋体" w:cs="宋体"/>
          <w:b w:val="0"/>
          <w:bCs w:val="0"/>
          <w:color w:val="auto"/>
          <w:sz w:val="24"/>
          <w:szCs w:val="24"/>
          <w:highlight w:val="none"/>
        </w:rPr>
        <w:t>为</w:t>
      </w:r>
      <w:r>
        <w:rPr>
          <w:rFonts w:hint="eastAsia" w:ascii="宋体" w:hAnsi="宋体" w:eastAsia="宋体" w:cs="宋体"/>
          <w:color w:val="auto"/>
          <w:sz w:val="24"/>
          <w:szCs w:val="24"/>
          <w:highlight w:val="none"/>
        </w:rPr>
        <w:t>保障行政服务中心及保障性住房水电正常运转，项目实际内容为保障行政服务中心及保障性住房水电正常运转，预算申请与《行政服务中心及保障性住房水电费项目实施方案》中涉及的项目内容匹配；</w:t>
      </w:r>
    </w:p>
    <w:p w14:paraId="552AD5DF">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本项目预算申请资金</w:t>
      </w:r>
      <w:r>
        <w:rPr>
          <w:rFonts w:hint="eastAsia" w:ascii="宋体" w:hAnsi="宋体" w:eastAsia="宋体" w:cs="宋体"/>
          <w:color w:val="auto"/>
          <w:sz w:val="24"/>
          <w:szCs w:val="24"/>
          <w:highlight w:val="none"/>
          <w:lang w:val="en-US" w:eastAsia="zh-CN"/>
        </w:rPr>
        <w:t>89.55</w:t>
      </w:r>
      <w:r>
        <w:rPr>
          <w:rFonts w:hint="eastAsia" w:ascii="宋体" w:hAnsi="宋体" w:eastAsia="宋体" w:cs="宋体"/>
          <w:color w:val="auto"/>
          <w:sz w:val="24"/>
          <w:szCs w:val="24"/>
          <w:highlight w:val="none"/>
        </w:rPr>
        <w:t>万元，我单位在预算申请中严格按照项目实施内容及测算标准进行核算，其中：</w:t>
      </w:r>
      <w:r>
        <w:rPr>
          <w:rFonts w:hint="eastAsia" w:ascii="宋体" w:hAnsi="宋体" w:eastAsia="宋体" w:cs="宋体"/>
          <w:color w:val="auto"/>
          <w:sz w:val="24"/>
          <w:szCs w:val="24"/>
          <w:highlight w:val="none"/>
          <w:lang w:eastAsia="zh-CN"/>
        </w:rPr>
        <w:t>水</w:t>
      </w:r>
      <w:r>
        <w:rPr>
          <w:rFonts w:hint="eastAsia" w:ascii="宋体" w:hAnsi="宋体" w:eastAsia="宋体" w:cs="宋体"/>
          <w:color w:val="auto"/>
          <w:sz w:val="24"/>
          <w:szCs w:val="24"/>
          <w:highlight w:val="none"/>
        </w:rPr>
        <w:t>费</w:t>
      </w:r>
      <w:r>
        <w:rPr>
          <w:rFonts w:hint="eastAsia" w:ascii="宋体" w:hAnsi="宋体" w:eastAsia="宋体" w:cs="宋体"/>
          <w:color w:val="auto"/>
          <w:sz w:val="24"/>
          <w:szCs w:val="24"/>
          <w:highlight w:val="none"/>
          <w:lang w:val="en-US" w:eastAsia="zh-CN"/>
        </w:rPr>
        <w:t>20.28</w:t>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highlight w:val="none"/>
          <w:lang w:eastAsia="zh-CN"/>
        </w:rPr>
        <w:t>电</w:t>
      </w:r>
      <w:r>
        <w:rPr>
          <w:rFonts w:hint="eastAsia" w:ascii="宋体" w:hAnsi="宋体" w:eastAsia="宋体" w:cs="宋体"/>
          <w:color w:val="auto"/>
          <w:sz w:val="24"/>
          <w:szCs w:val="24"/>
          <w:highlight w:val="none"/>
        </w:rPr>
        <w:t>费</w:t>
      </w:r>
      <w:r>
        <w:rPr>
          <w:rFonts w:hint="eastAsia" w:ascii="宋体" w:hAnsi="宋体" w:eastAsia="宋体" w:cs="宋体"/>
          <w:color w:val="auto"/>
          <w:sz w:val="24"/>
          <w:szCs w:val="24"/>
          <w:highlight w:val="none"/>
          <w:lang w:val="en-US" w:eastAsia="zh-CN"/>
        </w:rPr>
        <w:t>69.27</w:t>
      </w:r>
      <w:r>
        <w:rPr>
          <w:rFonts w:hint="eastAsia" w:ascii="宋体" w:hAnsi="宋体" w:eastAsia="宋体" w:cs="宋体"/>
          <w:color w:val="auto"/>
          <w:sz w:val="24"/>
          <w:szCs w:val="24"/>
          <w:highlight w:val="none"/>
        </w:rPr>
        <w:t>万元。预算确定资金量与实际工作任务相匹配。本项目预算额度测算依据充分，严格按照标准编制，预算确定资金量与实际工作任务相匹配；根据评分标准，该指标不扣分，得3分。</w:t>
      </w:r>
    </w:p>
    <w:p w14:paraId="237F3BA4">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（6）资金分配合理性：</w:t>
      </w:r>
      <w:r>
        <w:rPr>
          <w:rFonts w:hint="eastAsia" w:ascii="宋体" w:hAnsi="宋体" w:eastAsia="宋体" w:cs="宋体"/>
          <w:color w:val="auto"/>
          <w:sz w:val="24"/>
          <w:szCs w:val="24"/>
          <w:highlight w:val="none"/>
        </w:rPr>
        <w:t>本项目实际分配资金以《关于申请行政服务中心及保障性住房水电费项目资金的请示》和《行政服务中心及保障性住房水电费项目实施方案》为依据进行资金分配，预算资金分配依据充分。根据</w:t>
      </w:r>
      <w:r>
        <w:rPr>
          <w:rFonts w:hint="eastAsia" w:ascii="宋体" w:hAnsi="宋体" w:eastAsia="宋体" w:cs="宋体"/>
          <w:color w:val="auto"/>
          <w:sz w:val="24"/>
          <w:szCs w:val="24"/>
          <w:highlight w:val="none"/>
          <w:lang w:val="en-US" w:eastAsia="zh-CN"/>
        </w:rPr>
        <w:t>历年来的用电情况和年初部门预算精神立项并实施</w:t>
      </w:r>
      <w:r>
        <w:rPr>
          <w:rFonts w:hint="eastAsia" w:ascii="宋体" w:hAnsi="宋体" w:eastAsia="宋体" w:cs="宋体"/>
          <w:color w:val="auto"/>
          <w:sz w:val="24"/>
          <w:szCs w:val="24"/>
          <w:highlight w:val="none"/>
        </w:rPr>
        <w:t>，本项目实际到位资金</w:t>
      </w:r>
      <w:r>
        <w:rPr>
          <w:rFonts w:hint="eastAsia" w:ascii="宋体" w:hAnsi="宋体" w:eastAsia="宋体" w:cs="宋体"/>
          <w:color w:val="auto"/>
          <w:sz w:val="24"/>
          <w:szCs w:val="24"/>
          <w:highlight w:val="none"/>
          <w:lang w:val="en-US" w:eastAsia="zh-CN"/>
        </w:rPr>
        <w:t>89.55</w:t>
      </w:r>
      <w:r>
        <w:rPr>
          <w:rFonts w:hint="eastAsia" w:ascii="宋体" w:hAnsi="宋体" w:eastAsia="宋体" w:cs="宋体"/>
          <w:color w:val="auto"/>
          <w:sz w:val="24"/>
          <w:szCs w:val="24"/>
          <w:highlight w:val="none"/>
        </w:rPr>
        <w:t>万元，资金分配额度合理，与我单位实际需求相适应。资金分配与实际相适应，根据评分标准，该指标不扣分，得2分。</w:t>
      </w:r>
    </w:p>
    <w:p w14:paraId="31A424DA">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（二）项目过程情况</w:t>
      </w:r>
    </w:p>
    <w:p w14:paraId="6448CCDA">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项目过程类指标包括资金管理和组织实施两方面的内容，由 5个三级指标构成，权重分为</w:t>
      </w:r>
      <w:r>
        <w:rPr>
          <w:rFonts w:hint="eastAsia" w:ascii="宋体" w:hAnsi="宋体" w:eastAsia="宋体" w:cs="宋体"/>
          <w:sz w:val="24"/>
          <w:szCs w:val="24"/>
          <w:highlight w:val="none"/>
          <w:lang w:val="en-US" w:eastAsia="zh-CN"/>
        </w:rPr>
        <w:t>12</w:t>
      </w:r>
      <w:r>
        <w:rPr>
          <w:rFonts w:hint="eastAsia" w:ascii="宋体" w:hAnsi="宋体" w:eastAsia="宋体" w:cs="宋体"/>
          <w:sz w:val="24"/>
          <w:szCs w:val="24"/>
          <w:highlight w:val="none"/>
        </w:rPr>
        <w:t>分，实际得分</w:t>
      </w:r>
      <w:r>
        <w:rPr>
          <w:rFonts w:hint="eastAsia" w:ascii="宋体" w:hAnsi="宋体" w:eastAsia="宋体" w:cs="宋体"/>
          <w:sz w:val="24"/>
          <w:szCs w:val="24"/>
          <w:highlight w:val="none"/>
          <w:lang w:val="en-US" w:eastAsia="zh-CN"/>
        </w:rPr>
        <w:t>12</w:t>
      </w:r>
      <w:r>
        <w:rPr>
          <w:rFonts w:hint="eastAsia" w:ascii="宋体" w:hAnsi="宋体" w:eastAsia="宋体" w:cs="宋体"/>
          <w:sz w:val="24"/>
          <w:szCs w:val="24"/>
          <w:highlight w:val="none"/>
        </w:rPr>
        <w:t>分，得分率为</w:t>
      </w:r>
      <w:r>
        <w:rPr>
          <w:rFonts w:hint="eastAsia" w:ascii="宋体" w:hAnsi="宋体" w:eastAsia="宋体" w:cs="宋体"/>
          <w:sz w:val="24"/>
          <w:szCs w:val="24"/>
          <w:highlight w:val="none"/>
          <w:lang w:val="en-US" w:eastAsia="zh-CN"/>
        </w:rPr>
        <w:t>100</w:t>
      </w:r>
      <w:r>
        <w:rPr>
          <w:rFonts w:hint="eastAsia" w:ascii="宋体" w:hAnsi="宋体" w:eastAsia="宋体" w:cs="宋体"/>
          <w:sz w:val="24"/>
          <w:szCs w:val="24"/>
          <w:highlight w:val="none"/>
        </w:rPr>
        <w:t>%。</w:t>
      </w:r>
    </w:p>
    <w:p w14:paraId="07749836">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bCs/>
          <w:color w:val="auto"/>
          <w:sz w:val="24"/>
          <w:szCs w:val="24"/>
          <w:highlight w:val="none"/>
        </w:rPr>
        <w:t>（1）资金到位率：</w:t>
      </w:r>
      <w:r>
        <w:rPr>
          <w:rFonts w:hint="eastAsia" w:ascii="宋体" w:hAnsi="宋体" w:eastAsia="宋体" w:cs="宋体"/>
          <w:b w:val="0"/>
          <w:bCs w:val="0"/>
          <w:color w:val="auto"/>
          <w:sz w:val="24"/>
          <w:szCs w:val="24"/>
          <w:highlight w:val="none"/>
        </w:rPr>
        <w:t>本项目预算资金为</w:t>
      </w:r>
      <w:r>
        <w:rPr>
          <w:rFonts w:hint="eastAsia" w:ascii="宋体" w:hAnsi="宋体" w:eastAsia="宋体" w:cs="宋体"/>
          <w:b w:val="0"/>
          <w:bCs w:val="0"/>
          <w:color w:val="auto"/>
          <w:sz w:val="24"/>
          <w:szCs w:val="24"/>
          <w:highlight w:val="none"/>
          <w:lang w:val="en-US" w:eastAsia="zh-CN"/>
        </w:rPr>
        <w:t>89.55</w:t>
      </w:r>
      <w:r>
        <w:rPr>
          <w:rFonts w:hint="eastAsia" w:ascii="宋体" w:hAnsi="宋体" w:eastAsia="宋体" w:cs="宋体"/>
          <w:b w:val="0"/>
          <w:bCs w:val="0"/>
          <w:color w:val="auto"/>
          <w:sz w:val="24"/>
          <w:szCs w:val="24"/>
          <w:highlight w:val="none"/>
        </w:rPr>
        <w:t>万元，其中：财政安排资金</w:t>
      </w:r>
      <w:r>
        <w:rPr>
          <w:rFonts w:hint="eastAsia" w:ascii="宋体" w:hAnsi="宋体" w:eastAsia="宋体" w:cs="宋体"/>
          <w:b w:val="0"/>
          <w:bCs w:val="0"/>
          <w:color w:val="auto"/>
          <w:sz w:val="24"/>
          <w:szCs w:val="24"/>
          <w:highlight w:val="none"/>
          <w:lang w:val="en-US" w:eastAsia="zh-CN"/>
        </w:rPr>
        <w:t>89.55</w:t>
      </w:r>
      <w:r>
        <w:rPr>
          <w:rFonts w:hint="eastAsia" w:ascii="宋体" w:hAnsi="宋体" w:eastAsia="宋体" w:cs="宋体"/>
          <w:b w:val="0"/>
          <w:bCs w:val="0"/>
          <w:color w:val="auto"/>
          <w:sz w:val="24"/>
          <w:szCs w:val="24"/>
          <w:highlight w:val="none"/>
        </w:rPr>
        <w:t>万元，其他资金</w:t>
      </w:r>
      <w:r>
        <w:rPr>
          <w:rFonts w:hint="eastAsia" w:ascii="宋体" w:hAnsi="宋体" w:eastAsia="宋体" w:cs="宋体"/>
          <w:b w:val="0"/>
          <w:bCs w:val="0"/>
          <w:color w:val="auto"/>
          <w:sz w:val="24"/>
          <w:szCs w:val="24"/>
          <w:highlight w:val="none"/>
          <w:lang w:val="en-US" w:eastAsia="zh-CN"/>
        </w:rPr>
        <w:t>0</w:t>
      </w:r>
      <w:r>
        <w:rPr>
          <w:rFonts w:hint="eastAsia" w:ascii="宋体" w:hAnsi="宋体" w:eastAsia="宋体" w:cs="宋体"/>
          <w:b w:val="0"/>
          <w:bCs w:val="0"/>
          <w:color w:val="auto"/>
          <w:sz w:val="24"/>
          <w:szCs w:val="24"/>
          <w:highlight w:val="none"/>
        </w:rPr>
        <w:t>万元，实际到位资金</w:t>
      </w:r>
      <w:r>
        <w:rPr>
          <w:rFonts w:hint="eastAsia" w:ascii="宋体" w:hAnsi="宋体" w:eastAsia="宋体" w:cs="宋体"/>
          <w:b w:val="0"/>
          <w:bCs w:val="0"/>
          <w:color w:val="auto"/>
          <w:sz w:val="24"/>
          <w:szCs w:val="24"/>
          <w:highlight w:val="none"/>
          <w:lang w:val="en-US" w:eastAsia="zh-CN"/>
        </w:rPr>
        <w:t>89.55</w:t>
      </w:r>
      <w:r>
        <w:rPr>
          <w:rFonts w:hint="eastAsia" w:ascii="宋体" w:hAnsi="宋体" w:eastAsia="宋体" w:cs="宋体"/>
          <w:b w:val="0"/>
          <w:bCs w:val="0"/>
          <w:color w:val="auto"/>
          <w:sz w:val="24"/>
          <w:szCs w:val="24"/>
          <w:highlight w:val="none"/>
        </w:rPr>
        <w:t>万元，资金到位率=</w:t>
      </w:r>
      <w:r>
        <w:rPr>
          <w:rFonts w:hint="eastAsia" w:ascii="宋体" w:hAnsi="宋体" w:eastAsia="宋体" w:cs="宋体"/>
          <w:b w:val="0"/>
          <w:bCs w:val="0"/>
          <w:color w:val="auto"/>
          <w:sz w:val="24"/>
          <w:szCs w:val="24"/>
          <w:highlight w:val="none"/>
          <w:lang w:val="en-US" w:eastAsia="zh-CN"/>
        </w:rPr>
        <w:t>100%；通过分析可知，该项目</w:t>
      </w:r>
      <w:r>
        <w:rPr>
          <w:rFonts w:hint="eastAsia" w:ascii="宋体" w:hAnsi="宋体" w:eastAsia="宋体" w:cs="宋体"/>
          <w:b w:val="0"/>
          <w:bCs w:val="0"/>
          <w:color w:val="auto"/>
          <w:sz w:val="24"/>
          <w:szCs w:val="24"/>
          <w:highlight w:val="none"/>
        </w:rPr>
        <w:t>财政资金足额拨付到位，能够及时足额</w:t>
      </w:r>
      <w:r>
        <w:rPr>
          <w:rFonts w:hint="eastAsia" w:ascii="宋体" w:hAnsi="宋体" w:eastAsia="宋体" w:cs="宋体"/>
          <w:b w:val="0"/>
          <w:bCs w:val="0"/>
          <w:color w:val="auto"/>
          <w:sz w:val="24"/>
          <w:szCs w:val="24"/>
          <w:highlight w:val="none"/>
          <w:lang w:val="en-US" w:eastAsia="zh-CN"/>
        </w:rPr>
        <w:t>支付</w:t>
      </w:r>
      <w:r>
        <w:rPr>
          <w:rFonts w:hint="eastAsia" w:ascii="宋体" w:hAnsi="宋体" w:eastAsia="宋体" w:cs="宋体"/>
          <w:b w:val="0"/>
          <w:bCs w:val="0"/>
          <w:color w:val="auto"/>
          <w:sz w:val="24"/>
          <w:szCs w:val="24"/>
          <w:highlight w:val="none"/>
        </w:rPr>
        <w:t>给</w:t>
      </w:r>
      <w:r>
        <w:rPr>
          <w:rFonts w:hint="eastAsia" w:ascii="宋体" w:hAnsi="宋体" w:eastAsia="宋体" w:cs="宋体"/>
          <w:b w:val="0"/>
          <w:bCs w:val="0"/>
          <w:color w:val="auto"/>
          <w:sz w:val="24"/>
          <w:szCs w:val="24"/>
          <w:highlight w:val="none"/>
          <w:lang w:val="en-US" w:eastAsia="zh-CN"/>
        </w:rPr>
        <w:t>实施</w:t>
      </w:r>
      <w:r>
        <w:rPr>
          <w:rFonts w:hint="eastAsia" w:ascii="宋体" w:hAnsi="宋体" w:eastAsia="宋体" w:cs="宋体"/>
          <w:b w:val="0"/>
          <w:bCs w:val="0"/>
          <w:color w:val="auto"/>
          <w:sz w:val="24"/>
          <w:szCs w:val="24"/>
          <w:highlight w:val="none"/>
        </w:rPr>
        <w:t>单位</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 xml:space="preserve">根据评分标准，该指标不扣分，得3分。   </w:t>
      </w:r>
    </w:p>
    <w:p w14:paraId="5BCDCEB6">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（2）预算执行率：</w:t>
      </w:r>
      <w:r>
        <w:rPr>
          <w:rFonts w:hint="eastAsia" w:ascii="宋体" w:hAnsi="宋体" w:eastAsia="宋体" w:cs="宋体"/>
          <w:color w:val="auto"/>
          <w:sz w:val="24"/>
          <w:szCs w:val="24"/>
          <w:highlight w:val="none"/>
        </w:rPr>
        <w:t>本项目实际支出资金</w:t>
      </w:r>
      <w:r>
        <w:rPr>
          <w:rFonts w:hint="eastAsia" w:ascii="宋体" w:hAnsi="宋体" w:eastAsia="宋体" w:cs="宋体"/>
          <w:color w:val="auto"/>
          <w:sz w:val="24"/>
          <w:szCs w:val="24"/>
          <w:highlight w:val="none"/>
          <w:lang w:val="en-US" w:eastAsia="zh-CN"/>
        </w:rPr>
        <w:t>89.55</w:t>
      </w:r>
      <w:r>
        <w:rPr>
          <w:rFonts w:hint="eastAsia" w:ascii="宋体" w:hAnsi="宋体" w:eastAsia="宋体" w:cs="宋体"/>
          <w:color w:val="auto"/>
          <w:sz w:val="24"/>
          <w:szCs w:val="24"/>
          <w:highlight w:val="none"/>
        </w:rPr>
        <w:t>万元，预算执行率=（实际支出资金/实际到位资金）×100.0%=</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通过分析可知，该项目</w:t>
      </w:r>
      <w:r>
        <w:rPr>
          <w:rFonts w:hint="eastAsia" w:ascii="宋体" w:hAnsi="宋体" w:eastAsia="宋体" w:cs="宋体"/>
          <w:color w:val="auto"/>
          <w:sz w:val="24"/>
          <w:szCs w:val="24"/>
          <w:highlight w:val="none"/>
          <w:lang w:val="en-US"/>
        </w:rPr>
        <w:t>预</w:t>
      </w:r>
      <w:r>
        <w:rPr>
          <w:rFonts w:hint="eastAsia" w:ascii="宋体" w:hAnsi="宋体" w:eastAsia="宋体" w:cs="宋体"/>
          <w:color w:val="auto"/>
          <w:sz w:val="24"/>
          <w:szCs w:val="24"/>
          <w:highlight w:val="none"/>
        </w:rPr>
        <w:t>算编制较为详细，项目资金支出总体能够按照预算执行，根据评分标准，该指标不扣分，得3分。</w:t>
      </w:r>
    </w:p>
    <w:p w14:paraId="06D1A94E">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（3）资金使用合规性：</w:t>
      </w:r>
      <w:r>
        <w:rPr>
          <w:rFonts w:hint="eastAsia" w:ascii="宋体" w:hAnsi="宋体" w:eastAsia="宋体" w:cs="宋体"/>
          <w:color w:val="auto"/>
          <w:sz w:val="24"/>
          <w:szCs w:val="24"/>
          <w:highlight w:val="none"/>
        </w:rPr>
        <w:t>通过检查项目资金申请文件、</w:t>
      </w:r>
      <w:r>
        <w:rPr>
          <w:rFonts w:hint="eastAsia" w:ascii="宋体" w:hAnsi="宋体" w:eastAsia="宋体" w:cs="宋体"/>
          <w:color w:val="auto"/>
          <w:sz w:val="24"/>
          <w:szCs w:val="24"/>
          <w:highlight w:val="none"/>
          <w:lang w:val="en-US" w:eastAsia="zh-CN"/>
        </w:rPr>
        <w:t>国库支付凭证</w:t>
      </w:r>
      <w:r>
        <w:rPr>
          <w:rFonts w:hint="eastAsia" w:ascii="宋体" w:hAnsi="宋体" w:eastAsia="宋体" w:cs="宋体"/>
          <w:color w:val="auto"/>
          <w:sz w:val="24"/>
          <w:szCs w:val="24"/>
          <w:highlight w:val="none"/>
        </w:rPr>
        <w:t>等财务</w:t>
      </w:r>
      <w:r>
        <w:rPr>
          <w:rFonts w:hint="eastAsia" w:ascii="宋体" w:hAnsi="宋体" w:eastAsia="宋体" w:cs="宋体"/>
          <w:color w:val="auto"/>
          <w:sz w:val="24"/>
          <w:szCs w:val="24"/>
          <w:highlight w:val="none"/>
          <w:lang w:val="en-US" w:eastAsia="zh-CN"/>
        </w:rPr>
        <w:t>资料</w:t>
      </w:r>
      <w:r>
        <w:rPr>
          <w:rFonts w:hint="eastAsia" w:ascii="宋体" w:hAnsi="宋体" w:eastAsia="宋体" w:cs="宋体"/>
          <w:color w:val="auto"/>
          <w:sz w:val="24"/>
          <w:szCs w:val="24"/>
          <w:highlight w:val="none"/>
        </w:rPr>
        <w:t>，得出本项目资金支出符合国家财经法规、《政府会计制度》《</w:t>
      </w:r>
      <w:r>
        <w:rPr>
          <w:rFonts w:hint="eastAsia" w:ascii="宋体" w:hAnsi="宋体" w:eastAsia="宋体" w:cs="宋体"/>
          <w:color w:val="auto"/>
          <w:sz w:val="24"/>
          <w:szCs w:val="24"/>
          <w:highlight w:val="none"/>
          <w:lang w:eastAsia="zh-CN"/>
        </w:rPr>
        <w:t>中共洛浦县委办公室</w:t>
      </w:r>
      <w:r>
        <w:rPr>
          <w:rFonts w:hint="eastAsia" w:ascii="宋体" w:hAnsi="宋体" w:eastAsia="宋体" w:cs="宋体"/>
          <w:color w:val="auto"/>
          <w:sz w:val="24"/>
          <w:szCs w:val="24"/>
          <w:highlight w:val="none"/>
        </w:rPr>
        <w:t>单位资金管理办法》，资金的拨付有完整的审批程序和手续，资金实际使用方向与预算批复用途一致，不存在截留、挤占、挪用、虚列支出的情况。</w:t>
      </w:r>
      <w:r>
        <w:rPr>
          <w:rFonts w:hint="eastAsia" w:ascii="宋体" w:hAnsi="宋体" w:eastAsia="宋体" w:cs="宋体"/>
          <w:color w:val="auto"/>
          <w:sz w:val="24"/>
          <w:szCs w:val="24"/>
          <w:highlight w:val="none"/>
          <w:lang w:val="en-US" w:eastAsia="zh-CN"/>
        </w:rPr>
        <w:t>我单位</w:t>
      </w:r>
      <w:r>
        <w:rPr>
          <w:rFonts w:hint="eastAsia" w:ascii="宋体" w:hAnsi="宋体" w:eastAsia="宋体" w:cs="宋体"/>
          <w:color w:val="auto"/>
          <w:sz w:val="24"/>
          <w:szCs w:val="24"/>
          <w:highlight w:val="none"/>
        </w:rPr>
        <w:t>制定了相关的制度和管理规定对经费使用进行规范管理，财务制度健全、执行严格，根据评分标准，该指标不扣分，得4分。</w:t>
      </w:r>
    </w:p>
    <w:p w14:paraId="4EC1C5CF">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（4）管理制度健全性：</w:t>
      </w:r>
      <w:r>
        <w:rPr>
          <w:rFonts w:hint="eastAsia" w:ascii="宋体" w:hAnsi="宋体" w:eastAsia="宋体" w:cs="宋体"/>
          <w:b w:val="0"/>
          <w:bCs w:val="0"/>
          <w:color w:val="auto"/>
          <w:sz w:val="24"/>
          <w:szCs w:val="24"/>
          <w:highlight w:val="none"/>
        </w:rPr>
        <w:t>我单位已制定《</w:t>
      </w:r>
      <w:r>
        <w:rPr>
          <w:rFonts w:hint="eastAsia" w:ascii="宋体" w:hAnsi="宋体" w:eastAsia="宋体" w:cs="宋体"/>
          <w:color w:val="auto"/>
          <w:sz w:val="24"/>
          <w:szCs w:val="24"/>
          <w:highlight w:val="none"/>
          <w:lang w:eastAsia="zh-CN"/>
        </w:rPr>
        <w:t>中共洛浦县委办公室</w:t>
      </w:r>
      <w:r>
        <w:rPr>
          <w:rFonts w:hint="eastAsia" w:ascii="宋体" w:hAnsi="宋体" w:eastAsia="宋体" w:cs="宋体"/>
          <w:b w:val="0"/>
          <w:bCs w:val="0"/>
          <w:color w:val="auto"/>
          <w:sz w:val="24"/>
          <w:szCs w:val="24"/>
          <w:highlight w:val="none"/>
        </w:rPr>
        <w:t>资金管理办法》《</w:t>
      </w:r>
      <w:r>
        <w:rPr>
          <w:rFonts w:hint="eastAsia" w:ascii="宋体" w:hAnsi="宋体" w:eastAsia="宋体" w:cs="宋体"/>
          <w:color w:val="auto"/>
          <w:sz w:val="24"/>
          <w:szCs w:val="24"/>
          <w:highlight w:val="none"/>
          <w:lang w:eastAsia="zh-CN"/>
        </w:rPr>
        <w:t>中共洛浦县委办公室</w:t>
      </w:r>
      <w:r>
        <w:rPr>
          <w:rFonts w:hint="eastAsia" w:ascii="宋体" w:hAnsi="宋体" w:eastAsia="宋体" w:cs="宋体"/>
          <w:b w:val="0"/>
          <w:bCs w:val="0"/>
          <w:color w:val="auto"/>
          <w:sz w:val="24"/>
          <w:szCs w:val="24"/>
          <w:highlight w:val="none"/>
        </w:rPr>
        <w:t>收支业务管理制度》《</w:t>
      </w:r>
      <w:r>
        <w:rPr>
          <w:rFonts w:hint="eastAsia" w:ascii="宋体" w:hAnsi="宋体" w:eastAsia="宋体" w:cs="宋体"/>
          <w:color w:val="auto"/>
          <w:sz w:val="24"/>
          <w:szCs w:val="24"/>
          <w:highlight w:val="none"/>
          <w:lang w:eastAsia="zh-CN"/>
        </w:rPr>
        <w:t>中共洛浦县委办公室</w:t>
      </w:r>
      <w:r>
        <w:rPr>
          <w:rFonts w:hint="eastAsia" w:ascii="宋体" w:hAnsi="宋体" w:eastAsia="宋体" w:cs="宋体"/>
          <w:b w:val="0"/>
          <w:bCs w:val="0"/>
          <w:color w:val="auto"/>
          <w:sz w:val="24"/>
          <w:szCs w:val="24"/>
          <w:highlight w:val="none"/>
        </w:rPr>
        <w:t>政府采购业务管理制度》《</w:t>
      </w:r>
      <w:r>
        <w:rPr>
          <w:rFonts w:hint="eastAsia" w:ascii="宋体" w:hAnsi="宋体" w:eastAsia="宋体" w:cs="宋体"/>
          <w:color w:val="auto"/>
          <w:sz w:val="24"/>
          <w:szCs w:val="24"/>
          <w:highlight w:val="none"/>
          <w:lang w:eastAsia="zh-CN"/>
        </w:rPr>
        <w:t>中共洛浦县委办公室</w:t>
      </w:r>
      <w:r>
        <w:rPr>
          <w:rFonts w:hint="eastAsia" w:ascii="宋体" w:hAnsi="宋体" w:eastAsia="宋体" w:cs="宋体"/>
          <w:b w:val="0"/>
          <w:bCs w:val="0"/>
          <w:color w:val="auto"/>
          <w:sz w:val="24"/>
          <w:szCs w:val="24"/>
          <w:highlight w:val="none"/>
        </w:rPr>
        <w:t>合同管理制度》，</w:t>
      </w:r>
      <w:r>
        <w:rPr>
          <w:rFonts w:hint="eastAsia" w:ascii="宋体" w:hAnsi="宋体" w:eastAsia="宋体" w:cs="宋体"/>
          <w:b w:val="0"/>
          <w:bCs w:val="0"/>
          <w:color w:val="auto"/>
          <w:sz w:val="24"/>
          <w:szCs w:val="24"/>
          <w:highlight w:val="none"/>
          <w:lang w:val="en-US" w:eastAsia="zh-CN"/>
        </w:rPr>
        <w:t>相关</w:t>
      </w:r>
      <w:r>
        <w:rPr>
          <w:rFonts w:hint="eastAsia" w:ascii="宋体" w:hAnsi="宋体" w:eastAsia="宋体" w:cs="宋体"/>
          <w:b w:val="0"/>
          <w:bCs w:val="0"/>
          <w:color w:val="auto"/>
          <w:sz w:val="24"/>
          <w:szCs w:val="24"/>
          <w:highlight w:val="none"/>
        </w:rPr>
        <w:t>制度均符合行政事业单位内控管理要求，财务和业务管理制度合法、合规、完整，本项目执行符合上述制度规定。根据评分标准，该指标不扣分，得5分。</w:t>
      </w:r>
    </w:p>
    <w:p w14:paraId="23C6A9E1">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（5）制度执行有效性</w:t>
      </w:r>
      <w:r>
        <w:rPr>
          <w:rFonts w:hint="eastAsia" w:ascii="宋体" w:hAnsi="宋体" w:eastAsia="宋体" w:cs="宋体"/>
          <w:color w:val="auto"/>
          <w:sz w:val="24"/>
          <w:szCs w:val="24"/>
          <w:highlight w:val="none"/>
        </w:rPr>
        <w:t>：</w:t>
      </w:r>
    </w:p>
    <w:p w14:paraId="5D2584D2">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①该项目的实施符合《</w:t>
      </w:r>
      <w:r>
        <w:rPr>
          <w:rFonts w:hint="eastAsia" w:ascii="宋体" w:hAnsi="宋体" w:eastAsia="宋体" w:cs="宋体"/>
          <w:color w:val="auto"/>
          <w:sz w:val="24"/>
          <w:szCs w:val="24"/>
          <w:highlight w:val="none"/>
          <w:lang w:eastAsia="zh-CN"/>
        </w:rPr>
        <w:t>中共洛浦县委办公室</w:t>
      </w:r>
      <w:r>
        <w:rPr>
          <w:rFonts w:hint="eastAsia" w:ascii="宋体" w:hAnsi="宋体" w:eastAsia="宋体" w:cs="宋体"/>
          <w:color w:val="auto"/>
          <w:sz w:val="24"/>
          <w:szCs w:val="24"/>
          <w:highlight w:val="none"/>
        </w:rPr>
        <w:t>管理制度》《</w:t>
      </w:r>
      <w:r>
        <w:rPr>
          <w:rFonts w:hint="eastAsia" w:ascii="宋体" w:hAnsi="宋体" w:eastAsia="宋体" w:cs="宋体"/>
          <w:color w:val="auto"/>
          <w:sz w:val="24"/>
          <w:szCs w:val="24"/>
          <w:highlight w:val="none"/>
          <w:lang w:eastAsia="zh-CN"/>
        </w:rPr>
        <w:t>中共洛浦县委办公室</w:t>
      </w:r>
      <w:r>
        <w:rPr>
          <w:rFonts w:hint="eastAsia" w:ascii="宋体" w:hAnsi="宋体" w:eastAsia="宋体" w:cs="宋体"/>
          <w:color w:val="auto"/>
          <w:sz w:val="24"/>
          <w:szCs w:val="24"/>
          <w:highlight w:val="none"/>
        </w:rPr>
        <w:t>采购业务管理制度》《</w:t>
      </w:r>
      <w:r>
        <w:rPr>
          <w:rFonts w:hint="eastAsia" w:ascii="宋体" w:hAnsi="宋体" w:eastAsia="宋体" w:cs="宋体"/>
          <w:color w:val="auto"/>
          <w:sz w:val="24"/>
          <w:szCs w:val="24"/>
          <w:highlight w:val="none"/>
          <w:lang w:eastAsia="zh-CN"/>
        </w:rPr>
        <w:t>中共洛浦县委办公室</w:t>
      </w:r>
      <w:r>
        <w:rPr>
          <w:rFonts w:hint="eastAsia" w:ascii="宋体" w:hAnsi="宋体" w:eastAsia="宋体" w:cs="宋体"/>
          <w:color w:val="auto"/>
          <w:sz w:val="24"/>
          <w:szCs w:val="24"/>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0ACD9938">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②经现场查证项目财务支付凭证等资料齐全并及时归档。</w:t>
      </w:r>
    </w:p>
    <w:p w14:paraId="22EC0498">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w:t>
      </w:r>
      <w:r>
        <w:rPr>
          <w:rFonts w:hint="eastAsia" w:ascii="宋体" w:hAnsi="宋体" w:eastAsia="宋体" w:cs="宋体"/>
          <w:color w:val="auto"/>
          <w:sz w:val="24"/>
          <w:szCs w:val="24"/>
          <w:highlight w:val="none"/>
          <w:lang w:eastAsia="zh-CN"/>
        </w:rPr>
        <w:t>不</w:t>
      </w:r>
      <w:r>
        <w:rPr>
          <w:rFonts w:hint="eastAsia" w:ascii="宋体" w:hAnsi="宋体" w:eastAsia="宋体" w:cs="宋体"/>
          <w:color w:val="auto"/>
          <w:sz w:val="24"/>
          <w:szCs w:val="24"/>
          <w:highlight w:val="none"/>
        </w:rPr>
        <w:t>存在调整事项。</w:t>
      </w:r>
    </w:p>
    <w:p w14:paraId="6A3B4C1D">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实施所需要的项目人员和场地设备均已落实到位，具体涉及内容包括：项目资金支出严格按照自治区、地区以及本单位资金管理办法执行，项目启动实施后，为了加快本项目的实施，成立了行政服务中心及保障性住房水电费项目工作领导小组，由</w:t>
      </w:r>
      <w:r>
        <w:rPr>
          <w:rFonts w:hint="eastAsia" w:ascii="宋体" w:hAnsi="宋体" w:eastAsia="宋体" w:cs="宋体"/>
          <w:color w:val="auto"/>
          <w:sz w:val="24"/>
          <w:szCs w:val="24"/>
          <w:highlight w:val="none"/>
          <w:lang w:eastAsia="zh-CN"/>
        </w:rPr>
        <w:t>王刚</w:t>
      </w:r>
      <w:r>
        <w:rPr>
          <w:rFonts w:hint="eastAsia" w:ascii="宋体" w:hAnsi="宋体" w:eastAsia="宋体" w:cs="宋体"/>
          <w:color w:val="auto"/>
          <w:sz w:val="24"/>
          <w:szCs w:val="24"/>
          <w:highlight w:val="none"/>
        </w:rPr>
        <w:t>任组长，负责项目的组织工作；</w:t>
      </w:r>
      <w:r>
        <w:rPr>
          <w:rFonts w:hint="eastAsia" w:ascii="宋体" w:hAnsi="宋体" w:eastAsia="宋体" w:cs="宋体"/>
          <w:color w:val="auto"/>
          <w:sz w:val="24"/>
          <w:szCs w:val="24"/>
          <w:highlight w:val="none"/>
          <w:lang w:eastAsia="zh-CN"/>
        </w:rPr>
        <w:t>张堃</w:t>
      </w:r>
      <w:r>
        <w:rPr>
          <w:rFonts w:hint="eastAsia" w:ascii="宋体" w:hAnsi="宋体" w:eastAsia="宋体" w:cs="宋体"/>
          <w:color w:val="auto"/>
          <w:sz w:val="24"/>
          <w:szCs w:val="24"/>
          <w:highlight w:val="none"/>
        </w:rPr>
        <w:t>任副组长，负责项目的实施工作；组员包括：</w:t>
      </w:r>
      <w:r>
        <w:rPr>
          <w:rFonts w:hint="eastAsia" w:ascii="宋体" w:hAnsi="宋体" w:eastAsia="宋体" w:cs="宋体"/>
          <w:color w:val="auto"/>
          <w:sz w:val="24"/>
          <w:szCs w:val="24"/>
          <w:highlight w:val="none"/>
          <w:lang w:eastAsia="zh-CN"/>
        </w:rPr>
        <w:t>马丽、李瑛、高向东</w:t>
      </w:r>
      <w:r>
        <w:rPr>
          <w:rFonts w:hint="eastAsia" w:ascii="宋体" w:hAnsi="宋体" w:eastAsia="宋体" w:cs="宋体"/>
          <w:color w:val="auto"/>
          <w:sz w:val="24"/>
          <w:szCs w:val="24"/>
          <w:highlight w:val="none"/>
        </w:rPr>
        <w:t>和</w:t>
      </w:r>
      <w:r>
        <w:rPr>
          <w:rFonts w:hint="eastAsia" w:ascii="宋体" w:hAnsi="宋体" w:eastAsia="宋体" w:cs="宋体"/>
          <w:color w:val="auto"/>
          <w:sz w:val="24"/>
          <w:szCs w:val="24"/>
          <w:highlight w:val="none"/>
          <w:lang w:eastAsia="zh-CN"/>
        </w:rPr>
        <w:t>吐送江·麦麦提明</w:t>
      </w:r>
      <w:r>
        <w:rPr>
          <w:rFonts w:hint="eastAsia" w:ascii="宋体" w:hAnsi="宋体" w:eastAsia="宋体" w:cs="宋体"/>
          <w:color w:val="auto"/>
          <w:sz w:val="24"/>
          <w:szCs w:val="24"/>
          <w:highlight w:val="none"/>
        </w:rPr>
        <w:t>，主要负责项目监督管理、验收以及资金核拨等工作。根据评分标准，该指标不扣分，得5分。</w:t>
      </w:r>
    </w:p>
    <w:p w14:paraId="2C3419EF">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项目产出类指标包括产出数量、产出质量、产出时效、产出成本四方面的内容，由4个三级指标构成，权重分为4</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6C76591F">
      <w:pPr>
        <w:pageBreakBefore w:val="0"/>
        <w:widowControl w:val="0"/>
        <w:numPr>
          <w:ilvl w:val="0"/>
          <w:numId w:val="5"/>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对于“产出数量”</w:t>
      </w:r>
    </w:p>
    <w:p w14:paraId="7BA1608E">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实际完成率指标，预期指标值为</w:t>
      </w:r>
      <w:r>
        <w:rPr>
          <w:rFonts w:hint="eastAsia" w:ascii="宋体" w:hAnsi="宋体" w:eastAsia="宋体" w:cs="宋体"/>
          <w:color w:val="auto"/>
          <w:sz w:val="24"/>
          <w:szCs w:val="24"/>
          <w:highlight w:val="none"/>
          <w:lang w:val="en-US" w:eastAsia="zh-CN"/>
        </w:rPr>
        <w:t>3个</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3个</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3F0970E6">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合计得10分。</w:t>
      </w:r>
    </w:p>
    <w:p w14:paraId="4FDF2FD4">
      <w:pPr>
        <w:pageBreakBefore w:val="0"/>
        <w:widowControl w:val="0"/>
        <w:numPr>
          <w:ilvl w:val="0"/>
          <w:numId w:val="5"/>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对于“产出质量”：</w:t>
      </w:r>
    </w:p>
    <w:p w14:paraId="09EF89DB">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资金使用覆盖率指标，预期指标值为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，与预期目标一致，根据评分标准，该指标不扣分，得5分。</w:t>
      </w:r>
    </w:p>
    <w:p w14:paraId="265C4750">
      <w:pPr>
        <w:pStyle w:val="1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color w:val="auto"/>
          <w:sz w:val="24"/>
          <w:szCs w:val="24"/>
          <w:highlight w:val="none"/>
        </w:rPr>
        <w:t>资金使用合规率指标，预期指标值为</w:t>
      </w:r>
      <w:r>
        <w:rPr>
          <w:rFonts w:hint="eastAsia" w:ascii="宋体" w:hAnsi="宋体" w:eastAsia="宋体" w:cs="宋体"/>
          <w:b w:val="0"/>
          <w:bCs/>
          <w:color w:val="auto"/>
          <w:sz w:val="24"/>
          <w:szCs w:val="24"/>
          <w:highlight w:val="none"/>
          <w:lang w:val="en-US" w:eastAsia="zh-CN"/>
        </w:rPr>
        <w:t>100%</w:t>
      </w:r>
      <w:r>
        <w:rPr>
          <w:rFonts w:hint="eastAsia" w:ascii="宋体" w:hAnsi="宋体" w:eastAsia="宋体" w:cs="宋体"/>
          <w:b w:val="0"/>
          <w:bCs/>
          <w:color w:val="auto"/>
          <w:sz w:val="24"/>
          <w:szCs w:val="24"/>
          <w:highlight w:val="none"/>
        </w:rPr>
        <w:t>，实际完成值为</w:t>
      </w:r>
      <w:r>
        <w:rPr>
          <w:rFonts w:hint="eastAsia" w:ascii="宋体" w:hAnsi="宋体" w:eastAsia="宋体" w:cs="宋体"/>
          <w:b w:val="0"/>
          <w:bCs/>
          <w:color w:val="auto"/>
          <w:sz w:val="24"/>
          <w:szCs w:val="24"/>
          <w:highlight w:val="none"/>
          <w:lang w:val="en-US" w:eastAsia="zh-CN"/>
        </w:rPr>
        <w:t>100%</w:t>
      </w:r>
      <w:r>
        <w:rPr>
          <w:rFonts w:hint="eastAsia" w:ascii="宋体" w:hAnsi="宋体" w:eastAsia="宋体" w:cs="宋体"/>
          <w:b w:val="0"/>
          <w:bCs/>
          <w:color w:val="auto"/>
          <w:sz w:val="24"/>
          <w:szCs w:val="24"/>
          <w:highlight w:val="none"/>
        </w:rPr>
        <w:t>，指标完成率为</w:t>
      </w:r>
      <w:r>
        <w:rPr>
          <w:rFonts w:hint="eastAsia" w:ascii="宋体" w:hAnsi="宋体" w:eastAsia="宋体" w:cs="宋体"/>
          <w:b w:val="0"/>
          <w:bCs/>
          <w:color w:val="auto"/>
          <w:sz w:val="24"/>
          <w:szCs w:val="24"/>
          <w:highlight w:val="none"/>
          <w:lang w:val="en-US" w:eastAsia="zh-CN"/>
        </w:rPr>
        <w:t>100%</w:t>
      </w:r>
      <w:r>
        <w:rPr>
          <w:rFonts w:hint="eastAsia" w:ascii="宋体" w:hAnsi="宋体" w:eastAsia="宋体" w:cs="宋体"/>
          <w:b w:val="0"/>
          <w:bCs/>
          <w:color w:val="auto"/>
          <w:sz w:val="24"/>
          <w:szCs w:val="24"/>
          <w:highlight w:val="none"/>
        </w:rPr>
        <w:t>，与预期目标一致，根据评分标准，该指标不扣分，得5分。</w:t>
      </w:r>
    </w:p>
    <w:p w14:paraId="6A845872">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合计得10分。</w:t>
      </w:r>
    </w:p>
    <w:p w14:paraId="7A514280">
      <w:pPr>
        <w:pStyle w:val="10"/>
        <w:pageBreakBefore w:val="0"/>
        <w:widowControl w:val="0"/>
        <w:numPr>
          <w:ilvl w:val="0"/>
          <w:numId w:val="5"/>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对于“产出时效”：</w:t>
      </w:r>
    </w:p>
    <w:p w14:paraId="4B89AA2E">
      <w:pPr>
        <w:pStyle w:val="1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项目完成时间指标，预期指标值为</w:t>
      </w:r>
      <w:r>
        <w:rPr>
          <w:rFonts w:hint="eastAsia" w:ascii="宋体" w:hAnsi="宋体" w:eastAsia="宋体" w:cs="宋体"/>
          <w:b w:val="0"/>
          <w:color w:val="auto"/>
          <w:sz w:val="24"/>
          <w:szCs w:val="24"/>
          <w:highlight w:val="none"/>
          <w:lang w:val="en-US" w:eastAsia="zh-CN"/>
        </w:rPr>
        <w:t>2024年12月</w:t>
      </w:r>
      <w:r>
        <w:rPr>
          <w:rFonts w:hint="eastAsia" w:ascii="宋体" w:hAnsi="宋体" w:eastAsia="宋体" w:cs="宋体"/>
          <w:b w:val="0"/>
          <w:color w:val="auto"/>
          <w:sz w:val="24"/>
          <w:szCs w:val="24"/>
          <w:highlight w:val="none"/>
        </w:rPr>
        <w:t>，实际完成值为</w:t>
      </w:r>
      <w:r>
        <w:rPr>
          <w:rFonts w:hint="eastAsia" w:ascii="宋体" w:hAnsi="宋体" w:eastAsia="宋体" w:cs="宋体"/>
          <w:b w:val="0"/>
          <w:color w:val="auto"/>
          <w:sz w:val="24"/>
          <w:szCs w:val="24"/>
          <w:highlight w:val="none"/>
          <w:lang w:val="en-US" w:eastAsia="zh-CN"/>
        </w:rPr>
        <w:t>2024年12月</w:t>
      </w:r>
      <w:r>
        <w:rPr>
          <w:rFonts w:hint="eastAsia" w:ascii="宋体" w:hAnsi="宋体" w:eastAsia="宋体" w:cs="宋体"/>
          <w:b w:val="0"/>
          <w:color w:val="auto"/>
          <w:sz w:val="24"/>
          <w:szCs w:val="24"/>
          <w:highlight w:val="none"/>
        </w:rPr>
        <w:t>，指标完成率为</w:t>
      </w:r>
      <w:r>
        <w:rPr>
          <w:rFonts w:hint="eastAsia" w:ascii="宋体" w:hAnsi="宋体" w:eastAsia="宋体" w:cs="宋体"/>
          <w:b w:val="0"/>
          <w:color w:val="auto"/>
          <w:sz w:val="24"/>
          <w:szCs w:val="24"/>
          <w:highlight w:val="none"/>
          <w:lang w:val="en-US" w:eastAsia="zh-CN"/>
        </w:rPr>
        <w:t>100%</w:t>
      </w:r>
      <w:r>
        <w:rPr>
          <w:rFonts w:hint="eastAsia" w:ascii="宋体" w:hAnsi="宋体" w:eastAsia="宋体" w:cs="宋体"/>
          <w:b w:val="0"/>
          <w:color w:val="auto"/>
          <w:sz w:val="24"/>
          <w:szCs w:val="24"/>
          <w:highlight w:val="none"/>
        </w:rPr>
        <w:t>，与预期目标一致，根据评分标准，该指标不扣分，</w:t>
      </w:r>
      <w:r>
        <w:rPr>
          <w:rFonts w:hint="eastAsia" w:ascii="宋体" w:hAnsi="宋体" w:eastAsia="宋体" w:cs="宋体"/>
          <w:b w:val="0"/>
          <w:bCs/>
          <w:color w:val="auto"/>
          <w:sz w:val="24"/>
          <w:szCs w:val="24"/>
          <w:highlight w:val="none"/>
        </w:rPr>
        <w:t>得</w:t>
      </w:r>
      <w:r>
        <w:rPr>
          <w:rFonts w:hint="eastAsia" w:ascii="宋体" w:hAnsi="宋体" w:eastAsia="宋体" w:cs="宋体"/>
          <w:b w:val="0"/>
          <w:bCs/>
          <w:color w:val="auto"/>
          <w:sz w:val="24"/>
          <w:szCs w:val="24"/>
          <w:highlight w:val="none"/>
          <w:lang w:val="en-US" w:eastAsia="zh-CN"/>
        </w:rPr>
        <w:t>5</w:t>
      </w:r>
      <w:r>
        <w:rPr>
          <w:rFonts w:hint="eastAsia" w:ascii="宋体" w:hAnsi="宋体" w:eastAsia="宋体" w:cs="宋体"/>
          <w:b w:val="0"/>
          <w:bCs/>
          <w:color w:val="auto"/>
          <w:sz w:val="24"/>
          <w:szCs w:val="24"/>
          <w:highlight w:val="none"/>
        </w:rPr>
        <w:t>分</w:t>
      </w:r>
      <w:r>
        <w:rPr>
          <w:rFonts w:hint="eastAsia" w:ascii="宋体" w:hAnsi="宋体" w:eastAsia="宋体" w:cs="宋体"/>
          <w:b w:val="0"/>
          <w:color w:val="auto"/>
          <w:sz w:val="24"/>
          <w:szCs w:val="24"/>
          <w:highlight w:val="none"/>
        </w:rPr>
        <w:t>。</w:t>
      </w:r>
    </w:p>
    <w:p w14:paraId="5DE0D0A0">
      <w:pPr>
        <w:pStyle w:val="1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资金支付及时率指标，预期指标值为</w:t>
      </w:r>
      <w:r>
        <w:rPr>
          <w:rFonts w:hint="eastAsia" w:ascii="宋体" w:hAnsi="宋体" w:eastAsia="宋体" w:cs="宋体"/>
          <w:b w:val="0"/>
          <w:color w:val="auto"/>
          <w:sz w:val="24"/>
          <w:szCs w:val="24"/>
          <w:highlight w:val="none"/>
          <w:lang w:val="en-US" w:eastAsia="zh-CN"/>
        </w:rPr>
        <w:t>100%</w:t>
      </w:r>
      <w:r>
        <w:rPr>
          <w:rFonts w:hint="eastAsia" w:ascii="宋体" w:hAnsi="宋体" w:eastAsia="宋体" w:cs="宋体"/>
          <w:b w:val="0"/>
          <w:color w:val="auto"/>
          <w:sz w:val="24"/>
          <w:szCs w:val="24"/>
          <w:highlight w:val="none"/>
        </w:rPr>
        <w:t>，实际完成值为</w:t>
      </w:r>
      <w:r>
        <w:rPr>
          <w:rFonts w:hint="eastAsia" w:ascii="宋体" w:hAnsi="宋体" w:eastAsia="宋体" w:cs="宋体"/>
          <w:b w:val="0"/>
          <w:color w:val="auto"/>
          <w:sz w:val="24"/>
          <w:szCs w:val="24"/>
          <w:highlight w:val="none"/>
          <w:lang w:val="en-US" w:eastAsia="zh-CN"/>
        </w:rPr>
        <w:t>100%</w:t>
      </w:r>
      <w:r>
        <w:rPr>
          <w:rFonts w:hint="eastAsia" w:ascii="宋体" w:hAnsi="宋体" w:eastAsia="宋体" w:cs="宋体"/>
          <w:b w:val="0"/>
          <w:color w:val="auto"/>
          <w:sz w:val="24"/>
          <w:szCs w:val="24"/>
          <w:highlight w:val="none"/>
        </w:rPr>
        <w:t>，指标完成率为</w:t>
      </w:r>
      <w:r>
        <w:rPr>
          <w:rFonts w:hint="eastAsia" w:ascii="宋体" w:hAnsi="宋体" w:eastAsia="宋体" w:cs="宋体"/>
          <w:b w:val="0"/>
          <w:color w:val="auto"/>
          <w:sz w:val="24"/>
          <w:szCs w:val="24"/>
          <w:highlight w:val="none"/>
          <w:lang w:val="en-US" w:eastAsia="zh-CN"/>
        </w:rPr>
        <w:t>100%</w:t>
      </w:r>
      <w:r>
        <w:rPr>
          <w:rFonts w:hint="eastAsia" w:ascii="宋体" w:hAnsi="宋体" w:eastAsia="宋体" w:cs="宋体"/>
          <w:b w:val="0"/>
          <w:color w:val="auto"/>
          <w:sz w:val="24"/>
          <w:szCs w:val="24"/>
          <w:highlight w:val="none"/>
        </w:rPr>
        <w:t>，与预期目标一致，根据评分标准，该指标不扣分，</w:t>
      </w:r>
      <w:r>
        <w:rPr>
          <w:rFonts w:hint="eastAsia" w:ascii="宋体" w:hAnsi="宋体" w:eastAsia="宋体" w:cs="宋体"/>
          <w:b w:val="0"/>
          <w:bCs/>
          <w:color w:val="auto"/>
          <w:sz w:val="24"/>
          <w:szCs w:val="24"/>
          <w:highlight w:val="none"/>
        </w:rPr>
        <w:t>得</w:t>
      </w:r>
      <w:r>
        <w:rPr>
          <w:rFonts w:hint="eastAsia" w:ascii="宋体" w:hAnsi="宋体" w:eastAsia="宋体" w:cs="宋体"/>
          <w:b w:val="0"/>
          <w:bCs/>
          <w:color w:val="auto"/>
          <w:sz w:val="24"/>
          <w:szCs w:val="24"/>
          <w:highlight w:val="none"/>
          <w:lang w:val="en-US" w:eastAsia="zh-CN"/>
        </w:rPr>
        <w:t>5</w:t>
      </w:r>
      <w:r>
        <w:rPr>
          <w:rFonts w:hint="eastAsia" w:ascii="宋体" w:hAnsi="宋体" w:eastAsia="宋体" w:cs="宋体"/>
          <w:b w:val="0"/>
          <w:bCs/>
          <w:color w:val="auto"/>
          <w:sz w:val="24"/>
          <w:szCs w:val="24"/>
          <w:highlight w:val="none"/>
        </w:rPr>
        <w:t>分</w:t>
      </w:r>
      <w:r>
        <w:rPr>
          <w:rFonts w:hint="eastAsia" w:ascii="宋体" w:hAnsi="宋体" w:eastAsia="宋体" w:cs="宋体"/>
          <w:b w:val="0"/>
          <w:color w:val="auto"/>
          <w:sz w:val="24"/>
          <w:szCs w:val="24"/>
          <w:highlight w:val="none"/>
        </w:rPr>
        <w:t>。</w:t>
      </w:r>
    </w:p>
    <w:p w14:paraId="4AE52479">
      <w:pPr>
        <w:pStyle w:val="1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合计得10分。</w:t>
      </w:r>
    </w:p>
    <w:p w14:paraId="4436CB92">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（4）对于“产出成本”：</w:t>
      </w:r>
    </w:p>
    <w:p w14:paraId="105A16A9">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水费指标，预期指标值为50万元，实际完成值为20.28万元，指标完成率为100%。项目经费都能控制绩效目标范围内，根据评分标准，该指标不扣分，得5分。</w:t>
      </w:r>
    </w:p>
    <w:p w14:paraId="3317CFDD">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电费指标，预期指标值为110万元，实际完成值为69.27，指标完成率为69.27万元，项目经费都能控制绩效目标范围内，根据评分标准，该指标不扣分，得5分。</w:t>
      </w:r>
    </w:p>
    <w:p w14:paraId="7FAB625A">
      <w:pPr>
        <w:pStyle w:val="1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val="0"/>
          <w:sz w:val="24"/>
          <w:szCs w:val="24"/>
          <w:highlight w:val="none"/>
        </w:rPr>
      </w:pPr>
      <w:r>
        <w:rPr>
          <w:rFonts w:hint="eastAsia" w:ascii="宋体" w:hAnsi="宋体" w:eastAsia="宋体" w:cs="宋体"/>
          <w:b w:val="0"/>
          <w:bCs/>
          <w:color w:val="auto"/>
          <w:sz w:val="24"/>
          <w:szCs w:val="24"/>
          <w:highlight w:val="none"/>
        </w:rPr>
        <w:t>合计得10分。</w:t>
      </w:r>
    </w:p>
    <w:p w14:paraId="12DADBF2">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（四）项目效益情况</w:t>
      </w:r>
    </w:p>
    <w:p w14:paraId="49E9DC29">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项目效益类指标包括项目效益1个方面的内容，由2个三级指标构成，权重分为20分，实际得分</w:t>
      </w:r>
      <w:r>
        <w:rPr>
          <w:rFonts w:hint="eastAsia" w:ascii="宋体" w:hAnsi="宋体" w:eastAsia="宋体" w:cs="宋体"/>
          <w:sz w:val="24"/>
          <w:szCs w:val="24"/>
          <w:highlight w:val="none"/>
          <w:lang w:val="en-US" w:eastAsia="zh-CN"/>
        </w:rPr>
        <w:t>25</w:t>
      </w:r>
      <w:r>
        <w:rPr>
          <w:rFonts w:hint="eastAsia" w:ascii="宋体" w:hAnsi="宋体" w:eastAsia="宋体" w:cs="宋体"/>
          <w:sz w:val="24"/>
          <w:szCs w:val="24"/>
          <w:highlight w:val="none"/>
        </w:rPr>
        <w:t>分，得分率为100%。</w:t>
      </w:r>
    </w:p>
    <w:p w14:paraId="53346A91">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（1）对于“社会效益指标”：</w:t>
      </w:r>
    </w:p>
    <w:p w14:paraId="6A862D75">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提升公共服务能力指标，该指标预期指标值为</w:t>
      </w:r>
      <w:r>
        <w:rPr>
          <w:rFonts w:hint="eastAsia" w:ascii="宋体" w:hAnsi="宋体" w:eastAsia="宋体" w:cs="宋体"/>
          <w:color w:val="auto"/>
          <w:sz w:val="24"/>
          <w:szCs w:val="24"/>
          <w:highlight w:val="none"/>
          <w:lang w:val="en-US" w:eastAsia="zh-CN"/>
        </w:rPr>
        <w:t>有效提升</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有效提升</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，与预期指标一致，根据评分标准，该指标不扣分，得</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5分。</w:t>
      </w:r>
    </w:p>
    <w:p w14:paraId="0768C7FB">
      <w:pPr>
        <w:pStyle w:val="1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（2）满意度指标分析</w:t>
      </w:r>
    </w:p>
    <w:p w14:paraId="0219905A">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rPr>
        <w:t>对于“满意度指标：</w:t>
      </w:r>
      <w:r>
        <w:rPr>
          <w:rFonts w:hint="eastAsia" w:ascii="宋体" w:hAnsi="宋体" w:eastAsia="宋体" w:cs="宋体"/>
          <w:color w:val="auto"/>
          <w:sz w:val="24"/>
          <w:szCs w:val="24"/>
          <w:highlight w:val="none"/>
          <w:lang w:val="en-US" w:eastAsia="zh-CN"/>
        </w:rPr>
        <w:t>群众</w:t>
      </w:r>
      <w:r>
        <w:rPr>
          <w:rFonts w:hint="eastAsia" w:ascii="宋体" w:hAnsi="宋体" w:eastAsia="宋体" w:cs="宋体"/>
          <w:color w:val="auto"/>
          <w:sz w:val="24"/>
          <w:szCs w:val="24"/>
          <w:highlight w:val="none"/>
        </w:rPr>
        <w:t>满意度，该指标预期指标值为</w:t>
      </w:r>
      <w:r>
        <w:rPr>
          <w:rFonts w:hint="eastAsia" w:ascii="宋体" w:hAnsi="宋体" w:eastAsia="宋体" w:cs="宋体"/>
          <w:color w:val="auto"/>
          <w:sz w:val="24"/>
          <w:szCs w:val="24"/>
          <w:highlight w:val="none"/>
          <w:lang w:val="en-US" w:eastAsia="zh-CN"/>
        </w:rPr>
        <w:t>受益群众和工作人员满意度</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95%</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w:t>
      </w:r>
      <w:r>
        <w:rPr>
          <w:rFonts w:hint="eastAsia" w:ascii="宋体" w:hAnsi="宋体" w:eastAsia="宋体" w:cs="宋体"/>
          <w:sz w:val="24"/>
          <w:szCs w:val="24"/>
          <w:highlight w:val="none"/>
        </w:rPr>
        <w:t>该指标不扣分,得10分。</w:t>
      </w:r>
      <w:bookmarkEnd w:id="15"/>
    </w:p>
    <w:p w14:paraId="605EDD52">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highlight w:val="none"/>
        </w:rPr>
      </w:pPr>
    </w:p>
    <w:p w14:paraId="49B5032C">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highlight w:val="none"/>
        </w:rPr>
      </w:pPr>
      <w:r>
        <w:rPr>
          <w:rFonts w:hint="eastAsia" w:ascii="黑体" w:hAnsi="黑体" w:eastAsia="黑体" w:cs="黑体"/>
          <w:sz w:val="24"/>
          <w:szCs w:val="24"/>
          <w:highlight w:val="none"/>
        </w:rPr>
        <w:t>五、预算执行进度与绩效指标偏差情况</w:t>
      </w:r>
    </w:p>
    <w:p w14:paraId="423BFE31">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本项目年初预</w:t>
      </w:r>
      <w:r>
        <w:rPr>
          <w:rFonts w:hint="eastAsia" w:ascii="宋体" w:hAnsi="宋体" w:eastAsia="宋体" w:cs="宋体"/>
          <w:color w:val="auto"/>
          <w:sz w:val="24"/>
          <w:szCs w:val="24"/>
          <w:highlight w:val="none"/>
        </w:rPr>
        <w:t>算资金总额为</w:t>
      </w:r>
      <w:r>
        <w:rPr>
          <w:rFonts w:hint="eastAsia" w:ascii="宋体" w:hAnsi="宋体" w:eastAsia="宋体" w:cs="宋体"/>
          <w:color w:val="auto"/>
          <w:sz w:val="24"/>
          <w:szCs w:val="24"/>
          <w:highlight w:val="none"/>
          <w:lang w:val="en-US" w:eastAsia="zh-CN"/>
        </w:rPr>
        <w:t>160</w:t>
      </w:r>
      <w:r>
        <w:rPr>
          <w:rFonts w:hint="eastAsia" w:ascii="宋体" w:hAnsi="宋体" w:eastAsia="宋体" w:cs="宋体"/>
          <w:color w:val="auto"/>
          <w:sz w:val="24"/>
          <w:szCs w:val="24"/>
          <w:highlight w:val="none"/>
        </w:rPr>
        <w:t>万元，全年预算数为</w:t>
      </w:r>
      <w:r>
        <w:rPr>
          <w:rFonts w:hint="eastAsia" w:ascii="宋体" w:hAnsi="宋体" w:eastAsia="宋体" w:cs="宋体"/>
          <w:color w:val="auto"/>
          <w:sz w:val="24"/>
          <w:szCs w:val="24"/>
          <w:highlight w:val="none"/>
          <w:lang w:val="en-US" w:eastAsia="zh-CN"/>
        </w:rPr>
        <w:t>89.55</w:t>
      </w:r>
      <w:r>
        <w:rPr>
          <w:rFonts w:hint="eastAsia" w:ascii="宋体" w:hAnsi="宋体" w:eastAsia="宋体" w:cs="宋体"/>
          <w:color w:val="auto"/>
          <w:sz w:val="24"/>
          <w:szCs w:val="24"/>
          <w:highlight w:val="none"/>
        </w:rPr>
        <w:t>万元，全年执行数为</w:t>
      </w:r>
      <w:r>
        <w:rPr>
          <w:rFonts w:hint="eastAsia" w:ascii="宋体" w:hAnsi="宋体" w:eastAsia="宋体" w:cs="宋体"/>
          <w:color w:val="auto"/>
          <w:sz w:val="24"/>
          <w:szCs w:val="24"/>
          <w:highlight w:val="none"/>
          <w:lang w:val="en-US" w:eastAsia="zh-CN"/>
        </w:rPr>
        <w:t>89.55</w:t>
      </w:r>
      <w:r>
        <w:rPr>
          <w:rFonts w:hint="eastAsia" w:ascii="宋体" w:hAnsi="宋体" w:eastAsia="宋体" w:cs="宋体"/>
          <w:color w:val="auto"/>
          <w:sz w:val="24"/>
          <w:szCs w:val="24"/>
          <w:highlight w:val="none"/>
        </w:rPr>
        <w:t>万元，预算执行率为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67B86E12">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本项目共设置三级指标数量</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个，满分指标数量</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个，扣分指标数量</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个，经分析计算所有三级指标完成率得出，本项目总体完成率为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1F71B632">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综上所述本项目预算执行率与总体完成率之间的偏差为</w:t>
      </w:r>
      <w:r>
        <w:rPr>
          <w:rFonts w:hint="eastAsia" w:ascii="宋体" w:hAnsi="宋体" w:eastAsia="宋体" w:cs="宋体"/>
          <w:sz w:val="24"/>
          <w:szCs w:val="24"/>
          <w:highlight w:val="none"/>
          <w:lang w:val="en-US" w:eastAsia="zh-CN"/>
        </w:rPr>
        <w:t>0</w:t>
      </w:r>
      <w:r>
        <w:rPr>
          <w:rFonts w:hint="eastAsia" w:ascii="宋体" w:hAnsi="宋体" w:eastAsia="宋体" w:cs="宋体"/>
          <w:sz w:val="24"/>
          <w:szCs w:val="24"/>
          <w:highlight w:val="none"/>
        </w:rPr>
        <w:t>%。</w:t>
      </w:r>
    </w:p>
    <w:p w14:paraId="2435C845">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p>
    <w:p w14:paraId="4957C875">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highlight w:val="none"/>
        </w:rPr>
      </w:pPr>
      <w:bookmarkStart w:id="16" w:name="_Toc68364673"/>
      <w:r>
        <w:rPr>
          <w:rFonts w:hint="eastAsia" w:ascii="黑体" w:hAnsi="黑体" w:eastAsia="黑体" w:cs="黑体"/>
          <w:sz w:val="24"/>
          <w:szCs w:val="24"/>
          <w:highlight w:val="none"/>
        </w:rPr>
        <w:t>六、主要经验及做法、存在的问题及原因分析</w:t>
      </w:r>
    </w:p>
    <w:p w14:paraId="151E1F10">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（一）主要经验及做法</w:t>
      </w:r>
      <w:bookmarkEnd w:id="16"/>
    </w:p>
    <w:p w14:paraId="5C0576AA">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一是成立绩效评价工作小组，明确工作职责，，并联系相关部门单位确定工作安排。</w:t>
      </w:r>
    </w:p>
    <w:p w14:paraId="39645DAA">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二是组织分管领导、财务及项目负责人等召开座谈会，听取项目资金使用有关情况介绍。走访水力、电力相关部门，查询水电费明细，了解数据相关设备运行情况、水电费的使用情况及优化建议等。保障各项工作的顺利开展。</w:t>
      </w:r>
    </w:p>
    <w:p w14:paraId="03CCD052">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三是加强沟通协调，我单位及时向领导汇报项目</w:t>
      </w:r>
      <w:r>
        <w:rPr>
          <w:rFonts w:hint="eastAsia" w:ascii="宋体" w:hAnsi="宋体" w:eastAsia="宋体" w:cs="宋体"/>
          <w:color w:val="auto"/>
          <w:sz w:val="24"/>
          <w:szCs w:val="24"/>
          <w:highlight w:val="none"/>
          <w:lang w:eastAsia="zh-CN"/>
        </w:rPr>
        <w:t>实施</w:t>
      </w:r>
      <w:r>
        <w:rPr>
          <w:rFonts w:hint="eastAsia" w:ascii="宋体" w:hAnsi="宋体" w:eastAsia="宋体" w:cs="宋体"/>
          <w:color w:val="auto"/>
          <w:sz w:val="24"/>
          <w:szCs w:val="24"/>
          <w:highlight w:val="none"/>
        </w:rPr>
        <w:t>进度，加强与</w:t>
      </w:r>
      <w:r>
        <w:rPr>
          <w:rFonts w:hint="eastAsia" w:ascii="宋体" w:hAnsi="宋体" w:eastAsia="宋体" w:cs="宋体"/>
          <w:color w:val="auto"/>
          <w:sz w:val="24"/>
          <w:szCs w:val="24"/>
          <w:highlight w:val="none"/>
          <w:lang w:eastAsia="zh-CN"/>
        </w:rPr>
        <w:t>相关</w:t>
      </w:r>
      <w:r>
        <w:rPr>
          <w:rFonts w:hint="eastAsia" w:ascii="宋体" w:hAnsi="宋体" w:eastAsia="宋体" w:cs="宋体"/>
          <w:color w:val="auto"/>
          <w:sz w:val="24"/>
          <w:szCs w:val="24"/>
          <w:highlight w:val="none"/>
        </w:rPr>
        <w:t>单位的沟通，确保项目按期完工。</w:t>
      </w:r>
    </w:p>
    <w:p w14:paraId="69F8C0B2">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FF0000"/>
          <w:sz w:val="24"/>
          <w:szCs w:val="24"/>
          <w:highlight w:val="none"/>
          <w:lang w:val="en-US" w:eastAsia="zh-CN"/>
        </w:rPr>
      </w:pPr>
      <w:bookmarkStart w:id="17" w:name="_Toc68364674"/>
      <w:r>
        <w:rPr>
          <w:rFonts w:hint="eastAsia" w:ascii="宋体" w:hAnsi="宋体" w:eastAsia="宋体" w:cs="宋体"/>
          <w:sz w:val="24"/>
          <w:szCs w:val="24"/>
          <w:highlight w:val="none"/>
        </w:rPr>
        <w:t>（二）存在问题及原因分析</w:t>
      </w:r>
      <w:bookmarkEnd w:id="17"/>
    </w:p>
    <w:p w14:paraId="0BB44967">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一是资金使用效益有待提高：年初预算绩效目标不够细化和量化，影响资金使用效益。</w:t>
      </w:r>
    </w:p>
    <w:p w14:paraId="0AD5D6E1">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二是资金安排和管理不够规范：缺乏科学测算和合理安排，导致资金使用不规范。</w:t>
      </w:r>
    </w:p>
    <w:p w14:paraId="0B304C99">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三是管理队伍建设不足：工作人员的专业知识和综合素质有待提升，影响资金使用的合理分配和使用效率。</w:t>
      </w:r>
    </w:p>
    <w:p w14:paraId="6E171510">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p>
    <w:p w14:paraId="6982AF9A">
      <w:pPr>
        <w:pStyle w:val="4"/>
        <w:pageBreakBefore w:val="0"/>
        <w:widowControl w:val="0"/>
        <w:numPr>
          <w:ilvl w:val="0"/>
          <w:numId w:val="6"/>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highlight w:val="none"/>
        </w:rPr>
      </w:pPr>
      <w:bookmarkStart w:id="18" w:name="_Toc68364675"/>
      <w:r>
        <w:rPr>
          <w:rFonts w:hint="eastAsia" w:ascii="黑体" w:hAnsi="黑体" w:eastAsia="黑体" w:cs="黑体"/>
          <w:sz w:val="24"/>
          <w:szCs w:val="24"/>
          <w:highlight w:val="none"/>
        </w:rPr>
        <w:t>有关建议</w:t>
      </w:r>
      <w:bookmarkEnd w:id="18"/>
    </w:p>
    <w:p w14:paraId="2F09F83F">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1.进一步明确、细化和量化绩效目标，确保资金下达及时，提高资金使用效益。</w:t>
      </w:r>
    </w:p>
    <w:p w14:paraId="64A1EB88">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2.加强资金管理：强化资金管理意识，加强与财政局的沟通，确保及时下达资金，合理、科学地使用资金。</w:t>
      </w:r>
    </w:p>
    <w:p w14:paraId="2FC4EF96">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3.提升管理队伍素质：加强本单位工作人员的专业知识培训，提升管理人员综合素质和实际操作能力，合理分配资金使用。</w:t>
      </w:r>
    </w:p>
    <w:p w14:paraId="274D233B">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p>
    <w:p w14:paraId="339F87C4">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highlight w:val="none"/>
        </w:rPr>
      </w:pPr>
      <w:bookmarkStart w:id="19" w:name="_Toc68364676"/>
      <w:r>
        <w:rPr>
          <w:rFonts w:hint="eastAsia" w:ascii="黑体" w:hAnsi="黑体" w:eastAsia="黑体" w:cs="黑体"/>
          <w:sz w:val="24"/>
          <w:szCs w:val="24"/>
          <w:highlight w:val="none"/>
        </w:rPr>
        <w:t>八、其他需要说明的问题</w:t>
      </w:r>
      <w:bookmarkEnd w:id="19"/>
    </w:p>
    <w:p w14:paraId="0F9CEFA4">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我单位对上述项目支出绩效评价报告内反映内容的真实性、完整性负责，</w:t>
      </w:r>
      <w:r>
        <w:rPr>
          <w:rFonts w:hint="eastAsia" w:ascii="宋体" w:hAnsi="宋体" w:eastAsia="宋体" w:cs="宋体"/>
          <w:sz w:val="24"/>
          <w:szCs w:val="24"/>
          <w:highlight w:val="none"/>
          <w:lang w:val="en-US" w:eastAsia="zh-CN"/>
        </w:rPr>
        <w:t>愿</w:t>
      </w:r>
      <w:r>
        <w:rPr>
          <w:rFonts w:hint="eastAsia" w:ascii="宋体" w:hAnsi="宋体" w:eastAsia="宋体" w:cs="宋体"/>
          <w:sz w:val="24"/>
          <w:szCs w:val="24"/>
          <w:highlight w:val="none"/>
        </w:rPr>
        <w:t>接受上级部门及社会公众监督。</w:t>
      </w:r>
    </w:p>
    <w:p w14:paraId="35D3E06C">
      <w:pPr>
        <w:pageBreakBefore w:val="0"/>
        <w:widowControl w:val="0"/>
        <w:kinsoku/>
        <w:wordWrap/>
        <w:overflowPunct/>
        <w:topLinePunct w:val="0"/>
        <w:autoSpaceDE/>
        <w:bidi w:val="0"/>
        <w:spacing w:line="360" w:lineRule="auto"/>
        <w:ind w:left="0" w:leftChars="0" w:firstLine="480" w:firstLineChars="200"/>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附件1：行政服务中心及保障性住房水电费项目绩效评价指标体系</w:t>
      </w:r>
    </w:p>
    <w:p w14:paraId="2388C7D4">
      <w:pPr>
        <w:pageBreakBefore w:val="0"/>
        <w:widowControl w:val="0"/>
        <w:kinsoku/>
        <w:wordWrap/>
        <w:overflowPunct/>
        <w:topLinePunct w:val="0"/>
        <w:autoSpaceDE/>
        <w:bidi w:val="0"/>
        <w:spacing w:line="360" w:lineRule="auto"/>
        <w:ind w:left="0" w:leftChars="0" w:firstLine="480" w:firstLineChars="200"/>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附件2：行政服务中心及保障性住房水电费项目综合得分表</w:t>
      </w:r>
    </w:p>
    <w:p w14:paraId="349BF5CD">
      <w:pPr>
        <w:pageBreakBefore w:val="0"/>
        <w:widowControl w:val="0"/>
        <w:kinsoku/>
        <w:wordWrap/>
        <w:overflowPunct/>
        <w:topLinePunct w:val="0"/>
        <w:autoSpaceDE/>
        <w:bidi w:val="0"/>
        <w:spacing w:line="360" w:lineRule="auto"/>
        <w:ind w:left="0" w:leftChars="0" w:firstLine="480" w:firstLineChars="200"/>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附件3：满意度调查问分析情况</w:t>
      </w:r>
    </w:p>
    <w:p w14:paraId="059600B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p>
    <w:p w14:paraId="35DC51C9">
      <w:pPr>
        <w:pStyle w:val="10"/>
        <w:pageBreakBefore w:val="0"/>
        <w:kinsoku/>
        <w:wordWrap/>
        <w:overflowPunct/>
        <w:topLinePunct w:val="0"/>
        <w:autoSpaceDE/>
        <w:bidi w:val="0"/>
        <w:spacing w:line="360" w:lineRule="auto"/>
        <w:ind w:left="0" w:leftChars="0" w:firstLine="480" w:firstLineChars="200"/>
        <w:jc w:val="both"/>
        <w:rPr>
          <w:rFonts w:hint="eastAsia" w:ascii="宋体" w:hAnsi="宋体" w:eastAsia="宋体" w:cs="宋体"/>
          <w:sz w:val="24"/>
          <w:szCs w:val="24"/>
          <w:highlight w:val="none"/>
        </w:rPr>
      </w:pPr>
    </w:p>
    <w:p w14:paraId="5F2B66EE">
      <w:pPr>
        <w:pStyle w:val="10"/>
        <w:pageBreakBefore w:val="0"/>
        <w:kinsoku/>
        <w:wordWrap/>
        <w:overflowPunct/>
        <w:topLinePunct w:val="0"/>
        <w:autoSpaceDE/>
        <w:bidi w:val="0"/>
        <w:spacing w:line="360" w:lineRule="auto"/>
        <w:ind w:left="0" w:leftChars="0" w:firstLine="480" w:firstLineChars="200"/>
        <w:jc w:val="both"/>
        <w:rPr>
          <w:rFonts w:hint="eastAsia" w:ascii="宋体" w:hAnsi="宋体" w:eastAsia="宋体" w:cs="宋体"/>
          <w:sz w:val="24"/>
          <w:szCs w:val="24"/>
          <w:highlight w:val="none"/>
        </w:rPr>
        <w:sectPr>
          <w:footerReference r:id="rId7" w:type="default"/>
          <w:pgSz w:w="11906" w:h="16838"/>
          <w:pgMar w:top="1440" w:right="1803" w:bottom="1440" w:left="1803" w:header="851" w:footer="992" w:gutter="0"/>
          <w:pgNumType w:fmt="decimal" w:start="1"/>
          <w:cols w:space="720" w:num="1"/>
          <w:docGrid w:type="linesAndChars" w:linePitch="386" w:charSpace="0"/>
        </w:sectPr>
      </w:pPr>
    </w:p>
    <w:tbl>
      <w:tblPr>
        <w:tblStyle w:val="2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03"/>
        <w:gridCol w:w="621"/>
        <w:gridCol w:w="524"/>
        <w:gridCol w:w="580"/>
        <w:gridCol w:w="692"/>
        <w:gridCol w:w="561"/>
        <w:gridCol w:w="2326"/>
        <w:gridCol w:w="1083"/>
        <w:gridCol w:w="4238"/>
        <w:gridCol w:w="1053"/>
        <w:gridCol w:w="687"/>
      </w:tblGrid>
      <w:tr w14:paraId="648EE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375" w:type="pct"/>
            <w:tcBorders>
              <w:top w:val="nil"/>
              <w:left w:val="nil"/>
              <w:bottom w:val="nil"/>
              <w:right w:val="nil"/>
            </w:tcBorders>
            <w:noWrap/>
            <w:vAlign w:val="center"/>
          </w:tcPr>
          <w:p w14:paraId="4142CEC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附件1：</w:t>
            </w:r>
          </w:p>
        </w:tc>
        <w:tc>
          <w:tcPr>
            <w:tcW w:w="232" w:type="pct"/>
            <w:tcBorders>
              <w:top w:val="nil"/>
              <w:left w:val="nil"/>
              <w:bottom w:val="nil"/>
              <w:right w:val="nil"/>
            </w:tcBorders>
            <w:noWrap/>
            <w:vAlign w:val="center"/>
          </w:tcPr>
          <w:p w14:paraId="36F2F3AC">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rPr>
                <w:rFonts w:hint="eastAsia" w:ascii="宋体" w:hAnsi="宋体" w:eastAsia="宋体" w:cs="宋体"/>
                <w:b/>
                <w:bCs/>
                <w:i w:val="0"/>
                <w:iCs w:val="0"/>
                <w:color w:val="000000"/>
                <w:sz w:val="21"/>
                <w:szCs w:val="21"/>
                <w:highlight w:val="none"/>
                <w:u w:val="none"/>
              </w:rPr>
            </w:pPr>
          </w:p>
        </w:tc>
        <w:tc>
          <w:tcPr>
            <w:tcW w:w="196" w:type="pct"/>
            <w:tcBorders>
              <w:top w:val="nil"/>
              <w:left w:val="nil"/>
              <w:bottom w:val="nil"/>
              <w:right w:val="nil"/>
            </w:tcBorders>
            <w:noWrap/>
            <w:vAlign w:val="center"/>
          </w:tcPr>
          <w:p w14:paraId="3EC0CA3E">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rPr>
                <w:rFonts w:hint="eastAsia" w:ascii="宋体" w:hAnsi="宋体" w:eastAsia="宋体" w:cs="宋体"/>
                <w:b/>
                <w:bCs/>
                <w:i w:val="0"/>
                <w:iCs w:val="0"/>
                <w:color w:val="000000"/>
                <w:sz w:val="21"/>
                <w:szCs w:val="21"/>
                <w:highlight w:val="none"/>
                <w:u w:val="none"/>
              </w:rPr>
            </w:pPr>
          </w:p>
        </w:tc>
        <w:tc>
          <w:tcPr>
            <w:tcW w:w="217" w:type="pct"/>
            <w:tcBorders>
              <w:top w:val="nil"/>
              <w:left w:val="nil"/>
              <w:bottom w:val="nil"/>
              <w:right w:val="nil"/>
            </w:tcBorders>
            <w:noWrap/>
            <w:vAlign w:val="center"/>
          </w:tcPr>
          <w:p w14:paraId="27F85B61">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rPr>
                <w:rFonts w:hint="eastAsia" w:ascii="宋体" w:hAnsi="宋体" w:eastAsia="宋体" w:cs="宋体"/>
                <w:b/>
                <w:bCs/>
                <w:i w:val="0"/>
                <w:iCs w:val="0"/>
                <w:color w:val="000000"/>
                <w:sz w:val="21"/>
                <w:szCs w:val="21"/>
                <w:highlight w:val="none"/>
                <w:u w:val="none"/>
              </w:rPr>
            </w:pPr>
          </w:p>
        </w:tc>
        <w:tc>
          <w:tcPr>
            <w:tcW w:w="259" w:type="pct"/>
            <w:tcBorders>
              <w:top w:val="nil"/>
              <w:left w:val="nil"/>
              <w:bottom w:val="nil"/>
              <w:right w:val="nil"/>
            </w:tcBorders>
            <w:noWrap/>
            <w:vAlign w:val="center"/>
          </w:tcPr>
          <w:p w14:paraId="530CD754">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rPr>
                <w:rFonts w:hint="eastAsia" w:ascii="宋体" w:hAnsi="宋体" w:eastAsia="宋体" w:cs="宋体"/>
                <w:b/>
                <w:bCs/>
                <w:i w:val="0"/>
                <w:iCs w:val="0"/>
                <w:color w:val="000000"/>
                <w:sz w:val="21"/>
                <w:szCs w:val="21"/>
                <w:highlight w:val="none"/>
                <w:u w:val="none"/>
              </w:rPr>
            </w:pPr>
          </w:p>
        </w:tc>
        <w:tc>
          <w:tcPr>
            <w:tcW w:w="210" w:type="pct"/>
            <w:tcBorders>
              <w:top w:val="nil"/>
              <w:left w:val="nil"/>
              <w:bottom w:val="nil"/>
              <w:right w:val="nil"/>
            </w:tcBorders>
            <w:noWrap/>
            <w:vAlign w:val="center"/>
          </w:tcPr>
          <w:p w14:paraId="4C1A9E22">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rPr>
                <w:rFonts w:hint="eastAsia" w:ascii="宋体" w:hAnsi="宋体" w:eastAsia="宋体" w:cs="宋体"/>
                <w:b/>
                <w:bCs/>
                <w:i w:val="0"/>
                <w:iCs w:val="0"/>
                <w:color w:val="000000"/>
                <w:sz w:val="21"/>
                <w:szCs w:val="21"/>
                <w:highlight w:val="none"/>
                <w:u w:val="none"/>
              </w:rPr>
            </w:pPr>
          </w:p>
        </w:tc>
        <w:tc>
          <w:tcPr>
            <w:tcW w:w="870" w:type="pct"/>
            <w:tcBorders>
              <w:top w:val="nil"/>
              <w:left w:val="nil"/>
              <w:bottom w:val="nil"/>
              <w:right w:val="nil"/>
            </w:tcBorders>
            <w:noWrap/>
            <w:vAlign w:val="center"/>
          </w:tcPr>
          <w:p w14:paraId="6E4D4630">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left"/>
              <w:rPr>
                <w:rFonts w:hint="eastAsia" w:ascii="宋体" w:hAnsi="宋体" w:eastAsia="宋体" w:cs="宋体"/>
                <w:b/>
                <w:bCs/>
                <w:i w:val="0"/>
                <w:iCs w:val="0"/>
                <w:color w:val="000000"/>
                <w:sz w:val="21"/>
                <w:szCs w:val="21"/>
                <w:highlight w:val="none"/>
                <w:u w:val="none"/>
              </w:rPr>
            </w:pPr>
          </w:p>
        </w:tc>
        <w:tc>
          <w:tcPr>
            <w:tcW w:w="405" w:type="pct"/>
            <w:tcBorders>
              <w:top w:val="nil"/>
              <w:left w:val="nil"/>
              <w:bottom w:val="nil"/>
              <w:right w:val="nil"/>
            </w:tcBorders>
            <w:noWrap/>
            <w:vAlign w:val="center"/>
          </w:tcPr>
          <w:p w14:paraId="3B2A3B7F">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rPr>
                <w:rFonts w:hint="eastAsia" w:ascii="宋体" w:hAnsi="宋体" w:eastAsia="宋体" w:cs="宋体"/>
                <w:b/>
                <w:bCs/>
                <w:i w:val="0"/>
                <w:iCs w:val="0"/>
                <w:color w:val="000000"/>
                <w:sz w:val="21"/>
                <w:szCs w:val="21"/>
                <w:highlight w:val="none"/>
                <w:u w:val="none"/>
              </w:rPr>
            </w:pPr>
          </w:p>
        </w:tc>
        <w:tc>
          <w:tcPr>
            <w:tcW w:w="1585" w:type="pct"/>
            <w:tcBorders>
              <w:top w:val="nil"/>
              <w:left w:val="nil"/>
              <w:bottom w:val="nil"/>
              <w:right w:val="nil"/>
            </w:tcBorders>
            <w:noWrap/>
            <w:vAlign w:val="center"/>
          </w:tcPr>
          <w:p w14:paraId="00F277BD">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rPr>
                <w:rFonts w:hint="eastAsia" w:ascii="宋体" w:hAnsi="宋体" w:eastAsia="宋体" w:cs="宋体"/>
                <w:b/>
                <w:bCs/>
                <w:i w:val="0"/>
                <w:iCs w:val="0"/>
                <w:color w:val="000000"/>
                <w:sz w:val="21"/>
                <w:szCs w:val="21"/>
                <w:highlight w:val="none"/>
                <w:u w:val="none"/>
              </w:rPr>
            </w:pPr>
          </w:p>
        </w:tc>
        <w:tc>
          <w:tcPr>
            <w:tcW w:w="394" w:type="pct"/>
            <w:tcBorders>
              <w:top w:val="nil"/>
              <w:left w:val="nil"/>
              <w:bottom w:val="nil"/>
              <w:right w:val="nil"/>
            </w:tcBorders>
            <w:noWrap/>
            <w:vAlign w:val="center"/>
          </w:tcPr>
          <w:p w14:paraId="14E8616E">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rPr>
                <w:rFonts w:hint="eastAsia" w:ascii="宋体" w:hAnsi="宋体" w:eastAsia="宋体" w:cs="宋体"/>
                <w:b/>
                <w:bCs/>
                <w:i w:val="0"/>
                <w:iCs w:val="0"/>
                <w:color w:val="000000"/>
                <w:sz w:val="21"/>
                <w:szCs w:val="21"/>
                <w:highlight w:val="none"/>
                <w:u w:val="none"/>
              </w:rPr>
            </w:pPr>
          </w:p>
        </w:tc>
        <w:tc>
          <w:tcPr>
            <w:tcW w:w="252" w:type="pct"/>
            <w:tcBorders>
              <w:top w:val="nil"/>
              <w:left w:val="nil"/>
              <w:bottom w:val="nil"/>
              <w:right w:val="nil"/>
            </w:tcBorders>
            <w:noWrap/>
            <w:vAlign w:val="center"/>
          </w:tcPr>
          <w:p w14:paraId="0D295DB8">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rPr>
                <w:rFonts w:hint="eastAsia" w:ascii="宋体" w:hAnsi="宋体" w:eastAsia="宋体" w:cs="宋体"/>
                <w:b/>
                <w:bCs/>
                <w:i w:val="0"/>
                <w:iCs w:val="0"/>
                <w:color w:val="000000"/>
                <w:sz w:val="21"/>
                <w:szCs w:val="21"/>
                <w:highlight w:val="none"/>
                <w:u w:val="none"/>
              </w:rPr>
            </w:pPr>
          </w:p>
        </w:tc>
      </w:tr>
      <w:tr w14:paraId="6BE29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000" w:type="pct"/>
            <w:gridSpan w:val="11"/>
            <w:tcBorders>
              <w:top w:val="nil"/>
              <w:left w:val="nil"/>
              <w:bottom w:val="nil"/>
              <w:right w:val="nil"/>
            </w:tcBorders>
            <w:noWrap w:val="0"/>
            <w:vAlign w:val="center"/>
          </w:tcPr>
          <w:p w14:paraId="5421DDDA">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b/>
                <w:bCs/>
                <w:i w:val="0"/>
                <w:iCs w:val="0"/>
                <w:color w:val="FF0000"/>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rPr>
              <w:t>行政服务中心及保障性住房水电费项目</w:t>
            </w:r>
            <w:r>
              <w:rPr>
                <w:rStyle w:val="59"/>
                <w:rFonts w:hint="eastAsia" w:ascii="宋体" w:hAnsi="宋体" w:eastAsia="宋体" w:cs="宋体"/>
                <w:b/>
                <w:bCs/>
                <w:color w:val="auto"/>
                <w:sz w:val="21"/>
                <w:szCs w:val="21"/>
                <w:highlight w:val="none"/>
                <w:lang w:val="en-US" w:eastAsia="zh-CN"/>
              </w:rPr>
              <w:t>绩</w:t>
            </w:r>
            <w:r>
              <w:rPr>
                <w:rStyle w:val="59"/>
                <w:rFonts w:hint="eastAsia" w:ascii="宋体" w:hAnsi="宋体" w:eastAsia="宋体" w:cs="宋体"/>
                <w:b/>
                <w:bCs/>
                <w:sz w:val="21"/>
                <w:szCs w:val="21"/>
                <w:highlight w:val="none"/>
                <w:lang w:val="en-US" w:eastAsia="zh-CN"/>
              </w:rPr>
              <w:t>效评价指标体系综合评分表</w:t>
            </w:r>
          </w:p>
        </w:tc>
      </w:tr>
      <w:tr w14:paraId="4AC158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75" w:type="pct"/>
            <w:tcBorders>
              <w:top w:val="single" w:color="auto" w:sz="4" w:space="0"/>
              <w:left w:val="single" w:color="auto" w:sz="4" w:space="0"/>
              <w:bottom w:val="single" w:color="auto" w:sz="4" w:space="0"/>
              <w:right w:val="single" w:color="auto" w:sz="4" w:space="0"/>
            </w:tcBorders>
            <w:noWrap w:val="0"/>
            <w:vAlign w:val="center"/>
          </w:tcPr>
          <w:p w14:paraId="1B939AD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一级指标</w:t>
            </w:r>
          </w:p>
        </w:tc>
        <w:tc>
          <w:tcPr>
            <w:tcW w:w="232" w:type="pct"/>
            <w:tcBorders>
              <w:top w:val="single" w:color="auto" w:sz="4" w:space="0"/>
              <w:left w:val="single" w:color="auto" w:sz="4" w:space="0"/>
              <w:bottom w:val="single" w:color="auto" w:sz="4" w:space="0"/>
              <w:right w:val="single" w:color="auto" w:sz="4" w:space="0"/>
            </w:tcBorders>
            <w:noWrap w:val="0"/>
            <w:vAlign w:val="center"/>
          </w:tcPr>
          <w:p w14:paraId="7266681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分值</w:t>
            </w:r>
          </w:p>
        </w:tc>
        <w:tc>
          <w:tcPr>
            <w:tcW w:w="196" w:type="pct"/>
            <w:tcBorders>
              <w:top w:val="single" w:color="auto" w:sz="4" w:space="0"/>
              <w:left w:val="single" w:color="auto" w:sz="4" w:space="0"/>
              <w:bottom w:val="single" w:color="auto" w:sz="4" w:space="0"/>
              <w:right w:val="single" w:color="auto" w:sz="4" w:space="0"/>
            </w:tcBorders>
            <w:noWrap w:val="0"/>
            <w:vAlign w:val="center"/>
          </w:tcPr>
          <w:p w14:paraId="2C6D2C7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二级指标</w:t>
            </w:r>
          </w:p>
        </w:tc>
        <w:tc>
          <w:tcPr>
            <w:tcW w:w="217" w:type="pct"/>
            <w:tcBorders>
              <w:top w:val="single" w:color="auto" w:sz="4" w:space="0"/>
              <w:left w:val="single" w:color="auto" w:sz="4" w:space="0"/>
              <w:bottom w:val="single" w:color="auto" w:sz="4" w:space="0"/>
              <w:right w:val="single" w:color="auto" w:sz="4" w:space="0"/>
            </w:tcBorders>
            <w:noWrap w:val="0"/>
            <w:vAlign w:val="center"/>
          </w:tcPr>
          <w:p w14:paraId="5797AD1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分值</w:t>
            </w:r>
          </w:p>
        </w:tc>
        <w:tc>
          <w:tcPr>
            <w:tcW w:w="259" w:type="pct"/>
            <w:tcBorders>
              <w:top w:val="single" w:color="auto" w:sz="4" w:space="0"/>
              <w:left w:val="single" w:color="auto" w:sz="4" w:space="0"/>
              <w:bottom w:val="single" w:color="auto" w:sz="4" w:space="0"/>
              <w:right w:val="single" w:color="auto" w:sz="4" w:space="0"/>
            </w:tcBorders>
            <w:noWrap w:val="0"/>
            <w:vAlign w:val="center"/>
          </w:tcPr>
          <w:p w14:paraId="06D77E1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三级指标</w:t>
            </w:r>
          </w:p>
        </w:tc>
        <w:tc>
          <w:tcPr>
            <w:tcW w:w="210" w:type="pct"/>
            <w:tcBorders>
              <w:top w:val="single" w:color="auto" w:sz="4" w:space="0"/>
              <w:left w:val="single" w:color="auto" w:sz="4" w:space="0"/>
              <w:bottom w:val="single" w:color="auto" w:sz="4" w:space="0"/>
              <w:right w:val="single" w:color="auto" w:sz="4" w:space="0"/>
            </w:tcBorders>
            <w:noWrap w:val="0"/>
            <w:vAlign w:val="center"/>
          </w:tcPr>
          <w:p w14:paraId="3129199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分值</w:t>
            </w:r>
          </w:p>
        </w:tc>
        <w:tc>
          <w:tcPr>
            <w:tcW w:w="870" w:type="pct"/>
            <w:tcBorders>
              <w:top w:val="single" w:color="auto" w:sz="4" w:space="0"/>
              <w:left w:val="single" w:color="auto" w:sz="4" w:space="0"/>
              <w:bottom w:val="single" w:color="auto" w:sz="4" w:space="0"/>
              <w:right w:val="single" w:color="auto" w:sz="4" w:space="0"/>
            </w:tcBorders>
            <w:noWrap w:val="0"/>
            <w:vAlign w:val="center"/>
          </w:tcPr>
          <w:p w14:paraId="6CD61BB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指标解释</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3A6FF8F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标杆值</w:t>
            </w:r>
          </w:p>
        </w:tc>
        <w:tc>
          <w:tcPr>
            <w:tcW w:w="1585" w:type="pct"/>
            <w:tcBorders>
              <w:top w:val="single" w:color="auto" w:sz="4" w:space="0"/>
              <w:left w:val="single" w:color="auto" w:sz="4" w:space="0"/>
              <w:bottom w:val="single" w:color="auto" w:sz="4" w:space="0"/>
              <w:right w:val="single" w:color="auto" w:sz="4" w:space="0"/>
            </w:tcBorders>
            <w:noWrap w:val="0"/>
            <w:vAlign w:val="center"/>
          </w:tcPr>
          <w:p w14:paraId="1B80BD3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评分标准</w:t>
            </w:r>
          </w:p>
        </w:tc>
        <w:tc>
          <w:tcPr>
            <w:tcW w:w="394" w:type="pct"/>
            <w:tcBorders>
              <w:top w:val="single" w:color="auto" w:sz="4" w:space="0"/>
              <w:left w:val="single" w:color="auto" w:sz="4" w:space="0"/>
              <w:bottom w:val="single" w:color="auto" w:sz="4" w:space="0"/>
              <w:right w:val="single" w:color="auto" w:sz="4" w:space="0"/>
            </w:tcBorders>
            <w:noWrap w:val="0"/>
            <w:vAlign w:val="center"/>
          </w:tcPr>
          <w:p w14:paraId="35942ED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完成值</w:t>
            </w:r>
          </w:p>
        </w:tc>
        <w:tc>
          <w:tcPr>
            <w:tcW w:w="252" w:type="pct"/>
            <w:tcBorders>
              <w:top w:val="single" w:color="auto" w:sz="4" w:space="0"/>
              <w:left w:val="single" w:color="auto" w:sz="4" w:space="0"/>
              <w:bottom w:val="single" w:color="auto" w:sz="4" w:space="0"/>
              <w:right w:val="single" w:color="auto" w:sz="4" w:space="0"/>
            </w:tcBorders>
            <w:noWrap w:val="0"/>
            <w:vAlign w:val="center"/>
          </w:tcPr>
          <w:p w14:paraId="0629DD0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得分</w:t>
            </w:r>
          </w:p>
        </w:tc>
      </w:tr>
      <w:tr w14:paraId="11A5A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5" w:hRule="atLeast"/>
        </w:trPr>
        <w:tc>
          <w:tcPr>
            <w:tcW w:w="375" w:type="pct"/>
            <w:vMerge w:val="restart"/>
            <w:tcBorders>
              <w:top w:val="single" w:color="auto" w:sz="4" w:space="0"/>
              <w:left w:val="single" w:color="auto" w:sz="4" w:space="0"/>
              <w:bottom w:val="single" w:color="auto" w:sz="4" w:space="0"/>
              <w:right w:val="single" w:color="auto" w:sz="4" w:space="0"/>
            </w:tcBorders>
            <w:noWrap w:val="0"/>
            <w:vAlign w:val="center"/>
          </w:tcPr>
          <w:p w14:paraId="6AD0E61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项目决策</w:t>
            </w:r>
          </w:p>
        </w:tc>
        <w:tc>
          <w:tcPr>
            <w:tcW w:w="232" w:type="pct"/>
            <w:vMerge w:val="restart"/>
            <w:tcBorders>
              <w:top w:val="single" w:color="auto" w:sz="4" w:space="0"/>
              <w:left w:val="single" w:color="auto" w:sz="4" w:space="0"/>
              <w:bottom w:val="single" w:color="auto" w:sz="4" w:space="0"/>
              <w:right w:val="single" w:color="auto" w:sz="4" w:space="0"/>
            </w:tcBorders>
            <w:noWrap w:val="0"/>
            <w:vAlign w:val="center"/>
          </w:tcPr>
          <w:p w14:paraId="4E6028F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23</w:t>
            </w:r>
          </w:p>
        </w:tc>
        <w:tc>
          <w:tcPr>
            <w:tcW w:w="196" w:type="pct"/>
            <w:vMerge w:val="restart"/>
            <w:tcBorders>
              <w:top w:val="single" w:color="auto" w:sz="4" w:space="0"/>
              <w:left w:val="single" w:color="auto" w:sz="4" w:space="0"/>
              <w:bottom w:val="single" w:color="auto" w:sz="4" w:space="0"/>
              <w:right w:val="single" w:color="auto" w:sz="4" w:space="0"/>
            </w:tcBorders>
            <w:noWrap w:val="0"/>
            <w:vAlign w:val="center"/>
          </w:tcPr>
          <w:p w14:paraId="346BA41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项目立项</w:t>
            </w:r>
          </w:p>
        </w:tc>
        <w:tc>
          <w:tcPr>
            <w:tcW w:w="217" w:type="pct"/>
            <w:vMerge w:val="restart"/>
            <w:tcBorders>
              <w:top w:val="single" w:color="auto" w:sz="4" w:space="0"/>
              <w:left w:val="single" w:color="auto" w:sz="4" w:space="0"/>
              <w:bottom w:val="single" w:color="auto" w:sz="4" w:space="0"/>
              <w:right w:val="single" w:color="auto" w:sz="4" w:space="0"/>
            </w:tcBorders>
            <w:noWrap w:val="0"/>
            <w:vAlign w:val="center"/>
          </w:tcPr>
          <w:p w14:paraId="182A19F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5</w:t>
            </w:r>
          </w:p>
        </w:tc>
        <w:tc>
          <w:tcPr>
            <w:tcW w:w="259" w:type="pct"/>
            <w:tcBorders>
              <w:top w:val="single" w:color="auto" w:sz="4" w:space="0"/>
              <w:left w:val="single" w:color="auto" w:sz="4" w:space="0"/>
              <w:bottom w:val="single" w:color="auto" w:sz="4" w:space="0"/>
              <w:right w:val="single" w:color="auto" w:sz="4" w:space="0"/>
            </w:tcBorders>
            <w:noWrap w:val="0"/>
            <w:vAlign w:val="center"/>
          </w:tcPr>
          <w:p w14:paraId="30F586B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立项依据充分性</w:t>
            </w:r>
          </w:p>
        </w:tc>
        <w:tc>
          <w:tcPr>
            <w:tcW w:w="210" w:type="pct"/>
            <w:tcBorders>
              <w:top w:val="single" w:color="auto" w:sz="4" w:space="0"/>
              <w:left w:val="single" w:color="auto" w:sz="4" w:space="0"/>
              <w:bottom w:val="single" w:color="auto" w:sz="4" w:space="0"/>
              <w:right w:val="single" w:color="auto" w:sz="4" w:space="0"/>
            </w:tcBorders>
            <w:noWrap w:val="0"/>
            <w:vAlign w:val="center"/>
          </w:tcPr>
          <w:p w14:paraId="1C0A156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2</w:t>
            </w:r>
          </w:p>
        </w:tc>
        <w:tc>
          <w:tcPr>
            <w:tcW w:w="870" w:type="pct"/>
            <w:tcBorders>
              <w:top w:val="single" w:color="auto" w:sz="4" w:space="0"/>
              <w:left w:val="single" w:color="auto" w:sz="4" w:space="0"/>
              <w:bottom w:val="single" w:color="auto" w:sz="4" w:space="0"/>
              <w:right w:val="single" w:color="auto" w:sz="4" w:space="0"/>
            </w:tcBorders>
            <w:noWrap w:val="0"/>
            <w:vAlign w:val="center"/>
          </w:tcPr>
          <w:p w14:paraId="2AE90D7A">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项目立项是否符合法律法规、相关政策、发展规划以及部门职责，用以反映和考核项目立项依据情况。</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1B40D36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充分</w:t>
            </w:r>
          </w:p>
        </w:tc>
        <w:tc>
          <w:tcPr>
            <w:tcW w:w="1585" w:type="pct"/>
            <w:tcBorders>
              <w:top w:val="single" w:color="auto" w:sz="4" w:space="0"/>
              <w:left w:val="single" w:color="auto" w:sz="4" w:space="0"/>
              <w:bottom w:val="single" w:color="auto" w:sz="4" w:space="0"/>
              <w:right w:val="single" w:color="auto" w:sz="4" w:space="0"/>
            </w:tcBorders>
            <w:noWrap w:val="0"/>
            <w:vAlign w:val="center"/>
          </w:tcPr>
          <w:p w14:paraId="66752A7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①项目立项是否符合国家法律法规、国民经济发展规划和相关政策；</w:t>
            </w:r>
          </w:p>
          <w:p w14:paraId="06BBD1F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②项目立项是否符合行业发展规划和政策要求；</w:t>
            </w:r>
          </w:p>
          <w:p w14:paraId="742E59F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③项目立项是否与部门职责范围相符，属于部门履职所需；</w:t>
            </w:r>
          </w:p>
          <w:p w14:paraId="5AAF79A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④项目是否属于公共财政支持范围，是否符合中央、地方事权支出责任划分原则；</w:t>
            </w:r>
          </w:p>
          <w:p w14:paraId="0BCB9D7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⑤项目是否与相关部门同类项目或部门内部相关项目重复。</w:t>
            </w:r>
          </w:p>
          <w:p w14:paraId="039A82D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以上每条要素占权重分的20%，每有一条不符合，扣除对应权重分，扣完为止。</w:t>
            </w:r>
          </w:p>
        </w:tc>
        <w:tc>
          <w:tcPr>
            <w:tcW w:w="394" w:type="pct"/>
            <w:tcBorders>
              <w:top w:val="single" w:color="auto" w:sz="4" w:space="0"/>
              <w:left w:val="single" w:color="auto" w:sz="4" w:space="0"/>
              <w:bottom w:val="single" w:color="auto" w:sz="4" w:space="0"/>
              <w:right w:val="single" w:color="auto" w:sz="4" w:space="0"/>
            </w:tcBorders>
            <w:noWrap w:val="0"/>
            <w:vAlign w:val="center"/>
          </w:tcPr>
          <w:p w14:paraId="6A736A2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充分</w:t>
            </w:r>
          </w:p>
        </w:tc>
        <w:tc>
          <w:tcPr>
            <w:tcW w:w="252" w:type="pct"/>
            <w:tcBorders>
              <w:top w:val="single" w:color="auto" w:sz="4" w:space="0"/>
              <w:left w:val="single" w:color="auto" w:sz="4" w:space="0"/>
              <w:bottom w:val="single" w:color="auto" w:sz="4" w:space="0"/>
              <w:right w:val="single" w:color="auto" w:sz="4" w:space="0"/>
            </w:tcBorders>
            <w:noWrap w:val="0"/>
            <w:vAlign w:val="center"/>
          </w:tcPr>
          <w:p w14:paraId="57BD049F">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2</w:t>
            </w:r>
          </w:p>
        </w:tc>
      </w:tr>
      <w:tr w14:paraId="338B8E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375" w:type="pct"/>
            <w:vMerge w:val="continue"/>
            <w:tcBorders>
              <w:top w:val="single" w:color="auto" w:sz="4" w:space="0"/>
              <w:left w:val="single" w:color="auto" w:sz="4" w:space="0"/>
              <w:bottom w:val="single" w:color="auto" w:sz="4" w:space="0"/>
              <w:right w:val="single" w:color="auto" w:sz="4" w:space="0"/>
            </w:tcBorders>
            <w:noWrap w:val="0"/>
            <w:vAlign w:val="center"/>
          </w:tcPr>
          <w:p w14:paraId="5EB2E77C">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232" w:type="pct"/>
            <w:vMerge w:val="continue"/>
            <w:tcBorders>
              <w:top w:val="single" w:color="auto" w:sz="4" w:space="0"/>
              <w:left w:val="single" w:color="auto" w:sz="4" w:space="0"/>
              <w:bottom w:val="single" w:color="auto" w:sz="4" w:space="0"/>
              <w:right w:val="single" w:color="auto" w:sz="4" w:space="0"/>
            </w:tcBorders>
            <w:noWrap w:val="0"/>
            <w:vAlign w:val="center"/>
          </w:tcPr>
          <w:p w14:paraId="40E1F236">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196" w:type="pct"/>
            <w:vMerge w:val="continue"/>
            <w:tcBorders>
              <w:top w:val="single" w:color="auto" w:sz="4" w:space="0"/>
              <w:left w:val="single" w:color="auto" w:sz="4" w:space="0"/>
              <w:bottom w:val="single" w:color="auto" w:sz="4" w:space="0"/>
              <w:right w:val="single" w:color="auto" w:sz="4" w:space="0"/>
            </w:tcBorders>
            <w:noWrap w:val="0"/>
            <w:vAlign w:val="center"/>
          </w:tcPr>
          <w:p w14:paraId="73A3AF75">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217" w:type="pct"/>
            <w:vMerge w:val="continue"/>
            <w:tcBorders>
              <w:top w:val="single" w:color="auto" w:sz="4" w:space="0"/>
              <w:left w:val="single" w:color="auto" w:sz="4" w:space="0"/>
              <w:bottom w:val="single" w:color="auto" w:sz="4" w:space="0"/>
              <w:right w:val="single" w:color="auto" w:sz="4" w:space="0"/>
            </w:tcBorders>
            <w:noWrap w:val="0"/>
            <w:vAlign w:val="center"/>
          </w:tcPr>
          <w:p w14:paraId="0BB69706">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259" w:type="pct"/>
            <w:tcBorders>
              <w:top w:val="single" w:color="auto" w:sz="4" w:space="0"/>
              <w:left w:val="single" w:color="auto" w:sz="4" w:space="0"/>
              <w:bottom w:val="single" w:color="auto" w:sz="4" w:space="0"/>
              <w:right w:val="single" w:color="auto" w:sz="4" w:space="0"/>
            </w:tcBorders>
            <w:noWrap w:val="0"/>
            <w:vAlign w:val="center"/>
          </w:tcPr>
          <w:p w14:paraId="76B4F91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立项程序规范性</w:t>
            </w:r>
          </w:p>
        </w:tc>
        <w:tc>
          <w:tcPr>
            <w:tcW w:w="210" w:type="pct"/>
            <w:tcBorders>
              <w:top w:val="single" w:color="auto" w:sz="4" w:space="0"/>
              <w:left w:val="single" w:color="auto" w:sz="4" w:space="0"/>
              <w:bottom w:val="single" w:color="auto" w:sz="4" w:space="0"/>
              <w:right w:val="single" w:color="auto" w:sz="4" w:space="0"/>
            </w:tcBorders>
            <w:noWrap w:val="0"/>
            <w:vAlign w:val="center"/>
          </w:tcPr>
          <w:p w14:paraId="7249FEC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3</w:t>
            </w:r>
          </w:p>
        </w:tc>
        <w:tc>
          <w:tcPr>
            <w:tcW w:w="870" w:type="pct"/>
            <w:tcBorders>
              <w:top w:val="single" w:color="auto" w:sz="4" w:space="0"/>
              <w:left w:val="single" w:color="auto" w:sz="4" w:space="0"/>
              <w:bottom w:val="single" w:color="auto" w:sz="4" w:space="0"/>
              <w:right w:val="single" w:color="auto" w:sz="4" w:space="0"/>
            </w:tcBorders>
            <w:noWrap w:val="0"/>
            <w:vAlign w:val="center"/>
          </w:tcPr>
          <w:p w14:paraId="43ECECE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项目申请、设立过程是否符合相关要求，用以反映和考核项目立项的规范情况。</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04CE2A5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规范</w:t>
            </w:r>
          </w:p>
        </w:tc>
        <w:tc>
          <w:tcPr>
            <w:tcW w:w="1585" w:type="pct"/>
            <w:tcBorders>
              <w:top w:val="single" w:color="auto" w:sz="4" w:space="0"/>
              <w:left w:val="single" w:color="auto" w:sz="4" w:space="0"/>
              <w:bottom w:val="single" w:color="auto" w:sz="4" w:space="0"/>
              <w:right w:val="single" w:color="auto" w:sz="4" w:space="0"/>
            </w:tcBorders>
            <w:noWrap w:val="0"/>
            <w:vAlign w:val="center"/>
          </w:tcPr>
          <w:p w14:paraId="1359594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①项目是否按照规定的程序申请设立；</w:t>
            </w:r>
          </w:p>
          <w:p w14:paraId="223F037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②审批文件、材料是否符合相关要求；</w:t>
            </w:r>
          </w:p>
          <w:p w14:paraId="09D01CA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③事前是否已经过必要的可行性研究、专家论证、风险评估、绩效评估、集体决策。</w:t>
            </w:r>
          </w:p>
          <w:p w14:paraId="764D3AA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①②③齐全得权重分的100%，缺①扣权重分的40%，缺②扣权重分的30%，缺③扣权重分的30%。</w:t>
            </w:r>
          </w:p>
        </w:tc>
        <w:tc>
          <w:tcPr>
            <w:tcW w:w="394" w:type="pct"/>
            <w:tcBorders>
              <w:top w:val="single" w:color="auto" w:sz="4" w:space="0"/>
              <w:left w:val="single" w:color="auto" w:sz="4" w:space="0"/>
              <w:bottom w:val="single" w:color="auto" w:sz="4" w:space="0"/>
              <w:right w:val="single" w:color="auto" w:sz="4" w:space="0"/>
            </w:tcBorders>
            <w:noWrap w:val="0"/>
            <w:vAlign w:val="center"/>
          </w:tcPr>
          <w:p w14:paraId="3DBC7BE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规范</w:t>
            </w:r>
          </w:p>
        </w:tc>
        <w:tc>
          <w:tcPr>
            <w:tcW w:w="252" w:type="pct"/>
            <w:tcBorders>
              <w:top w:val="single" w:color="auto" w:sz="4" w:space="0"/>
              <w:left w:val="single" w:color="auto" w:sz="4" w:space="0"/>
              <w:bottom w:val="single" w:color="auto" w:sz="4" w:space="0"/>
              <w:right w:val="single" w:color="auto" w:sz="4" w:space="0"/>
            </w:tcBorders>
            <w:noWrap w:val="0"/>
            <w:vAlign w:val="center"/>
          </w:tcPr>
          <w:p w14:paraId="39F1331E">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3</w:t>
            </w:r>
          </w:p>
        </w:tc>
      </w:tr>
      <w:tr w14:paraId="291145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16" w:hRule="atLeast"/>
        </w:trPr>
        <w:tc>
          <w:tcPr>
            <w:tcW w:w="375" w:type="pct"/>
            <w:vMerge w:val="continue"/>
            <w:tcBorders>
              <w:top w:val="single" w:color="auto" w:sz="4" w:space="0"/>
              <w:left w:val="single" w:color="auto" w:sz="4" w:space="0"/>
              <w:bottom w:val="single" w:color="auto" w:sz="4" w:space="0"/>
              <w:right w:val="single" w:color="auto" w:sz="4" w:space="0"/>
            </w:tcBorders>
            <w:noWrap w:val="0"/>
            <w:vAlign w:val="center"/>
          </w:tcPr>
          <w:p w14:paraId="1295F8AD">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232" w:type="pct"/>
            <w:vMerge w:val="continue"/>
            <w:tcBorders>
              <w:top w:val="single" w:color="auto" w:sz="4" w:space="0"/>
              <w:left w:val="single" w:color="auto" w:sz="4" w:space="0"/>
              <w:bottom w:val="single" w:color="auto" w:sz="4" w:space="0"/>
              <w:right w:val="single" w:color="auto" w:sz="4" w:space="0"/>
            </w:tcBorders>
            <w:noWrap w:val="0"/>
            <w:vAlign w:val="center"/>
          </w:tcPr>
          <w:p w14:paraId="7635355F">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196" w:type="pct"/>
            <w:vMerge w:val="restart"/>
            <w:tcBorders>
              <w:top w:val="single" w:color="auto" w:sz="4" w:space="0"/>
              <w:left w:val="single" w:color="auto" w:sz="4" w:space="0"/>
              <w:bottom w:val="single" w:color="auto" w:sz="4" w:space="0"/>
              <w:right w:val="single" w:color="auto" w:sz="4" w:space="0"/>
            </w:tcBorders>
            <w:noWrap w:val="0"/>
            <w:vAlign w:val="center"/>
          </w:tcPr>
          <w:p w14:paraId="5DF88B4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绩效目标</w:t>
            </w:r>
          </w:p>
        </w:tc>
        <w:tc>
          <w:tcPr>
            <w:tcW w:w="217" w:type="pct"/>
            <w:vMerge w:val="restart"/>
            <w:tcBorders>
              <w:top w:val="single" w:color="auto" w:sz="4" w:space="0"/>
              <w:left w:val="single" w:color="auto" w:sz="4" w:space="0"/>
              <w:bottom w:val="single" w:color="auto" w:sz="4" w:space="0"/>
              <w:right w:val="single" w:color="auto" w:sz="4" w:space="0"/>
            </w:tcBorders>
            <w:noWrap w:val="0"/>
            <w:vAlign w:val="center"/>
          </w:tcPr>
          <w:p w14:paraId="697AFD7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w:t>
            </w:r>
          </w:p>
        </w:tc>
        <w:tc>
          <w:tcPr>
            <w:tcW w:w="259" w:type="pct"/>
            <w:tcBorders>
              <w:top w:val="single" w:color="auto" w:sz="4" w:space="0"/>
              <w:left w:val="single" w:color="auto" w:sz="4" w:space="0"/>
              <w:bottom w:val="single" w:color="auto" w:sz="4" w:space="0"/>
              <w:right w:val="single" w:color="auto" w:sz="4" w:space="0"/>
            </w:tcBorders>
            <w:noWrap w:val="0"/>
            <w:vAlign w:val="center"/>
          </w:tcPr>
          <w:p w14:paraId="7F07402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绩效目标合理性</w:t>
            </w:r>
          </w:p>
        </w:tc>
        <w:tc>
          <w:tcPr>
            <w:tcW w:w="210" w:type="pct"/>
            <w:tcBorders>
              <w:top w:val="single" w:color="auto" w:sz="4" w:space="0"/>
              <w:left w:val="single" w:color="auto" w:sz="4" w:space="0"/>
              <w:bottom w:val="single" w:color="auto" w:sz="4" w:space="0"/>
              <w:right w:val="single" w:color="auto" w:sz="4" w:space="0"/>
            </w:tcBorders>
            <w:noWrap w:val="0"/>
            <w:vAlign w:val="center"/>
          </w:tcPr>
          <w:p w14:paraId="7301D8F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5</w:t>
            </w:r>
          </w:p>
        </w:tc>
        <w:tc>
          <w:tcPr>
            <w:tcW w:w="870" w:type="pct"/>
            <w:tcBorders>
              <w:top w:val="single" w:color="auto" w:sz="4" w:space="0"/>
              <w:left w:val="single" w:color="auto" w:sz="4" w:space="0"/>
              <w:bottom w:val="single" w:color="auto" w:sz="4" w:space="0"/>
              <w:right w:val="single" w:color="auto" w:sz="4" w:space="0"/>
            </w:tcBorders>
            <w:noWrap w:val="0"/>
            <w:vAlign w:val="center"/>
          </w:tcPr>
          <w:p w14:paraId="0EEDC36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项目所设定的绩效目标是否依据充分，是否符合客观实际，用以反映和考核项目绩效目标与项目实施的相符情况。</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45F4818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合理</w:t>
            </w:r>
          </w:p>
        </w:tc>
        <w:tc>
          <w:tcPr>
            <w:tcW w:w="1585" w:type="pct"/>
            <w:tcBorders>
              <w:top w:val="single" w:color="auto" w:sz="4" w:space="0"/>
              <w:left w:val="single" w:color="auto" w:sz="4" w:space="0"/>
              <w:bottom w:val="single" w:color="auto" w:sz="4" w:space="0"/>
              <w:right w:val="single" w:color="auto" w:sz="4" w:space="0"/>
            </w:tcBorders>
            <w:noWrap w:val="0"/>
            <w:vAlign w:val="center"/>
          </w:tcPr>
          <w:p w14:paraId="77F0272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①项目是否有绩效目标；</w:t>
            </w:r>
          </w:p>
          <w:p w14:paraId="1137A20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②项目绩效目标与实际工作内容是否具有相关性；</w:t>
            </w:r>
          </w:p>
          <w:p w14:paraId="638BCE8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③项目预期产出效益和效果是否符合正常的业绩水平；</w:t>
            </w:r>
          </w:p>
          <w:p w14:paraId="60B8663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④是否与预算确定的项目投资额或资金量相匹配。</w:t>
            </w:r>
          </w:p>
          <w:p w14:paraId="4ACEC24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以上每条要素各占权重的25%，每有一条不符合，扣除对应的权重分，扣完为止。</w:t>
            </w:r>
          </w:p>
        </w:tc>
        <w:tc>
          <w:tcPr>
            <w:tcW w:w="394" w:type="pct"/>
            <w:tcBorders>
              <w:top w:val="single" w:color="auto" w:sz="4" w:space="0"/>
              <w:left w:val="single" w:color="auto" w:sz="4" w:space="0"/>
              <w:bottom w:val="single" w:color="auto" w:sz="4" w:space="0"/>
              <w:right w:val="single" w:color="auto" w:sz="4" w:space="0"/>
            </w:tcBorders>
            <w:noWrap w:val="0"/>
            <w:vAlign w:val="center"/>
          </w:tcPr>
          <w:p w14:paraId="187C9FE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合理</w:t>
            </w:r>
          </w:p>
        </w:tc>
        <w:tc>
          <w:tcPr>
            <w:tcW w:w="252" w:type="pct"/>
            <w:tcBorders>
              <w:top w:val="single" w:color="auto" w:sz="4" w:space="0"/>
              <w:left w:val="single" w:color="auto" w:sz="4" w:space="0"/>
              <w:bottom w:val="single" w:color="auto" w:sz="4" w:space="0"/>
              <w:right w:val="single" w:color="auto" w:sz="4" w:space="0"/>
            </w:tcBorders>
            <w:noWrap w:val="0"/>
            <w:vAlign w:val="center"/>
          </w:tcPr>
          <w:p w14:paraId="7B1DC07E">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5</w:t>
            </w:r>
          </w:p>
        </w:tc>
      </w:tr>
      <w:tr w14:paraId="2545B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2" w:hRule="atLeast"/>
        </w:trPr>
        <w:tc>
          <w:tcPr>
            <w:tcW w:w="375" w:type="pct"/>
            <w:vMerge w:val="continue"/>
            <w:tcBorders>
              <w:top w:val="single" w:color="auto" w:sz="4" w:space="0"/>
              <w:left w:val="single" w:color="auto" w:sz="4" w:space="0"/>
              <w:bottom w:val="single" w:color="auto" w:sz="4" w:space="0"/>
              <w:right w:val="single" w:color="auto" w:sz="4" w:space="0"/>
            </w:tcBorders>
            <w:noWrap w:val="0"/>
            <w:vAlign w:val="center"/>
          </w:tcPr>
          <w:p w14:paraId="65E01BAF">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232" w:type="pct"/>
            <w:vMerge w:val="continue"/>
            <w:tcBorders>
              <w:top w:val="single" w:color="auto" w:sz="4" w:space="0"/>
              <w:left w:val="single" w:color="auto" w:sz="4" w:space="0"/>
              <w:bottom w:val="single" w:color="auto" w:sz="4" w:space="0"/>
              <w:right w:val="single" w:color="auto" w:sz="4" w:space="0"/>
            </w:tcBorders>
            <w:noWrap w:val="0"/>
            <w:vAlign w:val="center"/>
          </w:tcPr>
          <w:p w14:paraId="207D2B43">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196" w:type="pct"/>
            <w:vMerge w:val="continue"/>
            <w:tcBorders>
              <w:top w:val="single" w:color="auto" w:sz="4" w:space="0"/>
              <w:left w:val="single" w:color="auto" w:sz="4" w:space="0"/>
              <w:bottom w:val="single" w:color="auto" w:sz="4" w:space="0"/>
              <w:right w:val="single" w:color="auto" w:sz="4" w:space="0"/>
            </w:tcBorders>
            <w:noWrap w:val="0"/>
            <w:vAlign w:val="center"/>
          </w:tcPr>
          <w:p w14:paraId="14B365CB">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217" w:type="pct"/>
            <w:vMerge w:val="continue"/>
            <w:tcBorders>
              <w:top w:val="single" w:color="auto" w:sz="4" w:space="0"/>
              <w:left w:val="single" w:color="auto" w:sz="4" w:space="0"/>
              <w:bottom w:val="single" w:color="auto" w:sz="4" w:space="0"/>
              <w:right w:val="single" w:color="auto" w:sz="4" w:space="0"/>
            </w:tcBorders>
            <w:noWrap w:val="0"/>
            <w:vAlign w:val="center"/>
          </w:tcPr>
          <w:p w14:paraId="2B774E3F">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259" w:type="pct"/>
            <w:tcBorders>
              <w:top w:val="single" w:color="auto" w:sz="4" w:space="0"/>
              <w:left w:val="single" w:color="auto" w:sz="4" w:space="0"/>
              <w:bottom w:val="single" w:color="auto" w:sz="4" w:space="0"/>
              <w:right w:val="single" w:color="auto" w:sz="4" w:space="0"/>
            </w:tcBorders>
            <w:noWrap w:val="0"/>
            <w:vAlign w:val="center"/>
          </w:tcPr>
          <w:p w14:paraId="221121E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绩效指标明确性</w:t>
            </w:r>
          </w:p>
        </w:tc>
        <w:tc>
          <w:tcPr>
            <w:tcW w:w="210" w:type="pct"/>
            <w:tcBorders>
              <w:top w:val="single" w:color="auto" w:sz="4" w:space="0"/>
              <w:left w:val="single" w:color="auto" w:sz="4" w:space="0"/>
              <w:bottom w:val="single" w:color="auto" w:sz="4" w:space="0"/>
              <w:right w:val="single" w:color="auto" w:sz="4" w:space="0"/>
            </w:tcBorders>
            <w:noWrap w:val="0"/>
            <w:vAlign w:val="center"/>
          </w:tcPr>
          <w:p w14:paraId="3A1C9FA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5</w:t>
            </w:r>
          </w:p>
        </w:tc>
        <w:tc>
          <w:tcPr>
            <w:tcW w:w="870" w:type="pct"/>
            <w:tcBorders>
              <w:top w:val="single" w:color="auto" w:sz="4" w:space="0"/>
              <w:left w:val="single" w:color="auto" w:sz="4" w:space="0"/>
              <w:bottom w:val="single" w:color="auto" w:sz="4" w:space="0"/>
              <w:right w:val="single" w:color="auto" w:sz="4" w:space="0"/>
            </w:tcBorders>
            <w:noWrap w:val="0"/>
            <w:vAlign w:val="center"/>
          </w:tcPr>
          <w:p w14:paraId="64D6E1A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依据绩效目标设定的绩效指标是否清晰、细化、可衡量等，用以反映和考核项目绩效目标的明细化情况。</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7ECF39E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明确</w:t>
            </w:r>
          </w:p>
        </w:tc>
        <w:tc>
          <w:tcPr>
            <w:tcW w:w="1585" w:type="pct"/>
            <w:tcBorders>
              <w:top w:val="single" w:color="auto" w:sz="4" w:space="0"/>
              <w:left w:val="single" w:color="auto" w:sz="4" w:space="0"/>
              <w:bottom w:val="single" w:color="auto" w:sz="4" w:space="0"/>
              <w:right w:val="single" w:color="auto" w:sz="4" w:space="0"/>
            </w:tcBorders>
            <w:noWrap w:val="0"/>
            <w:vAlign w:val="center"/>
          </w:tcPr>
          <w:p w14:paraId="2FA1EFA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①是否将项目绩效目标细化分解为具体的绩效指标；</w:t>
            </w:r>
          </w:p>
          <w:p w14:paraId="698AA13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②是否通过清晰、可衡量的指标值予以体现；</w:t>
            </w:r>
          </w:p>
          <w:p w14:paraId="5661B52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③是否与项目目标任务数或计划数相对应。</w:t>
            </w:r>
          </w:p>
          <w:p w14:paraId="4F8D6EBA">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①②③齐全得权重分的100%，缺①扣权重分的20%，缺②扣权重分的50%，缺③扣权重分的30%。</w:t>
            </w:r>
          </w:p>
        </w:tc>
        <w:tc>
          <w:tcPr>
            <w:tcW w:w="394" w:type="pct"/>
            <w:tcBorders>
              <w:top w:val="single" w:color="auto" w:sz="4" w:space="0"/>
              <w:left w:val="single" w:color="auto" w:sz="4" w:space="0"/>
              <w:bottom w:val="single" w:color="auto" w:sz="4" w:space="0"/>
              <w:right w:val="single" w:color="auto" w:sz="4" w:space="0"/>
            </w:tcBorders>
            <w:noWrap w:val="0"/>
            <w:vAlign w:val="center"/>
          </w:tcPr>
          <w:p w14:paraId="64F34DD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明确</w:t>
            </w:r>
          </w:p>
        </w:tc>
        <w:tc>
          <w:tcPr>
            <w:tcW w:w="252" w:type="pct"/>
            <w:tcBorders>
              <w:top w:val="single" w:color="auto" w:sz="4" w:space="0"/>
              <w:left w:val="single" w:color="auto" w:sz="4" w:space="0"/>
              <w:bottom w:val="single" w:color="auto" w:sz="4" w:space="0"/>
              <w:right w:val="single" w:color="auto" w:sz="4" w:space="0"/>
            </w:tcBorders>
            <w:noWrap w:val="0"/>
            <w:vAlign w:val="center"/>
          </w:tcPr>
          <w:p w14:paraId="462C6CD1">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5</w:t>
            </w:r>
          </w:p>
        </w:tc>
      </w:tr>
      <w:tr w14:paraId="0314ED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8" w:hRule="atLeast"/>
        </w:trPr>
        <w:tc>
          <w:tcPr>
            <w:tcW w:w="375" w:type="pct"/>
            <w:vMerge w:val="continue"/>
            <w:tcBorders>
              <w:top w:val="single" w:color="auto" w:sz="4" w:space="0"/>
              <w:left w:val="single" w:color="auto" w:sz="4" w:space="0"/>
              <w:bottom w:val="single" w:color="auto" w:sz="4" w:space="0"/>
              <w:right w:val="single" w:color="auto" w:sz="4" w:space="0"/>
            </w:tcBorders>
            <w:noWrap w:val="0"/>
            <w:vAlign w:val="center"/>
          </w:tcPr>
          <w:p w14:paraId="6C5B48B4">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232" w:type="pct"/>
            <w:vMerge w:val="continue"/>
            <w:tcBorders>
              <w:top w:val="single" w:color="auto" w:sz="4" w:space="0"/>
              <w:left w:val="single" w:color="auto" w:sz="4" w:space="0"/>
              <w:bottom w:val="single" w:color="auto" w:sz="4" w:space="0"/>
              <w:right w:val="single" w:color="auto" w:sz="4" w:space="0"/>
            </w:tcBorders>
            <w:noWrap w:val="0"/>
            <w:vAlign w:val="center"/>
          </w:tcPr>
          <w:p w14:paraId="6AD871BF">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196" w:type="pct"/>
            <w:vMerge w:val="restart"/>
            <w:tcBorders>
              <w:top w:val="single" w:color="auto" w:sz="4" w:space="0"/>
              <w:left w:val="single" w:color="auto" w:sz="4" w:space="0"/>
              <w:bottom w:val="single" w:color="auto" w:sz="4" w:space="0"/>
              <w:right w:val="single" w:color="auto" w:sz="4" w:space="0"/>
            </w:tcBorders>
            <w:noWrap w:val="0"/>
            <w:vAlign w:val="center"/>
          </w:tcPr>
          <w:p w14:paraId="1CAE333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资金投入</w:t>
            </w:r>
          </w:p>
        </w:tc>
        <w:tc>
          <w:tcPr>
            <w:tcW w:w="217" w:type="pct"/>
            <w:vMerge w:val="restart"/>
            <w:tcBorders>
              <w:top w:val="single" w:color="auto" w:sz="4" w:space="0"/>
              <w:left w:val="single" w:color="auto" w:sz="4" w:space="0"/>
              <w:bottom w:val="single" w:color="auto" w:sz="4" w:space="0"/>
              <w:right w:val="single" w:color="auto" w:sz="4" w:space="0"/>
            </w:tcBorders>
            <w:noWrap w:val="0"/>
            <w:vAlign w:val="center"/>
          </w:tcPr>
          <w:p w14:paraId="0E601C2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8</w:t>
            </w:r>
          </w:p>
        </w:tc>
        <w:tc>
          <w:tcPr>
            <w:tcW w:w="259" w:type="pct"/>
            <w:tcBorders>
              <w:top w:val="single" w:color="auto" w:sz="4" w:space="0"/>
              <w:left w:val="single" w:color="auto" w:sz="4" w:space="0"/>
              <w:bottom w:val="single" w:color="auto" w:sz="4" w:space="0"/>
              <w:right w:val="single" w:color="auto" w:sz="4" w:space="0"/>
            </w:tcBorders>
            <w:noWrap w:val="0"/>
            <w:vAlign w:val="center"/>
          </w:tcPr>
          <w:p w14:paraId="090B546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预算编制科学性</w:t>
            </w:r>
          </w:p>
        </w:tc>
        <w:tc>
          <w:tcPr>
            <w:tcW w:w="210" w:type="pct"/>
            <w:tcBorders>
              <w:top w:val="single" w:color="auto" w:sz="4" w:space="0"/>
              <w:left w:val="single" w:color="auto" w:sz="4" w:space="0"/>
              <w:bottom w:val="single" w:color="auto" w:sz="4" w:space="0"/>
              <w:right w:val="single" w:color="auto" w:sz="4" w:space="0"/>
            </w:tcBorders>
            <w:noWrap w:val="0"/>
            <w:vAlign w:val="center"/>
          </w:tcPr>
          <w:p w14:paraId="67CC270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4</w:t>
            </w:r>
          </w:p>
        </w:tc>
        <w:tc>
          <w:tcPr>
            <w:tcW w:w="870" w:type="pct"/>
            <w:tcBorders>
              <w:top w:val="single" w:color="auto" w:sz="4" w:space="0"/>
              <w:left w:val="single" w:color="auto" w:sz="4" w:space="0"/>
              <w:bottom w:val="single" w:color="auto" w:sz="4" w:space="0"/>
              <w:right w:val="single" w:color="auto" w:sz="4" w:space="0"/>
            </w:tcBorders>
            <w:noWrap w:val="0"/>
            <w:vAlign w:val="center"/>
          </w:tcPr>
          <w:p w14:paraId="7E4A570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项目预算编制是否经过科学论证、有明确标准，资金额度与年度目标是否相适应，用以反映和考核项目预算编制的科学性、合理性情况。</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0F267AA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科学</w:t>
            </w:r>
          </w:p>
        </w:tc>
        <w:tc>
          <w:tcPr>
            <w:tcW w:w="1585" w:type="pct"/>
            <w:tcBorders>
              <w:top w:val="single" w:color="auto" w:sz="4" w:space="0"/>
              <w:left w:val="single" w:color="auto" w:sz="4" w:space="0"/>
              <w:bottom w:val="single" w:color="auto" w:sz="4" w:space="0"/>
              <w:right w:val="single" w:color="auto" w:sz="4" w:space="0"/>
            </w:tcBorders>
            <w:noWrap w:val="0"/>
            <w:vAlign w:val="center"/>
          </w:tcPr>
          <w:p w14:paraId="0A798D1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①预算编制是否经过科学论证；</w:t>
            </w:r>
          </w:p>
          <w:p w14:paraId="6EA31A6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②预算内容与项目内容是否匹配；</w:t>
            </w:r>
          </w:p>
          <w:p w14:paraId="2F74E7F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③预算额度测算依据是否充分，是否按照标准编制；</w:t>
            </w:r>
          </w:p>
          <w:p w14:paraId="35D1367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④预算确定的项目投资额或资金量是否与工作任务相匹配。</w:t>
            </w:r>
          </w:p>
          <w:p w14:paraId="1FDE35B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以上每条要素各占权重的25%，每有一条不符合，扣除对应的权重分，扣完为止。</w:t>
            </w:r>
          </w:p>
        </w:tc>
        <w:tc>
          <w:tcPr>
            <w:tcW w:w="394" w:type="pct"/>
            <w:tcBorders>
              <w:top w:val="single" w:color="auto" w:sz="4" w:space="0"/>
              <w:left w:val="single" w:color="auto" w:sz="4" w:space="0"/>
              <w:bottom w:val="single" w:color="auto" w:sz="4" w:space="0"/>
              <w:right w:val="single" w:color="auto" w:sz="4" w:space="0"/>
            </w:tcBorders>
            <w:noWrap w:val="0"/>
            <w:vAlign w:val="center"/>
          </w:tcPr>
          <w:p w14:paraId="7606E01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科学</w:t>
            </w:r>
          </w:p>
        </w:tc>
        <w:tc>
          <w:tcPr>
            <w:tcW w:w="252" w:type="pct"/>
            <w:tcBorders>
              <w:top w:val="single" w:color="auto" w:sz="4" w:space="0"/>
              <w:left w:val="single" w:color="auto" w:sz="4" w:space="0"/>
              <w:bottom w:val="single" w:color="auto" w:sz="4" w:space="0"/>
              <w:right w:val="single" w:color="auto" w:sz="4" w:space="0"/>
            </w:tcBorders>
            <w:noWrap w:val="0"/>
            <w:vAlign w:val="center"/>
          </w:tcPr>
          <w:p w14:paraId="39F30B38">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4</w:t>
            </w:r>
          </w:p>
        </w:tc>
      </w:tr>
      <w:tr w14:paraId="0E5BE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35" w:hRule="atLeast"/>
        </w:trPr>
        <w:tc>
          <w:tcPr>
            <w:tcW w:w="375" w:type="pct"/>
            <w:vMerge w:val="continue"/>
            <w:tcBorders>
              <w:top w:val="single" w:color="auto" w:sz="4" w:space="0"/>
              <w:left w:val="single" w:color="auto" w:sz="4" w:space="0"/>
              <w:bottom w:val="single" w:color="auto" w:sz="4" w:space="0"/>
              <w:right w:val="single" w:color="auto" w:sz="4" w:space="0"/>
            </w:tcBorders>
            <w:noWrap w:val="0"/>
            <w:vAlign w:val="center"/>
          </w:tcPr>
          <w:p w14:paraId="39A88CC7">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232" w:type="pct"/>
            <w:vMerge w:val="continue"/>
            <w:tcBorders>
              <w:top w:val="single" w:color="auto" w:sz="4" w:space="0"/>
              <w:left w:val="single" w:color="auto" w:sz="4" w:space="0"/>
              <w:bottom w:val="single" w:color="auto" w:sz="4" w:space="0"/>
              <w:right w:val="single" w:color="auto" w:sz="4" w:space="0"/>
            </w:tcBorders>
            <w:noWrap w:val="0"/>
            <w:vAlign w:val="center"/>
          </w:tcPr>
          <w:p w14:paraId="6A2A3750">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196" w:type="pct"/>
            <w:vMerge w:val="continue"/>
            <w:tcBorders>
              <w:top w:val="single" w:color="auto" w:sz="4" w:space="0"/>
              <w:left w:val="single" w:color="auto" w:sz="4" w:space="0"/>
              <w:bottom w:val="single" w:color="auto" w:sz="4" w:space="0"/>
              <w:right w:val="single" w:color="auto" w:sz="4" w:space="0"/>
            </w:tcBorders>
            <w:noWrap w:val="0"/>
            <w:vAlign w:val="center"/>
          </w:tcPr>
          <w:p w14:paraId="2AB3E4FF">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217" w:type="pct"/>
            <w:vMerge w:val="continue"/>
            <w:tcBorders>
              <w:top w:val="single" w:color="auto" w:sz="4" w:space="0"/>
              <w:left w:val="single" w:color="auto" w:sz="4" w:space="0"/>
              <w:bottom w:val="single" w:color="auto" w:sz="4" w:space="0"/>
              <w:right w:val="single" w:color="auto" w:sz="4" w:space="0"/>
            </w:tcBorders>
            <w:noWrap w:val="0"/>
            <w:vAlign w:val="center"/>
          </w:tcPr>
          <w:p w14:paraId="06F0482E">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259" w:type="pct"/>
            <w:tcBorders>
              <w:top w:val="single" w:color="auto" w:sz="4" w:space="0"/>
              <w:left w:val="single" w:color="auto" w:sz="4" w:space="0"/>
              <w:bottom w:val="single" w:color="auto" w:sz="4" w:space="0"/>
              <w:right w:val="single" w:color="auto" w:sz="4" w:space="0"/>
            </w:tcBorders>
            <w:noWrap w:val="0"/>
            <w:vAlign w:val="center"/>
          </w:tcPr>
          <w:p w14:paraId="0EB472A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资金分配合理性</w:t>
            </w:r>
          </w:p>
        </w:tc>
        <w:tc>
          <w:tcPr>
            <w:tcW w:w="210" w:type="pct"/>
            <w:tcBorders>
              <w:top w:val="single" w:color="auto" w:sz="4" w:space="0"/>
              <w:left w:val="single" w:color="auto" w:sz="4" w:space="0"/>
              <w:bottom w:val="single" w:color="auto" w:sz="4" w:space="0"/>
              <w:right w:val="single" w:color="auto" w:sz="4" w:space="0"/>
            </w:tcBorders>
            <w:noWrap w:val="0"/>
            <w:vAlign w:val="center"/>
          </w:tcPr>
          <w:p w14:paraId="3F88F0A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4</w:t>
            </w:r>
          </w:p>
        </w:tc>
        <w:tc>
          <w:tcPr>
            <w:tcW w:w="870" w:type="pct"/>
            <w:tcBorders>
              <w:top w:val="single" w:color="auto" w:sz="4" w:space="0"/>
              <w:left w:val="single" w:color="auto" w:sz="4" w:space="0"/>
              <w:bottom w:val="single" w:color="auto" w:sz="4" w:space="0"/>
              <w:right w:val="single" w:color="auto" w:sz="4" w:space="0"/>
            </w:tcBorders>
            <w:noWrap w:val="0"/>
            <w:vAlign w:val="center"/>
          </w:tcPr>
          <w:p w14:paraId="285C5C3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项目预算资金分配是否有测算依据，与补助单位或地方实际是否相适应，用以反映和考核项目预算资金分配的科学性、合理性情况。</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4ABB5AB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合理</w:t>
            </w:r>
          </w:p>
        </w:tc>
        <w:tc>
          <w:tcPr>
            <w:tcW w:w="1585" w:type="pct"/>
            <w:tcBorders>
              <w:top w:val="single" w:color="auto" w:sz="4" w:space="0"/>
              <w:left w:val="single" w:color="auto" w:sz="4" w:space="0"/>
              <w:bottom w:val="single" w:color="auto" w:sz="4" w:space="0"/>
              <w:right w:val="single" w:color="auto" w:sz="4" w:space="0"/>
            </w:tcBorders>
            <w:noWrap w:val="0"/>
            <w:vAlign w:val="center"/>
          </w:tcPr>
          <w:p w14:paraId="26EFE34A">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①预算资金分配依据是否充分；</w:t>
            </w:r>
          </w:p>
          <w:p w14:paraId="44EDCFE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②资金分配额度是否合理，与项目单位或地方实际是否相适应。</w:t>
            </w:r>
          </w:p>
          <w:p w14:paraId="5D657B1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以上每条要素各占权重的50%，每有一条不符合，扣除对应的权重分，扣完为止。</w:t>
            </w:r>
          </w:p>
        </w:tc>
        <w:tc>
          <w:tcPr>
            <w:tcW w:w="394" w:type="pct"/>
            <w:tcBorders>
              <w:top w:val="single" w:color="auto" w:sz="4" w:space="0"/>
              <w:left w:val="single" w:color="auto" w:sz="4" w:space="0"/>
              <w:bottom w:val="single" w:color="auto" w:sz="4" w:space="0"/>
              <w:right w:val="single" w:color="auto" w:sz="4" w:space="0"/>
            </w:tcBorders>
            <w:noWrap w:val="0"/>
            <w:vAlign w:val="center"/>
          </w:tcPr>
          <w:p w14:paraId="2FC95EC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合理</w:t>
            </w:r>
          </w:p>
        </w:tc>
        <w:tc>
          <w:tcPr>
            <w:tcW w:w="252" w:type="pct"/>
            <w:tcBorders>
              <w:top w:val="single" w:color="auto" w:sz="4" w:space="0"/>
              <w:left w:val="single" w:color="auto" w:sz="4" w:space="0"/>
              <w:bottom w:val="single" w:color="auto" w:sz="4" w:space="0"/>
              <w:right w:val="single" w:color="auto" w:sz="4" w:space="0"/>
            </w:tcBorders>
            <w:noWrap w:val="0"/>
            <w:vAlign w:val="center"/>
          </w:tcPr>
          <w:p w14:paraId="3BAB55DA">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4</w:t>
            </w:r>
          </w:p>
        </w:tc>
      </w:tr>
      <w:tr w14:paraId="1D9F40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375" w:type="pct"/>
            <w:vMerge w:val="restart"/>
            <w:tcBorders>
              <w:top w:val="single" w:color="auto" w:sz="4" w:space="0"/>
              <w:left w:val="single" w:color="auto" w:sz="4" w:space="0"/>
              <w:bottom w:val="single" w:color="auto" w:sz="4" w:space="0"/>
              <w:right w:val="single" w:color="auto" w:sz="4" w:space="0"/>
            </w:tcBorders>
            <w:noWrap w:val="0"/>
            <w:vAlign w:val="center"/>
          </w:tcPr>
          <w:p w14:paraId="0214EF7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项目过程</w:t>
            </w:r>
          </w:p>
        </w:tc>
        <w:tc>
          <w:tcPr>
            <w:tcW w:w="232" w:type="pct"/>
            <w:vMerge w:val="restart"/>
            <w:tcBorders>
              <w:top w:val="single" w:color="auto" w:sz="4" w:space="0"/>
              <w:left w:val="single" w:color="auto" w:sz="4" w:space="0"/>
              <w:bottom w:val="single" w:color="auto" w:sz="4" w:space="0"/>
              <w:right w:val="single" w:color="auto" w:sz="4" w:space="0"/>
            </w:tcBorders>
            <w:noWrap w:val="0"/>
            <w:vAlign w:val="center"/>
          </w:tcPr>
          <w:p w14:paraId="5D32519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12</w:t>
            </w:r>
          </w:p>
        </w:tc>
        <w:tc>
          <w:tcPr>
            <w:tcW w:w="196" w:type="pct"/>
            <w:vMerge w:val="restart"/>
            <w:tcBorders>
              <w:top w:val="single" w:color="auto" w:sz="4" w:space="0"/>
              <w:left w:val="single" w:color="auto" w:sz="4" w:space="0"/>
              <w:bottom w:val="single" w:color="auto" w:sz="4" w:space="0"/>
              <w:right w:val="single" w:color="auto" w:sz="4" w:space="0"/>
            </w:tcBorders>
            <w:noWrap w:val="0"/>
            <w:vAlign w:val="center"/>
          </w:tcPr>
          <w:p w14:paraId="6A7B76A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资金管理</w:t>
            </w:r>
          </w:p>
        </w:tc>
        <w:tc>
          <w:tcPr>
            <w:tcW w:w="217" w:type="pct"/>
            <w:vMerge w:val="restart"/>
            <w:tcBorders>
              <w:top w:val="single" w:color="auto" w:sz="4" w:space="0"/>
              <w:left w:val="single" w:color="auto" w:sz="4" w:space="0"/>
              <w:bottom w:val="single" w:color="auto" w:sz="4" w:space="0"/>
              <w:right w:val="single" w:color="auto" w:sz="4" w:space="0"/>
            </w:tcBorders>
            <w:noWrap w:val="0"/>
            <w:vAlign w:val="center"/>
          </w:tcPr>
          <w:p w14:paraId="224CD88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6</w:t>
            </w:r>
          </w:p>
        </w:tc>
        <w:tc>
          <w:tcPr>
            <w:tcW w:w="259" w:type="pct"/>
            <w:tcBorders>
              <w:top w:val="single" w:color="auto" w:sz="4" w:space="0"/>
              <w:left w:val="single" w:color="auto" w:sz="4" w:space="0"/>
              <w:bottom w:val="single" w:color="auto" w:sz="4" w:space="0"/>
              <w:right w:val="single" w:color="auto" w:sz="4" w:space="0"/>
            </w:tcBorders>
            <w:noWrap w:val="0"/>
            <w:vAlign w:val="center"/>
          </w:tcPr>
          <w:p w14:paraId="3D4828A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资金到位率</w:t>
            </w:r>
          </w:p>
        </w:tc>
        <w:tc>
          <w:tcPr>
            <w:tcW w:w="210" w:type="pct"/>
            <w:tcBorders>
              <w:top w:val="single" w:color="auto" w:sz="4" w:space="0"/>
              <w:left w:val="single" w:color="auto" w:sz="4" w:space="0"/>
              <w:bottom w:val="single" w:color="auto" w:sz="4" w:space="0"/>
              <w:right w:val="single" w:color="auto" w:sz="4" w:space="0"/>
            </w:tcBorders>
            <w:noWrap w:val="0"/>
            <w:vAlign w:val="center"/>
          </w:tcPr>
          <w:p w14:paraId="6E775E8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w:t>
            </w:r>
          </w:p>
        </w:tc>
        <w:tc>
          <w:tcPr>
            <w:tcW w:w="870" w:type="pct"/>
            <w:tcBorders>
              <w:top w:val="single" w:color="auto" w:sz="4" w:space="0"/>
              <w:left w:val="single" w:color="auto" w:sz="4" w:space="0"/>
              <w:bottom w:val="single" w:color="auto" w:sz="4" w:space="0"/>
              <w:right w:val="single" w:color="auto" w:sz="4" w:space="0"/>
            </w:tcBorders>
            <w:noWrap w:val="0"/>
            <w:vAlign w:val="center"/>
          </w:tcPr>
          <w:p w14:paraId="293F478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实际到位资金与预算资金的比率，用以反映和考核资金落实情况对项目实施的总体保障程度。</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57D0012A">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w:t>
            </w:r>
          </w:p>
        </w:tc>
        <w:tc>
          <w:tcPr>
            <w:tcW w:w="1585" w:type="pct"/>
            <w:tcBorders>
              <w:top w:val="single" w:color="auto" w:sz="4" w:space="0"/>
              <w:left w:val="single" w:color="auto" w:sz="4" w:space="0"/>
              <w:bottom w:val="single" w:color="auto" w:sz="4" w:space="0"/>
              <w:right w:val="single" w:color="auto" w:sz="4" w:space="0"/>
            </w:tcBorders>
            <w:noWrap w:val="0"/>
            <w:vAlign w:val="center"/>
          </w:tcPr>
          <w:p w14:paraId="6E65737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资金到位率=（实际到位资金/预算资金）×100%。</w:t>
            </w:r>
          </w:p>
          <w:p w14:paraId="4CCAC90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资金到位率=100%，得权重分满分，每降低1%，扣除5%权重分，扣完为止。</w:t>
            </w:r>
          </w:p>
        </w:tc>
        <w:tc>
          <w:tcPr>
            <w:tcW w:w="394" w:type="pct"/>
            <w:tcBorders>
              <w:top w:val="single" w:color="auto" w:sz="4" w:space="0"/>
              <w:left w:val="single" w:color="auto" w:sz="4" w:space="0"/>
              <w:bottom w:val="single" w:color="auto" w:sz="4" w:space="0"/>
              <w:right w:val="single" w:color="auto" w:sz="4" w:space="0"/>
            </w:tcBorders>
            <w:noWrap w:val="0"/>
            <w:vAlign w:val="center"/>
          </w:tcPr>
          <w:p w14:paraId="13A317D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w:t>
            </w:r>
          </w:p>
        </w:tc>
        <w:tc>
          <w:tcPr>
            <w:tcW w:w="252" w:type="pct"/>
            <w:tcBorders>
              <w:top w:val="single" w:color="auto" w:sz="4" w:space="0"/>
              <w:left w:val="single" w:color="auto" w:sz="4" w:space="0"/>
              <w:bottom w:val="single" w:color="auto" w:sz="4" w:space="0"/>
              <w:right w:val="single" w:color="auto" w:sz="4" w:space="0"/>
            </w:tcBorders>
            <w:noWrap w:val="0"/>
            <w:vAlign w:val="center"/>
          </w:tcPr>
          <w:p w14:paraId="348E48CF">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w:t>
            </w:r>
          </w:p>
        </w:tc>
      </w:tr>
      <w:tr w14:paraId="3089D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8" w:hRule="atLeast"/>
        </w:trPr>
        <w:tc>
          <w:tcPr>
            <w:tcW w:w="375" w:type="pct"/>
            <w:vMerge w:val="continue"/>
            <w:tcBorders>
              <w:top w:val="single" w:color="auto" w:sz="4" w:space="0"/>
              <w:left w:val="single" w:color="auto" w:sz="4" w:space="0"/>
              <w:bottom w:val="single" w:color="auto" w:sz="4" w:space="0"/>
              <w:right w:val="single" w:color="auto" w:sz="4" w:space="0"/>
            </w:tcBorders>
            <w:noWrap w:val="0"/>
            <w:vAlign w:val="center"/>
          </w:tcPr>
          <w:p w14:paraId="614717CC">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232" w:type="pct"/>
            <w:vMerge w:val="continue"/>
            <w:tcBorders>
              <w:top w:val="single" w:color="auto" w:sz="4" w:space="0"/>
              <w:left w:val="single" w:color="auto" w:sz="4" w:space="0"/>
              <w:bottom w:val="single" w:color="auto" w:sz="4" w:space="0"/>
              <w:right w:val="single" w:color="auto" w:sz="4" w:space="0"/>
            </w:tcBorders>
            <w:noWrap w:val="0"/>
            <w:vAlign w:val="center"/>
          </w:tcPr>
          <w:p w14:paraId="04513190">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196" w:type="pct"/>
            <w:vMerge w:val="continue"/>
            <w:tcBorders>
              <w:top w:val="single" w:color="auto" w:sz="4" w:space="0"/>
              <w:left w:val="single" w:color="auto" w:sz="4" w:space="0"/>
              <w:bottom w:val="single" w:color="auto" w:sz="4" w:space="0"/>
              <w:right w:val="single" w:color="auto" w:sz="4" w:space="0"/>
            </w:tcBorders>
            <w:noWrap w:val="0"/>
            <w:vAlign w:val="center"/>
          </w:tcPr>
          <w:p w14:paraId="300CD903">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217" w:type="pct"/>
            <w:vMerge w:val="continue"/>
            <w:tcBorders>
              <w:top w:val="single" w:color="auto" w:sz="4" w:space="0"/>
              <w:left w:val="single" w:color="auto" w:sz="4" w:space="0"/>
              <w:bottom w:val="single" w:color="auto" w:sz="4" w:space="0"/>
              <w:right w:val="single" w:color="auto" w:sz="4" w:space="0"/>
            </w:tcBorders>
            <w:noWrap w:val="0"/>
            <w:vAlign w:val="center"/>
          </w:tcPr>
          <w:p w14:paraId="01EB28E2">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259" w:type="pct"/>
            <w:tcBorders>
              <w:top w:val="single" w:color="auto" w:sz="4" w:space="0"/>
              <w:left w:val="single" w:color="auto" w:sz="4" w:space="0"/>
              <w:bottom w:val="single" w:color="auto" w:sz="4" w:space="0"/>
              <w:right w:val="single" w:color="auto" w:sz="4" w:space="0"/>
            </w:tcBorders>
            <w:noWrap w:val="0"/>
            <w:vAlign w:val="center"/>
          </w:tcPr>
          <w:p w14:paraId="56932C6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预算执行率</w:t>
            </w:r>
          </w:p>
        </w:tc>
        <w:tc>
          <w:tcPr>
            <w:tcW w:w="210" w:type="pct"/>
            <w:tcBorders>
              <w:top w:val="single" w:color="auto" w:sz="4" w:space="0"/>
              <w:left w:val="single" w:color="auto" w:sz="4" w:space="0"/>
              <w:bottom w:val="single" w:color="auto" w:sz="4" w:space="0"/>
              <w:right w:val="single" w:color="auto" w:sz="4" w:space="0"/>
            </w:tcBorders>
            <w:noWrap w:val="0"/>
            <w:vAlign w:val="center"/>
          </w:tcPr>
          <w:p w14:paraId="2EF5AD0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2</w:t>
            </w:r>
          </w:p>
        </w:tc>
        <w:tc>
          <w:tcPr>
            <w:tcW w:w="870" w:type="pct"/>
            <w:tcBorders>
              <w:top w:val="single" w:color="auto" w:sz="4" w:space="0"/>
              <w:left w:val="single" w:color="auto" w:sz="4" w:space="0"/>
              <w:bottom w:val="single" w:color="auto" w:sz="4" w:space="0"/>
              <w:right w:val="single" w:color="auto" w:sz="4" w:space="0"/>
            </w:tcBorders>
            <w:noWrap w:val="0"/>
            <w:vAlign w:val="center"/>
          </w:tcPr>
          <w:p w14:paraId="1176F48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项目预算资金是否按照计划执行，用以反映或考核项目预算执行情况。</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7BD3797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w:t>
            </w:r>
          </w:p>
        </w:tc>
        <w:tc>
          <w:tcPr>
            <w:tcW w:w="1585" w:type="pct"/>
            <w:tcBorders>
              <w:top w:val="single" w:color="auto" w:sz="4" w:space="0"/>
              <w:left w:val="single" w:color="auto" w:sz="4" w:space="0"/>
              <w:bottom w:val="single" w:color="auto" w:sz="4" w:space="0"/>
              <w:right w:val="single" w:color="auto" w:sz="4" w:space="0"/>
            </w:tcBorders>
            <w:noWrap w:val="0"/>
            <w:vAlign w:val="center"/>
          </w:tcPr>
          <w:p w14:paraId="01E8693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预算执行率=（实际支出资金/实际到位资金）×100%。</w:t>
            </w:r>
          </w:p>
          <w:p w14:paraId="28748C6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预算执行率=100%，得权重分满分；若预算执行率＜100%，得分=预算执行率*分值；若执行率≤60%，则不得分。</w:t>
            </w:r>
          </w:p>
        </w:tc>
        <w:tc>
          <w:tcPr>
            <w:tcW w:w="394" w:type="pct"/>
            <w:tcBorders>
              <w:top w:val="single" w:color="auto" w:sz="4" w:space="0"/>
              <w:left w:val="single" w:color="auto" w:sz="4" w:space="0"/>
              <w:bottom w:val="single" w:color="auto" w:sz="4" w:space="0"/>
              <w:right w:val="single" w:color="auto" w:sz="4" w:space="0"/>
            </w:tcBorders>
            <w:noWrap w:val="0"/>
            <w:vAlign w:val="center"/>
          </w:tcPr>
          <w:p w14:paraId="3D2F1DB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rPr>
              <w:t>100%</w:t>
            </w:r>
          </w:p>
        </w:tc>
        <w:tc>
          <w:tcPr>
            <w:tcW w:w="252" w:type="pct"/>
            <w:tcBorders>
              <w:top w:val="single" w:color="auto" w:sz="4" w:space="0"/>
              <w:left w:val="single" w:color="auto" w:sz="4" w:space="0"/>
              <w:bottom w:val="single" w:color="auto" w:sz="4" w:space="0"/>
              <w:right w:val="single" w:color="auto" w:sz="4" w:space="0"/>
            </w:tcBorders>
            <w:noWrap w:val="0"/>
            <w:vAlign w:val="center"/>
          </w:tcPr>
          <w:p w14:paraId="11F61FF3">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2</w:t>
            </w:r>
          </w:p>
        </w:tc>
      </w:tr>
      <w:tr w14:paraId="75182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20" w:hRule="atLeast"/>
        </w:trPr>
        <w:tc>
          <w:tcPr>
            <w:tcW w:w="375" w:type="pct"/>
            <w:vMerge w:val="continue"/>
            <w:tcBorders>
              <w:top w:val="single" w:color="auto" w:sz="4" w:space="0"/>
              <w:left w:val="single" w:color="auto" w:sz="4" w:space="0"/>
              <w:bottom w:val="single" w:color="auto" w:sz="4" w:space="0"/>
              <w:right w:val="single" w:color="auto" w:sz="4" w:space="0"/>
            </w:tcBorders>
            <w:noWrap w:val="0"/>
            <w:vAlign w:val="center"/>
          </w:tcPr>
          <w:p w14:paraId="34F09E17">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232" w:type="pct"/>
            <w:vMerge w:val="continue"/>
            <w:tcBorders>
              <w:top w:val="single" w:color="auto" w:sz="4" w:space="0"/>
              <w:left w:val="single" w:color="auto" w:sz="4" w:space="0"/>
              <w:bottom w:val="single" w:color="auto" w:sz="4" w:space="0"/>
              <w:right w:val="single" w:color="auto" w:sz="4" w:space="0"/>
            </w:tcBorders>
            <w:noWrap w:val="0"/>
            <w:vAlign w:val="center"/>
          </w:tcPr>
          <w:p w14:paraId="4648007F">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196" w:type="pct"/>
            <w:vMerge w:val="continue"/>
            <w:tcBorders>
              <w:top w:val="single" w:color="auto" w:sz="4" w:space="0"/>
              <w:left w:val="single" w:color="auto" w:sz="4" w:space="0"/>
              <w:bottom w:val="single" w:color="auto" w:sz="4" w:space="0"/>
              <w:right w:val="single" w:color="auto" w:sz="4" w:space="0"/>
            </w:tcBorders>
            <w:noWrap w:val="0"/>
            <w:vAlign w:val="center"/>
          </w:tcPr>
          <w:p w14:paraId="03768336">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217" w:type="pct"/>
            <w:vMerge w:val="continue"/>
            <w:tcBorders>
              <w:top w:val="single" w:color="auto" w:sz="4" w:space="0"/>
              <w:left w:val="single" w:color="auto" w:sz="4" w:space="0"/>
              <w:bottom w:val="single" w:color="auto" w:sz="4" w:space="0"/>
              <w:right w:val="single" w:color="auto" w:sz="4" w:space="0"/>
            </w:tcBorders>
            <w:noWrap w:val="0"/>
            <w:vAlign w:val="center"/>
          </w:tcPr>
          <w:p w14:paraId="2E7A0ECF">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259" w:type="pct"/>
            <w:tcBorders>
              <w:top w:val="single" w:color="auto" w:sz="4" w:space="0"/>
              <w:left w:val="single" w:color="auto" w:sz="4" w:space="0"/>
              <w:bottom w:val="single" w:color="auto" w:sz="4" w:space="0"/>
              <w:right w:val="single" w:color="auto" w:sz="4" w:space="0"/>
            </w:tcBorders>
            <w:noWrap w:val="0"/>
            <w:vAlign w:val="center"/>
          </w:tcPr>
          <w:p w14:paraId="53864BC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资金使用合规性</w:t>
            </w:r>
          </w:p>
        </w:tc>
        <w:tc>
          <w:tcPr>
            <w:tcW w:w="210" w:type="pct"/>
            <w:tcBorders>
              <w:top w:val="single" w:color="auto" w:sz="4" w:space="0"/>
              <w:left w:val="single" w:color="auto" w:sz="4" w:space="0"/>
              <w:bottom w:val="single" w:color="auto" w:sz="4" w:space="0"/>
              <w:right w:val="single" w:color="auto" w:sz="4" w:space="0"/>
            </w:tcBorders>
            <w:noWrap w:val="0"/>
            <w:vAlign w:val="center"/>
          </w:tcPr>
          <w:p w14:paraId="1AB116F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3</w:t>
            </w:r>
          </w:p>
        </w:tc>
        <w:tc>
          <w:tcPr>
            <w:tcW w:w="870" w:type="pct"/>
            <w:tcBorders>
              <w:top w:val="single" w:color="auto" w:sz="4" w:space="0"/>
              <w:left w:val="single" w:color="auto" w:sz="4" w:space="0"/>
              <w:bottom w:val="single" w:color="auto" w:sz="4" w:space="0"/>
              <w:right w:val="single" w:color="auto" w:sz="4" w:space="0"/>
            </w:tcBorders>
            <w:noWrap w:val="0"/>
            <w:vAlign w:val="center"/>
          </w:tcPr>
          <w:p w14:paraId="209074E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项目资金使用是否符合相关的财务管理制度规定，用以反映和考核项目资金的规范运行情况。</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0B74C4E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合规</w:t>
            </w:r>
          </w:p>
        </w:tc>
        <w:tc>
          <w:tcPr>
            <w:tcW w:w="1585" w:type="pct"/>
            <w:tcBorders>
              <w:top w:val="single" w:color="auto" w:sz="4" w:space="0"/>
              <w:left w:val="single" w:color="auto" w:sz="4" w:space="0"/>
              <w:bottom w:val="single" w:color="auto" w:sz="4" w:space="0"/>
              <w:right w:val="single" w:color="auto" w:sz="4" w:space="0"/>
            </w:tcBorders>
            <w:noWrap w:val="0"/>
            <w:vAlign w:val="center"/>
          </w:tcPr>
          <w:p w14:paraId="4F99B62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①否符合国家财经法规和财务管理制度以及有关专项资金管理办法的规定；</w:t>
            </w:r>
          </w:p>
          <w:p w14:paraId="438E5D0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②资金的拨付是否有完整的审批程序和手续；</w:t>
            </w:r>
          </w:p>
          <w:p w14:paraId="5E3DAB6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③是否符合项目预算批复或合同规定的用途；</w:t>
            </w:r>
          </w:p>
          <w:p w14:paraId="0E59A54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④是否存在截留、挤占、挪用、虚列支出等情况。</w:t>
            </w:r>
          </w:p>
          <w:p w14:paraId="58F7A59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以上每条指标各占权重分的25%，要素①②不符合，扣除对应权重分；要素③④不符合属于重大违纪，该指标不得分。</w:t>
            </w:r>
          </w:p>
        </w:tc>
        <w:tc>
          <w:tcPr>
            <w:tcW w:w="394" w:type="pct"/>
            <w:tcBorders>
              <w:top w:val="single" w:color="auto" w:sz="4" w:space="0"/>
              <w:left w:val="single" w:color="auto" w:sz="4" w:space="0"/>
              <w:bottom w:val="single" w:color="auto" w:sz="4" w:space="0"/>
              <w:right w:val="single" w:color="auto" w:sz="4" w:space="0"/>
            </w:tcBorders>
            <w:noWrap w:val="0"/>
            <w:vAlign w:val="center"/>
          </w:tcPr>
          <w:p w14:paraId="517B1EF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合规</w:t>
            </w:r>
          </w:p>
        </w:tc>
        <w:tc>
          <w:tcPr>
            <w:tcW w:w="252" w:type="pct"/>
            <w:tcBorders>
              <w:top w:val="single" w:color="auto" w:sz="4" w:space="0"/>
              <w:left w:val="single" w:color="auto" w:sz="4" w:space="0"/>
              <w:bottom w:val="single" w:color="auto" w:sz="4" w:space="0"/>
              <w:right w:val="single" w:color="auto" w:sz="4" w:space="0"/>
            </w:tcBorders>
            <w:noWrap w:val="0"/>
            <w:vAlign w:val="center"/>
          </w:tcPr>
          <w:p w14:paraId="17440347">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3</w:t>
            </w:r>
          </w:p>
        </w:tc>
      </w:tr>
      <w:tr w14:paraId="47092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6" w:hRule="atLeast"/>
        </w:trPr>
        <w:tc>
          <w:tcPr>
            <w:tcW w:w="375" w:type="pct"/>
            <w:vMerge w:val="continue"/>
            <w:tcBorders>
              <w:top w:val="single" w:color="auto" w:sz="4" w:space="0"/>
              <w:left w:val="single" w:color="auto" w:sz="4" w:space="0"/>
              <w:bottom w:val="single" w:color="auto" w:sz="4" w:space="0"/>
              <w:right w:val="single" w:color="auto" w:sz="4" w:space="0"/>
            </w:tcBorders>
            <w:noWrap w:val="0"/>
            <w:vAlign w:val="center"/>
          </w:tcPr>
          <w:p w14:paraId="29E314D0">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232" w:type="pct"/>
            <w:vMerge w:val="continue"/>
            <w:tcBorders>
              <w:top w:val="single" w:color="auto" w:sz="4" w:space="0"/>
              <w:left w:val="single" w:color="auto" w:sz="4" w:space="0"/>
              <w:bottom w:val="single" w:color="auto" w:sz="4" w:space="0"/>
              <w:right w:val="single" w:color="auto" w:sz="4" w:space="0"/>
            </w:tcBorders>
            <w:noWrap w:val="0"/>
            <w:vAlign w:val="center"/>
          </w:tcPr>
          <w:p w14:paraId="3AAF7A0C">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196" w:type="pct"/>
            <w:vMerge w:val="restart"/>
            <w:tcBorders>
              <w:top w:val="single" w:color="auto" w:sz="4" w:space="0"/>
              <w:left w:val="single" w:color="auto" w:sz="4" w:space="0"/>
              <w:bottom w:val="single" w:color="auto" w:sz="4" w:space="0"/>
              <w:right w:val="single" w:color="auto" w:sz="4" w:space="0"/>
            </w:tcBorders>
            <w:noWrap w:val="0"/>
            <w:vAlign w:val="center"/>
          </w:tcPr>
          <w:p w14:paraId="7D2EC74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组织实施</w:t>
            </w:r>
          </w:p>
        </w:tc>
        <w:tc>
          <w:tcPr>
            <w:tcW w:w="217" w:type="pct"/>
            <w:vMerge w:val="restart"/>
            <w:tcBorders>
              <w:top w:val="single" w:color="auto" w:sz="4" w:space="0"/>
              <w:left w:val="single" w:color="auto" w:sz="4" w:space="0"/>
              <w:bottom w:val="single" w:color="auto" w:sz="4" w:space="0"/>
              <w:right w:val="single" w:color="auto" w:sz="4" w:space="0"/>
            </w:tcBorders>
            <w:noWrap w:val="0"/>
            <w:vAlign w:val="center"/>
          </w:tcPr>
          <w:p w14:paraId="4D06502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6</w:t>
            </w:r>
          </w:p>
        </w:tc>
        <w:tc>
          <w:tcPr>
            <w:tcW w:w="259" w:type="pct"/>
            <w:tcBorders>
              <w:top w:val="single" w:color="auto" w:sz="4" w:space="0"/>
              <w:left w:val="single" w:color="auto" w:sz="4" w:space="0"/>
              <w:bottom w:val="single" w:color="auto" w:sz="4" w:space="0"/>
              <w:right w:val="single" w:color="auto" w:sz="4" w:space="0"/>
            </w:tcBorders>
            <w:noWrap w:val="0"/>
            <w:vAlign w:val="center"/>
          </w:tcPr>
          <w:p w14:paraId="659EF0C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管理制度健全性</w:t>
            </w:r>
          </w:p>
        </w:tc>
        <w:tc>
          <w:tcPr>
            <w:tcW w:w="210" w:type="pct"/>
            <w:tcBorders>
              <w:top w:val="single" w:color="auto" w:sz="4" w:space="0"/>
              <w:left w:val="single" w:color="auto" w:sz="4" w:space="0"/>
              <w:bottom w:val="single" w:color="auto" w:sz="4" w:space="0"/>
              <w:right w:val="single" w:color="auto" w:sz="4" w:space="0"/>
            </w:tcBorders>
            <w:noWrap w:val="0"/>
            <w:vAlign w:val="center"/>
          </w:tcPr>
          <w:p w14:paraId="65BD92D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3</w:t>
            </w:r>
          </w:p>
        </w:tc>
        <w:tc>
          <w:tcPr>
            <w:tcW w:w="870" w:type="pct"/>
            <w:tcBorders>
              <w:top w:val="single" w:color="auto" w:sz="4" w:space="0"/>
              <w:left w:val="single" w:color="auto" w:sz="4" w:space="0"/>
              <w:bottom w:val="single" w:color="auto" w:sz="4" w:space="0"/>
              <w:right w:val="single" w:color="auto" w:sz="4" w:space="0"/>
            </w:tcBorders>
            <w:noWrap w:val="0"/>
            <w:vAlign w:val="center"/>
          </w:tcPr>
          <w:p w14:paraId="069B925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项目实施单位的财务和业务管理制度是否健全，用以反映和考核财务和业务管理制度对项目顺利实施的保障情况。</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4B86239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健全</w:t>
            </w:r>
          </w:p>
        </w:tc>
        <w:tc>
          <w:tcPr>
            <w:tcW w:w="1585" w:type="pct"/>
            <w:tcBorders>
              <w:top w:val="single" w:color="auto" w:sz="4" w:space="0"/>
              <w:left w:val="single" w:color="auto" w:sz="4" w:space="0"/>
              <w:bottom w:val="single" w:color="auto" w:sz="4" w:space="0"/>
              <w:right w:val="single" w:color="auto" w:sz="4" w:space="0"/>
            </w:tcBorders>
            <w:noWrap w:val="0"/>
            <w:vAlign w:val="center"/>
          </w:tcPr>
          <w:p w14:paraId="7406BB7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①是否已制定或具有相应的财务和业务管理制度；</w:t>
            </w:r>
          </w:p>
          <w:p w14:paraId="4058982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②财务和业务管理制度是否合法、合规、完整。</w:t>
            </w:r>
          </w:p>
          <w:p w14:paraId="46B88B3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以上每条要素各占权重的50%，每有一条不符合，扣除对应的权重分，扣完为止。</w:t>
            </w:r>
          </w:p>
        </w:tc>
        <w:tc>
          <w:tcPr>
            <w:tcW w:w="394" w:type="pct"/>
            <w:tcBorders>
              <w:top w:val="single" w:color="auto" w:sz="4" w:space="0"/>
              <w:left w:val="single" w:color="auto" w:sz="4" w:space="0"/>
              <w:bottom w:val="single" w:color="auto" w:sz="4" w:space="0"/>
              <w:right w:val="single" w:color="auto" w:sz="4" w:space="0"/>
            </w:tcBorders>
            <w:noWrap w:val="0"/>
            <w:vAlign w:val="center"/>
          </w:tcPr>
          <w:p w14:paraId="4575722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健全</w:t>
            </w:r>
          </w:p>
        </w:tc>
        <w:tc>
          <w:tcPr>
            <w:tcW w:w="252" w:type="pct"/>
            <w:tcBorders>
              <w:top w:val="single" w:color="auto" w:sz="4" w:space="0"/>
              <w:left w:val="single" w:color="auto" w:sz="4" w:space="0"/>
              <w:bottom w:val="single" w:color="auto" w:sz="4" w:space="0"/>
              <w:right w:val="single" w:color="auto" w:sz="4" w:space="0"/>
            </w:tcBorders>
            <w:noWrap w:val="0"/>
            <w:vAlign w:val="center"/>
          </w:tcPr>
          <w:p w14:paraId="488AE079">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3</w:t>
            </w:r>
          </w:p>
        </w:tc>
      </w:tr>
      <w:tr w14:paraId="374EC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375" w:type="pct"/>
            <w:vMerge w:val="continue"/>
            <w:tcBorders>
              <w:top w:val="single" w:color="auto" w:sz="4" w:space="0"/>
              <w:left w:val="single" w:color="auto" w:sz="4" w:space="0"/>
              <w:bottom w:val="single" w:color="auto" w:sz="4" w:space="0"/>
              <w:right w:val="single" w:color="auto" w:sz="4" w:space="0"/>
            </w:tcBorders>
            <w:noWrap w:val="0"/>
            <w:vAlign w:val="center"/>
          </w:tcPr>
          <w:p w14:paraId="6DF2586D">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232" w:type="pct"/>
            <w:vMerge w:val="continue"/>
            <w:tcBorders>
              <w:top w:val="single" w:color="auto" w:sz="4" w:space="0"/>
              <w:left w:val="single" w:color="auto" w:sz="4" w:space="0"/>
              <w:bottom w:val="single" w:color="auto" w:sz="4" w:space="0"/>
              <w:right w:val="single" w:color="auto" w:sz="4" w:space="0"/>
            </w:tcBorders>
            <w:noWrap w:val="0"/>
            <w:vAlign w:val="center"/>
          </w:tcPr>
          <w:p w14:paraId="0F7E87AC">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196" w:type="pct"/>
            <w:vMerge w:val="continue"/>
            <w:tcBorders>
              <w:top w:val="single" w:color="auto" w:sz="4" w:space="0"/>
              <w:left w:val="single" w:color="auto" w:sz="4" w:space="0"/>
              <w:bottom w:val="single" w:color="auto" w:sz="4" w:space="0"/>
              <w:right w:val="single" w:color="auto" w:sz="4" w:space="0"/>
            </w:tcBorders>
            <w:noWrap w:val="0"/>
            <w:vAlign w:val="center"/>
          </w:tcPr>
          <w:p w14:paraId="6DF1E061">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217" w:type="pct"/>
            <w:vMerge w:val="continue"/>
            <w:tcBorders>
              <w:top w:val="single" w:color="auto" w:sz="4" w:space="0"/>
              <w:left w:val="single" w:color="auto" w:sz="4" w:space="0"/>
              <w:bottom w:val="single" w:color="auto" w:sz="4" w:space="0"/>
              <w:right w:val="single" w:color="auto" w:sz="4" w:space="0"/>
            </w:tcBorders>
            <w:noWrap w:val="0"/>
            <w:vAlign w:val="center"/>
          </w:tcPr>
          <w:p w14:paraId="17E18DB1">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259" w:type="pct"/>
            <w:tcBorders>
              <w:top w:val="single" w:color="auto" w:sz="4" w:space="0"/>
              <w:left w:val="single" w:color="auto" w:sz="4" w:space="0"/>
              <w:bottom w:val="single" w:color="auto" w:sz="4" w:space="0"/>
              <w:right w:val="single" w:color="auto" w:sz="4" w:space="0"/>
            </w:tcBorders>
            <w:noWrap w:val="0"/>
            <w:vAlign w:val="center"/>
          </w:tcPr>
          <w:p w14:paraId="082E10B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制度执行有效性</w:t>
            </w:r>
          </w:p>
        </w:tc>
        <w:tc>
          <w:tcPr>
            <w:tcW w:w="210" w:type="pct"/>
            <w:tcBorders>
              <w:top w:val="single" w:color="auto" w:sz="4" w:space="0"/>
              <w:left w:val="single" w:color="auto" w:sz="4" w:space="0"/>
              <w:bottom w:val="single" w:color="auto" w:sz="4" w:space="0"/>
              <w:right w:val="single" w:color="auto" w:sz="4" w:space="0"/>
            </w:tcBorders>
            <w:noWrap w:val="0"/>
            <w:vAlign w:val="center"/>
          </w:tcPr>
          <w:p w14:paraId="7FE5DCD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3</w:t>
            </w:r>
          </w:p>
        </w:tc>
        <w:tc>
          <w:tcPr>
            <w:tcW w:w="870" w:type="pct"/>
            <w:tcBorders>
              <w:top w:val="single" w:color="auto" w:sz="4" w:space="0"/>
              <w:left w:val="single" w:color="auto" w:sz="4" w:space="0"/>
              <w:bottom w:val="single" w:color="auto" w:sz="4" w:space="0"/>
              <w:right w:val="single" w:color="auto" w:sz="4" w:space="0"/>
            </w:tcBorders>
            <w:noWrap w:val="0"/>
            <w:vAlign w:val="center"/>
          </w:tcPr>
          <w:p w14:paraId="11ED707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项目实施是否符合相关管理规定，用以反映和考核相关管理制度的有效执行情况。</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2E5D8AA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有效</w:t>
            </w:r>
          </w:p>
        </w:tc>
        <w:tc>
          <w:tcPr>
            <w:tcW w:w="1585" w:type="pct"/>
            <w:tcBorders>
              <w:top w:val="single" w:color="auto" w:sz="4" w:space="0"/>
              <w:left w:val="single" w:color="auto" w:sz="4" w:space="0"/>
              <w:bottom w:val="single" w:color="auto" w:sz="4" w:space="0"/>
              <w:right w:val="single" w:color="auto" w:sz="4" w:space="0"/>
            </w:tcBorders>
            <w:noWrap w:val="0"/>
            <w:vAlign w:val="center"/>
          </w:tcPr>
          <w:p w14:paraId="7F305A9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①否遵守相关法律法规和相关管理规定；</w:t>
            </w:r>
          </w:p>
          <w:p w14:paraId="0AA6B24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②项目调整及支出调整手续是否完备；</w:t>
            </w:r>
          </w:p>
          <w:p w14:paraId="798131A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③项目资料是否齐全并及时归档。</w:t>
            </w:r>
          </w:p>
          <w:p w14:paraId="7B79AAF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①②③齐全得权重分的100%，缺①扣权重分的30%，缺②扣权重分的40%，缺③扣权重分的30%。</w:t>
            </w:r>
          </w:p>
        </w:tc>
        <w:tc>
          <w:tcPr>
            <w:tcW w:w="394" w:type="pct"/>
            <w:tcBorders>
              <w:top w:val="single" w:color="auto" w:sz="4" w:space="0"/>
              <w:left w:val="single" w:color="auto" w:sz="4" w:space="0"/>
              <w:bottom w:val="single" w:color="auto" w:sz="4" w:space="0"/>
              <w:right w:val="single" w:color="auto" w:sz="4" w:space="0"/>
            </w:tcBorders>
            <w:noWrap w:val="0"/>
            <w:vAlign w:val="center"/>
          </w:tcPr>
          <w:p w14:paraId="05B24FB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有效</w:t>
            </w:r>
          </w:p>
        </w:tc>
        <w:tc>
          <w:tcPr>
            <w:tcW w:w="252" w:type="pct"/>
            <w:tcBorders>
              <w:top w:val="single" w:color="auto" w:sz="4" w:space="0"/>
              <w:left w:val="single" w:color="auto" w:sz="4" w:space="0"/>
              <w:bottom w:val="single" w:color="auto" w:sz="4" w:space="0"/>
              <w:right w:val="single" w:color="auto" w:sz="4" w:space="0"/>
            </w:tcBorders>
            <w:noWrap w:val="0"/>
            <w:vAlign w:val="center"/>
          </w:tcPr>
          <w:p w14:paraId="22F05448">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3</w:t>
            </w:r>
          </w:p>
        </w:tc>
      </w:tr>
      <w:tr w14:paraId="0BB91B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70" w:hRule="atLeast"/>
        </w:trPr>
        <w:tc>
          <w:tcPr>
            <w:tcW w:w="375" w:type="pct"/>
            <w:vMerge w:val="restart"/>
            <w:tcBorders>
              <w:top w:val="single" w:color="auto" w:sz="4" w:space="0"/>
              <w:left w:val="single" w:color="auto" w:sz="4" w:space="0"/>
              <w:right w:val="single" w:color="auto" w:sz="4" w:space="0"/>
            </w:tcBorders>
            <w:noWrap w:val="0"/>
            <w:vAlign w:val="center"/>
          </w:tcPr>
          <w:p w14:paraId="180965E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项目产出</w:t>
            </w:r>
          </w:p>
        </w:tc>
        <w:tc>
          <w:tcPr>
            <w:tcW w:w="232" w:type="pct"/>
            <w:vMerge w:val="restart"/>
            <w:tcBorders>
              <w:top w:val="single" w:color="auto" w:sz="4" w:space="0"/>
              <w:left w:val="single" w:color="auto" w:sz="4" w:space="0"/>
              <w:right w:val="single" w:color="auto" w:sz="4" w:space="0"/>
            </w:tcBorders>
            <w:noWrap w:val="0"/>
            <w:vAlign w:val="center"/>
          </w:tcPr>
          <w:p w14:paraId="05E50EC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40</w:t>
            </w:r>
          </w:p>
        </w:tc>
        <w:tc>
          <w:tcPr>
            <w:tcW w:w="196" w:type="pct"/>
            <w:tcBorders>
              <w:top w:val="single" w:color="auto" w:sz="4" w:space="0"/>
              <w:left w:val="single" w:color="auto" w:sz="4" w:space="0"/>
              <w:bottom w:val="single" w:color="auto" w:sz="4" w:space="0"/>
              <w:right w:val="single" w:color="auto" w:sz="4" w:space="0"/>
            </w:tcBorders>
            <w:noWrap w:val="0"/>
            <w:vAlign w:val="center"/>
          </w:tcPr>
          <w:p w14:paraId="0C8FC03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产出数量</w:t>
            </w:r>
          </w:p>
        </w:tc>
        <w:tc>
          <w:tcPr>
            <w:tcW w:w="217" w:type="pct"/>
            <w:tcBorders>
              <w:top w:val="single" w:color="auto" w:sz="4" w:space="0"/>
              <w:left w:val="single" w:color="auto" w:sz="4" w:space="0"/>
              <w:bottom w:val="single" w:color="auto" w:sz="4" w:space="0"/>
              <w:right w:val="single" w:color="auto" w:sz="4" w:space="0"/>
            </w:tcBorders>
            <w:noWrap w:val="0"/>
            <w:vAlign w:val="center"/>
          </w:tcPr>
          <w:p w14:paraId="70B3F86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w:t>
            </w:r>
          </w:p>
        </w:tc>
        <w:tc>
          <w:tcPr>
            <w:tcW w:w="259" w:type="pct"/>
            <w:tcBorders>
              <w:top w:val="single" w:color="auto" w:sz="4" w:space="0"/>
              <w:left w:val="single" w:color="auto" w:sz="4" w:space="0"/>
              <w:bottom w:val="single" w:color="auto" w:sz="4" w:space="0"/>
              <w:right w:val="single" w:color="auto" w:sz="4" w:space="0"/>
            </w:tcBorders>
            <w:noWrap w:val="0"/>
            <w:vAlign w:val="center"/>
          </w:tcPr>
          <w:p w14:paraId="445BD3C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实际完成率</w:t>
            </w:r>
          </w:p>
        </w:tc>
        <w:tc>
          <w:tcPr>
            <w:tcW w:w="210" w:type="pct"/>
            <w:tcBorders>
              <w:top w:val="single" w:color="auto" w:sz="4" w:space="0"/>
              <w:left w:val="single" w:color="auto" w:sz="4" w:space="0"/>
              <w:bottom w:val="single" w:color="auto" w:sz="4" w:space="0"/>
              <w:right w:val="single" w:color="auto" w:sz="4" w:space="0"/>
            </w:tcBorders>
            <w:noWrap w:val="0"/>
            <w:vAlign w:val="center"/>
          </w:tcPr>
          <w:p w14:paraId="0A35EE16">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10</w:t>
            </w:r>
          </w:p>
        </w:tc>
        <w:tc>
          <w:tcPr>
            <w:tcW w:w="870" w:type="pct"/>
            <w:tcBorders>
              <w:top w:val="single" w:color="auto" w:sz="4" w:space="0"/>
              <w:left w:val="single" w:color="auto" w:sz="4" w:space="0"/>
              <w:bottom w:val="single" w:color="auto" w:sz="4" w:space="0"/>
              <w:right w:val="single" w:color="auto" w:sz="4" w:space="0"/>
            </w:tcBorders>
            <w:noWrap w:val="0"/>
            <w:vAlign w:val="center"/>
          </w:tcPr>
          <w:p w14:paraId="35744BB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kern w:val="0"/>
                <w:sz w:val="21"/>
                <w:szCs w:val="21"/>
                <w:highlight w:val="none"/>
                <w:u w:val="none"/>
                <w:shd w:val="clear" w:color="auto" w:fill="auto"/>
                <w:lang w:val="en-US" w:eastAsia="zh-CN"/>
              </w:rPr>
              <w:t>行政服务中心及保障性住房正常运转个数</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02BF1AE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kern w:val="0"/>
                <w:sz w:val="21"/>
                <w:szCs w:val="21"/>
                <w:highlight w:val="none"/>
                <w:u w:val="none"/>
                <w:shd w:val="clear" w:color="auto" w:fill="auto"/>
                <w:lang w:val="en-US" w:eastAsia="zh-CN"/>
              </w:rPr>
              <w:t>≥3个</w:t>
            </w:r>
          </w:p>
        </w:tc>
        <w:tc>
          <w:tcPr>
            <w:tcW w:w="1585" w:type="pct"/>
            <w:tcBorders>
              <w:top w:val="single" w:color="auto" w:sz="4" w:space="0"/>
              <w:left w:val="single" w:color="auto" w:sz="4" w:space="0"/>
              <w:bottom w:val="single" w:color="auto" w:sz="4" w:space="0"/>
              <w:right w:val="single" w:color="auto" w:sz="4" w:space="0"/>
            </w:tcBorders>
            <w:noWrap w:val="0"/>
            <w:vAlign w:val="center"/>
          </w:tcPr>
          <w:p w14:paraId="7BF57BB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实际完成率=（实际完成/预期完成）×100%。</w:t>
            </w:r>
            <w:r>
              <w:rPr>
                <w:rFonts w:hint="eastAsia" w:ascii="宋体" w:hAnsi="宋体" w:eastAsia="宋体" w:cs="宋体"/>
                <w:i w:val="0"/>
                <w:iCs w:val="0"/>
                <w:color w:val="000000"/>
                <w:kern w:val="0"/>
                <w:sz w:val="21"/>
                <w:szCs w:val="21"/>
                <w:highlight w:val="none"/>
                <w:u w:val="none"/>
                <w:lang w:val="en-US" w:eastAsia="zh-CN"/>
              </w:rPr>
              <w:br w:type="textWrapping"/>
            </w:r>
            <w:r>
              <w:rPr>
                <w:rFonts w:hint="eastAsia" w:ascii="宋体" w:hAnsi="宋体" w:eastAsia="宋体" w:cs="宋体"/>
                <w:i w:val="0"/>
                <w:iCs w:val="0"/>
                <w:color w:val="000000"/>
                <w:kern w:val="0"/>
                <w:sz w:val="21"/>
                <w:szCs w:val="21"/>
                <w:highlight w:val="none"/>
                <w:u w:val="none"/>
                <w:lang w:val="en-US" w:eastAsia="zh-CN"/>
              </w:rPr>
              <w:t>①实际完成率≥100%，且偏离程度＜20%，得满分；</w:t>
            </w:r>
            <w:r>
              <w:rPr>
                <w:rFonts w:hint="eastAsia" w:ascii="宋体" w:hAnsi="宋体" w:eastAsia="宋体" w:cs="宋体"/>
                <w:i w:val="0"/>
                <w:iCs w:val="0"/>
                <w:color w:val="000000"/>
                <w:kern w:val="0"/>
                <w:sz w:val="21"/>
                <w:szCs w:val="21"/>
                <w:highlight w:val="none"/>
                <w:u w:val="none"/>
                <w:lang w:val="en-US" w:eastAsia="zh-CN"/>
              </w:rPr>
              <w:br w:type="textWrapping"/>
            </w:r>
            <w:r>
              <w:rPr>
                <w:rFonts w:hint="eastAsia" w:ascii="宋体" w:hAnsi="宋体" w:eastAsia="宋体" w:cs="宋体"/>
                <w:i w:val="0"/>
                <w:iCs w:val="0"/>
                <w:color w:val="000000"/>
                <w:kern w:val="0"/>
                <w:sz w:val="21"/>
                <w:szCs w:val="21"/>
                <w:highlight w:val="none"/>
                <w:u w:val="none"/>
                <w:lang w:val="en-US" w:eastAsia="zh-CN"/>
              </w:rPr>
              <w:t>②实际完成率≥100%，偏离程度≥20%，得0分；</w:t>
            </w:r>
            <w:r>
              <w:rPr>
                <w:rFonts w:hint="eastAsia" w:ascii="宋体" w:hAnsi="宋体" w:eastAsia="宋体" w:cs="宋体"/>
                <w:i w:val="0"/>
                <w:iCs w:val="0"/>
                <w:color w:val="000000"/>
                <w:kern w:val="0"/>
                <w:sz w:val="21"/>
                <w:szCs w:val="21"/>
                <w:highlight w:val="none"/>
                <w:u w:val="none"/>
                <w:lang w:val="en-US" w:eastAsia="zh-CN"/>
              </w:rPr>
              <w:br w:type="textWrapping"/>
            </w:r>
            <w:r>
              <w:rPr>
                <w:rFonts w:hint="eastAsia" w:ascii="宋体" w:hAnsi="宋体" w:eastAsia="宋体" w:cs="宋体"/>
                <w:i w:val="0"/>
                <w:iCs w:val="0"/>
                <w:color w:val="000000"/>
                <w:kern w:val="0"/>
                <w:sz w:val="21"/>
                <w:szCs w:val="21"/>
                <w:highlight w:val="none"/>
                <w:u w:val="none"/>
                <w:lang w:val="en-US" w:eastAsia="zh-CN"/>
              </w:rPr>
              <w:t>③实际完成率×100%＜100%，得分=实际完成率×指标分值。</w:t>
            </w:r>
          </w:p>
        </w:tc>
        <w:tc>
          <w:tcPr>
            <w:tcW w:w="394" w:type="pct"/>
            <w:tcBorders>
              <w:top w:val="single" w:color="auto" w:sz="4" w:space="0"/>
              <w:left w:val="single" w:color="auto" w:sz="4" w:space="0"/>
              <w:bottom w:val="single" w:color="auto" w:sz="4" w:space="0"/>
              <w:right w:val="single" w:color="auto" w:sz="4" w:space="0"/>
            </w:tcBorders>
            <w:noWrap w:val="0"/>
            <w:vAlign w:val="center"/>
          </w:tcPr>
          <w:p w14:paraId="6C7C2CA8">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‘=3个</w:t>
            </w:r>
          </w:p>
        </w:tc>
        <w:tc>
          <w:tcPr>
            <w:tcW w:w="252" w:type="pct"/>
            <w:tcBorders>
              <w:top w:val="single" w:color="auto" w:sz="4" w:space="0"/>
              <w:left w:val="single" w:color="auto" w:sz="4" w:space="0"/>
              <w:bottom w:val="single" w:color="auto" w:sz="4" w:space="0"/>
              <w:right w:val="single" w:color="auto" w:sz="4" w:space="0"/>
            </w:tcBorders>
            <w:noWrap w:val="0"/>
            <w:vAlign w:val="center"/>
          </w:tcPr>
          <w:p w14:paraId="018009BF">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10</w:t>
            </w:r>
          </w:p>
        </w:tc>
      </w:tr>
      <w:tr w14:paraId="464241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8" w:hRule="atLeast"/>
        </w:trPr>
        <w:tc>
          <w:tcPr>
            <w:tcW w:w="375" w:type="pct"/>
            <w:vMerge w:val="continue"/>
            <w:tcBorders>
              <w:left w:val="single" w:color="auto" w:sz="4" w:space="0"/>
              <w:right w:val="single" w:color="auto" w:sz="4" w:space="0"/>
            </w:tcBorders>
            <w:noWrap w:val="0"/>
            <w:vAlign w:val="center"/>
          </w:tcPr>
          <w:p w14:paraId="553A81D1">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232" w:type="pct"/>
            <w:vMerge w:val="continue"/>
            <w:tcBorders>
              <w:left w:val="single" w:color="auto" w:sz="4" w:space="0"/>
              <w:right w:val="single" w:color="auto" w:sz="4" w:space="0"/>
            </w:tcBorders>
            <w:noWrap w:val="0"/>
            <w:vAlign w:val="center"/>
          </w:tcPr>
          <w:p w14:paraId="73AA2562">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196" w:type="pct"/>
            <w:vMerge w:val="restart"/>
            <w:tcBorders>
              <w:top w:val="single" w:color="auto" w:sz="4" w:space="0"/>
              <w:left w:val="single" w:color="auto" w:sz="4" w:space="0"/>
              <w:right w:val="single" w:color="auto" w:sz="4" w:space="0"/>
            </w:tcBorders>
            <w:noWrap w:val="0"/>
            <w:vAlign w:val="center"/>
          </w:tcPr>
          <w:p w14:paraId="734DF59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strike w:val="0"/>
                <w:dstrike w:val="0"/>
                <w:color w:val="000000"/>
                <w:kern w:val="0"/>
                <w:sz w:val="21"/>
                <w:szCs w:val="21"/>
                <w:highlight w:val="none"/>
                <w:u w:val="none"/>
                <w:lang w:val="en-US" w:eastAsia="zh-CN"/>
              </w:rPr>
            </w:pPr>
            <w:r>
              <w:rPr>
                <w:rFonts w:hint="eastAsia" w:ascii="宋体" w:hAnsi="宋体" w:eastAsia="宋体" w:cs="宋体"/>
                <w:i w:val="0"/>
                <w:iCs w:val="0"/>
                <w:strike w:val="0"/>
                <w:dstrike w:val="0"/>
                <w:color w:val="000000"/>
                <w:kern w:val="0"/>
                <w:sz w:val="21"/>
                <w:szCs w:val="21"/>
                <w:highlight w:val="none"/>
                <w:u w:val="none"/>
                <w:lang w:val="en-US" w:eastAsia="zh-CN"/>
              </w:rPr>
              <w:t>产出质量</w:t>
            </w:r>
          </w:p>
          <w:p w14:paraId="17CE3F4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strike w:val="0"/>
                <w:dstrike w:val="0"/>
                <w:color w:val="000000"/>
                <w:sz w:val="21"/>
                <w:szCs w:val="21"/>
                <w:highlight w:val="none"/>
                <w:u w:val="none"/>
              </w:rPr>
            </w:pPr>
          </w:p>
        </w:tc>
        <w:tc>
          <w:tcPr>
            <w:tcW w:w="217" w:type="pct"/>
            <w:vMerge w:val="restart"/>
            <w:tcBorders>
              <w:top w:val="single" w:color="auto" w:sz="4" w:space="0"/>
              <w:left w:val="single" w:color="auto" w:sz="4" w:space="0"/>
              <w:right w:val="single" w:color="auto" w:sz="4" w:space="0"/>
            </w:tcBorders>
            <w:noWrap w:val="0"/>
            <w:vAlign w:val="center"/>
          </w:tcPr>
          <w:p w14:paraId="03C79CA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rPr>
              <w:t>10</w:t>
            </w:r>
          </w:p>
        </w:tc>
        <w:tc>
          <w:tcPr>
            <w:tcW w:w="259" w:type="pct"/>
            <w:vMerge w:val="restart"/>
            <w:tcBorders>
              <w:top w:val="single" w:color="auto" w:sz="4" w:space="0"/>
              <w:left w:val="single" w:color="auto" w:sz="4" w:space="0"/>
              <w:right w:val="single" w:color="auto" w:sz="4" w:space="0"/>
            </w:tcBorders>
            <w:noWrap w:val="0"/>
            <w:vAlign w:val="center"/>
          </w:tcPr>
          <w:p w14:paraId="230617F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质量达标率</w:t>
            </w:r>
          </w:p>
          <w:p w14:paraId="7769C9E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both"/>
              <w:textAlignment w:val="center"/>
              <w:rPr>
                <w:rFonts w:hint="eastAsia" w:ascii="宋体" w:hAnsi="宋体" w:eastAsia="宋体" w:cs="宋体"/>
                <w:i w:val="0"/>
                <w:iCs w:val="0"/>
                <w:color w:val="000000"/>
                <w:sz w:val="21"/>
                <w:szCs w:val="21"/>
                <w:highlight w:val="none"/>
                <w:u w:val="none"/>
              </w:rPr>
            </w:pPr>
          </w:p>
        </w:tc>
        <w:tc>
          <w:tcPr>
            <w:tcW w:w="210" w:type="pct"/>
            <w:tcBorders>
              <w:top w:val="single" w:color="auto" w:sz="4" w:space="0"/>
              <w:left w:val="single" w:color="auto" w:sz="4" w:space="0"/>
              <w:bottom w:val="single" w:color="auto" w:sz="4" w:space="0"/>
              <w:right w:val="single" w:color="auto" w:sz="4" w:space="0"/>
            </w:tcBorders>
            <w:noWrap w:val="0"/>
            <w:vAlign w:val="center"/>
          </w:tcPr>
          <w:p w14:paraId="4641A7BC">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5</w:t>
            </w:r>
          </w:p>
        </w:tc>
        <w:tc>
          <w:tcPr>
            <w:tcW w:w="870" w:type="pct"/>
            <w:tcBorders>
              <w:top w:val="single" w:color="auto" w:sz="4" w:space="0"/>
              <w:left w:val="single" w:color="auto" w:sz="4" w:space="0"/>
              <w:bottom w:val="single" w:color="auto" w:sz="4" w:space="0"/>
              <w:right w:val="single" w:color="auto" w:sz="4" w:space="0"/>
            </w:tcBorders>
            <w:noWrap w:val="0"/>
            <w:vAlign w:val="center"/>
          </w:tcPr>
          <w:p w14:paraId="299B18E6">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sz w:val="21"/>
                <w:szCs w:val="21"/>
                <w:highlight w:val="none"/>
                <w:u w:val="none"/>
                <w:shd w:val="clear" w:color="auto" w:fill="auto"/>
              </w:rPr>
              <w:t>资金使用覆盖率</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1866917B">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sz w:val="21"/>
                <w:szCs w:val="21"/>
                <w:highlight w:val="none"/>
                <w:u w:val="none"/>
                <w:shd w:val="clear" w:color="auto" w:fill="auto"/>
                <w:lang w:eastAsia="zh-CN"/>
              </w:rPr>
              <w:t>=</w:t>
            </w:r>
            <w:r>
              <w:rPr>
                <w:rFonts w:hint="eastAsia" w:ascii="宋体" w:hAnsi="宋体" w:eastAsia="宋体" w:cs="宋体"/>
                <w:i w:val="0"/>
                <w:iCs w:val="0"/>
                <w:color w:val="000000"/>
                <w:sz w:val="21"/>
                <w:szCs w:val="21"/>
                <w:highlight w:val="none"/>
                <w:u w:val="none"/>
                <w:shd w:val="clear" w:color="auto" w:fill="auto"/>
              </w:rPr>
              <w:t>100%</w:t>
            </w:r>
          </w:p>
        </w:tc>
        <w:tc>
          <w:tcPr>
            <w:tcW w:w="1585" w:type="pct"/>
            <w:vMerge w:val="restart"/>
            <w:tcBorders>
              <w:top w:val="single" w:color="auto" w:sz="4" w:space="0"/>
              <w:left w:val="single" w:color="auto" w:sz="4" w:space="0"/>
              <w:right w:val="single" w:color="auto" w:sz="4" w:space="0"/>
            </w:tcBorders>
            <w:noWrap w:val="0"/>
            <w:vAlign w:val="center"/>
          </w:tcPr>
          <w:p w14:paraId="4F7187C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若指标达到标杆值，则得100%权重分；否则，得分=（实际完成/预期完成）×100%×指标分值。</w:t>
            </w:r>
          </w:p>
          <w:p w14:paraId="49A9409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若指标完成值达到标杆值，则得100%权重分；否则，不得分。</w:t>
            </w:r>
          </w:p>
        </w:tc>
        <w:tc>
          <w:tcPr>
            <w:tcW w:w="394" w:type="pct"/>
            <w:tcBorders>
              <w:top w:val="single" w:color="auto" w:sz="4" w:space="0"/>
              <w:left w:val="single" w:color="auto" w:sz="4" w:space="0"/>
              <w:bottom w:val="single" w:color="auto" w:sz="4" w:space="0"/>
              <w:right w:val="single" w:color="auto" w:sz="4" w:space="0"/>
            </w:tcBorders>
            <w:noWrap w:val="0"/>
            <w:vAlign w:val="center"/>
          </w:tcPr>
          <w:p w14:paraId="3F8E937D">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FF0000"/>
                <w:sz w:val="21"/>
                <w:szCs w:val="21"/>
                <w:highlight w:val="none"/>
                <w:u w:val="none"/>
              </w:rPr>
            </w:pPr>
            <w:r>
              <w:rPr>
                <w:rFonts w:hint="eastAsia" w:ascii="宋体" w:hAnsi="宋体" w:eastAsia="宋体" w:cs="宋体"/>
                <w:i w:val="0"/>
                <w:iCs w:val="0"/>
                <w:color w:val="000000"/>
                <w:sz w:val="21"/>
                <w:szCs w:val="21"/>
                <w:highlight w:val="none"/>
                <w:u w:val="none"/>
                <w:lang w:eastAsia="zh-CN"/>
              </w:rPr>
              <w:t>=</w:t>
            </w:r>
            <w:r>
              <w:rPr>
                <w:rFonts w:hint="eastAsia" w:ascii="宋体" w:hAnsi="宋体" w:eastAsia="宋体" w:cs="宋体"/>
                <w:i w:val="0"/>
                <w:iCs w:val="0"/>
                <w:color w:val="000000"/>
                <w:sz w:val="21"/>
                <w:szCs w:val="21"/>
                <w:highlight w:val="none"/>
                <w:u w:val="none"/>
              </w:rPr>
              <w:t>100%</w:t>
            </w:r>
          </w:p>
        </w:tc>
        <w:tc>
          <w:tcPr>
            <w:tcW w:w="252" w:type="pct"/>
            <w:tcBorders>
              <w:top w:val="single" w:color="auto" w:sz="4" w:space="0"/>
              <w:left w:val="single" w:color="auto" w:sz="4" w:space="0"/>
              <w:bottom w:val="single" w:color="auto" w:sz="4" w:space="0"/>
              <w:right w:val="single" w:color="auto" w:sz="4" w:space="0"/>
            </w:tcBorders>
            <w:noWrap w:val="0"/>
            <w:vAlign w:val="center"/>
          </w:tcPr>
          <w:p w14:paraId="1ECF49DC">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5</w:t>
            </w:r>
          </w:p>
        </w:tc>
      </w:tr>
      <w:tr w14:paraId="7287F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375" w:type="pct"/>
            <w:vMerge w:val="continue"/>
            <w:tcBorders>
              <w:left w:val="single" w:color="auto" w:sz="4" w:space="0"/>
              <w:right w:val="single" w:color="auto" w:sz="4" w:space="0"/>
            </w:tcBorders>
            <w:noWrap w:val="0"/>
            <w:vAlign w:val="center"/>
          </w:tcPr>
          <w:p w14:paraId="207695BE">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232" w:type="pct"/>
            <w:vMerge w:val="continue"/>
            <w:tcBorders>
              <w:left w:val="single" w:color="auto" w:sz="4" w:space="0"/>
              <w:right w:val="single" w:color="auto" w:sz="4" w:space="0"/>
            </w:tcBorders>
            <w:noWrap w:val="0"/>
            <w:vAlign w:val="center"/>
          </w:tcPr>
          <w:p w14:paraId="5CB52D34">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196" w:type="pct"/>
            <w:vMerge w:val="continue"/>
            <w:tcBorders>
              <w:left w:val="single" w:color="auto" w:sz="4" w:space="0"/>
              <w:bottom w:val="single" w:color="auto" w:sz="4" w:space="0"/>
              <w:right w:val="single" w:color="auto" w:sz="4" w:space="0"/>
            </w:tcBorders>
            <w:noWrap w:val="0"/>
            <w:vAlign w:val="center"/>
          </w:tcPr>
          <w:p w14:paraId="3B0799BA">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strike w:val="0"/>
                <w:dstrike w:val="0"/>
                <w:color w:val="000000"/>
                <w:sz w:val="21"/>
                <w:szCs w:val="21"/>
                <w:highlight w:val="none"/>
                <w:u w:val="none"/>
              </w:rPr>
            </w:pPr>
          </w:p>
        </w:tc>
        <w:tc>
          <w:tcPr>
            <w:tcW w:w="217" w:type="pct"/>
            <w:vMerge w:val="continue"/>
            <w:tcBorders>
              <w:left w:val="single" w:color="auto" w:sz="4" w:space="0"/>
              <w:bottom w:val="single" w:color="auto" w:sz="4" w:space="0"/>
              <w:right w:val="single" w:color="auto" w:sz="4" w:space="0"/>
            </w:tcBorders>
            <w:noWrap w:val="0"/>
            <w:vAlign w:val="center"/>
          </w:tcPr>
          <w:p w14:paraId="081B44B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p>
        </w:tc>
        <w:tc>
          <w:tcPr>
            <w:tcW w:w="259" w:type="pct"/>
            <w:vMerge w:val="continue"/>
            <w:tcBorders>
              <w:left w:val="single" w:color="auto" w:sz="4" w:space="0"/>
              <w:bottom w:val="single" w:color="auto" w:sz="4" w:space="0"/>
              <w:right w:val="single" w:color="auto" w:sz="4" w:space="0"/>
            </w:tcBorders>
            <w:noWrap w:val="0"/>
            <w:vAlign w:val="center"/>
          </w:tcPr>
          <w:p w14:paraId="2ED5DF1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p>
        </w:tc>
        <w:tc>
          <w:tcPr>
            <w:tcW w:w="210" w:type="pct"/>
            <w:tcBorders>
              <w:top w:val="single" w:color="auto" w:sz="4" w:space="0"/>
              <w:left w:val="single" w:color="auto" w:sz="4" w:space="0"/>
              <w:bottom w:val="single" w:color="auto" w:sz="4" w:space="0"/>
              <w:right w:val="single" w:color="auto" w:sz="4" w:space="0"/>
            </w:tcBorders>
            <w:noWrap w:val="0"/>
            <w:vAlign w:val="center"/>
          </w:tcPr>
          <w:p w14:paraId="0421B001">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5</w:t>
            </w:r>
          </w:p>
        </w:tc>
        <w:tc>
          <w:tcPr>
            <w:tcW w:w="870" w:type="pct"/>
            <w:tcBorders>
              <w:top w:val="single" w:color="auto" w:sz="4" w:space="0"/>
              <w:left w:val="single" w:color="auto" w:sz="4" w:space="0"/>
              <w:bottom w:val="single" w:color="auto" w:sz="4" w:space="0"/>
              <w:right w:val="single" w:color="auto" w:sz="4" w:space="0"/>
            </w:tcBorders>
            <w:noWrap w:val="0"/>
            <w:vAlign w:val="center"/>
          </w:tcPr>
          <w:p w14:paraId="365B27EF">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sz w:val="21"/>
                <w:szCs w:val="21"/>
                <w:highlight w:val="none"/>
                <w:u w:val="none"/>
                <w:shd w:val="clear" w:color="auto" w:fill="auto"/>
              </w:rPr>
              <w:t>资金使用合规率</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794F40AA">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sz w:val="21"/>
                <w:szCs w:val="21"/>
                <w:highlight w:val="none"/>
                <w:u w:val="none"/>
                <w:shd w:val="clear" w:color="auto" w:fill="auto"/>
                <w:lang w:eastAsia="zh-CN"/>
              </w:rPr>
              <w:t>=</w:t>
            </w:r>
            <w:r>
              <w:rPr>
                <w:rFonts w:hint="eastAsia" w:ascii="宋体" w:hAnsi="宋体" w:eastAsia="宋体" w:cs="宋体"/>
                <w:i w:val="0"/>
                <w:iCs w:val="0"/>
                <w:color w:val="000000"/>
                <w:sz w:val="21"/>
                <w:szCs w:val="21"/>
                <w:highlight w:val="none"/>
                <w:u w:val="none"/>
                <w:shd w:val="clear" w:color="auto" w:fill="auto"/>
              </w:rPr>
              <w:t>100%</w:t>
            </w:r>
          </w:p>
        </w:tc>
        <w:tc>
          <w:tcPr>
            <w:tcW w:w="1585" w:type="pct"/>
            <w:vMerge w:val="continue"/>
            <w:tcBorders>
              <w:left w:val="single" w:color="auto" w:sz="4" w:space="0"/>
              <w:right w:val="single" w:color="auto" w:sz="4" w:space="0"/>
            </w:tcBorders>
            <w:noWrap w:val="0"/>
            <w:vAlign w:val="center"/>
          </w:tcPr>
          <w:p w14:paraId="469F3B8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highlight w:val="none"/>
                <w:u w:val="none"/>
              </w:rPr>
            </w:pPr>
          </w:p>
        </w:tc>
        <w:tc>
          <w:tcPr>
            <w:tcW w:w="394" w:type="pct"/>
            <w:tcBorders>
              <w:top w:val="single" w:color="auto" w:sz="4" w:space="0"/>
              <w:left w:val="single" w:color="auto" w:sz="4" w:space="0"/>
              <w:bottom w:val="single" w:color="auto" w:sz="4" w:space="0"/>
              <w:right w:val="single" w:color="auto" w:sz="4" w:space="0"/>
            </w:tcBorders>
            <w:noWrap w:val="0"/>
            <w:vAlign w:val="center"/>
          </w:tcPr>
          <w:p w14:paraId="6D0BD036">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FF0000"/>
                <w:sz w:val="21"/>
                <w:szCs w:val="21"/>
                <w:highlight w:val="none"/>
                <w:u w:val="none"/>
              </w:rPr>
            </w:pPr>
            <w:r>
              <w:rPr>
                <w:rFonts w:hint="eastAsia" w:ascii="宋体" w:hAnsi="宋体" w:eastAsia="宋体" w:cs="宋体"/>
                <w:i w:val="0"/>
                <w:iCs w:val="0"/>
                <w:color w:val="000000"/>
                <w:sz w:val="21"/>
                <w:szCs w:val="21"/>
                <w:highlight w:val="none"/>
                <w:u w:val="none"/>
                <w:lang w:eastAsia="zh-CN"/>
              </w:rPr>
              <w:t>=</w:t>
            </w:r>
            <w:r>
              <w:rPr>
                <w:rFonts w:hint="eastAsia" w:ascii="宋体" w:hAnsi="宋体" w:eastAsia="宋体" w:cs="宋体"/>
                <w:i w:val="0"/>
                <w:iCs w:val="0"/>
                <w:color w:val="000000"/>
                <w:sz w:val="21"/>
                <w:szCs w:val="21"/>
                <w:highlight w:val="none"/>
                <w:u w:val="none"/>
              </w:rPr>
              <w:t>100%</w:t>
            </w:r>
          </w:p>
        </w:tc>
        <w:tc>
          <w:tcPr>
            <w:tcW w:w="252" w:type="pct"/>
            <w:tcBorders>
              <w:top w:val="single" w:color="auto" w:sz="4" w:space="0"/>
              <w:left w:val="single" w:color="auto" w:sz="4" w:space="0"/>
              <w:bottom w:val="single" w:color="auto" w:sz="4" w:space="0"/>
              <w:right w:val="single" w:color="auto" w:sz="4" w:space="0"/>
            </w:tcBorders>
            <w:noWrap w:val="0"/>
            <w:vAlign w:val="center"/>
          </w:tcPr>
          <w:p w14:paraId="452A5B51">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5</w:t>
            </w:r>
          </w:p>
        </w:tc>
      </w:tr>
      <w:tr w14:paraId="7E85A2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8" w:hRule="atLeast"/>
        </w:trPr>
        <w:tc>
          <w:tcPr>
            <w:tcW w:w="375" w:type="pct"/>
            <w:vMerge w:val="continue"/>
            <w:tcBorders>
              <w:left w:val="single" w:color="auto" w:sz="4" w:space="0"/>
              <w:right w:val="single" w:color="auto" w:sz="4" w:space="0"/>
            </w:tcBorders>
            <w:noWrap w:val="0"/>
            <w:vAlign w:val="center"/>
          </w:tcPr>
          <w:p w14:paraId="4FD4E8C3">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232" w:type="pct"/>
            <w:vMerge w:val="continue"/>
            <w:tcBorders>
              <w:left w:val="single" w:color="auto" w:sz="4" w:space="0"/>
              <w:right w:val="single" w:color="auto" w:sz="4" w:space="0"/>
            </w:tcBorders>
            <w:noWrap w:val="0"/>
            <w:vAlign w:val="center"/>
          </w:tcPr>
          <w:p w14:paraId="06ACA14A">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196" w:type="pct"/>
            <w:vMerge w:val="restart"/>
            <w:tcBorders>
              <w:top w:val="single" w:color="auto" w:sz="4" w:space="0"/>
              <w:left w:val="single" w:color="auto" w:sz="4" w:space="0"/>
              <w:right w:val="single" w:color="auto" w:sz="4" w:space="0"/>
            </w:tcBorders>
            <w:noWrap w:val="0"/>
            <w:vAlign w:val="center"/>
          </w:tcPr>
          <w:p w14:paraId="7BFCF33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产出时效</w:t>
            </w:r>
          </w:p>
        </w:tc>
        <w:tc>
          <w:tcPr>
            <w:tcW w:w="217" w:type="pct"/>
            <w:vMerge w:val="restart"/>
            <w:tcBorders>
              <w:top w:val="single" w:color="auto" w:sz="4" w:space="0"/>
              <w:left w:val="single" w:color="auto" w:sz="4" w:space="0"/>
              <w:right w:val="single" w:color="auto" w:sz="4" w:space="0"/>
            </w:tcBorders>
            <w:noWrap w:val="0"/>
            <w:vAlign w:val="center"/>
          </w:tcPr>
          <w:p w14:paraId="3D4F44A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w:t>
            </w:r>
          </w:p>
        </w:tc>
        <w:tc>
          <w:tcPr>
            <w:tcW w:w="259" w:type="pct"/>
            <w:vMerge w:val="restart"/>
            <w:tcBorders>
              <w:top w:val="single" w:color="auto" w:sz="4" w:space="0"/>
              <w:left w:val="single" w:color="auto" w:sz="4" w:space="0"/>
              <w:right w:val="single" w:color="auto" w:sz="4" w:space="0"/>
            </w:tcBorders>
            <w:noWrap w:val="0"/>
            <w:vAlign w:val="center"/>
          </w:tcPr>
          <w:p w14:paraId="53EBB4C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完成及时率</w:t>
            </w:r>
          </w:p>
        </w:tc>
        <w:tc>
          <w:tcPr>
            <w:tcW w:w="210" w:type="pct"/>
            <w:tcBorders>
              <w:top w:val="single" w:color="auto" w:sz="4" w:space="0"/>
              <w:left w:val="single" w:color="auto" w:sz="4" w:space="0"/>
              <w:bottom w:val="single" w:color="auto" w:sz="4" w:space="0"/>
              <w:right w:val="single" w:color="auto" w:sz="4" w:space="0"/>
            </w:tcBorders>
            <w:noWrap w:val="0"/>
            <w:vAlign w:val="center"/>
          </w:tcPr>
          <w:p w14:paraId="59BF783D">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5</w:t>
            </w:r>
          </w:p>
        </w:tc>
        <w:tc>
          <w:tcPr>
            <w:tcW w:w="870" w:type="pct"/>
            <w:tcBorders>
              <w:top w:val="single" w:color="auto" w:sz="4" w:space="0"/>
              <w:left w:val="single" w:color="auto" w:sz="4" w:space="0"/>
              <w:bottom w:val="single" w:color="auto" w:sz="4" w:space="0"/>
              <w:right w:val="single" w:color="auto" w:sz="4" w:space="0"/>
            </w:tcBorders>
            <w:noWrap w:val="0"/>
            <w:vAlign w:val="center"/>
          </w:tcPr>
          <w:p w14:paraId="69C409B3">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sz w:val="21"/>
                <w:szCs w:val="21"/>
                <w:highlight w:val="none"/>
                <w:u w:val="none"/>
                <w:shd w:val="clear" w:color="auto" w:fill="auto"/>
              </w:rPr>
              <w:t>项目完成时间</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0C3343BD">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shd w:val="clear" w:color="auto" w:fill="auto"/>
                <w:lang w:val="en-US" w:eastAsia="zh-CN"/>
              </w:rPr>
            </w:pPr>
            <w:r>
              <w:rPr>
                <w:rFonts w:hint="eastAsia" w:ascii="宋体" w:hAnsi="宋体" w:eastAsia="宋体" w:cs="宋体"/>
                <w:i w:val="0"/>
                <w:iCs w:val="0"/>
                <w:color w:val="000000"/>
                <w:sz w:val="21"/>
                <w:szCs w:val="21"/>
                <w:highlight w:val="none"/>
                <w:u w:val="none"/>
                <w:shd w:val="clear" w:color="auto" w:fill="auto"/>
                <w:lang w:val="en-US" w:eastAsia="zh-CN"/>
              </w:rPr>
              <w:t>2024年12月</w:t>
            </w:r>
          </w:p>
        </w:tc>
        <w:tc>
          <w:tcPr>
            <w:tcW w:w="1585" w:type="pct"/>
            <w:vMerge w:val="restart"/>
            <w:tcBorders>
              <w:top w:val="single" w:color="auto" w:sz="4" w:space="0"/>
              <w:left w:val="single" w:color="auto" w:sz="4" w:space="0"/>
              <w:right w:val="single" w:color="auto" w:sz="4" w:space="0"/>
            </w:tcBorders>
            <w:noWrap w:val="0"/>
            <w:vAlign w:val="center"/>
          </w:tcPr>
          <w:p w14:paraId="011BD29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若指标完成值达到标杆值，则得100%权重分；否则，得分=（实际完成/预期完成）×100%×指标分值。</w:t>
            </w:r>
          </w:p>
          <w:p w14:paraId="2AC53A5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若在规定时间内完成，得100%权重分；若未在规定的时间内完成，得分=（1-未在规定时间内完成工作数/实际完成工作总数）×分值。</w:t>
            </w:r>
          </w:p>
        </w:tc>
        <w:tc>
          <w:tcPr>
            <w:tcW w:w="394" w:type="pct"/>
            <w:tcBorders>
              <w:top w:val="single" w:color="auto" w:sz="4" w:space="0"/>
              <w:left w:val="single" w:color="auto" w:sz="4" w:space="0"/>
              <w:bottom w:val="single" w:color="auto" w:sz="4" w:space="0"/>
              <w:right w:val="single" w:color="auto" w:sz="4" w:space="0"/>
            </w:tcBorders>
            <w:noWrap w:val="0"/>
            <w:vAlign w:val="center"/>
          </w:tcPr>
          <w:p w14:paraId="1484D4FF">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FF0000"/>
                <w:sz w:val="21"/>
                <w:szCs w:val="21"/>
                <w:highlight w:val="none"/>
                <w:u w:val="none"/>
              </w:rPr>
            </w:pPr>
            <w:r>
              <w:rPr>
                <w:rFonts w:hint="eastAsia" w:ascii="宋体" w:hAnsi="宋体" w:eastAsia="宋体" w:cs="宋体"/>
                <w:i w:val="0"/>
                <w:iCs w:val="0"/>
                <w:color w:val="000000"/>
                <w:sz w:val="21"/>
                <w:szCs w:val="21"/>
                <w:highlight w:val="none"/>
                <w:u w:val="none"/>
                <w:lang w:val="en-US" w:eastAsia="zh-CN"/>
              </w:rPr>
              <w:t>2024年12月</w:t>
            </w:r>
          </w:p>
        </w:tc>
        <w:tc>
          <w:tcPr>
            <w:tcW w:w="252" w:type="pct"/>
            <w:tcBorders>
              <w:top w:val="single" w:color="auto" w:sz="4" w:space="0"/>
              <w:left w:val="single" w:color="auto" w:sz="4" w:space="0"/>
              <w:bottom w:val="single" w:color="auto" w:sz="4" w:space="0"/>
              <w:right w:val="single" w:color="auto" w:sz="4" w:space="0"/>
            </w:tcBorders>
            <w:noWrap w:val="0"/>
            <w:vAlign w:val="center"/>
          </w:tcPr>
          <w:p w14:paraId="3985053B">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5</w:t>
            </w:r>
          </w:p>
        </w:tc>
      </w:tr>
      <w:tr w14:paraId="2006A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7" w:hRule="atLeast"/>
        </w:trPr>
        <w:tc>
          <w:tcPr>
            <w:tcW w:w="375" w:type="pct"/>
            <w:vMerge w:val="continue"/>
            <w:tcBorders>
              <w:left w:val="single" w:color="auto" w:sz="4" w:space="0"/>
              <w:right w:val="single" w:color="auto" w:sz="4" w:space="0"/>
            </w:tcBorders>
            <w:noWrap w:val="0"/>
            <w:vAlign w:val="center"/>
          </w:tcPr>
          <w:p w14:paraId="528D8E07">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232" w:type="pct"/>
            <w:vMerge w:val="continue"/>
            <w:tcBorders>
              <w:left w:val="single" w:color="auto" w:sz="4" w:space="0"/>
              <w:right w:val="single" w:color="auto" w:sz="4" w:space="0"/>
            </w:tcBorders>
            <w:noWrap w:val="0"/>
            <w:vAlign w:val="center"/>
          </w:tcPr>
          <w:p w14:paraId="54C5F3E4">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196" w:type="pct"/>
            <w:vMerge w:val="continue"/>
            <w:tcBorders>
              <w:left w:val="single" w:color="auto" w:sz="4" w:space="0"/>
              <w:bottom w:val="single" w:color="auto" w:sz="4" w:space="0"/>
              <w:right w:val="single" w:color="auto" w:sz="4" w:space="0"/>
            </w:tcBorders>
            <w:noWrap w:val="0"/>
            <w:vAlign w:val="center"/>
          </w:tcPr>
          <w:p w14:paraId="25769D4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rPr>
            </w:pPr>
          </w:p>
        </w:tc>
        <w:tc>
          <w:tcPr>
            <w:tcW w:w="217" w:type="pct"/>
            <w:vMerge w:val="continue"/>
            <w:tcBorders>
              <w:left w:val="single" w:color="auto" w:sz="4" w:space="0"/>
              <w:bottom w:val="single" w:color="auto" w:sz="4" w:space="0"/>
              <w:right w:val="single" w:color="auto" w:sz="4" w:space="0"/>
            </w:tcBorders>
            <w:noWrap w:val="0"/>
            <w:vAlign w:val="center"/>
          </w:tcPr>
          <w:p w14:paraId="6D15ADB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rPr>
            </w:pPr>
          </w:p>
        </w:tc>
        <w:tc>
          <w:tcPr>
            <w:tcW w:w="259" w:type="pct"/>
            <w:vMerge w:val="continue"/>
            <w:tcBorders>
              <w:left w:val="single" w:color="auto" w:sz="4" w:space="0"/>
              <w:bottom w:val="single" w:color="auto" w:sz="4" w:space="0"/>
              <w:right w:val="single" w:color="auto" w:sz="4" w:space="0"/>
            </w:tcBorders>
            <w:noWrap w:val="0"/>
            <w:vAlign w:val="center"/>
          </w:tcPr>
          <w:p w14:paraId="4E5EFFD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rPr>
            </w:pPr>
          </w:p>
        </w:tc>
        <w:tc>
          <w:tcPr>
            <w:tcW w:w="210" w:type="pct"/>
            <w:tcBorders>
              <w:top w:val="single" w:color="auto" w:sz="4" w:space="0"/>
              <w:left w:val="single" w:color="auto" w:sz="4" w:space="0"/>
              <w:bottom w:val="single" w:color="auto" w:sz="4" w:space="0"/>
              <w:right w:val="single" w:color="auto" w:sz="4" w:space="0"/>
            </w:tcBorders>
            <w:noWrap w:val="0"/>
            <w:vAlign w:val="center"/>
          </w:tcPr>
          <w:p w14:paraId="1288AAD0">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5</w:t>
            </w:r>
          </w:p>
        </w:tc>
        <w:tc>
          <w:tcPr>
            <w:tcW w:w="870" w:type="pct"/>
            <w:tcBorders>
              <w:top w:val="single" w:color="auto" w:sz="4" w:space="0"/>
              <w:left w:val="single" w:color="auto" w:sz="4" w:space="0"/>
              <w:bottom w:val="single" w:color="auto" w:sz="4" w:space="0"/>
              <w:right w:val="single" w:color="auto" w:sz="4" w:space="0"/>
            </w:tcBorders>
            <w:noWrap w:val="0"/>
            <w:vAlign w:val="center"/>
          </w:tcPr>
          <w:p w14:paraId="012A01DF">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sz w:val="21"/>
                <w:szCs w:val="21"/>
                <w:highlight w:val="none"/>
                <w:u w:val="none"/>
                <w:shd w:val="clear" w:color="auto" w:fill="auto"/>
              </w:rPr>
              <w:t>资金支付及时率</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68F126C3">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sz w:val="21"/>
                <w:szCs w:val="21"/>
                <w:highlight w:val="none"/>
                <w:u w:val="none"/>
                <w:shd w:val="clear" w:color="auto" w:fill="auto"/>
                <w:lang w:eastAsia="zh-CN"/>
              </w:rPr>
              <w:t>=</w:t>
            </w:r>
            <w:r>
              <w:rPr>
                <w:rFonts w:hint="eastAsia" w:ascii="宋体" w:hAnsi="宋体" w:eastAsia="宋体" w:cs="宋体"/>
                <w:i w:val="0"/>
                <w:iCs w:val="0"/>
                <w:color w:val="000000"/>
                <w:sz w:val="21"/>
                <w:szCs w:val="21"/>
                <w:highlight w:val="none"/>
                <w:u w:val="none"/>
                <w:shd w:val="clear" w:color="auto" w:fill="auto"/>
              </w:rPr>
              <w:t>100%</w:t>
            </w:r>
          </w:p>
        </w:tc>
        <w:tc>
          <w:tcPr>
            <w:tcW w:w="1585" w:type="pct"/>
            <w:vMerge w:val="continue"/>
            <w:tcBorders>
              <w:left w:val="single" w:color="auto" w:sz="4" w:space="0"/>
              <w:bottom w:val="single" w:color="auto" w:sz="4" w:space="0"/>
              <w:right w:val="single" w:color="auto" w:sz="4" w:space="0"/>
            </w:tcBorders>
            <w:noWrap w:val="0"/>
            <w:vAlign w:val="center"/>
          </w:tcPr>
          <w:p w14:paraId="453C5B2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p>
        </w:tc>
        <w:tc>
          <w:tcPr>
            <w:tcW w:w="394" w:type="pct"/>
            <w:tcBorders>
              <w:top w:val="single" w:color="auto" w:sz="4" w:space="0"/>
              <w:left w:val="single" w:color="auto" w:sz="4" w:space="0"/>
              <w:bottom w:val="single" w:color="auto" w:sz="4" w:space="0"/>
              <w:right w:val="single" w:color="auto" w:sz="4" w:space="0"/>
            </w:tcBorders>
            <w:noWrap w:val="0"/>
            <w:vAlign w:val="center"/>
          </w:tcPr>
          <w:p w14:paraId="29DFF15D">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auto"/>
                <w:sz w:val="21"/>
                <w:szCs w:val="21"/>
                <w:highlight w:val="none"/>
                <w:u w:val="none"/>
                <w:shd w:val="clear" w:color="FFFFFF" w:fill="D9D9D9"/>
              </w:rPr>
            </w:pPr>
            <w:r>
              <w:rPr>
                <w:rFonts w:hint="eastAsia" w:ascii="宋体" w:hAnsi="宋体" w:eastAsia="宋体" w:cs="宋体"/>
                <w:i w:val="0"/>
                <w:iCs w:val="0"/>
                <w:color w:val="auto"/>
                <w:sz w:val="21"/>
                <w:szCs w:val="21"/>
                <w:highlight w:val="none"/>
                <w:u w:val="none"/>
                <w:shd w:val="clear" w:color="auto" w:fill="auto"/>
              </w:rPr>
              <w:t>‘=20.28万元</w:t>
            </w:r>
          </w:p>
        </w:tc>
        <w:tc>
          <w:tcPr>
            <w:tcW w:w="252" w:type="pct"/>
            <w:tcBorders>
              <w:top w:val="single" w:color="auto" w:sz="4" w:space="0"/>
              <w:left w:val="single" w:color="auto" w:sz="4" w:space="0"/>
              <w:bottom w:val="single" w:color="auto" w:sz="4" w:space="0"/>
              <w:right w:val="single" w:color="auto" w:sz="4" w:space="0"/>
            </w:tcBorders>
            <w:noWrap w:val="0"/>
            <w:vAlign w:val="center"/>
          </w:tcPr>
          <w:p w14:paraId="2709D23C">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shd w:val="clear" w:color="FFFFFF" w:fill="D9D9D9"/>
                <w:lang w:val="en-US" w:eastAsia="zh-CN"/>
              </w:rPr>
            </w:pPr>
            <w:r>
              <w:rPr>
                <w:rFonts w:hint="eastAsia" w:ascii="宋体" w:hAnsi="宋体" w:eastAsia="宋体" w:cs="宋体"/>
                <w:i w:val="0"/>
                <w:iCs w:val="0"/>
                <w:color w:val="000000"/>
                <w:sz w:val="21"/>
                <w:szCs w:val="21"/>
                <w:highlight w:val="none"/>
                <w:u w:val="none"/>
                <w:shd w:val="clear" w:color="FFFFFF" w:fill="D9D9D9"/>
                <w:lang w:val="en-US" w:eastAsia="zh-CN"/>
              </w:rPr>
              <w:t>5</w:t>
            </w:r>
          </w:p>
        </w:tc>
      </w:tr>
      <w:tr w14:paraId="1D80B9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5" w:hRule="atLeast"/>
        </w:trPr>
        <w:tc>
          <w:tcPr>
            <w:tcW w:w="375" w:type="pct"/>
            <w:vMerge w:val="continue"/>
            <w:tcBorders>
              <w:left w:val="single" w:color="auto" w:sz="4" w:space="0"/>
              <w:right w:val="single" w:color="auto" w:sz="4" w:space="0"/>
            </w:tcBorders>
            <w:noWrap w:val="0"/>
            <w:vAlign w:val="center"/>
          </w:tcPr>
          <w:p w14:paraId="410779A4">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232" w:type="pct"/>
            <w:vMerge w:val="continue"/>
            <w:tcBorders>
              <w:left w:val="single" w:color="auto" w:sz="4" w:space="0"/>
              <w:right w:val="single" w:color="auto" w:sz="4" w:space="0"/>
            </w:tcBorders>
            <w:noWrap w:val="0"/>
            <w:vAlign w:val="center"/>
          </w:tcPr>
          <w:p w14:paraId="5B8E33F1">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196" w:type="pct"/>
            <w:vMerge w:val="restart"/>
            <w:tcBorders>
              <w:top w:val="single" w:color="auto" w:sz="4" w:space="0"/>
              <w:left w:val="single" w:color="auto" w:sz="4" w:space="0"/>
              <w:right w:val="single" w:color="auto" w:sz="4" w:space="0"/>
            </w:tcBorders>
            <w:noWrap w:val="0"/>
            <w:vAlign w:val="center"/>
          </w:tcPr>
          <w:p w14:paraId="3508B03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产出成本</w:t>
            </w:r>
          </w:p>
        </w:tc>
        <w:tc>
          <w:tcPr>
            <w:tcW w:w="217" w:type="pct"/>
            <w:vMerge w:val="restart"/>
            <w:tcBorders>
              <w:top w:val="single" w:color="auto" w:sz="4" w:space="0"/>
              <w:left w:val="single" w:color="auto" w:sz="4" w:space="0"/>
              <w:right w:val="single" w:color="auto" w:sz="4" w:space="0"/>
            </w:tcBorders>
            <w:noWrap w:val="0"/>
            <w:vAlign w:val="center"/>
          </w:tcPr>
          <w:p w14:paraId="7887ED5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w:t>
            </w:r>
          </w:p>
        </w:tc>
        <w:tc>
          <w:tcPr>
            <w:tcW w:w="259" w:type="pct"/>
            <w:vMerge w:val="restart"/>
            <w:tcBorders>
              <w:top w:val="single" w:color="auto" w:sz="4" w:space="0"/>
              <w:left w:val="single" w:color="auto" w:sz="4" w:space="0"/>
              <w:right w:val="single" w:color="auto" w:sz="4" w:space="0"/>
            </w:tcBorders>
            <w:noWrap w:val="0"/>
            <w:vAlign w:val="center"/>
          </w:tcPr>
          <w:p w14:paraId="46D7938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成本节约率</w:t>
            </w:r>
          </w:p>
        </w:tc>
        <w:tc>
          <w:tcPr>
            <w:tcW w:w="210" w:type="pct"/>
            <w:tcBorders>
              <w:top w:val="single" w:color="auto" w:sz="4" w:space="0"/>
              <w:left w:val="single" w:color="auto" w:sz="4" w:space="0"/>
              <w:bottom w:val="single" w:color="auto" w:sz="4" w:space="0"/>
              <w:right w:val="single" w:color="auto" w:sz="4" w:space="0"/>
            </w:tcBorders>
            <w:noWrap w:val="0"/>
            <w:vAlign w:val="center"/>
          </w:tcPr>
          <w:p w14:paraId="28502F79">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5</w:t>
            </w:r>
          </w:p>
        </w:tc>
        <w:tc>
          <w:tcPr>
            <w:tcW w:w="870" w:type="pct"/>
            <w:tcBorders>
              <w:top w:val="single" w:color="auto" w:sz="4" w:space="0"/>
              <w:left w:val="single" w:color="auto" w:sz="4" w:space="0"/>
              <w:bottom w:val="single" w:color="auto" w:sz="4" w:space="0"/>
              <w:right w:val="single" w:color="auto" w:sz="4" w:space="0"/>
            </w:tcBorders>
            <w:noWrap w:val="0"/>
            <w:vAlign w:val="center"/>
          </w:tcPr>
          <w:p w14:paraId="2E29BBB3">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sz w:val="21"/>
                <w:szCs w:val="21"/>
                <w:highlight w:val="none"/>
                <w:u w:val="none"/>
                <w:shd w:val="clear" w:color="auto" w:fill="auto"/>
              </w:rPr>
              <w:t>水费</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49F84A72">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sz w:val="21"/>
                <w:szCs w:val="21"/>
                <w:highlight w:val="none"/>
                <w:u w:val="none"/>
                <w:shd w:val="clear" w:color="auto" w:fill="auto"/>
                <w:lang w:eastAsia="zh-CN"/>
              </w:rPr>
              <w:t>≤</w:t>
            </w:r>
            <w:r>
              <w:rPr>
                <w:rFonts w:hint="eastAsia" w:ascii="宋体" w:hAnsi="宋体" w:eastAsia="宋体" w:cs="宋体"/>
                <w:i w:val="0"/>
                <w:iCs w:val="0"/>
                <w:color w:val="000000"/>
                <w:sz w:val="21"/>
                <w:szCs w:val="21"/>
                <w:highlight w:val="none"/>
                <w:u w:val="none"/>
                <w:shd w:val="clear" w:color="auto" w:fill="auto"/>
              </w:rPr>
              <w:t>50万元</w:t>
            </w:r>
          </w:p>
        </w:tc>
        <w:tc>
          <w:tcPr>
            <w:tcW w:w="1585" w:type="pct"/>
            <w:vMerge w:val="restart"/>
            <w:tcBorders>
              <w:top w:val="single" w:color="auto" w:sz="4" w:space="0"/>
              <w:left w:val="single" w:color="auto" w:sz="4" w:space="0"/>
              <w:right w:val="single" w:color="auto" w:sz="4" w:space="0"/>
            </w:tcBorders>
            <w:noWrap w:val="0"/>
            <w:vAlign w:val="center"/>
          </w:tcPr>
          <w:p w14:paraId="2D07392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实际完成率=（实际支付资金数/计划应支付资金数）×100%。</w:t>
            </w:r>
            <w:r>
              <w:rPr>
                <w:rFonts w:hint="eastAsia" w:ascii="宋体" w:hAnsi="宋体" w:eastAsia="宋体" w:cs="宋体"/>
                <w:i w:val="0"/>
                <w:iCs w:val="0"/>
                <w:color w:val="000000"/>
                <w:kern w:val="0"/>
                <w:sz w:val="21"/>
                <w:szCs w:val="21"/>
                <w:highlight w:val="none"/>
                <w:u w:val="none"/>
                <w:lang w:val="en-US" w:eastAsia="zh-CN"/>
              </w:rPr>
              <w:br w:type="textWrapping"/>
            </w:r>
            <w:r>
              <w:rPr>
                <w:rFonts w:hint="eastAsia" w:ascii="宋体" w:hAnsi="宋体" w:eastAsia="宋体" w:cs="宋体"/>
                <w:i w:val="0"/>
                <w:iCs w:val="0"/>
                <w:color w:val="000000"/>
                <w:kern w:val="0"/>
                <w:sz w:val="21"/>
                <w:szCs w:val="21"/>
                <w:highlight w:val="none"/>
                <w:u w:val="none"/>
                <w:lang w:val="en-US" w:eastAsia="zh-CN"/>
              </w:rPr>
              <w:t>①实际完成率＞年度指标值，得0得分；</w:t>
            </w:r>
            <w:r>
              <w:rPr>
                <w:rFonts w:hint="eastAsia" w:ascii="宋体" w:hAnsi="宋体" w:eastAsia="宋体" w:cs="宋体"/>
                <w:i w:val="0"/>
                <w:iCs w:val="0"/>
                <w:color w:val="000000"/>
                <w:kern w:val="0"/>
                <w:sz w:val="21"/>
                <w:szCs w:val="21"/>
                <w:highlight w:val="none"/>
                <w:u w:val="none"/>
                <w:lang w:val="en-US" w:eastAsia="zh-CN"/>
              </w:rPr>
              <w:br w:type="textWrapping"/>
            </w:r>
            <w:r>
              <w:rPr>
                <w:rFonts w:hint="eastAsia" w:ascii="宋体" w:hAnsi="宋体" w:eastAsia="宋体" w:cs="宋体"/>
                <w:i w:val="0"/>
                <w:iCs w:val="0"/>
                <w:color w:val="000000"/>
                <w:kern w:val="0"/>
                <w:sz w:val="21"/>
                <w:szCs w:val="21"/>
                <w:highlight w:val="none"/>
                <w:u w:val="none"/>
                <w:lang w:val="en-US" w:eastAsia="zh-CN"/>
              </w:rPr>
              <w:t>②实际完成率≤年度指标值，且偏离程度＜20%，得满分；</w:t>
            </w:r>
            <w:r>
              <w:rPr>
                <w:rFonts w:hint="eastAsia" w:ascii="宋体" w:hAnsi="宋体" w:eastAsia="宋体" w:cs="宋体"/>
                <w:i w:val="0"/>
                <w:iCs w:val="0"/>
                <w:color w:val="000000"/>
                <w:kern w:val="0"/>
                <w:sz w:val="21"/>
                <w:szCs w:val="21"/>
                <w:highlight w:val="none"/>
                <w:u w:val="none"/>
                <w:lang w:val="en-US" w:eastAsia="zh-CN"/>
              </w:rPr>
              <w:br w:type="textWrapping"/>
            </w:r>
            <w:r>
              <w:rPr>
                <w:rFonts w:hint="eastAsia" w:ascii="宋体" w:hAnsi="宋体" w:eastAsia="宋体" w:cs="宋体"/>
                <w:i w:val="0"/>
                <w:iCs w:val="0"/>
                <w:color w:val="000000"/>
                <w:kern w:val="0"/>
                <w:sz w:val="21"/>
                <w:szCs w:val="21"/>
                <w:highlight w:val="none"/>
                <w:u w:val="none"/>
                <w:lang w:val="en-US" w:eastAsia="zh-CN"/>
              </w:rPr>
              <w:t>③实际完成率＜年度指标值，且偏离程度≥20%，得分=实际完成率×分值。</w:t>
            </w:r>
          </w:p>
        </w:tc>
        <w:tc>
          <w:tcPr>
            <w:tcW w:w="394" w:type="pct"/>
            <w:tcBorders>
              <w:top w:val="single" w:color="auto" w:sz="4" w:space="0"/>
              <w:left w:val="single" w:color="auto" w:sz="4" w:space="0"/>
              <w:bottom w:val="single" w:color="auto" w:sz="4" w:space="0"/>
              <w:right w:val="single" w:color="auto" w:sz="4" w:space="0"/>
            </w:tcBorders>
            <w:noWrap w:val="0"/>
            <w:vAlign w:val="center"/>
          </w:tcPr>
          <w:p w14:paraId="21F596DC">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eastAsia="zh-CN"/>
              </w:rPr>
              <w:t>≤</w:t>
            </w:r>
            <w:r>
              <w:rPr>
                <w:rFonts w:hint="eastAsia" w:ascii="宋体" w:hAnsi="宋体" w:eastAsia="宋体" w:cs="宋体"/>
                <w:i w:val="0"/>
                <w:iCs w:val="0"/>
                <w:color w:val="auto"/>
                <w:sz w:val="21"/>
                <w:szCs w:val="21"/>
                <w:highlight w:val="none"/>
                <w:u w:val="none"/>
              </w:rPr>
              <w:t>110万元</w:t>
            </w:r>
          </w:p>
        </w:tc>
        <w:tc>
          <w:tcPr>
            <w:tcW w:w="252" w:type="pct"/>
            <w:tcBorders>
              <w:top w:val="single" w:color="auto" w:sz="4" w:space="0"/>
              <w:left w:val="single" w:color="auto" w:sz="4" w:space="0"/>
              <w:bottom w:val="single" w:color="auto" w:sz="4" w:space="0"/>
              <w:right w:val="single" w:color="auto" w:sz="4" w:space="0"/>
            </w:tcBorders>
            <w:noWrap w:val="0"/>
            <w:vAlign w:val="center"/>
          </w:tcPr>
          <w:p w14:paraId="6A032780">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5</w:t>
            </w:r>
          </w:p>
        </w:tc>
      </w:tr>
      <w:tr w14:paraId="37CCA9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 w:hRule="atLeast"/>
        </w:trPr>
        <w:tc>
          <w:tcPr>
            <w:tcW w:w="375" w:type="pct"/>
            <w:vMerge w:val="continue"/>
            <w:tcBorders>
              <w:left w:val="single" w:color="auto" w:sz="4" w:space="0"/>
              <w:bottom w:val="single" w:color="auto" w:sz="4" w:space="0"/>
              <w:right w:val="single" w:color="auto" w:sz="4" w:space="0"/>
            </w:tcBorders>
            <w:noWrap w:val="0"/>
            <w:vAlign w:val="center"/>
          </w:tcPr>
          <w:p w14:paraId="487CC556">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232" w:type="pct"/>
            <w:vMerge w:val="continue"/>
            <w:tcBorders>
              <w:left w:val="single" w:color="auto" w:sz="4" w:space="0"/>
              <w:bottom w:val="single" w:color="auto" w:sz="4" w:space="0"/>
              <w:right w:val="single" w:color="auto" w:sz="4" w:space="0"/>
            </w:tcBorders>
            <w:noWrap w:val="0"/>
            <w:vAlign w:val="center"/>
          </w:tcPr>
          <w:p w14:paraId="40A11049">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196" w:type="pct"/>
            <w:vMerge w:val="continue"/>
            <w:tcBorders>
              <w:left w:val="single" w:color="auto" w:sz="4" w:space="0"/>
              <w:bottom w:val="single" w:color="auto" w:sz="4" w:space="0"/>
              <w:right w:val="single" w:color="auto" w:sz="4" w:space="0"/>
            </w:tcBorders>
            <w:noWrap w:val="0"/>
            <w:vAlign w:val="center"/>
          </w:tcPr>
          <w:p w14:paraId="64D822BA">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rPr>
            </w:pPr>
          </w:p>
        </w:tc>
        <w:tc>
          <w:tcPr>
            <w:tcW w:w="217" w:type="pct"/>
            <w:vMerge w:val="continue"/>
            <w:tcBorders>
              <w:left w:val="single" w:color="auto" w:sz="4" w:space="0"/>
              <w:bottom w:val="single" w:color="auto" w:sz="4" w:space="0"/>
              <w:right w:val="single" w:color="auto" w:sz="4" w:space="0"/>
            </w:tcBorders>
            <w:noWrap w:val="0"/>
            <w:vAlign w:val="center"/>
          </w:tcPr>
          <w:p w14:paraId="7C9B733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rPr>
            </w:pPr>
          </w:p>
        </w:tc>
        <w:tc>
          <w:tcPr>
            <w:tcW w:w="259" w:type="pct"/>
            <w:vMerge w:val="continue"/>
            <w:tcBorders>
              <w:left w:val="single" w:color="auto" w:sz="4" w:space="0"/>
              <w:bottom w:val="single" w:color="auto" w:sz="4" w:space="0"/>
              <w:right w:val="single" w:color="auto" w:sz="4" w:space="0"/>
            </w:tcBorders>
            <w:noWrap w:val="0"/>
            <w:vAlign w:val="center"/>
          </w:tcPr>
          <w:p w14:paraId="748BDD9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rPr>
            </w:pPr>
          </w:p>
        </w:tc>
        <w:tc>
          <w:tcPr>
            <w:tcW w:w="210" w:type="pct"/>
            <w:tcBorders>
              <w:top w:val="single" w:color="auto" w:sz="4" w:space="0"/>
              <w:left w:val="single" w:color="auto" w:sz="4" w:space="0"/>
              <w:bottom w:val="single" w:color="auto" w:sz="4" w:space="0"/>
              <w:right w:val="single" w:color="auto" w:sz="4" w:space="0"/>
            </w:tcBorders>
            <w:noWrap w:val="0"/>
            <w:vAlign w:val="center"/>
          </w:tcPr>
          <w:p w14:paraId="4A44DA2A">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5</w:t>
            </w:r>
          </w:p>
        </w:tc>
        <w:tc>
          <w:tcPr>
            <w:tcW w:w="870" w:type="pct"/>
            <w:tcBorders>
              <w:top w:val="single" w:color="auto" w:sz="4" w:space="0"/>
              <w:left w:val="single" w:color="auto" w:sz="4" w:space="0"/>
              <w:bottom w:val="single" w:color="auto" w:sz="4" w:space="0"/>
              <w:right w:val="single" w:color="auto" w:sz="4" w:space="0"/>
            </w:tcBorders>
            <w:noWrap w:val="0"/>
            <w:vAlign w:val="center"/>
          </w:tcPr>
          <w:p w14:paraId="5E0E9C93">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sz w:val="21"/>
                <w:szCs w:val="21"/>
                <w:highlight w:val="none"/>
                <w:u w:val="none"/>
                <w:shd w:val="clear" w:color="auto" w:fill="auto"/>
              </w:rPr>
              <w:t>电费</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408AA823">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sz w:val="21"/>
                <w:szCs w:val="21"/>
                <w:highlight w:val="none"/>
                <w:u w:val="none"/>
                <w:shd w:val="clear" w:color="auto" w:fill="auto"/>
                <w:lang w:eastAsia="zh-CN"/>
              </w:rPr>
              <w:t>≤</w:t>
            </w:r>
            <w:r>
              <w:rPr>
                <w:rFonts w:hint="eastAsia" w:ascii="宋体" w:hAnsi="宋体" w:eastAsia="宋体" w:cs="宋体"/>
                <w:i w:val="0"/>
                <w:iCs w:val="0"/>
                <w:color w:val="000000"/>
                <w:sz w:val="21"/>
                <w:szCs w:val="21"/>
                <w:highlight w:val="none"/>
                <w:u w:val="none"/>
                <w:shd w:val="clear" w:color="auto" w:fill="auto"/>
              </w:rPr>
              <w:t>110万元</w:t>
            </w:r>
          </w:p>
        </w:tc>
        <w:tc>
          <w:tcPr>
            <w:tcW w:w="1585" w:type="pct"/>
            <w:vMerge w:val="continue"/>
            <w:tcBorders>
              <w:left w:val="single" w:color="auto" w:sz="4" w:space="0"/>
              <w:bottom w:val="single" w:color="auto" w:sz="4" w:space="0"/>
              <w:right w:val="single" w:color="auto" w:sz="4" w:space="0"/>
            </w:tcBorders>
            <w:noWrap w:val="0"/>
            <w:vAlign w:val="center"/>
          </w:tcPr>
          <w:p w14:paraId="0586AD0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p>
        </w:tc>
        <w:tc>
          <w:tcPr>
            <w:tcW w:w="394" w:type="pct"/>
            <w:tcBorders>
              <w:top w:val="single" w:color="auto" w:sz="4" w:space="0"/>
              <w:left w:val="single" w:color="auto" w:sz="4" w:space="0"/>
              <w:bottom w:val="single" w:color="auto" w:sz="4" w:space="0"/>
              <w:right w:val="single" w:color="auto" w:sz="4" w:space="0"/>
            </w:tcBorders>
            <w:noWrap w:val="0"/>
            <w:vAlign w:val="center"/>
          </w:tcPr>
          <w:p w14:paraId="5DC95A7F">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sz w:val="21"/>
                <w:szCs w:val="21"/>
                <w:highlight w:val="none"/>
              </w:rPr>
              <w:t>‘=69.27万元</w:t>
            </w:r>
          </w:p>
        </w:tc>
        <w:tc>
          <w:tcPr>
            <w:tcW w:w="252" w:type="pct"/>
            <w:tcBorders>
              <w:top w:val="single" w:color="auto" w:sz="4" w:space="0"/>
              <w:left w:val="single" w:color="auto" w:sz="4" w:space="0"/>
              <w:bottom w:val="single" w:color="auto" w:sz="4" w:space="0"/>
              <w:right w:val="single" w:color="auto" w:sz="4" w:space="0"/>
            </w:tcBorders>
            <w:noWrap w:val="0"/>
            <w:vAlign w:val="center"/>
          </w:tcPr>
          <w:p w14:paraId="73C341BE">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5</w:t>
            </w:r>
          </w:p>
        </w:tc>
      </w:tr>
      <w:tr w14:paraId="3D940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0" w:hRule="atLeast"/>
        </w:trPr>
        <w:tc>
          <w:tcPr>
            <w:tcW w:w="375" w:type="pct"/>
            <w:vMerge w:val="restart"/>
            <w:tcBorders>
              <w:top w:val="single" w:color="auto" w:sz="4" w:space="0"/>
              <w:left w:val="single" w:color="auto" w:sz="4" w:space="0"/>
              <w:bottom w:val="single" w:color="auto" w:sz="4" w:space="0"/>
              <w:right w:val="single" w:color="auto" w:sz="4" w:space="0"/>
            </w:tcBorders>
            <w:noWrap w:val="0"/>
            <w:vAlign w:val="center"/>
          </w:tcPr>
          <w:p w14:paraId="1AD8779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项目效益</w:t>
            </w:r>
          </w:p>
        </w:tc>
        <w:tc>
          <w:tcPr>
            <w:tcW w:w="232" w:type="pct"/>
            <w:vMerge w:val="restart"/>
            <w:tcBorders>
              <w:top w:val="single" w:color="auto" w:sz="4" w:space="0"/>
              <w:left w:val="single" w:color="auto" w:sz="4" w:space="0"/>
              <w:bottom w:val="single" w:color="auto" w:sz="4" w:space="0"/>
              <w:right w:val="single" w:color="auto" w:sz="4" w:space="0"/>
            </w:tcBorders>
            <w:noWrap w:val="0"/>
            <w:vAlign w:val="center"/>
          </w:tcPr>
          <w:p w14:paraId="2CCF9C1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25</w:t>
            </w:r>
          </w:p>
        </w:tc>
        <w:tc>
          <w:tcPr>
            <w:tcW w:w="196" w:type="pct"/>
            <w:vMerge w:val="restart"/>
            <w:tcBorders>
              <w:top w:val="single" w:color="auto" w:sz="4" w:space="0"/>
              <w:left w:val="single" w:color="auto" w:sz="4" w:space="0"/>
              <w:bottom w:val="single" w:color="auto" w:sz="4" w:space="0"/>
              <w:right w:val="single" w:color="auto" w:sz="4" w:space="0"/>
            </w:tcBorders>
            <w:noWrap w:val="0"/>
            <w:vAlign w:val="center"/>
          </w:tcPr>
          <w:p w14:paraId="6FCF4A5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项目效益</w:t>
            </w:r>
          </w:p>
        </w:tc>
        <w:tc>
          <w:tcPr>
            <w:tcW w:w="217" w:type="pct"/>
            <w:vMerge w:val="restart"/>
            <w:tcBorders>
              <w:top w:val="single" w:color="auto" w:sz="4" w:space="0"/>
              <w:left w:val="single" w:color="auto" w:sz="4" w:space="0"/>
              <w:bottom w:val="single" w:color="auto" w:sz="4" w:space="0"/>
              <w:right w:val="single" w:color="auto" w:sz="4" w:space="0"/>
            </w:tcBorders>
            <w:noWrap w:val="0"/>
            <w:vAlign w:val="center"/>
          </w:tcPr>
          <w:p w14:paraId="777022C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25</w:t>
            </w:r>
          </w:p>
        </w:tc>
        <w:tc>
          <w:tcPr>
            <w:tcW w:w="259" w:type="pct"/>
            <w:tcBorders>
              <w:top w:val="single" w:color="auto" w:sz="4" w:space="0"/>
              <w:left w:val="single" w:color="auto" w:sz="4" w:space="0"/>
              <w:bottom w:val="single" w:color="auto" w:sz="4" w:space="0"/>
              <w:right w:val="single" w:color="auto" w:sz="4" w:space="0"/>
            </w:tcBorders>
            <w:noWrap w:val="0"/>
            <w:vAlign w:val="center"/>
          </w:tcPr>
          <w:p w14:paraId="23C71A1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社会效益</w:t>
            </w:r>
          </w:p>
        </w:tc>
        <w:tc>
          <w:tcPr>
            <w:tcW w:w="210" w:type="pct"/>
            <w:tcBorders>
              <w:top w:val="single" w:color="auto" w:sz="4" w:space="0"/>
              <w:left w:val="single" w:color="auto" w:sz="4" w:space="0"/>
              <w:bottom w:val="single" w:color="auto" w:sz="4" w:space="0"/>
              <w:right w:val="single" w:color="auto" w:sz="4" w:space="0"/>
            </w:tcBorders>
            <w:noWrap w:val="0"/>
            <w:vAlign w:val="center"/>
          </w:tcPr>
          <w:p w14:paraId="583F600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15</w:t>
            </w:r>
          </w:p>
        </w:tc>
        <w:tc>
          <w:tcPr>
            <w:tcW w:w="870" w:type="pct"/>
            <w:tcBorders>
              <w:top w:val="single" w:color="auto" w:sz="4" w:space="0"/>
              <w:left w:val="single" w:color="auto" w:sz="4" w:space="0"/>
              <w:bottom w:val="single" w:color="auto" w:sz="4" w:space="0"/>
              <w:right w:val="single" w:color="auto" w:sz="4" w:space="0"/>
            </w:tcBorders>
            <w:noWrap w:val="0"/>
            <w:vAlign w:val="center"/>
          </w:tcPr>
          <w:p w14:paraId="1B9FB384">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sz w:val="21"/>
                <w:szCs w:val="21"/>
                <w:highlight w:val="none"/>
                <w:u w:val="none"/>
                <w:shd w:val="clear" w:color="auto" w:fill="auto"/>
              </w:rPr>
              <w:t>提升公共服务能力</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4C449C5B">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sz w:val="21"/>
                <w:szCs w:val="21"/>
                <w:highlight w:val="none"/>
                <w:u w:val="none"/>
                <w:shd w:val="clear" w:color="auto" w:fill="auto"/>
              </w:rPr>
              <w:t>有效提升</w:t>
            </w:r>
          </w:p>
        </w:tc>
        <w:tc>
          <w:tcPr>
            <w:tcW w:w="1585" w:type="pct"/>
            <w:tcBorders>
              <w:top w:val="single" w:color="auto" w:sz="4" w:space="0"/>
              <w:left w:val="single" w:color="auto" w:sz="4" w:space="0"/>
              <w:bottom w:val="single" w:color="auto" w:sz="4" w:space="0"/>
              <w:right w:val="single" w:color="auto" w:sz="4" w:space="0"/>
            </w:tcBorders>
            <w:noWrap w:val="0"/>
            <w:vAlign w:val="center"/>
          </w:tcPr>
          <w:p w14:paraId="768AF83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按评判等级赋分。分为基本达成目标、部分实现目标、实现目标程度较低三个档次，并分别按照该指标对应分值区间100%-80%（含）、80%-60%（含）、60%-0%合理确定分值。</w:t>
            </w:r>
          </w:p>
        </w:tc>
        <w:tc>
          <w:tcPr>
            <w:tcW w:w="394" w:type="pct"/>
            <w:tcBorders>
              <w:top w:val="single" w:color="auto" w:sz="4" w:space="0"/>
              <w:left w:val="single" w:color="auto" w:sz="4" w:space="0"/>
              <w:bottom w:val="single" w:color="auto" w:sz="4" w:space="0"/>
              <w:right w:val="single" w:color="auto" w:sz="4" w:space="0"/>
            </w:tcBorders>
            <w:noWrap w:val="0"/>
            <w:vAlign w:val="center"/>
          </w:tcPr>
          <w:p w14:paraId="59C4C07B">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有效提升</w:t>
            </w:r>
          </w:p>
        </w:tc>
        <w:tc>
          <w:tcPr>
            <w:tcW w:w="252" w:type="pct"/>
            <w:tcBorders>
              <w:top w:val="single" w:color="auto" w:sz="4" w:space="0"/>
              <w:left w:val="single" w:color="auto" w:sz="4" w:space="0"/>
              <w:bottom w:val="single" w:color="auto" w:sz="4" w:space="0"/>
              <w:right w:val="single" w:color="auto" w:sz="4" w:space="0"/>
            </w:tcBorders>
            <w:noWrap w:val="0"/>
            <w:vAlign w:val="center"/>
          </w:tcPr>
          <w:p w14:paraId="60D66957">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15</w:t>
            </w:r>
          </w:p>
        </w:tc>
      </w:tr>
      <w:tr w14:paraId="04883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75" w:type="pct"/>
            <w:vMerge w:val="continue"/>
            <w:tcBorders>
              <w:top w:val="single" w:color="auto" w:sz="4" w:space="0"/>
              <w:left w:val="single" w:color="auto" w:sz="4" w:space="0"/>
              <w:bottom w:val="single" w:color="auto" w:sz="4" w:space="0"/>
              <w:right w:val="single" w:color="auto" w:sz="4" w:space="0"/>
            </w:tcBorders>
            <w:noWrap w:val="0"/>
            <w:vAlign w:val="center"/>
          </w:tcPr>
          <w:p w14:paraId="579FF338">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232" w:type="pct"/>
            <w:vMerge w:val="continue"/>
            <w:tcBorders>
              <w:top w:val="single" w:color="auto" w:sz="4" w:space="0"/>
              <w:left w:val="single" w:color="auto" w:sz="4" w:space="0"/>
              <w:bottom w:val="single" w:color="auto" w:sz="4" w:space="0"/>
              <w:right w:val="single" w:color="auto" w:sz="4" w:space="0"/>
            </w:tcBorders>
            <w:noWrap w:val="0"/>
            <w:vAlign w:val="center"/>
          </w:tcPr>
          <w:p w14:paraId="03C276B6">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196" w:type="pct"/>
            <w:vMerge w:val="continue"/>
            <w:tcBorders>
              <w:top w:val="single" w:color="auto" w:sz="4" w:space="0"/>
              <w:left w:val="single" w:color="auto" w:sz="4" w:space="0"/>
              <w:bottom w:val="single" w:color="auto" w:sz="4" w:space="0"/>
              <w:right w:val="single" w:color="auto" w:sz="4" w:space="0"/>
            </w:tcBorders>
            <w:noWrap w:val="0"/>
            <w:vAlign w:val="center"/>
          </w:tcPr>
          <w:p w14:paraId="40D2705A">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217" w:type="pct"/>
            <w:vMerge w:val="continue"/>
            <w:tcBorders>
              <w:top w:val="single" w:color="auto" w:sz="4" w:space="0"/>
              <w:left w:val="single" w:color="auto" w:sz="4" w:space="0"/>
              <w:bottom w:val="single" w:color="auto" w:sz="4" w:space="0"/>
              <w:right w:val="single" w:color="auto" w:sz="4" w:space="0"/>
            </w:tcBorders>
            <w:noWrap w:val="0"/>
            <w:vAlign w:val="center"/>
          </w:tcPr>
          <w:p w14:paraId="74E74F70">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259" w:type="pct"/>
            <w:tcBorders>
              <w:top w:val="single" w:color="auto" w:sz="4" w:space="0"/>
              <w:left w:val="single" w:color="auto" w:sz="4" w:space="0"/>
              <w:bottom w:val="single" w:color="auto" w:sz="4" w:space="0"/>
              <w:right w:val="single" w:color="auto" w:sz="4" w:space="0"/>
            </w:tcBorders>
            <w:noWrap w:val="0"/>
            <w:vAlign w:val="center"/>
          </w:tcPr>
          <w:p w14:paraId="759EFCB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服务对象满意度</w:t>
            </w:r>
          </w:p>
        </w:tc>
        <w:tc>
          <w:tcPr>
            <w:tcW w:w="210" w:type="pct"/>
            <w:tcBorders>
              <w:top w:val="single" w:color="auto" w:sz="4" w:space="0"/>
              <w:left w:val="single" w:color="auto" w:sz="4" w:space="0"/>
              <w:bottom w:val="single" w:color="auto" w:sz="4" w:space="0"/>
              <w:right w:val="single" w:color="auto" w:sz="4" w:space="0"/>
            </w:tcBorders>
            <w:noWrap w:val="0"/>
            <w:vAlign w:val="center"/>
          </w:tcPr>
          <w:p w14:paraId="4C4E3DD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w:t>
            </w:r>
          </w:p>
        </w:tc>
        <w:tc>
          <w:tcPr>
            <w:tcW w:w="870" w:type="pct"/>
            <w:tcBorders>
              <w:top w:val="single" w:color="auto" w:sz="4" w:space="0"/>
              <w:left w:val="single" w:color="auto" w:sz="4" w:space="0"/>
              <w:bottom w:val="single" w:color="auto" w:sz="4" w:space="0"/>
              <w:right w:val="single" w:color="auto" w:sz="4" w:space="0"/>
            </w:tcBorders>
            <w:noWrap w:val="0"/>
            <w:vAlign w:val="center"/>
          </w:tcPr>
          <w:p w14:paraId="4D25846C">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sz w:val="21"/>
                <w:szCs w:val="21"/>
                <w:highlight w:val="none"/>
                <w:u w:val="none"/>
                <w:shd w:val="clear" w:color="auto" w:fill="auto"/>
              </w:rPr>
              <w:t>受益群众和工作人员</w:t>
            </w:r>
            <w:r>
              <w:rPr>
                <w:rFonts w:hint="eastAsia" w:ascii="宋体" w:hAnsi="宋体" w:eastAsia="宋体" w:cs="宋体"/>
                <w:i w:val="0"/>
                <w:iCs w:val="0"/>
                <w:color w:val="000000"/>
                <w:sz w:val="21"/>
                <w:szCs w:val="21"/>
                <w:highlight w:val="none"/>
                <w:u w:val="none"/>
              </w:rPr>
              <w:t>满意度</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66A7CCD2">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shd w:val="clear" w:color="auto" w:fill="auto"/>
              </w:rPr>
            </w:pPr>
            <w:r>
              <w:rPr>
                <w:rFonts w:hint="eastAsia" w:ascii="宋体" w:hAnsi="宋体" w:eastAsia="宋体" w:cs="宋体"/>
                <w:i w:val="0"/>
                <w:iCs w:val="0"/>
                <w:color w:val="000000"/>
                <w:kern w:val="0"/>
                <w:sz w:val="21"/>
                <w:szCs w:val="21"/>
                <w:highlight w:val="none"/>
                <w:u w:val="none"/>
                <w:shd w:val="clear" w:color="auto" w:fill="auto"/>
                <w:lang w:val="en-US" w:eastAsia="zh-CN"/>
              </w:rPr>
              <w:t>≥95%</w:t>
            </w:r>
          </w:p>
        </w:tc>
        <w:tc>
          <w:tcPr>
            <w:tcW w:w="1585" w:type="pct"/>
            <w:tcBorders>
              <w:top w:val="single" w:color="auto" w:sz="4" w:space="0"/>
              <w:left w:val="single" w:color="auto" w:sz="4" w:space="0"/>
              <w:bottom w:val="single" w:color="auto" w:sz="4" w:space="0"/>
              <w:right w:val="single" w:color="auto" w:sz="4" w:space="0"/>
            </w:tcBorders>
            <w:noWrap w:val="0"/>
            <w:vAlign w:val="center"/>
          </w:tcPr>
          <w:p w14:paraId="75A7F3E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根据问卷调查，满意度达到标杆值，得权重分的100%；否则低于95%，得分=实际满意度*指标分值。</w:t>
            </w:r>
          </w:p>
        </w:tc>
        <w:tc>
          <w:tcPr>
            <w:tcW w:w="394" w:type="pct"/>
            <w:tcBorders>
              <w:top w:val="single" w:color="auto" w:sz="4" w:space="0"/>
              <w:left w:val="single" w:color="auto" w:sz="4" w:space="0"/>
              <w:bottom w:val="single" w:color="auto" w:sz="4" w:space="0"/>
              <w:right w:val="single" w:color="auto" w:sz="4" w:space="0"/>
            </w:tcBorders>
            <w:noWrap w:val="0"/>
            <w:vAlign w:val="center"/>
          </w:tcPr>
          <w:p w14:paraId="78EC7136">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lang w:eastAsia="zh-CN"/>
              </w:rPr>
              <w:t>=</w:t>
            </w:r>
            <w:r>
              <w:rPr>
                <w:rFonts w:hint="eastAsia" w:ascii="宋体" w:hAnsi="宋体" w:eastAsia="宋体" w:cs="宋体"/>
                <w:i w:val="0"/>
                <w:iCs w:val="0"/>
                <w:color w:val="000000"/>
                <w:sz w:val="21"/>
                <w:szCs w:val="21"/>
                <w:highlight w:val="none"/>
                <w:u w:val="none"/>
              </w:rPr>
              <w:t>100%</w:t>
            </w:r>
          </w:p>
        </w:tc>
        <w:tc>
          <w:tcPr>
            <w:tcW w:w="252" w:type="pct"/>
            <w:tcBorders>
              <w:top w:val="single" w:color="auto" w:sz="4" w:space="0"/>
              <w:left w:val="single" w:color="auto" w:sz="4" w:space="0"/>
              <w:bottom w:val="single" w:color="auto" w:sz="4" w:space="0"/>
              <w:right w:val="single" w:color="auto" w:sz="4" w:space="0"/>
            </w:tcBorders>
            <w:noWrap w:val="0"/>
            <w:vAlign w:val="center"/>
          </w:tcPr>
          <w:p w14:paraId="56C46566">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10</w:t>
            </w:r>
          </w:p>
        </w:tc>
      </w:tr>
      <w:tr w14:paraId="2CAFB8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75" w:type="pct"/>
            <w:tcBorders>
              <w:top w:val="single" w:color="auto" w:sz="4" w:space="0"/>
              <w:left w:val="single" w:color="auto" w:sz="4" w:space="0"/>
              <w:bottom w:val="single" w:color="auto" w:sz="4" w:space="0"/>
              <w:right w:val="single" w:color="auto" w:sz="4" w:space="0"/>
            </w:tcBorders>
            <w:noWrap w:val="0"/>
            <w:vAlign w:val="center"/>
          </w:tcPr>
          <w:p w14:paraId="763097F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总分</w:t>
            </w:r>
          </w:p>
        </w:tc>
        <w:tc>
          <w:tcPr>
            <w:tcW w:w="232" w:type="pct"/>
            <w:tcBorders>
              <w:top w:val="single" w:color="auto" w:sz="4" w:space="0"/>
              <w:left w:val="single" w:color="auto" w:sz="4" w:space="0"/>
              <w:bottom w:val="single" w:color="auto" w:sz="4" w:space="0"/>
              <w:right w:val="single" w:color="auto" w:sz="4" w:space="0"/>
            </w:tcBorders>
            <w:noWrap w:val="0"/>
            <w:vAlign w:val="center"/>
          </w:tcPr>
          <w:p w14:paraId="1A27379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w:t>
            </w:r>
          </w:p>
        </w:tc>
        <w:tc>
          <w:tcPr>
            <w:tcW w:w="196" w:type="pct"/>
            <w:tcBorders>
              <w:top w:val="single" w:color="auto" w:sz="4" w:space="0"/>
              <w:left w:val="single" w:color="auto" w:sz="4" w:space="0"/>
              <w:bottom w:val="single" w:color="auto" w:sz="4" w:space="0"/>
              <w:right w:val="single" w:color="auto" w:sz="4" w:space="0"/>
            </w:tcBorders>
            <w:noWrap w:val="0"/>
            <w:vAlign w:val="center"/>
          </w:tcPr>
          <w:p w14:paraId="2FB4892E">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217" w:type="pct"/>
            <w:tcBorders>
              <w:top w:val="single" w:color="auto" w:sz="4" w:space="0"/>
              <w:left w:val="single" w:color="auto" w:sz="4" w:space="0"/>
              <w:bottom w:val="single" w:color="auto" w:sz="4" w:space="0"/>
              <w:right w:val="single" w:color="auto" w:sz="4" w:space="0"/>
            </w:tcBorders>
            <w:noWrap w:val="0"/>
            <w:vAlign w:val="center"/>
          </w:tcPr>
          <w:p w14:paraId="40F4E51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w:t>
            </w:r>
          </w:p>
        </w:tc>
        <w:tc>
          <w:tcPr>
            <w:tcW w:w="259" w:type="pct"/>
            <w:tcBorders>
              <w:top w:val="single" w:color="auto" w:sz="4" w:space="0"/>
              <w:left w:val="single" w:color="auto" w:sz="4" w:space="0"/>
              <w:bottom w:val="single" w:color="auto" w:sz="4" w:space="0"/>
              <w:right w:val="single" w:color="auto" w:sz="4" w:space="0"/>
            </w:tcBorders>
            <w:noWrap w:val="0"/>
            <w:vAlign w:val="center"/>
          </w:tcPr>
          <w:p w14:paraId="6C81302B">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210" w:type="pct"/>
            <w:tcBorders>
              <w:top w:val="single" w:color="auto" w:sz="4" w:space="0"/>
              <w:left w:val="single" w:color="auto" w:sz="4" w:space="0"/>
              <w:bottom w:val="single" w:color="auto" w:sz="4" w:space="0"/>
              <w:right w:val="single" w:color="auto" w:sz="4" w:space="0"/>
            </w:tcBorders>
            <w:noWrap w:val="0"/>
            <w:vAlign w:val="center"/>
          </w:tcPr>
          <w:p w14:paraId="3351B43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w:t>
            </w:r>
          </w:p>
        </w:tc>
        <w:tc>
          <w:tcPr>
            <w:tcW w:w="870" w:type="pct"/>
            <w:tcBorders>
              <w:top w:val="single" w:color="auto" w:sz="4" w:space="0"/>
              <w:left w:val="single" w:color="auto" w:sz="4" w:space="0"/>
              <w:bottom w:val="single" w:color="auto" w:sz="4" w:space="0"/>
              <w:right w:val="single" w:color="auto" w:sz="4" w:space="0"/>
            </w:tcBorders>
            <w:noWrap w:val="0"/>
            <w:vAlign w:val="center"/>
          </w:tcPr>
          <w:p w14:paraId="1D811210">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405" w:type="pct"/>
            <w:tcBorders>
              <w:top w:val="single" w:color="auto" w:sz="4" w:space="0"/>
              <w:left w:val="single" w:color="auto" w:sz="4" w:space="0"/>
              <w:bottom w:val="single" w:color="auto" w:sz="4" w:space="0"/>
              <w:right w:val="single" w:color="auto" w:sz="4" w:space="0"/>
            </w:tcBorders>
            <w:noWrap w:val="0"/>
            <w:vAlign w:val="center"/>
          </w:tcPr>
          <w:p w14:paraId="3FD101E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p>
        </w:tc>
        <w:tc>
          <w:tcPr>
            <w:tcW w:w="1585" w:type="pct"/>
            <w:tcBorders>
              <w:top w:val="single" w:color="auto" w:sz="4" w:space="0"/>
              <w:left w:val="single" w:color="auto" w:sz="4" w:space="0"/>
              <w:bottom w:val="single" w:color="auto" w:sz="4" w:space="0"/>
              <w:right w:val="single" w:color="auto" w:sz="4" w:space="0"/>
            </w:tcBorders>
            <w:noWrap w:val="0"/>
            <w:vAlign w:val="center"/>
          </w:tcPr>
          <w:p w14:paraId="6495CBA8">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left"/>
              <w:rPr>
                <w:rFonts w:hint="eastAsia" w:ascii="宋体" w:hAnsi="宋体" w:eastAsia="宋体" w:cs="宋体"/>
                <w:i w:val="0"/>
                <w:iCs w:val="0"/>
                <w:color w:val="000000"/>
                <w:sz w:val="21"/>
                <w:szCs w:val="21"/>
                <w:highlight w:val="none"/>
                <w:u w:val="none"/>
              </w:rPr>
            </w:pPr>
          </w:p>
        </w:tc>
        <w:tc>
          <w:tcPr>
            <w:tcW w:w="394" w:type="pct"/>
            <w:tcBorders>
              <w:top w:val="single" w:color="auto" w:sz="4" w:space="0"/>
              <w:left w:val="single" w:color="auto" w:sz="4" w:space="0"/>
              <w:bottom w:val="single" w:color="auto" w:sz="4" w:space="0"/>
              <w:right w:val="single" w:color="auto" w:sz="4" w:space="0"/>
            </w:tcBorders>
            <w:noWrap w:val="0"/>
            <w:vAlign w:val="center"/>
          </w:tcPr>
          <w:p w14:paraId="17012602">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rPr>
            </w:pPr>
          </w:p>
        </w:tc>
        <w:tc>
          <w:tcPr>
            <w:tcW w:w="252" w:type="pct"/>
            <w:tcBorders>
              <w:top w:val="single" w:color="auto" w:sz="4" w:space="0"/>
              <w:left w:val="single" w:color="auto" w:sz="4" w:space="0"/>
              <w:bottom w:val="single" w:color="auto" w:sz="4" w:space="0"/>
              <w:right w:val="single" w:color="auto" w:sz="4" w:space="0"/>
            </w:tcBorders>
            <w:noWrap w:val="0"/>
            <w:vAlign w:val="center"/>
          </w:tcPr>
          <w:p w14:paraId="66BC8534">
            <w:pPr>
              <w:keepNext w:val="0"/>
              <w:keepLines w:val="0"/>
              <w:pageBreakBefore w:val="0"/>
              <w:widowControl/>
              <w:kinsoku/>
              <w:wordWrap/>
              <w:overflowPunct/>
              <w:topLinePunct w:val="0"/>
              <w:autoSpaceDE/>
              <w:autoSpaceDN/>
              <w:bidi w:val="0"/>
              <w:adjustRightInd/>
              <w:snapToGrid/>
              <w:spacing w:line="240" w:lineRule="exact"/>
              <w:ind w:left="0" w:leftChars="0"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100</w:t>
            </w:r>
          </w:p>
        </w:tc>
      </w:tr>
    </w:tbl>
    <w:p w14:paraId="59D08D8F">
      <w:pPr>
        <w:pStyle w:val="10"/>
        <w:pageBreakBefore w:val="0"/>
        <w:kinsoku/>
        <w:wordWrap/>
        <w:overflowPunct/>
        <w:topLinePunct w:val="0"/>
        <w:autoSpaceDE/>
        <w:bidi w:val="0"/>
        <w:spacing w:line="360" w:lineRule="auto"/>
        <w:ind w:left="0" w:leftChars="0" w:firstLine="480" w:firstLineChars="200"/>
        <w:rPr>
          <w:rFonts w:hint="eastAsia" w:ascii="宋体" w:hAnsi="宋体" w:eastAsia="宋体" w:cs="宋体"/>
          <w:sz w:val="24"/>
          <w:szCs w:val="24"/>
          <w:highlight w:val="none"/>
          <w:lang w:eastAsia="zh-CN"/>
        </w:rPr>
      </w:pPr>
    </w:p>
    <w:p w14:paraId="5C634EFB">
      <w:pPr>
        <w:pStyle w:val="10"/>
        <w:pageBreakBefore w:val="0"/>
        <w:kinsoku/>
        <w:wordWrap/>
        <w:overflowPunct/>
        <w:topLinePunct w:val="0"/>
        <w:autoSpaceDE/>
        <w:bidi w:val="0"/>
        <w:spacing w:line="360" w:lineRule="auto"/>
        <w:ind w:left="0" w:leftChars="0" w:firstLine="480" w:firstLineChars="200"/>
        <w:rPr>
          <w:rFonts w:hint="eastAsia" w:ascii="宋体" w:hAnsi="宋体" w:eastAsia="宋体" w:cs="宋体"/>
          <w:sz w:val="24"/>
          <w:szCs w:val="24"/>
          <w:highlight w:val="none"/>
          <w:lang w:eastAsia="zh-CN"/>
        </w:rPr>
      </w:pPr>
    </w:p>
    <w:p w14:paraId="1DDAD866">
      <w:pPr>
        <w:pStyle w:val="10"/>
        <w:pageBreakBefore w:val="0"/>
        <w:kinsoku/>
        <w:wordWrap/>
        <w:overflowPunct/>
        <w:topLinePunct w:val="0"/>
        <w:autoSpaceDE/>
        <w:bidi w:val="0"/>
        <w:spacing w:line="360" w:lineRule="auto"/>
        <w:ind w:left="0" w:leftChars="0" w:firstLine="480" w:firstLineChars="20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附件2：</w:t>
      </w:r>
    </w:p>
    <w:tbl>
      <w:tblPr>
        <w:tblStyle w:val="24"/>
        <w:tblW w:w="1302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449"/>
        <w:gridCol w:w="1331"/>
      </w:tblGrid>
      <w:tr w14:paraId="1BE331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48EAD5B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highlight w:val="none"/>
                <w:u w:val="none"/>
              </w:rPr>
            </w:pPr>
          </w:p>
        </w:tc>
        <w:tc>
          <w:tcPr>
            <w:tcW w:w="1778" w:type="dxa"/>
            <w:tcBorders>
              <w:top w:val="nil"/>
              <w:left w:val="nil"/>
              <w:bottom w:val="nil"/>
              <w:right w:val="nil"/>
            </w:tcBorders>
            <w:noWrap/>
            <w:vAlign w:val="center"/>
          </w:tcPr>
          <w:p w14:paraId="365844DA">
            <w:pPr>
              <w:keepNext w:val="0"/>
              <w:keepLines w:val="0"/>
              <w:pageBreakBefore w:val="0"/>
              <w:kinsoku/>
              <w:wordWrap/>
              <w:overflowPunct/>
              <w:topLinePunct w:val="0"/>
              <w:autoSpaceDE/>
              <w:autoSpaceDN/>
              <w:bidi w:val="0"/>
              <w:adjustRightInd/>
              <w:snapToGrid/>
              <w:spacing w:line="240" w:lineRule="exact"/>
              <w:ind w:left="0" w:leftChars="0" w:firstLine="0" w:firstLineChars="0"/>
              <w:rPr>
                <w:rFonts w:hint="eastAsia" w:ascii="宋体" w:hAnsi="宋体" w:eastAsia="宋体" w:cs="宋体"/>
                <w:i w:val="0"/>
                <w:iCs w:val="0"/>
                <w:color w:val="000000"/>
                <w:sz w:val="21"/>
                <w:szCs w:val="21"/>
                <w:highlight w:val="none"/>
                <w:u w:val="none"/>
              </w:rPr>
            </w:pPr>
          </w:p>
        </w:tc>
        <w:tc>
          <w:tcPr>
            <w:tcW w:w="2786" w:type="dxa"/>
            <w:tcBorders>
              <w:top w:val="nil"/>
              <w:left w:val="nil"/>
              <w:bottom w:val="nil"/>
              <w:right w:val="nil"/>
            </w:tcBorders>
            <w:noWrap/>
            <w:vAlign w:val="center"/>
          </w:tcPr>
          <w:p w14:paraId="3934A869">
            <w:pPr>
              <w:keepNext w:val="0"/>
              <w:keepLines w:val="0"/>
              <w:pageBreakBefore w:val="0"/>
              <w:kinsoku/>
              <w:wordWrap/>
              <w:overflowPunct/>
              <w:topLinePunct w:val="0"/>
              <w:autoSpaceDE/>
              <w:autoSpaceDN/>
              <w:bidi w:val="0"/>
              <w:adjustRightInd/>
              <w:snapToGrid/>
              <w:spacing w:line="240" w:lineRule="exact"/>
              <w:ind w:left="0" w:leftChars="0" w:firstLine="0" w:firstLineChars="0"/>
              <w:rPr>
                <w:rFonts w:hint="eastAsia" w:ascii="宋体" w:hAnsi="宋体" w:eastAsia="宋体" w:cs="宋体"/>
                <w:i w:val="0"/>
                <w:iCs w:val="0"/>
                <w:color w:val="000000"/>
                <w:sz w:val="21"/>
                <w:szCs w:val="21"/>
                <w:highlight w:val="none"/>
                <w:u w:val="none"/>
              </w:rPr>
            </w:pPr>
          </w:p>
        </w:tc>
        <w:tc>
          <w:tcPr>
            <w:tcW w:w="2314" w:type="dxa"/>
            <w:tcBorders>
              <w:top w:val="nil"/>
              <w:left w:val="nil"/>
              <w:bottom w:val="nil"/>
              <w:right w:val="nil"/>
            </w:tcBorders>
            <w:noWrap/>
            <w:vAlign w:val="center"/>
          </w:tcPr>
          <w:p w14:paraId="5A20CBD8">
            <w:pPr>
              <w:keepNext w:val="0"/>
              <w:keepLines w:val="0"/>
              <w:pageBreakBefore w:val="0"/>
              <w:kinsoku/>
              <w:wordWrap/>
              <w:overflowPunct/>
              <w:topLinePunct w:val="0"/>
              <w:autoSpaceDE/>
              <w:autoSpaceDN/>
              <w:bidi w:val="0"/>
              <w:adjustRightInd/>
              <w:snapToGrid/>
              <w:spacing w:line="240" w:lineRule="exact"/>
              <w:ind w:left="0" w:leftChars="0" w:firstLine="0" w:firstLineChars="0"/>
              <w:rPr>
                <w:rFonts w:hint="eastAsia" w:ascii="宋体" w:hAnsi="宋体" w:eastAsia="宋体" w:cs="宋体"/>
                <w:i w:val="0"/>
                <w:iCs w:val="0"/>
                <w:color w:val="000000"/>
                <w:sz w:val="21"/>
                <w:szCs w:val="21"/>
                <w:highlight w:val="none"/>
                <w:u w:val="none"/>
              </w:rPr>
            </w:pPr>
          </w:p>
        </w:tc>
        <w:tc>
          <w:tcPr>
            <w:tcW w:w="3449" w:type="dxa"/>
            <w:tcBorders>
              <w:top w:val="nil"/>
              <w:left w:val="nil"/>
              <w:bottom w:val="nil"/>
              <w:right w:val="nil"/>
            </w:tcBorders>
            <w:noWrap/>
            <w:vAlign w:val="center"/>
          </w:tcPr>
          <w:p w14:paraId="17DB9BB8">
            <w:pPr>
              <w:keepNext w:val="0"/>
              <w:keepLines w:val="0"/>
              <w:pageBreakBefore w:val="0"/>
              <w:kinsoku/>
              <w:wordWrap/>
              <w:overflowPunct/>
              <w:topLinePunct w:val="0"/>
              <w:autoSpaceDE/>
              <w:autoSpaceDN/>
              <w:bidi w:val="0"/>
              <w:adjustRightInd/>
              <w:snapToGrid/>
              <w:spacing w:line="240" w:lineRule="exact"/>
              <w:ind w:left="0" w:leftChars="0" w:firstLine="0" w:firstLineChars="0"/>
              <w:rPr>
                <w:rFonts w:hint="eastAsia" w:ascii="宋体" w:hAnsi="宋体" w:eastAsia="宋体" w:cs="宋体"/>
                <w:i w:val="0"/>
                <w:iCs w:val="0"/>
                <w:color w:val="000000"/>
                <w:sz w:val="21"/>
                <w:szCs w:val="21"/>
                <w:highlight w:val="none"/>
                <w:u w:val="none"/>
              </w:rPr>
            </w:pPr>
          </w:p>
        </w:tc>
        <w:tc>
          <w:tcPr>
            <w:tcW w:w="1331" w:type="dxa"/>
            <w:tcBorders>
              <w:top w:val="nil"/>
              <w:left w:val="nil"/>
              <w:bottom w:val="nil"/>
              <w:right w:val="nil"/>
            </w:tcBorders>
            <w:noWrap/>
            <w:vAlign w:val="center"/>
          </w:tcPr>
          <w:p w14:paraId="6FB2CE08">
            <w:pPr>
              <w:keepNext w:val="0"/>
              <w:keepLines w:val="0"/>
              <w:pageBreakBefore w:val="0"/>
              <w:kinsoku/>
              <w:wordWrap/>
              <w:overflowPunct/>
              <w:topLinePunct w:val="0"/>
              <w:autoSpaceDE/>
              <w:autoSpaceDN/>
              <w:bidi w:val="0"/>
              <w:adjustRightInd/>
              <w:snapToGrid/>
              <w:spacing w:line="240" w:lineRule="exact"/>
              <w:ind w:left="0" w:leftChars="0" w:firstLine="0" w:firstLineChars="0"/>
              <w:rPr>
                <w:rFonts w:hint="eastAsia" w:ascii="宋体" w:hAnsi="宋体" w:eastAsia="宋体" w:cs="宋体"/>
                <w:i w:val="0"/>
                <w:iCs w:val="0"/>
                <w:color w:val="000000"/>
                <w:sz w:val="21"/>
                <w:szCs w:val="21"/>
                <w:highlight w:val="none"/>
                <w:u w:val="none"/>
              </w:rPr>
            </w:pPr>
          </w:p>
        </w:tc>
      </w:tr>
      <w:tr w14:paraId="30532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20276A2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b/>
                <w:bCs/>
                <w:i w:val="0"/>
                <w:iCs w:val="0"/>
                <w:color w:val="FF0000"/>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rPr>
              <w:t>行政服务中心及保障性住房水电费项目综合得分表</w:t>
            </w:r>
          </w:p>
        </w:tc>
      </w:tr>
      <w:tr w14:paraId="2EABD4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C40B47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both"/>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59523F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both"/>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DE2A4E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both"/>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95BAB9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项目产出</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A9EAC1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项目效益</w:t>
            </w:r>
          </w:p>
        </w:tc>
        <w:tc>
          <w:tcPr>
            <w:tcW w:w="133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55789F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合计</w:t>
            </w:r>
          </w:p>
        </w:tc>
      </w:tr>
      <w:tr w14:paraId="737713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6E3AC9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both"/>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4FDA40B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 xml:space="preserve">23.00 </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5160FCB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 xml:space="preserve">12.00 </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5C2201E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 xml:space="preserve">40.00 </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75609C0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 xml:space="preserve">25.00 </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1D036FA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 xml:space="preserve">100.00 </w:t>
            </w:r>
          </w:p>
        </w:tc>
      </w:tr>
      <w:tr w14:paraId="4CD83D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08EEE0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both"/>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60006B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 xml:space="preserve">23.00 </w:t>
            </w:r>
          </w:p>
        </w:tc>
        <w:tc>
          <w:tcPr>
            <w:tcW w:w="27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CF8ECE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 xml:space="preserve">12.00 </w:t>
            </w:r>
          </w:p>
        </w:tc>
        <w:tc>
          <w:tcPr>
            <w:tcW w:w="23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E1A1D7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 xml:space="preserve">40.00 </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E6CD38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 xml:space="preserve">25.00 </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1D87650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 xml:space="preserve">100.00 </w:t>
            </w:r>
          </w:p>
        </w:tc>
      </w:tr>
      <w:tr w14:paraId="1E177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17B1C5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both"/>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3784946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55FBC85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5E0F2D7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6EE13362">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1151A88D">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100.00%</w:t>
            </w:r>
          </w:p>
        </w:tc>
      </w:tr>
    </w:tbl>
    <w:p w14:paraId="31046C8C">
      <w:pPr>
        <w:pStyle w:val="10"/>
        <w:pageBreakBefore w:val="0"/>
        <w:kinsoku/>
        <w:wordWrap/>
        <w:overflowPunct/>
        <w:topLinePunct w:val="0"/>
        <w:autoSpaceDE/>
        <w:bidi w:val="0"/>
        <w:spacing w:line="360" w:lineRule="auto"/>
        <w:ind w:left="0" w:leftChars="0" w:firstLine="480" w:firstLineChars="200"/>
        <w:jc w:val="both"/>
        <w:rPr>
          <w:rFonts w:hint="eastAsia" w:ascii="宋体" w:hAnsi="宋体" w:eastAsia="宋体" w:cs="宋体"/>
          <w:sz w:val="24"/>
          <w:szCs w:val="24"/>
          <w:highlight w:val="none"/>
          <w:lang w:val="en-US" w:eastAsia="zh-CN"/>
        </w:rPr>
      </w:pPr>
    </w:p>
    <w:p w14:paraId="18A96D18">
      <w:pPr>
        <w:pStyle w:val="10"/>
        <w:pageBreakBefore w:val="0"/>
        <w:kinsoku/>
        <w:wordWrap/>
        <w:overflowPunct/>
        <w:topLinePunct w:val="0"/>
        <w:autoSpaceDE/>
        <w:bidi w:val="0"/>
        <w:spacing w:line="360" w:lineRule="auto"/>
        <w:ind w:left="0" w:leftChars="0" w:firstLine="480" w:firstLineChars="200"/>
        <w:jc w:val="both"/>
        <w:rPr>
          <w:rFonts w:hint="eastAsia" w:ascii="宋体" w:hAnsi="宋体" w:eastAsia="宋体" w:cs="宋体"/>
          <w:sz w:val="24"/>
          <w:szCs w:val="24"/>
          <w:highlight w:val="none"/>
          <w:lang w:eastAsia="zh-CN"/>
        </w:rPr>
        <w:sectPr>
          <w:pgSz w:w="16838" w:h="11906" w:orient="landscape"/>
          <w:pgMar w:top="1531" w:right="1985" w:bottom="1531" w:left="1701" w:header="851" w:footer="992" w:gutter="0"/>
          <w:pgNumType w:fmt="decimal"/>
          <w:cols w:space="720" w:num="1"/>
          <w:docGrid w:type="linesAndChars" w:linePitch="386" w:charSpace="0"/>
        </w:sectPr>
      </w:pPr>
    </w:p>
    <w:p w14:paraId="0F3BFBF1">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附件3：</w:t>
      </w:r>
    </w:p>
    <w:p w14:paraId="70972B4F">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jc w:val="center"/>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行政服务中心及保障性住房水电费项目满意度</w:t>
      </w:r>
      <w:r>
        <w:rPr>
          <w:rFonts w:hint="eastAsia" w:ascii="宋体" w:hAnsi="宋体" w:eastAsia="宋体" w:cs="宋体"/>
          <w:b/>
          <w:bCs/>
          <w:color w:val="auto"/>
          <w:sz w:val="24"/>
          <w:szCs w:val="24"/>
          <w:highlight w:val="none"/>
        </w:rPr>
        <w:t>调查问卷</w:t>
      </w:r>
      <w:r>
        <w:rPr>
          <w:rFonts w:hint="eastAsia" w:ascii="宋体" w:hAnsi="宋体" w:eastAsia="宋体" w:cs="宋体"/>
          <w:b/>
          <w:bCs/>
          <w:color w:val="auto"/>
          <w:sz w:val="24"/>
          <w:szCs w:val="24"/>
          <w:highlight w:val="none"/>
          <w:lang w:val="en-US" w:eastAsia="zh-CN"/>
        </w:rPr>
        <w:t>分析报告</w:t>
      </w:r>
    </w:p>
    <w:p w14:paraId="1072101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color w:val="auto"/>
          <w:sz w:val="24"/>
          <w:szCs w:val="24"/>
          <w:highlight w:val="none"/>
        </w:rPr>
        <w:t>为客观评价该项目的社会效果，了解</w:t>
      </w:r>
      <w:r>
        <w:rPr>
          <w:rFonts w:hint="eastAsia" w:ascii="宋体" w:hAnsi="宋体" w:eastAsia="宋体" w:cs="宋体"/>
          <w:color w:val="auto"/>
          <w:sz w:val="24"/>
          <w:szCs w:val="24"/>
          <w:highlight w:val="none"/>
          <w:lang w:val="en-US" w:eastAsia="zh-CN"/>
        </w:rPr>
        <w:t>项目受益群体</w:t>
      </w:r>
      <w:r>
        <w:rPr>
          <w:rFonts w:hint="eastAsia" w:ascii="宋体" w:hAnsi="宋体" w:eastAsia="宋体" w:cs="宋体"/>
          <w:color w:val="auto"/>
          <w:sz w:val="24"/>
          <w:szCs w:val="24"/>
          <w:highlight w:val="none"/>
        </w:rPr>
        <w:t>对项目</w:t>
      </w:r>
      <w:r>
        <w:rPr>
          <w:rFonts w:hint="eastAsia" w:ascii="宋体" w:hAnsi="宋体" w:eastAsia="宋体" w:cs="宋体"/>
          <w:color w:val="auto"/>
          <w:sz w:val="24"/>
          <w:szCs w:val="24"/>
          <w:highlight w:val="none"/>
          <w:lang w:val="en-US" w:eastAsia="zh-CN"/>
        </w:rPr>
        <w:t>实施后</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val="en-US" w:eastAsia="zh-CN"/>
        </w:rPr>
        <w:t>真实</w:t>
      </w:r>
      <w:r>
        <w:rPr>
          <w:rFonts w:hint="eastAsia" w:ascii="宋体" w:hAnsi="宋体" w:eastAsia="宋体" w:cs="宋体"/>
          <w:color w:val="auto"/>
          <w:sz w:val="24"/>
          <w:szCs w:val="24"/>
          <w:highlight w:val="none"/>
        </w:rPr>
        <w:t>评价情况，对本项目</w:t>
      </w:r>
      <w:r>
        <w:rPr>
          <w:rFonts w:hint="eastAsia" w:ascii="宋体" w:hAnsi="宋体" w:eastAsia="宋体" w:cs="宋体"/>
          <w:color w:val="auto"/>
          <w:sz w:val="24"/>
          <w:szCs w:val="24"/>
          <w:highlight w:val="none"/>
          <w:lang w:eastAsia="zh-CN"/>
        </w:rPr>
        <w:t>开展</w:t>
      </w:r>
      <w:r>
        <w:rPr>
          <w:rFonts w:hint="eastAsia" w:ascii="宋体" w:hAnsi="宋体" w:eastAsia="宋体" w:cs="宋体"/>
          <w:color w:val="auto"/>
          <w:sz w:val="24"/>
          <w:szCs w:val="24"/>
          <w:highlight w:val="none"/>
        </w:rPr>
        <w:t>满意度问卷调查。问卷调查工作情况如下。问卷调查工作情况如下：</w:t>
      </w:r>
    </w:p>
    <w:p w14:paraId="0F84751A">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该问卷调查从202</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月</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日开始至202</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月</w:t>
      </w:r>
      <w:r>
        <w:rPr>
          <w:rFonts w:hint="eastAsia" w:ascii="宋体" w:hAnsi="宋体" w:eastAsia="宋体" w:cs="宋体"/>
          <w:b/>
          <w:bCs/>
          <w:color w:val="auto"/>
          <w:sz w:val="24"/>
          <w:szCs w:val="24"/>
          <w:highlight w:val="none"/>
          <w:lang w:val="en-US" w:eastAsia="zh-CN"/>
        </w:rPr>
        <w:t>15</w:t>
      </w:r>
      <w:r>
        <w:rPr>
          <w:rFonts w:hint="eastAsia" w:ascii="宋体" w:hAnsi="宋体" w:eastAsia="宋体" w:cs="宋体"/>
          <w:b/>
          <w:bCs/>
          <w:color w:val="auto"/>
          <w:sz w:val="24"/>
          <w:szCs w:val="24"/>
          <w:highlight w:val="none"/>
        </w:rPr>
        <w:t>日结束，调查问卷共设置</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道题目。</w:t>
      </w:r>
    </w:p>
    <w:p w14:paraId="4FD4EF1C">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2"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调查</w:t>
      </w:r>
      <w:r>
        <w:rPr>
          <w:rFonts w:hint="eastAsia" w:ascii="宋体" w:hAnsi="宋体" w:eastAsia="宋体" w:cs="宋体"/>
          <w:b/>
          <w:bCs/>
          <w:color w:val="auto"/>
          <w:sz w:val="24"/>
          <w:szCs w:val="24"/>
          <w:highlight w:val="none"/>
        </w:rPr>
        <w:t>对象</w:t>
      </w:r>
    </w:p>
    <w:p w14:paraId="443E40F2">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2" w:firstLineChars="200"/>
        <w:jc w:val="both"/>
        <w:textAlignment w:val="auto"/>
        <w:rPr>
          <w:rFonts w:hint="eastAsia" w:ascii="宋体" w:hAnsi="宋体" w:eastAsia="宋体" w:cs="宋体"/>
          <w:b/>
          <w:bCs/>
          <w:i w:val="0"/>
          <w:iCs w:val="0"/>
          <w:color w:val="auto"/>
          <w:sz w:val="24"/>
          <w:szCs w:val="24"/>
          <w:highlight w:val="none"/>
        </w:rPr>
      </w:pPr>
      <w:r>
        <w:rPr>
          <w:rFonts w:hint="eastAsia" w:ascii="宋体" w:hAnsi="宋体" w:eastAsia="宋体" w:cs="宋体"/>
          <w:color w:val="auto"/>
          <w:sz w:val="24"/>
          <w:szCs w:val="24"/>
          <w:highlight w:val="none"/>
        </w:rPr>
        <w:t>本次</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的受益对象为</w:t>
      </w:r>
      <w:r>
        <w:rPr>
          <w:rFonts w:hint="eastAsia" w:ascii="宋体" w:hAnsi="宋体" w:eastAsia="宋体" w:cs="宋体"/>
          <w:color w:val="auto"/>
          <w:sz w:val="24"/>
          <w:szCs w:val="24"/>
          <w:highlight w:val="none"/>
          <w:lang w:val="en-US" w:eastAsia="zh-CN"/>
        </w:rPr>
        <w:t>本单位工作人员及其他人员</w:t>
      </w:r>
      <w:r>
        <w:rPr>
          <w:rFonts w:hint="eastAsia" w:ascii="宋体" w:hAnsi="宋体" w:eastAsia="宋体" w:cs="宋体"/>
          <w:color w:val="auto"/>
          <w:sz w:val="24"/>
          <w:szCs w:val="24"/>
          <w:highlight w:val="none"/>
        </w:rPr>
        <w:t>。。</w:t>
      </w:r>
    </w:p>
    <w:p w14:paraId="34350CEA">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i w:val="0"/>
          <w:iCs w:val="0"/>
          <w:color w:val="auto"/>
          <w:sz w:val="24"/>
          <w:szCs w:val="24"/>
          <w:highlight w:val="none"/>
        </w:rPr>
        <w:t>2.</w:t>
      </w:r>
      <w:r>
        <w:rPr>
          <w:rFonts w:hint="eastAsia" w:ascii="宋体" w:hAnsi="宋体" w:eastAsia="宋体" w:cs="宋体"/>
          <w:b/>
          <w:bCs/>
          <w:i w:val="0"/>
          <w:iCs w:val="0"/>
          <w:color w:val="auto"/>
          <w:sz w:val="24"/>
          <w:szCs w:val="24"/>
          <w:highlight w:val="none"/>
          <w:lang w:eastAsia="zh-CN"/>
        </w:rPr>
        <w:t>调查</w:t>
      </w:r>
      <w:r>
        <w:rPr>
          <w:rFonts w:hint="eastAsia" w:ascii="宋体" w:hAnsi="宋体" w:eastAsia="宋体" w:cs="宋体"/>
          <w:b/>
          <w:bCs/>
          <w:i w:val="0"/>
          <w:iCs w:val="0"/>
          <w:color w:val="auto"/>
          <w:sz w:val="24"/>
          <w:szCs w:val="24"/>
          <w:highlight w:val="none"/>
        </w:rPr>
        <w:t>内容</w:t>
      </w:r>
    </w:p>
    <w:p w14:paraId="3C68A63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kern w:val="0"/>
          <w:sz w:val="24"/>
          <w:szCs w:val="24"/>
          <w:highlight w:val="none"/>
          <w:lang w:val="en-US" w:eastAsia="zh-CN" w:bidi="zh-CN"/>
        </w:rPr>
      </w:pPr>
      <w:r>
        <w:rPr>
          <w:rFonts w:hint="eastAsia" w:ascii="宋体" w:hAnsi="宋体" w:eastAsia="宋体" w:cs="宋体"/>
          <w:color w:val="auto"/>
          <w:sz w:val="24"/>
          <w:szCs w:val="24"/>
          <w:highlight w:val="none"/>
          <w:lang w:val="en-US" w:eastAsia="zh-CN"/>
        </w:rPr>
        <w:t>①</w:t>
      </w:r>
      <w:r>
        <w:rPr>
          <w:rFonts w:hint="eastAsia" w:ascii="宋体" w:hAnsi="宋体" w:eastAsia="宋体" w:cs="宋体"/>
          <w:color w:val="auto"/>
          <w:kern w:val="0"/>
          <w:sz w:val="24"/>
          <w:szCs w:val="24"/>
          <w:highlight w:val="none"/>
          <w:lang w:val="en-US" w:eastAsia="zh-CN" w:bidi="zh-CN"/>
        </w:rPr>
        <w:t>您对行政服务中心及保障性住房水电费项目是否满意：是。</w:t>
      </w:r>
    </w:p>
    <w:p w14:paraId="669DF66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kern w:val="0"/>
          <w:sz w:val="24"/>
          <w:szCs w:val="24"/>
          <w:highlight w:val="none"/>
          <w:lang w:val="en-US" w:eastAsia="zh-CN" w:bidi="zh-CN"/>
        </w:rPr>
      </w:pPr>
      <w:r>
        <w:rPr>
          <w:rFonts w:hint="eastAsia" w:ascii="宋体" w:hAnsi="宋体" w:eastAsia="宋体" w:cs="宋体"/>
          <w:color w:val="auto"/>
          <w:sz w:val="24"/>
          <w:szCs w:val="24"/>
          <w:highlight w:val="none"/>
          <w:lang w:val="en-US" w:eastAsia="zh-CN"/>
        </w:rPr>
        <w:t>②</w:t>
      </w:r>
      <w:r>
        <w:rPr>
          <w:rFonts w:hint="eastAsia" w:ascii="宋体" w:hAnsi="宋体" w:eastAsia="宋体" w:cs="宋体"/>
          <w:color w:val="auto"/>
          <w:kern w:val="0"/>
          <w:sz w:val="24"/>
          <w:szCs w:val="24"/>
          <w:highlight w:val="none"/>
          <w:lang w:val="en-US" w:eastAsia="zh-CN" w:bidi="zh-CN"/>
        </w:rPr>
        <w:t>总的来说，您对目前行政服务中心及保障性住房水电费项目实施后的整体非常满意。</w:t>
      </w:r>
    </w:p>
    <w:p w14:paraId="4E36E322">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2"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调查</w:t>
      </w:r>
      <w:r>
        <w:rPr>
          <w:rFonts w:hint="eastAsia" w:ascii="宋体" w:hAnsi="宋体" w:eastAsia="宋体" w:cs="宋体"/>
          <w:b/>
          <w:bCs/>
          <w:color w:val="auto"/>
          <w:sz w:val="24"/>
          <w:szCs w:val="24"/>
          <w:highlight w:val="none"/>
        </w:rPr>
        <w:t>方法</w:t>
      </w:r>
    </w:p>
    <w:p w14:paraId="1EE10B1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rPr>
        <w:t>问卷调查采取</w:t>
      </w:r>
      <w:r>
        <w:rPr>
          <w:rFonts w:hint="eastAsia" w:ascii="宋体" w:hAnsi="宋体" w:eastAsia="宋体" w:cs="宋体"/>
          <w:color w:val="auto"/>
          <w:sz w:val="24"/>
          <w:szCs w:val="24"/>
          <w:highlight w:val="none"/>
          <w:lang w:val="en-US" w:eastAsia="zh-CN"/>
        </w:rPr>
        <w:t>分层</w:t>
      </w:r>
      <w:r>
        <w:rPr>
          <w:rFonts w:hint="eastAsia" w:ascii="宋体" w:hAnsi="宋体" w:eastAsia="宋体" w:cs="宋体"/>
          <w:color w:val="auto"/>
          <w:sz w:val="24"/>
          <w:szCs w:val="24"/>
          <w:highlight w:val="none"/>
        </w:rPr>
        <w:t>抽样和</w:t>
      </w:r>
      <w:r>
        <w:rPr>
          <w:rFonts w:hint="eastAsia" w:ascii="宋体" w:hAnsi="宋体" w:eastAsia="宋体" w:cs="宋体"/>
          <w:color w:val="auto"/>
          <w:sz w:val="24"/>
          <w:szCs w:val="24"/>
          <w:highlight w:val="none"/>
          <w:lang w:val="en-US" w:eastAsia="zh-CN"/>
        </w:rPr>
        <w:t>随机抽样相结合</w:t>
      </w:r>
      <w:r>
        <w:rPr>
          <w:rFonts w:hint="eastAsia" w:ascii="宋体" w:hAnsi="宋体" w:eastAsia="宋体" w:cs="宋体"/>
          <w:color w:val="auto"/>
          <w:sz w:val="24"/>
          <w:szCs w:val="24"/>
          <w:highlight w:val="none"/>
        </w:rPr>
        <w:t>的方式进行。在全面</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开展之前会先进行论证，依据论证结果对问卷和抽样方案再进行一次修改和调整</w:t>
      </w:r>
      <w:r>
        <w:rPr>
          <w:rFonts w:hint="eastAsia" w:ascii="宋体" w:hAnsi="宋体" w:eastAsia="宋体" w:cs="宋体"/>
          <w:color w:val="auto"/>
          <w:sz w:val="24"/>
          <w:szCs w:val="24"/>
          <w:highlight w:val="none"/>
          <w:lang w:val="en-US" w:eastAsia="zh-CN"/>
        </w:rPr>
        <w:t>之后再付诸实施</w:t>
      </w:r>
      <w:r>
        <w:rPr>
          <w:rFonts w:hint="eastAsia" w:ascii="宋体" w:hAnsi="宋体" w:eastAsia="宋体" w:cs="宋体"/>
          <w:color w:val="auto"/>
          <w:sz w:val="24"/>
          <w:szCs w:val="24"/>
          <w:highlight w:val="none"/>
        </w:rPr>
        <w:t>。</w:t>
      </w:r>
    </w:p>
    <w:p w14:paraId="568E50B6">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2"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抽样方式</w:t>
      </w:r>
    </w:p>
    <w:p w14:paraId="3EC7D1D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rPr>
        <w:t>为确保问卷</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的全面性和代表性，本次</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问卷调查采取</w:t>
      </w:r>
      <w:r>
        <w:rPr>
          <w:rFonts w:hint="eastAsia" w:ascii="宋体" w:hAnsi="宋体" w:eastAsia="宋体" w:cs="宋体"/>
          <w:color w:val="auto"/>
          <w:sz w:val="24"/>
          <w:szCs w:val="24"/>
          <w:highlight w:val="none"/>
          <w:lang w:val="en-US" w:eastAsia="zh-CN"/>
        </w:rPr>
        <w:t>随机</w:t>
      </w:r>
      <w:r>
        <w:rPr>
          <w:rFonts w:hint="eastAsia" w:ascii="宋体" w:hAnsi="宋体" w:eastAsia="宋体" w:cs="宋体"/>
          <w:color w:val="auto"/>
          <w:sz w:val="24"/>
          <w:szCs w:val="24"/>
          <w:highlight w:val="none"/>
        </w:rPr>
        <w:t>抽样和</w:t>
      </w:r>
      <w:r>
        <w:rPr>
          <w:rFonts w:hint="eastAsia" w:ascii="宋体" w:hAnsi="宋体" w:eastAsia="宋体" w:cs="宋体"/>
          <w:color w:val="auto"/>
          <w:sz w:val="24"/>
          <w:szCs w:val="24"/>
          <w:highlight w:val="none"/>
          <w:lang w:val="en-US" w:eastAsia="zh-CN"/>
        </w:rPr>
        <w:t>分层抽样相结合</w:t>
      </w:r>
      <w:r>
        <w:rPr>
          <w:rFonts w:hint="eastAsia" w:ascii="宋体" w:hAnsi="宋体" w:eastAsia="宋体" w:cs="宋体"/>
          <w:color w:val="auto"/>
          <w:sz w:val="24"/>
          <w:szCs w:val="24"/>
          <w:highlight w:val="none"/>
        </w:rPr>
        <w:t>方式进行。</w:t>
      </w:r>
    </w:p>
    <w:p w14:paraId="7ABBF7EA">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rPr>
        <w:t>5.问卷的发放和回收</w:t>
      </w:r>
    </w:p>
    <w:p w14:paraId="5DE04F1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为了给调查对象营造良好的作答环境，保证调查的科学性和严谨性，由我单位工作人员在线下发放问卷，邀请相应的调查对象填写问卷。到目前为止共回收问卷</w:t>
      </w:r>
      <w:r>
        <w:rPr>
          <w:rFonts w:hint="eastAsia" w:ascii="宋体" w:hAnsi="宋体" w:eastAsia="宋体" w:cs="宋体"/>
          <w:color w:val="auto"/>
          <w:sz w:val="24"/>
          <w:szCs w:val="24"/>
          <w:highlight w:val="none"/>
          <w:lang w:val="en-US" w:eastAsia="zh-CN"/>
        </w:rPr>
        <w:t>30份，其中有效问卷30份，有效问卷回</w:t>
      </w:r>
      <w:r>
        <w:rPr>
          <w:rFonts w:hint="eastAsia" w:ascii="宋体" w:hAnsi="宋体" w:eastAsia="宋体" w:cs="宋体"/>
          <w:sz w:val="24"/>
          <w:szCs w:val="24"/>
          <w:highlight w:val="none"/>
          <w:lang w:val="en-US" w:eastAsia="zh-CN"/>
        </w:rPr>
        <w:t>收率为100%。</w:t>
      </w:r>
    </w:p>
    <w:p w14:paraId="149BB1AA">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2" w:firstLineChars="200"/>
        <w:jc w:val="both"/>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6.问卷调查分析结果</w:t>
      </w:r>
    </w:p>
    <w:p w14:paraId="2DAE12A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本次调查过程中，评价小组实际发放问卷30份，回收问卷30份，问卷回收率为100.00%，有效问卷30份，有效回收率100.00%，本次调查的整体情况如下：</w:t>
      </w:r>
    </w:p>
    <w:p w14:paraId="1B8F972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kern w:val="0"/>
          <w:sz w:val="24"/>
          <w:szCs w:val="24"/>
          <w:highlight w:val="none"/>
          <w:lang w:val="en-US" w:eastAsia="zh-CN" w:bidi="zh-CN"/>
        </w:rPr>
        <w:t>行政服务中心及保障性住房水电费项目，</w:t>
      </w:r>
      <w:r>
        <w:rPr>
          <w:rFonts w:hint="eastAsia" w:ascii="宋体" w:hAnsi="宋体" w:eastAsia="宋体" w:cs="宋体"/>
          <w:sz w:val="24"/>
          <w:szCs w:val="24"/>
          <w:highlight w:val="none"/>
          <w:lang w:val="en-US" w:eastAsia="zh-CN"/>
        </w:rPr>
        <w:t>该项统计有效问卷数量30份，选择非常满意的人数为30人。选择比较满意的人数为0人，选择一般的人数0人，选择不满意的人数0人，选择非常不满意的人数0人。</w:t>
      </w:r>
    </w:p>
    <w:p w14:paraId="799D9B08">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二、调查结果统计</w:t>
      </w:r>
    </w:p>
    <w:p w14:paraId="2FA6ECE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kern w:val="0"/>
          <w:sz w:val="24"/>
          <w:szCs w:val="24"/>
          <w:highlight w:val="none"/>
          <w:lang w:val="en-US" w:eastAsia="zh-CN" w:bidi="zh-CN"/>
        </w:rPr>
        <w:t>行政服务中心及保障性住房水电费项目</w:t>
      </w:r>
      <w:r>
        <w:rPr>
          <w:rFonts w:hint="eastAsia" w:ascii="宋体" w:hAnsi="宋体" w:eastAsia="宋体" w:cs="宋体"/>
          <w:sz w:val="24"/>
          <w:szCs w:val="24"/>
          <w:highlight w:val="none"/>
          <w:lang w:val="en-US" w:eastAsia="zh-CN"/>
        </w:rPr>
        <w:t>针对受益人员发放30份调查问卷，最终统计受益人群满意度为100%。</w:t>
      </w:r>
    </w:p>
    <w:p w14:paraId="0354BCD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p>
    <w:p w14:paraId="5156F40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center"/>
        <w:textAlignment w:val="auto"/>
        <w:rPr>
          <w:rFonts w:hint="eastAsia" w:ascii="宋体" w:hAnsi="宋体" w:eastAsia="宋体" w:cs="宋体"/>
          <w:kern w:val="0"/>
          <w:sz w:val="24"/>
          <w:szCs w:val="24"/>
          <w:highlight w:val="none"/>
          <w:lang w:val="en-US" w:eastAsia="zh-CN" w:bidi="zh-CN"/>
        </w:rPr>
      </w:pPr>
      <w:r>
        <w:rPr>
          <w:rFonts w:hint="eastAsia" w:ascii="宋体" w:hAnsi="宋体" w:eastAsia="宋体" w:cs="宋体"/>
          <w:kern w:val="0"/>
          <w:sz w:val="24"/>
          <w:szCs w:val="24"/>
          <w:highlight w:val="none"/>
          <w:lang w:val="en-US" w:eastAsia="zh-CN" w:bidi="zh-CN"/>
        </w:rPr>
        <w:t xml:space="preserve">                             中共洛浦县委办公室</w:t>
      </w:r>
    </w:p>
    <w:p w14:paraId="63DF9D7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2025年2月15日</w:t>
      </w:r>
    </w:p>
    <w:p w14:paraId="420E8FED">
      <w:pPr>
        <w:ind w:left="0" w:leftChars="0" w:firstLine="0" w:firstLineChars="0"/>
        <w:rPr>
          <w:highlight w:val="none"/>
        </w:rPr>
      </w:pPr>
    </w:p>
    <w:p w14:paraId="75F42C5F">
      <w:pPr>
        <w:pStyle w:val="10"/>
        <w:rPr>
          <w:rFonts w:hint="eastAsia" w:ascii="宋体" w:hAnsi="宋体" w:eastAsia="宋体" w:cs="宋体"/>
          <w:sz w:val="24"/>
          <w:szCs w:val="24"/>
          <w:highlight w:val="none"/>
          <w:lang w:eastAsia="zh-CN"/>
        </w:rPr>
      </w:pPr>
    </w:p>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074307">
    <w:pPr>
      <w:pStyle w:val="1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7D2C0">
    <w:pPr>
      <w:pStyle w:val="16"/>
      <w:ind w:firstLine="360"/>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14:paraId="1BEDBCC8">
                <w:pPr>
                  <w:pStyle w:val="16"/>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第 </w:t>
                </w: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PAGE  \* MERGEFORMAT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rPr>
                  <w:t>1</w:t>
                </w:r>
                <w:r>
                  <w:rPr>
                    <w:rFonts w:hint="eastAsia" w:ascii="宋体" w:hAnsi="宋体" w:eastAsia="宋体" w:cs="宋体"/>
                    <w:b w:val="0"/>
                    <w:bCs w:val="0"/>
                    <w:sz w:val="21"/>
                    <w:szCs w:val="21"/>
                  </w:rPr>
                  <w:fldChar w:fldCharType="end"/>
                </w:r>
                <w:r>
                  <w:rPr>
                    <w:rFonts w:hint="eastAsia" w:ascii="宋体" w:hAnsi="宋体" w:eastAsia="宋体" w:cs="宋体"/>
                    <w:b w:val="0"/>
                    <w:bCs w:val="0"/>
                    <w:sz w:val="21"/>
                    <w:szCs w:val="21"/>
                  </w:rPr>
                  <w:t xml:space="preserve"> 页 共 </w:t>
                </w:r>
                <w:r>
                  <w:rPr>
                    <w:rFonts w:hint="eastAsia" w:ascii="宋体" w:hAnsi="宋体" w:eastAsia="宋体" w:cs="宋体"/>
                    <w:b w:val="0"/>
                    <w:bCs w:val="0"/>
                    <w:sz w:val="21"/>
                    <w:szCs w:val="21"/>
                    <w:lang w:val="en-US" w:eastAsia="zh-CN"/>
                  </w:rPr>
                  <w:t>25</w:t>
                </w:r>
                <w:r>
                  <w:rPr>
                    <w:rFonts w:hint="eastAsia" w:ascii="宋体" w:hAnsi="宋体" w:eastAsia="宋体" w:cs="宋体"/>
                    <w:b w:val="0"/>
                    <w:bCs w:val="0"/>
                    <w:sz w:val="21"/>
                    <w:szCs w:val="21"/>
                  </w:rPr>
                  <w:t xml:space="preserve"> 页</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A43756">
    <w:pPr>
      <w:pStyle w:val="17"/>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1"/>
      <w:numFmt w:val="decimal"/>
      <w:suff w:val="nothing"/>
      <w:lvlText w:val="（%1）"/>
      <w:lvlJc w:val="left"/>
    </w:lvl>
  </w:abstractNum>
  <w:abstractNum w:abstractNumId="1">
    <w:nsid w:val="BF205925"/>
    <w:multiLevelType w:val="singleLevel"/>
    <w:tmpl w:val="BF205925"/>
    <w:lvl w:ilvl="0" w:tentative="0">
      <w:start w:val="2"/>
      <w:numFmt w:val="chineseCounting"/>
      <w:suff w:val="nothing"/>
      <w:lvlText w:val="%1、"/>
      <w:lvlJc w:val="left"/>
      <w:rPr>
        <w:rFonts w:hint="eastAsia"/>
      </w:rPr>
    </w:lvl>
  </w:abstractNum>
  <w:abstractNum w:abstractNumId="2">
    <w:nsid w:val="CF092B84"/>
    <w:multiLevelType w:val="singleLevel"/>
    <w:tmpl w:val="CF092B84"/>
    <w:lvl w:ilvl="0" w:tentative="0">
      <w:start w:val="1"/>
      <w:numFmt w:val="decimal"/>
      <w:suff w:val="nothing"/>
      <w:lvlText w:val="（%1）"/>
      <w:lvlJc w:val="left"/>
    </w:lvl>
  </w:abstractNum>
  <w:abstractNum w:abstractNumId="3">
    <w:nsid w:val="0053208E"/>
    <w:multiLevelType w:val="singleLevel"/>
    <w:tmpl w:val="0053208E"/>
    <w:lvl w:ilvl="0" w:tentative="0">
      <w:start w:val="2"/>
      <w:numFmt w:val="decimal"/>
      <w:lvlText w:val="%1."/>
      <w:lvlJc w:val="left"/>
      <w:pPr>
        <w:tabs>
          <w:tab w:val="left" w:pos="312"/>
        </w:tabs>
      </w:pPr>
    </w:lvl>
  </w:abstractNum>
  <w:abstractNum w:abstractNumId="4">
    <w:nsid w:val="03D62ECE"/>
    <w:multiLevelType w:val="singleLevel"/>
    <w:tmpl w:val="03D62ECE"/>
    <w:lvl w:ilvl="0" w:tentative="0">
      <w:start w:val="7"/>
      <w:numFmt w:val="chineseCounting"/>
      <w:suff w:val="nothing"/>
      <w:lvlText w:val="%1、"/>
      <w:lvlJc w:val="left"/>
      <w:rPr>
        <w:rFonts w:hint="eastAsia"/>
      </w:rPr>
    </w:lvl>
  </w:abstractNum>
  <w:abstractNum w:abstractNumId="5">
    <w:nsid w:val="59ADCABA"/>
    <w:multiLevelType w:val="singleLevel"/>
    <w:tmpl w:val="59ADCABA"/>
    <w:lvl w:ilvl="0" w:tentative="0">
      <w:start w:val="1"/>
      <w:numFmt w:val="decimal"/>
      <w:suff w:val="nothing"/>
      <w:lvlText w:val="%1）"/>
      <w:lvlJc w:val="left"/>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361879A6"/>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4">
    <w:name w:val="heading 1"/>
    <w:basedOn w:val="1"/>
    <w:next w:val="2"/>
    <w:link w:val="33"/>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link w:val="34"/>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5"/>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6"/>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6">
    <w:name w:val="Default Paragraph Font"/>
    <w:unhideWhenUsed/>
    <w:uiPriority w:val="1"/>
  </w:style>
  <w:style w:type="table" w:default="1" w:styleId="24">
    <w:name w:val="Normal Table"/>
    <w:unhideWhenUsed/>
    <w:qFormat/>
    <w:uiPriority w:val="99"/>
    <w:tblPr>
      <w:tblCellMar>
        <w:top w:w="0" w:type="dxa"/>
        <w:left w:w="108" w:type="dxa"/>
        <w:bottom w:w="0" w:type="dxa"/>
        <w:right w:w="108" w:type="dxa"/>
      </w:tblCellMar>
    </w:tblPr>
  </w:style>
  <w:style w:type="paragraph" w:styleId="2">
    <w:name w:val="Body Text First Indent 2"/>
    <w:basedOn w:val="3"/>
    <w:link w:val="32"/>
    <w:unhideWhenUsed/>
    <w:qFormat/>
    <w:uiPriority w:val="0"/>
    <w:pPr>
      <w:ind w:firstLine="420"/>
    </w:pPr>
  </w:style>
  <w:style w:type="paragraph" w:styleId="3">
    <w:name w:val="Body Text Indent"/>
    <w:basedOn w:val="1"/>
    <w:link w:val="31"/>
    <w:unhideWhenUsed/>
    <w:uiPriority w:val="99"/>
    <w:pPr>
      <w:spacing w:after="120"/>
      <w:ind w:left="420" w:leftChars="200"/>
    </w:pPr>
    <w:rPr>
      <w:rFonts w:cs="Times New Roman"/>
      <w:kern w:val="0"/>
      <w:szCs w:val="20"/>
    </w:rPr>
  </w:style>
  <w:style w:type="paragraph" w:styleId="8">
    <w:name w:val="toc 7"/>
    <w:basedOn w:val="1"/>
    <w:next w:val="1"/>
    <w:unhideWhenUsed/>
    <w:uiPriority w:val="39"/>
    <w:pPr>
      <w:ind w:left="1680"/>
      <w:jc w:val="left"/>
    </w:pPr>
    <w:rPr>
      <w:rFonts w:ascii="Calibri" w:hAnsi="Calibri" w:cs="Calibri"/>
      <w:sz w:val="18"/>
      <w:szCs w:val="18"/>
    </w:rPr>
  </w:style>
  <w:style w:type="paragraph" w:styleId="9">
    <w:name w:val="Document Map"/>
    <w:basedOn w:val="1"/>
    <w:link w:val="37"/>
    <w:unhideWhenUsed/>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uiPriority w:val="39"/>
    <w:pPr>
      <w:ind w:left="1120"/>
      <w:jc w:val="left"/>
    </w:pPr>
    <w:rPr>
      <w:rFonts w:ascii="Calibri" w:hAnsi="Calibri" w:cs="Calibri"/>
      <w:sz w:val="18"/>
      <w:szCs w:val="18"/>
    </w:rPr>
  </w:style>
  <w:style w:type="paragraph" w:styleId="12">
    <w:name w:val="toc 3"/>
    <w:basedOn w:val="1"/>
    <w:next w:val="1"/>
    <w:unhideWhenUsed/>
    <w:uiPriority w:val="39"/>
    <w:pPr>
      <w:ind w:left="560"/>
      <w:jc w:val="left"/>
    </w:pPr>
    <w:rPr>
      <w:rFonts w:ascii="Calibri" w:hAnsi="Calibri" w:cs="Calibri"/>
      <w:i/>
      <w:iCs/>
      <w:sz w:val="20"/>
      <w:szCs w:val="20"/>
    </w:rPr>
  </w:style>
  <w:style w:type="paragraph" w:styleId="13">
    <w:name w:val="Plain Text"/>
    <w:basedOn w:val="1"/>
    <w:qFormat/>
    <w:uiPriority w:val="0"/>
    <w:rPr>
      <w:rFonts w:ascii="宋体" w:hAnsi="Courier New"/>
    </w:rPr>
  </w:style>
  <w:style w:type="paragraph" w:styleId="14">
    <w:name w:val="toc 8"/>
    <w:basedOn w:val="1"/>
    <w:next w:val="1"/>
    <w:unhideWhenUsed/>
    <w:uiPriority w:val="39"/>
    <w:pPr>
      <w:ind w:left="1960"/>
      <w:jc w:val="left"/>
    </w:pPr>
    <w:rPr>
      <w:rFonts w:ascii="Calibri" w:hAnsi="Calibri" w:cs="Calibri"/>
      <w:sz w:val="18"/>
      <w:szCs w:val="18"/>
    </w:rPr>
  </w:style>
  <w:style w:type="paragraph" w:styleId="15">
    <w:name w:val="Balloon Text"/>
    <w:basedOn w:val="1"/>
    <w:link w:val="39"/>
    <w:unhideWhenUsed/>
    <w:uiPriority w:val="99"/>
    <w:rPr>
      <w:rFonts w:cs="Times New Roman"/>
      <w:kern w:val="0"/>
      <w:sz w:val="18"/>
      <w:szCs w:val="18"/>
    </w:rPr>
  </w:style>
  <w:style w:type="paragraph" w:styleId="16">
    <w:name w:val="footer"/>
    <w:basedOn w:val="1"/>
    <w:link w:val="40"/>
    <w:unhideWhenUsed/>
    <w:qFormat/>
    <w:uiPriority w:val="99"/>
    <w:pPr>
      <w:tabs>
        <w:tab w:val="center" w:pos="4153"/>
        <w:tab w:val="right" w:pos="8306"/>
      </w:tabs>
      <w:snapToGrid w:val="0"/>
      <w:jc w:val="left"/>
    </w:pPr>
    <w:rPr>
      <w:rFonts w:cs="Times New Roman"/>
      <w:kern w:val="0"/>
      <w:sz w:val="18"/>
      <w:szCs w:val="18"/>
    </w:rPr>
  </w:style>
  <w:style w:type="paragraph" w:styleId="17">
    <w:name w:val="header"/>
    <w:basedOn w:val="1"/>
    <w:link w:val="41"/>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8">
    <w:name w:val="toc 1"/>
    <w:basedOn w:val="1"/>
    <w:next w:val="1"/>
    <w:unhideWhenUsed/>
    <w:uiPriority w:val="39"/>
    <w:pPr>
      <w:spacing w:before="120" w:after="120"/>
      <w:jc w:val="left"/>
    </w:pPr>
    <w:rPr>
      <w:rFonts w:ascii="Calibri" w:hAnsi="Calibri" w:cs="Calibri"/>
      <w:b/>
      <w:bCs/>
      <w:caps/>
      <w:sz w:val="20"/>
      <w:szCs w:val="20"/>
    </w:rPr>
  </w:style>
  <w:style w:type="paragraph" w:styleId="19">
    <w:name w:val="toc 4"/>
    <w:basedOn w:val="1"/>
    <w:next w:val="1"/>
    <w:unhideWhenUsed/>
    <w:uiPriority w:val="39"/>
    <w:pPr>
      <w:ind w:left="840"/>
      <w:jc w:val="left"/>
    </w:pPr>
    <w:rPr>
      <w:rFonts w:ascii="Calibri" w:hAnsi="Calibri" w:cs="Calibri"/>
      <w:sz w:val="18"/>
      <w:szCs w:val="18"/>
    </w:rPr>
  </w:style>
  <w:style w:type="paragraph" w:styleId="20">
    <w:name w:val="toc 6"/>
    <w:basedOn w:val="1"/>
    <w:next w:val="1"/>
    <w:unhideWhenUsed/>
    <w:uiPriority w:val="39"/>
    <w:pPr>
      <w:ind w:left="1400"/>
      <w:jc w:val="left"/>
    </w:pPr>
    <w:rPr>
      <w:rFonts w:ascii="Calibri" w:hAnsi="Calibri" w:cs="Calibri"/>
      <w:sz w:val="18"/>
      <w:szCs w:val="18"/>
    </w:rPr>
  </w:style>
  <w:style w:type="paragraph" w:styleId="21">
    <w:name w:val="toc 2"/>
    <w:basedOn w:val="1"/>
    <w:next w:val="1"/>
    <w:unhideWhenUsed/>
    <w:uiPriority w:val="39"/>
    <w:pPr>
      <w:ind w:left="280"/>
      <w:jc w:val="left"/>
    </w:pPr>
    <w:rPr>
      <w:rFonts w:ascii="Calibri" w:hAnsi="Calibri" w:cs="Calibri"/>
      <w:smallCaps/>
      <w:sz w:val="20"/>
      <w:szCs w:val="20"/>
    </w:rPr>
  </w:style>
  <w:style w:type="paragraph" w:styleId="22">
    <w:name w:val="toc 9"/>
    <w:basedOn w:val="1"/>
    <w:next w:val="1"/>
    <w:unhideWhenUsed/>
    <w:uiPriority w:val="39"/>
    <w:pPr>
      <w:ind w:left="2240"/>
      <w:jc w:val="left"/>
    </w:pPr>
    <w:rPr>
      <w:rFonts w:ascii="Calibri" w:hAnsi="Calibri" w:cs="Calibri"/>
      <w:sz w:val="18"/>
      <w:szCs w:val="18"/>
    </w:rPr>
  </w:style>
  <w:style w:type="paragraph" w:styleId="23">
    <w:name w:val="Title"/>
    <w:basedOn w:val="1"/>
    <w:next w:val="1"/>
    <w:link w:val="42"/>
    <w:qFormat/>
    <w:uiPriority w:val="10"/>
    <w:pPr>
      <w:spacing w:before="240" w:after="60"/>
      <w:jc w:val="center"/>
      <w:outlineLvl w:val="0"/>
    </w:pPr>
    <w:rPr>
      <w:rFonts w:ascii="Cambria" w:hAnsi="Cambria" w:eastAsia="宋体" w:cs="Times New Roman"/>
      <w:b/>
      <w:bCs/>
      <w:sz w:val="32"/>
      <w:szCs w:val="32"/>
    </w:rPr>
  </w:style>
  <w:style w:type="table" w:styleId="25">
    <w:name w:val="Table Grid"/>
    <w:basedOn w:val="2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Hyperlink"/>
    <w:unhideWhenUsed/>
    <w:uiPriority w:val="99"/>
    <w:rPr>
      <w:color w:val="0000FF"/>
      <w:u w:val="single"/>
    </w:rPr>
  </w:style>
  <w:style w:type="paragraph" w:customStyle="1" w:styleId="28">
    <w:name w:val="Comment Text"/>
    <w:basedOn w:val="1"/>
    <w:link w:val="38"/>
    <w:unhideWhenUsed/>
    <w:uiPriority w:val="99"/>
    <w:rPr>
      <w:rFonts w:cs="Times New Roman"/>
      <w:kern w:val="0"/>
      <w:sz w:val="20"/>
      <w:szCs w:val="20"/>
    </w:rPr>
  </w:style>
  <w:style w:type="paragraph" w:customStyle="1" w:styleId="29">
    <w:name w:val="Comment Subject"/>
    <w:basedOn w:val="28"/>
    <w:next w:val="28"/>
    <w:link w:val="43"/>
    <w:unhideWhenUsed/>
    <w:uiPriority w:val="99"/>
    <w:rPr>
      <w:b/>
      <w:bCs/>
    </w:rPr>
  </w:style>
  <w:style w:type="character" w:customStyle="1" w:styleId="30">
    <w:name w:val="Comment Reference"/>
    <w:unhideWhenUsed/>
    <w:uiPriority w:val="99"/>
    <w:rPr>
      <w:sz w:val="16"/>
      <w:szCs w:val="16"/>
    </w:rPr>
  </w:style>
  <w:style w:type="character" w:customStyle="1" w:styleId="31">
    <w:name w:val="正文文本缩进 Char"/>
    <w:link w:val="3"/>
    <w:semiHidden/>
    <w:uiPriority w:val="99"/>
    <w:rPr>
      <w:rFonts w:ascii="Calibri" w:hAnsi="Calibri" w:eastAsia="仿宋_GB2312" w:cs="黑体"/>
      <w:sz w:val="28"/>
    </w:rPr>
  </w:style>
  <w:style w:type="character" w:customStyle="1" w:styleId="32">
    <w:name w:val="正文首行缩进 2 Char"/>
    <w:link w:val="2"/>
    <w:uiPriority w:val="0"/>
    <w:rPr>
      <w:rFonts w:ascii="Calibri" w:hAnsi="Calibri" w:eastAsia="仿宋_GB2312" w:cs="黑体"/>
      <w:sz w:val="28"/>
    </w:rPr>
  </w:style>
  <w:style w:type="character" w:customStyle="1" w:styleId="33">
    <w:name w:val="标题 1 Char"/>
    <w:link w:val="4"/>
    <w:uiPriority w:val="9"/>
    <w:rPr>
      <w:rFonts w:ascii="Times New Roman" w:hAnsi="Times New Roman" w:eastAsia="仿宋_GB2312" w:cs="Times New Roman"/>
      <w:b/>
      <w:bCs/>
      <w:kern w:val="44"/>
      <w:sz w:val="32"/>
      <w:szCs w:val="44"/>
    </w:rPr>
  </w:style>
  <w:style w:type="character" w:customStyle="1" w:styleId="34">
    <w:name w:val="标题 2 Char"/>
    <w:link w:val="5"/>
    <w:uiPriority w:val="0"/>
    <w:rPr>
      <w:rFonts w:ascii="Cambria" w:hAnsi="Cambria" w:eastAsia="仿宋_GB2312" w:cs="Times New Roman"/>
      <w:b/>
      <w:bCs/>
      <w:kern w:val="0"/>
      <w:sz w:val="30"/>
      <w:szCs w:val="32"/>
    </w:rPr>
  </w:style>
  <w:style w:type="character" w:customStyle="1" w:styleId="35">
    <w:name w:val="标题 3 Char"/>
    <w:link w:val="6"/>
    <w:uiPriority w:val="9"/>
    <w:rPr>
      <w:rFonts w:ascii="Calibri" w:hAnsi="Calibri" w:eastAsia="仿宋_GB2312" w:cs="黑体"/>
      <w:bCs/>
      <w:sz w:val="28"/>
      <w:szCs w:val="32"/>
    </w:rPr>
  </w:style>
  <w:style w:type="character" w:customStyle="1" w:styleId="36">
    <w:name w:val="标题 4 Char"/>
    <w:link w:val="7"/>
    <w:semiHidden/>
    <w:uiPriority w:val="9"/>
    <w:rPr>
      <w:rFonts w:ascii="Cambria" w:hAnsi="Cambria" w:eastAsia="宋体" w:cs="Times New Roman"/>
      <w:b/>
      <w:bCs/>
      <w:sz w:val="28"/>
      <w:szCs w:val="28"/>
    </w:rPr>
  </w:style>
  <w:style w:type="character" w:customStyle="1" w:styleId="37">
    <w:name w:val="文档结构图 Char"/>
    <w:link w:val="9"/>
    <w:semiHidden/>
    <w:uiPriority w:val="99"/>
    <w:rPr>
      <w:rFonts w:ascii="宋体" w:hAnsi="Calibri" w:eastAsia="宋体" w:cs="黑体"/>
      <w:sz w:val="18"/>
      <w:szCs w:val="18"/>
    </w:rPr>
  </w:style>
  <w:style w:type="character" w:customStyle="1" w:styleId="38">
    <w:name w:val="批注文字 Char"/>
    <w:link w:val="28"/>
    <w:semiHidden/>
    <w:uiPriority w:val="99"/>
    <w:rPr>
      <w:rFonts w:ascii="Calibri" w:hAnsi="Calibri" w:eastAsia="仿宋_GB2312" w:cs="黑体"/>
      <w:sz w:val="20"/>
      <w:szCs w:val="20"/>
    </w:rPr>
  </w:style>
  <w:style w:type="character" w:customStyle="1" w:styleId="39">
    <w:name w:val="批注框文本 Char"/>
    <w:link w:val="15"/>
    <w:semiHidden/>
    <w:uiPriority w:val="99"/>
    <w:rPr>
      <w:rFonts w:ascii="Calibri" w:hAnsi="Calibri" w:eastAsia="仿宋_GB2312" w:cs="黑体"/>
      <w:sz w:val="18"/>
      <w:szCs w:val="18"/>
    </w:rPr>
  </w:style>
  <w:style w:type="character" w:customStyle="1" w:styleId="40">
    <w:name w:val="页脚 Char"/>
    <w:link w:val="16"/>
    <w:uiPriority w:val="99"/>
    <w:rPr>
      <w:rFonts w:ascii="Calibri" w:hAnsi="Calibri" w:eastAsia="仿宋_GB2312" w:cs="黑体"/>
      <w:sz w:val="18"/>
      <w:szCs w:val="18"/>
    </w:rPr>
  </w:style>
  <w:style w:type="character" w:customStyle="1" w:styleId="41">
    <w:name w:val="页眉 Char"/>
    <w:link w:val="17"/>
    <w:uiPriority w:val="99"/>
    <w:rPr>
      <w:rFonts w:ascii="Calibri" w:hAnsi="Calibri" w:eastAsia="仿宋_GB2312" w:cs="黑体"/>
      <w:sz w:val="18"/>
      <w:szCs w:val="18"/>
    </w:rPr>
  </w:style>
  <w:style w:type="character" w:customStyle="1" w:styleId="42">
    <w:name w:val="标题 Char"/>
    <w:link w:val="23"/>
    <w:uiPriority w:val="10"/>
    <w:rPr>
      <w:rFonts w:ascii="Cambria" w:hAnsi="Cambria"/>
      <w:b/>
      <w:bCs/>
      <w:kern w:val="2"/>
      <w:sz w:val="32"/>
      <w:szCs w:val="32"/>
    </w:rPr>
  </w:style>
  <w:style w:type="character" w:customStyle="1" w:styleId="43">
    <w:name w:val="批注主题 Char"/>
    <w:link w:val="29"/>
    <w:semiHidden/>
    <w:uiPriority w:val="99"/>
    <w:rPr>
      <w:rFonts w:ascii="Calibri" w:hAnsi="Calibri" w:eastAsia="仿宋_GB2312" w:cs="黑体"/>
      <w:b/>
      <w:bCs/>
      <w:sz w:val="20"/>
      <w:szCs w:val="20"/>
    </w:rPr>
  </w:style>
  <w:style w:type="character" w:customStyle="1" w:styleId="44">
    <w:name w:val="闻政-正文一级标题 Char"/>
    <w:link w:val="45"/>
    <w:uiPriority w:val="3"/>
    <w:rPr>
      <w:rFonts w:ascii="黑体" w:hAnsi="黑体" w:eastAsia="黑体"/>
      <w:bCs/>
      <w:sz w:val="32"/>
      <w:szCs w:val="32"/>
    </w:rPr>
  </w:style>
  <w:style w:type="paragraph" w:customStyle="1" w:styleId="45">
    <w:name w:val="闻政-正文一级标题"/>
    <w:basedOn w:val="6"/>
    <w:next w:val="46"/>
    <w:link w:val="44"/>
    <w:qFormat/>
    <w:uiPriority w:val="3"/>
    <w:pPr>
      <w:spacing w:before="120" w:after="60" w:line="500" w:lineRule="exact"/>
      <w:ind w:firstLine="0" w:firstLineChars="0"/>
      <w:outlineLvl w:val="0"/>
    </w:pPr>
    <w:rPr>
      <w:rFonts w:ascii="黑体" w:hAnsi="黑体" w:eastAsia="黑体"/>
      <w:sz w:val="32"/>
    </w:rPr>
  </w:style>
  <w:style w:type="paragraph" w:customStyle="1" w:styleId="46">
    <w:name w:val="闻政-正文段落文字"/>
    <w:basedOn w:val="1"/>
    <w:link w:val="47"/>
    <w:qFormat/>
    <w:uiPriority w:val="3"/>
    <w:pPr>
      <w:spacing w:line="500" w:lineRule="exact"/>
      <w:ind w:firstLine="200"/>
    </w:pPr>
    <w:rPr>
      <w:rFonts w:ascii="Times New Roman" w:hAnsi="Times New Roman" w:cs="Times New Roman"/>
      <w:kern w:val="0"/>
      <w:szCs w:val="28"/>
    </w:rPr>
  </w:style>
  <w:style w:type="character" w:customStyle="1" w:styleId="47">
    <w:name w:val="闻政-正文段落文字 Char"/>
    <w:link w:val="46"/>
    <w:uiPriority w:val="3"/>
    <w:rPr>
      <w:rFonts w:ascii="Times New Roman" w:hAnsi="Times New Roman" w:eastAsia="仿宋_GB2312"/>
      <w:sz w:val="28"/>
      <w:szCs w:val="28"/>
    </w:rPr>
  </w:style>
  <w:style w:type="character" w:customStyle="1" w:styleId="48">
    <w:name w:val="闻政-正文二级标题 Char"/>
    <w:link w:val="49"/>
    <w:uiPriority w:val="3"/>
    <w:rPr>
      <w:rFonts w:ascii="Times New Roman" w:hAnsi="Times New Roman" w:eastAsia="仿宋_GB2312"/>
      <w:b/>
      <w:bCs/>
      <w:sz w:val="28"/>
      <w:szCs w:val="32"/>
    </w:rPr>
  </w:style>
  <w:style w:type="paragraph" w:customStyle="1" w:styleId="49">
    <w:name w:val="闻政-正文二级标题"/>
    <w:basedOn w:val="5"/>
    <w:next w:val="46"/>
    <w:link w:val="48"/>
    <w:qFormat/>
    <w:uiPriority w:val="3"/>
    <w:pPr>
      <w:spacing w:before="120" w:after="60" w:line="500" w:lineRule="exact"/>
      <w:ind w:left="200" w:leftChars="200" w:firstLine="0" w:firstLineChars="0"/>
    </w:pPr>
    <w:rPr>
      <w:rFonts w:ascii="Times New Roman" w:hAnsi="Times New Roman"/>
      <w:sz w:val="28"/>
    </w:rPr>
  </w:style>
  <w:style w:type="character" w:customStyle="1" w:styleId="50">
    <w:name w:val="font11"/>
    <w:uiPriority w:val="0"/>
    <w:rPr>
      <w:rFonts w:hint="eastAsia" w:ascii="方正仿宋_GBK" w:hAnsi="方正仿宋_GBK" w:eastAsia="方正仿宋_GBK" w:cs="方正仿宋_GBK"/>
      <w:color w:val="000000"/>
      <w:sz w:val="24"/>
      <w:szCs w:val="24"/>
      <w:u w:val="none"/>
    </w:rPr>
  </w:style>
  <w:style w:type="character" w:customStyle="1" w:styleId="51">
    <w:name w:val="51"/>
    <w:qFormat/>
    <w:uiPriority w:val="0"/>
    <w:rPr>
      <w:b/>
      <w:bCs/>
      <w:smallCaps/>
      <w:color w:val="C0504D"/>
      <w:spacing w:val="5"/>
      <w:u w:val="single"/>
    </w:rPr>
  </w:style>
  <w:style w:type="character" w:customStyle="1" w:styleId="52">
    <w:name w:val="闻政-正文三级标题 Char"/>
    <w:link w:val="53"/>
    <w:uiPriority w:val="3"/>
    <w:rPr>
      <w:rFonts w:ascii="Times New Roman" w:hAnsi="Times New Roman" w:eastAsia="仿宋_GB2312"/>
      <w:b/>
      <w:snapToGrid w:val="0"/>
      <w:sz w:val="28"/>
      <w:szCs w:val="28"/>
    </w:rPr>
  </w:style>
  <w:style w:type="paragraph" w:customStyle="1" w:styleId="53">
    <w:name w:val="闻政-正文三级标题"/>
    <w:basedOn w:val="1"/>
    <w:next w:val="46"/>
    <w:link w:val="52"/>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4">
    <w:name w:val="font21"/>
    <w:uiPriority w:val="0"/>
    <w:rPr>
      <w:rFonts w:hint="default" w:ascii="Times New Roman" w:hAnsi="Times New Roman" w:cs="Times New Roman"/>
      <w:color w:val="000000"/>
      <w:sz w:val="24"/>
      <w:szCs w:val="24"/>
      <w:u w:val="none"/>
    </w:rPr>
  </w:style>
  <w:style w:type="character" w:customStyle="1" w:styleId="55">
    <w:name w:val="无间隔 Char"/>
    <w:link w:val="56"/>
    <w:uiPriority w:val="1"/>
    <w:rPr>
      <w:rFonts w:eastAsia="仿宋_GB2312" w:cs="黑体"/>
      <w:kern w:val="2"/>
      <w:sz w:val="28"/>
      <w:szCs w:val="22"/>
      <w:lang w:val="en-US" w:eastAsia="zh-CN" w:bidi="ar-SA"/>
    </w:rPr>
  </w:style>
  <w:style w:type="paragraph" w:styleId="56">
    <w:name w:val="No Spacing"/>
    <w:link w:val="55"/>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57">
    <w:name w:val="List Paragraph"/>
    <w:basedOn w:val="1"/>
    <w:qFormat/>
    <w:uiPriority w:val="34"/>
    <w:pPr>
      <w:ind w:firstLine="420"/>
    </w:pPr>
  </w:style>
  <w:style w:type="paragraph" w:customStyle="1" w:styleId="58">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character" w:customStyle="1" w:styleId="59">
    <w:name w:val="font71"/>
    <w:basedOn w:val="26"/>
    <w:uiPriority w:val="0"/>
    <w:rPr>
      <w:rFonts w:hint="eastAsia" w:ascii="微软雅黑" w:hAnsi="微软雅黑" w:eastAsia="微软雅黑" w:cs="微软雅黑"/>
      <w:b/>
      <w:bCs/>
      <w:color w:val="000000"/>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8AA85398735443B1822CAD5B2651DB95_13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d7315e-6c51-4301-92ae-c1ca0e501d6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26</Pages>
  <Words>10787</Words>
  <Characters>11367</Characters>
  <Lines>44</Lines>
  <Paragraphs>12</Paragraphs>
  <TotalTime>6</TotalTime>
  <ScaleCrop>false</ScaleCrop>
  <LinksUpToDate>false</LinksUpToDate>
  <CharactersWithSpaces>11419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2025-10-10T10:25:58Z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8AA85398735443B1822CAD5B2651DB95_13</vt:lpwstr>
  </property>
  <property fmtid="{D5CDD505-2E9C-101B-9397-08002B2CF9AE}" pid="4" name="KSOTemplateDocerSaveRecord">
    <vt:lpwstr>eyJoZGlkIjoiZDE5MGZhMTJhZDM2OTQwYzkzYWVjM2FhZDUxN2Q0M2IiLCJ1c2VySWQiOiI2NTE5NDIwMjYifQ_x003D__x003D_</vt:lpwstr>
  </property>
</Properties>
</file>