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A2BC71">
      <w:bookmarkStart w:id="18" w:name="_GoBack"/>
      <w:bookmarkEnd w:id="18"/>
    </w:p>
    <w:p w14:paraId="40F56ADF">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7F1C5C5C">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和田地区洛浦县2022年中央补助地方公共文化服务</w:t>
      </w:r>
    </w:p>
    <w:p w14:paraId="33B6EDB7">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体系建设补助资金（一般项目，绩效奖）</w:t>
      </w:r>
    </w:p>
    <w:p w14:paraId="5AC9C117">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pPr>
      <w:r>
        <w:rPr>
          <w:rFonts w:hint="eastAsia" w:ascii="黑体" w:hAnsi="黑体" w:eastAsia="黑体" w:cs="黑体"/>
          <w:b/>
          <w:sz w:val="36"/>
          <w:szCs w:val="36"/>
          <w:lang w:val="en-US" w:eastAsia="zh-CN"/>
        </w:rPr>
        <w:t>项目支出绩效评价报告</w:t>
      </w:r>
    </w:p>
    <w:p w14:paraId="4CF24423">
      <w:pPr>
        <w:pStyle w:val="2"/>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2024年度</w:t>
      </w:r>
      <w:r>
        <w:rPr>
          <w:rFonts w:hint="eastAsia" w:ascii="宋体" w:hAnsi="宋体" w:eastAsia="宋体" w:cs="宋体"/>
          <w:sz w:val="24"/>
          <w:szCs w:val="24"/>
          <w:lang w:eastAsia="zh-CN"/>
        </w:rPr>
        <w:t>）</w:t>
      </w:r>
    </w:p>
    <w:p w14:paraId="37052417">
      <w:pPr>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eastAsia="方正仿宋_GBK" w:cs="方正仿宋_GBK"/>
          <w:b/>
          <w:kern w:val="0"/>
          <w:sz w:val="32"/>
          <w:szCs w:val="32"/>
          <w:lang w:bidi="en-US"/>
        </w:rPr>
      </w:pPr>
    </w:p>
    <w:p w14:paraId="2A9FD801">
      <w:pPr>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eastAsia="方正仿宋_GBK" w:cs="方正仿宋_GBK"/>
          <w:b/>
          <w:kern w:val="0"/>
          <w:sz w:val="32"/>
          <w:szCs w:val="32"/>
          <w:lang w:bidi="en-US"/>
        </w:rPr>
      </w:pPr>
    </w:p>
    <w:p w14:paraId="105D3B43">
      <w:pPr>
        <w:pStyle w:val="2"/>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eastAsia="方正仿宋_GBK" w:cs="方正仿宋_GBK"/>
          <w:b/>
          <w:kern w:val="0"/>
          <w:sz w:val="32"/>
          <w:szCs w:val="32"/>
          <w:lang w:bidi="en-US"/>
        </w:rPr>
      </w:pPr>
    </w:p>
    <w:p w14:paraId="410DB6B4">
      <w:pPr>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eastAsia="方正仿宋_GBK" w:cs="方正仿宋_GBK"/>
          <w:b/>
          <w:kern w:val="0"/>
          <w:sz w:val="32"/>
          <w:szCs w:val="32"/>
          <w:lang w:bidi="en-US"/>
        </w:rPr>
      </w:pPr>
    </w:p>
    <w:p w14:paraId="6DFAAD66">
      <w:pPr>
        <w:pStyle w:val="2"/>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rPr>
      </w:pPr>
    </w:p>
    <w:p w14:paraId="33AA3158">
      <w:pPr>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rPr>
      </w:pPr>
    </w:p>
    <w:p w14:paraId="3CD5CA52">
      <w:pPr>
        <w:pageBreakBefore w:val="0"/>
        <w:widowControl w:val="0"/>
        <w:kinsoku/>
        <w:wordWrap/>
        <w:topLinePunct w:val="0"/>
        <w:autoSpaceDE/>
        <w:autoSpaceDN/>
        <w:bidi w:val="0"/>
        <w:adjustRightInd/>
        <w:snapToGrid/>
        <w:spacing w:line="360" w:lineRule="auto"/>
        <w:ind w:left="2520" w:leftChars="400" w:hanging="1400" w:hangingChars="500"/>
        <w:jc w:val="left"/>
        <w:textAlignment w:val="auto"/>
        <w:rPr>
          <w:rFonts w:hint="eastAsia" w:ascii="宋体" w:hAnsi="宋体" w:eastAsia="宋体" w:cs="宋体"/>
          <w:kern w:val="0"/>
          <w:sz w:val="28"/>
          <w:szCs w:val="28"/>
          <w:lang w:bidi="en-US"/>
        </w:rPr>
      </w:pPr>
    </w:p>
    <w:p w14:paraId="4B4DF21F">
      <w:pPr>
        <w:pageBreakBefore w:val="0"/>
        <w:widowControl w:val="0"/>
        <w:kinsoku/>
        <w:wordWrap/>
        <w:topLinePunct w:val="0"/>
        <w:autoSpaceDE/>
        <w:autoSpaceDN/>
        <w:bidi w:val="0"/>
        <w:adjustRightInd/>
        <w:snapToGrid/>
        <w:spacing w:line="360" w:lineRule="auto"/>
        <w:ind w:left="2520" w:leftChars="400" w:hanging="1400" w:hangingChars="500"/>
        <w:jc w:val="left"/>
        <w:textAlignment w:val="auto"/>
        <w:rPr>
          <w:rFonts w:hint="eastAsia" w:ascii="宋体" w:hAnsi="宋体" w:eastAsia="宋体" w:cs="宋体"/>
          <w:kern w:val="0"/>
          <w:sz w:val="28"/>
          <w:szCs w:val="28"/>
          <w:lang w:val="en-US" w:eastAsia="zh-CN" w:bidi="en-US"/>
        </w:rPr>
      </w:pPr>
      <w:r>
        <w:rPr>
          <w:rFonts w:hint="eastAsia" w:ascii="宋体" w:hAnsi="宋体" w:eastAsia="宋体" w:cs="宋体"/>
          <w:kern w:val="0"/>
          <w:sz w:val="28"/>
          <w:szCs w:val="28"/>
          <w:lang w:bidi="en-US"/>
        </w:rPr>
        <w:t>项目名称：</w:t>
      </w:r>
      <w:r>
        <w:rPr>
          <w:rFonts w:hint="eastAsia" w:ascii="宋体" w:hAnsi="宋体" w:eastAsia="宋体" w:cs="宋体"/>
          <w:kern w:val="0"/>
          <w:sz w:val="28"/>
          <w:szCs w:val="28"/>
          <w:lang w:val="en-US" w:eastAsia="zh-CN" w:bidi="en-US"/>
        </w:rPr>
        <w:t>2022年中央补助地方公共文化服务体系建设补助资金（一般项目，绩效奖）项目</w:t>
      </w:r>
    </w:p>
    <w:p w14:paraId="603772EB">
      <w:pPr>
        <w:pageBreakBefore w:val="0"/>
        <w:widowControl w:val="0"/>
        <w:kinsoku/>
        <w:wordWrap/>
        <w:topLinePunct w:val="0"/>
        <w:autoSpaceDE/>
        <w:autoSpaceDN/>
        <w:bidi w:val="0"/>
        <w:adjustRightInd/>
        <w:snapToGrid/>
        <w:spacing w:line="360" w:lineRule="auto"/>
        <w:ind w:left="2520" w:leftChars="400" w:hanging="1400" w:hangingChars="500"/>
        <w:jc w:val="left"/>
        <w:textAlignment w:val="auto"/>
        <w:rPr>
          <w:rFonts w:hint="eastAsia" w:ascii="宋体" w:hAnsi="宋体" w:eastAsia="宋体" w:cs="宋体"/>
          <w:kern w:val="0"/>
          <w:sz w:val="28"/>
          <w:szCs w:val="28"/>
          <w:lang w:val="en-US" w:eastAsia="zh-CN" w:bidi="en-US"/>
        </w:rPr>
      </w:pPr>
      <w:r>
        <w:rPr>
          <w:rFonts w:hint="eastAsia" w:ascii="宋体" w:hAnsi="宋体" w:eastAsia="宋体" w:cs="宋体"/>
          <w:kern w:val="0"/>
          <w:sz w:val="28"/>
          <w:szCs w:val="28"/>
          <w:lang w:bidi="en-US"/>
        </w:rPr>
        <w:t>项目单位：</w:t>
      </w:r>
      <w:r>
        <w:rPr>
          <w:rFonts w:hint="eastAsia" w:ascii="宋体" w:hAnsi="宋体" w:eastAsia="宋体" w:cs="宋体"/>
          <w:kern w:val="0"/>
          <w:sz w:val="28"/>
          <w:szCs w:val="28"/>
          <w:lang w:eastAsia="zh-CN" w:bidi="en-US"/>
        </w:rPr>
        <w:t>中共洛浦县委宣传部</w:t>
      </w:r>
    </w:p>
    <w:p w14:paraId="4094E65D">
      <w:pPr>
        <w:pageBreakBefore w:val="0"/>
        <w:widowControl w:val="0"/>
        <w:kinsoku/>
        <w:wordWrap/>
        <w:topLinePunct w:val="0"/>
        <w:autoSpaceDE/>
        <w:autoSpaceDN/>
        <w:bidi w:val="0"/>
        <w:adjustRightInd/>
        <w:snapToGrid/>
        <w:spacing w:line="360" w:lineRule="auto"/>
        <w:ind w:left="2520" w:leftChars="400" w:hanging="1400" w:hangingChars="500"/>
        <w:jc w:val="left"/>
        <w:textAlignment w:val="auto"/>
        <w:rPr>
          <w:rFonts w:hint="eastAsia" w:ascii="宋体" w:hAnsi="宋体" w:eastAsia="宋体" w:cs="宋体"/>
          <w:kern w:val="0"/>
          <w:sz w:val="28"/>
          <w:szCs w:val="28"/>
          <w:lang w:eastAsia="zh-CN" w:bidi="en-US"/>
        </w:rPr>
      </w:pPr>
      <w:r>
        <w:rPr>
          <w:rFonts w:hint="eastAsia" w:ascii="宋体" w:hAnsi="宋体" w:eastAsia="宋体" w:cs="宋体"/>
          <w:kern w:val="0"/>
          <w:sz w:val="28"/>
          <w:szCs w:val="28"/>
          <w:lang w:bidi="en-US"/>
        </w:rPr>
        <w:t>主管部门：</w:t>
      </w:r>
      <w:r>
        <w:rPr>
          <w:rFonts w:hint="eastAsia" w:ascii="宋体" w:hAnsi="宋体" w:eastAsia="宋体" w:cs="宋体"/>
          <w:kern w:val="0"/>
          <w:sz w:val="28"/>
          <w:szCs w:val="28"/>
          <w:lang w:eastAsia="zh-CN" w:bidi="en-US"/>
        </w:rPr>
        <w:t>中共洛浦县委宣传部</w:t>
      </w:r>
    </w:p>
    <w:p w14:paraId="4C181671">
      <w:pPr>
        <w:pageBreakBefore w:val="0"/>
        <w:widowControl w:val="0"/>
        <w:kinsoku/>
        <w:wordWrap/>
        <w:topLinePunct w:val="0"/>
        <w:autoSpaceDE/>
        <w:autoSpaceDN/>
        <w:bidi w:val="0"/>
        <w:adjustRightInd/>
        <w:snapToGrid/>
        <w:spacing w:line="360" w:lineRule="auto"/>
        <w:ind w:left="2520" w:leftChars="400" w:hanging="1400" w:hangingChars="500"/>
        <w:jc w:val="left"/>
        <w:textAlignment w:val="auto"/>
        <w:rPr>
          <w:rFonts w:hint="default" w:ascii="宋体" w:hAnsi="宋体" w:eastAsia="宋体" w:cs="宋体"/>
          <w:kern w:val="0"/>
          <w:sz w:val="28"/>
          <w:szCs w:val="28"/>
          <w:lang w:val="en-US" w:eastAsia="zh-CN" w:bidi="en-US"/>
        </w:rPr>
      </w:pPr>
      <w:r>
        <w:rPr>
          <w:rFonts w:hint="eastAsia" w:ascii="宋体" w:hAnsi="宋体" w:eastAsia="宋体" w:cs="宋体"/>
          <w:kern w:val="0"/>
          <w:sz w:val="28"/>
          <w:szCs w:val="28"/>
          <w:lang w:bidi="en-US"/>
        </w:rPr>
        <w:t>项目负责人：</w:t>
      </w:r>
      <w:r>
        <w:rPr>
          <w:rFonts w:hint="eastAsia" w:ascii="宋体" w:hAnsi="宋体" w:eastAsia="宋体" w:cs="宋体"/>
          <w:kern w:val="0"/>
          <w:sz w:val="28"/>
          <w:szCs w:val="28"/>
          <w:lang w:eastAsia="zh-CN" w:bidi="en-US"/>
        </w:rPr>
        <w:t>吾尔古丽</w:t>
      </w:r>
      <w:r>
        <w:rPr>
          <w:rFonts w:hint="eastAsia" w:ascii="宋体" w:hAnsi="宋体" w:eastAsia="宋体" w:cs="宋体"/>
          <w:kern w:val="0"/>
          <w:sz w:val="28"/>
          <w:szCs w:val="28"/>
          <w:lang w:val="en-US" w:eastAsia="zh-CN" w:bidi="en-US"/>
        </w:rPr>
        <w:t>·吐送尼亚孜</w:t>
      </w:r>
    </w:p>
    <w:p w14:paraId="0B90CD21">
      <w:pPr>
        <w:pageBreakBefore w:val="0"/>
        <w:widowControl w:val="0"/>
        <w:kinsoku/>
        <w:wordWrap/>
        <w:topLinePunct w:val="0"/>
        <w:autoSpaceDE/>
        <w:autoSpaceDN/>
        <w:bidi w:val="0"/>
        <w:adjustRightInd/>
        <w:snapToGrid/>
        <w:spacing w:line="360" w:lineRule="auto"/>
        <w:ind w:left="2520" w:leftChars="400" w:hanging="1400" w:hangingChars="500"/>
        <w:jc w:val="left"/>
        <w:textAlignment w:val="auto"/>
        <w:rPr>
          <w:rFonts w:hint="eastAsia" w:ascii="宋体" w:hAnsi="宋体" w:eastAsia="宋体" w:cs="宋体"/>
          <w:kern w:val="0"/>
          <w:sz w:val="28"/>
          <w:szCs w:val="28"/>
          <w:lang w:bidi="en-US"/>
        </w:rPr>
      </w:pPr>
      <w:r>
        <w:rPr>
          <w:rFonts w:hint="eastAsia" w:ascii="宋体" w:hAnsi="宋体" w:eastAsia="宋体" w:cs="宋体"/>
          <w:kern w:val="0"/>
          <w:sz w:val="28"/>
          <w:szCs w:val="28"/>
          <w:lang w:bidi="en-US"/>
        </w:rPr>
        <w:t>填报时间：</w:t>
      </w:r>
      <w:r>
        <w:rPr>
          <w:rFonts w:hint="eastAsia" w:ascii="宋体" w:hAnsi="宋体" w:eastAsia="宋体" w:cs="宋体"/>
          <w:kern w:val="0"/>
          <w:sz w:val="28"/>
          <w:szCs w:val="28"/>
          <w:lang w:val="en-US" w:eastAsia="zh-CN" w:bidi="en-US"/>
        </w:rPr>
        <w:t>2025</w:t>
      </w:r>
      <w:r>
        <w:rPr>
          <w:rFonts w:hint="eastAsia" w:ascii="宋体" w:hAnsi="宋体" w:eastAsia="宋体" w:cs="宋体"/>
          <w:kern w:val="0"/>
          <w:sz w:val="28"/>
          <w:szCs w:val="28"/>
          <w:lang w:bidi="en-US"/>
        </w:rPr>
        <w:t>年</w:t>
      </w:r>
      <w:r>
        <w:rPr>
          <w:rFonts w:hint="eastAsia" w:ascii="宋体" w:hAnsi="宋体" w:eastAsia="宋体" w:cs="宋体"/>
          <w:kern w:val="0"/>
          <w:sz w:val="28"/>
          <w:szCs w:val="28"/>
          <w:lang w:val="en-US" w:eastAsia="zh-CN" w:bidi="en-US"/>
        </w:rPr>
        <w:t>3</w:t>
      </w:r>
      <w:r>
        <w:rPr>
          <w:rFonts w:hint="eastAsia" w:ascii="宋体" w:hAnsi="宋体" w:eastAsia="宋体" w:cs="宋体"/>
          <w:kern w:val="0"/>
          <w:sz w:val="28"/>
          <w:szCs w:val="28"/>
          <w:lang w:bidi="en-US"/>
        </w:rPr>
        <w:t>月</w:t>
      </w:r>
      <w:r>
        <w:rPr>
          <w:rFonts w:hint="eastAsia" w:ascii="宋体" w:hAnsi="宋体" w:eastAsia="宋体" w:cs="宋体"/>
          <w:kern w:val="0"/>
          <w:sz w:val="28"/>
          <w:szCs w:val="28"/>
          <w:lang w:val="en-US" w:eastAsia="zh-CN" w:bidi="en-US"/>
        </w:rPr>
        <w:t>31</w:t>
      </w:r>
      <w:r>
        <w:rPr>
          <w:rFonts w:hint="eastAsia" w:ascii="宋体" w:hAnsi="宋体" w:eastAsia="宋体" w:cs="宋体"/>
          <w:kern w:val="0"/>
          <w:sz w:val="28"/>
          <w:szCs w:val="28"/>
          <w:lang w:bidi="en-US"/>
        </w:rPr>
        <w:t>日</w:t>
      </w:r>
    </w:p>
    <w:p w14:paraId="5BBE1A99">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黑体" w:hAnsi="黑体" w:eastAsia="黑体" w:cs="黑体"/>
          <w:b/>
          <w:bCs/>
          <w:sz w:val="24"/>
          <w:szCs w:val="24"/>
          <w:lang w:val="en-US" w:eastAsia="zh-CN"/>
        </w:rPr>
      </w:pPr>
      <w:bookmarkStart w:id="0" w:name="_Toc68364657"/>
      <w:r>
        <w:rPr>
          <w:rFonts w:hint="eastAsia" w:ascii="黑体" w:hAnsi="黑体" w:eastAsia="黑体" w:cs="黑体"/>
          <w:b/>
          <w:bCs/>
          <w:sz w:val="24"/>
          <w:szCs w:val="24"/>
          <w:lang w:val="en-US" w:eastAsia="zh-CN"/>
        </w:rPr>
        <w:t>一、基本情况</w:t>
      </w:r>
      <w:bookmarkEnd w:id="0"/>
    </w:p>
    <w:p w14:paraId="5D9CFDD6">
      <w:pPr>
        <w:pStyle w:val="48"/>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outlineLvl w:val="9"/>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62433C6E">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bCs/>
          <w:sz w:val="24"/>
          <w:szCs w:val="24"/>
          <w:lang w:eastAsia="zh-CN"/>
        </w:rPr>
      </w:pPr>
      <w:r>
        <w:rPr>
          <w:rFonts w:hint="eastAsia" w:ascii="宋体" w:hAnsi="宋体" w:eastAsia="宋体" w:cs="宋体"/>
          <w:b/>
          <w:bCs/>
          <w:sz w:val="24"/>
          <w:szCs w:val="24"/>
        </w:rPr>
        <w:t>1</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项目</w:t>
      </w:r>
      <w:r>
        <w:rPr>
          <w:rFonts w:hint="eastAsia" w:ascii="宋体" w:hAnsi="宋体" w:eastAsia="宋体" w:cs="宋体"/>
          <w:b/>
          <w:bCs/>
          <w:sz w:val="24"/>
          <w:szCs w:val="24"/>
          <w:lang w:eastAsia="zh-CN"/>
        </w:rPr>
        <w:t>背景</w:t>
      </w:r>
    </w:p>
    <w:p w14:paraId="371F86A9">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为满足农民文化需求，推动农村文化建设，设立农家书屋项目，旨在为村民提高阅读学习空间，传播农业科技知识和文化思想。</w:t>
      </w:r>
    </w:p>
    <w:p w14:paraId="553DC239">
      <w:pPr>
        <w:pStyle w:val="45"/>
        <w:pageBreakBefore w:val="0"/>
        <w:widowControl w:val="0"/>
        <w:numPr>
          <w:ilvl w:val="0"/>
          <w:numId w:val="2"/>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宋体" w:hAnsi="宋体" w:eastAsia="宋体" w:cs="宋体"/>
          <w:b/>
          <w:bCs/>
          <w:sz w:val="24"/>
          <w:szCs w:val="24"/>
          <w:lang w:eastAsia="zh-CN"/>
        </w:rPr>
      </w:pPr>
      <w:r>
        <w:rPr>
          <w:rFonts w:hint="eastAsia" w:ascii="宋体" w:hAnsi="宋体" w:eastAsia="宋体" w:cs="宋体"/>
          <w:b/>
          <w:bCs/>
          <w:sz w:val="24"/>
          <w:szCs w:val="24"/>
        </w:rPr>
        <w:t>主要内容及实施</w:t>
      </w:r>
      <w:r>
        <w:rPr>
          <w:rFonts w:hint="eastAsia" w:ascii="宋体" w:hAnsi="宋体" w:eastAsia="宋体" w:cs="宋体"/>
          <w:b/>
          <w:bCs/>
          <w:sz w:val="24"/>
          <w:szCs w:val="24"/>
          <w:lang w:eastAsia="zh-CN"/>
        </w:rPr>
        <w:t>情况</w:t>
      </w:r>
    </w:p>
    <w:p w14:paraId="186D4262">
      <w:pPr>
        <w:pStyle w:val="45"/>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1）主要内容</w:t>
      </w:r>
    </w:p>
    <w:p w14:paraId="31B37D1E">
      <w:pPr>
        <w:pStyle w:val="45"/>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9"/>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为249个村购买图书，通过项目实施，提高群众文化素质。</w:t>
      </w:r>
    </w:p>
    <w:p w14:paraId="51557BF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（2）实施情况</w:t>
      </w:r>
    </w:p>
    <w:p w14:paraId="3C32A1D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1）项目实施主体</w:t>
      </w:r>
    </w:p>
    <w:p w14:paraId="065421B2">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本项目主管部门为中共洛浦县委宣传部，实施单位为中共洛浦县委宣传部。</w:t>
      </w:r>
    </w:p>
    <w:p w14:paraId="63105172">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2）项目实施时间：2024年1月-2024年12月</w:t>
      </w:r>
    </w:p>
    <w:p w14:paraId="0A6147C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sz w:val="24"/>
          <w:szCs w:val="24"/>
          <w:lang w:val="en-US" w:eastAsia="zh-CN"/>
        </w:rPr>
        <w:t>3）项目实施情况</w:t>
      </w:r>
    </w:p>
    <w:p w14:paraId="7EB5AE90">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本项目于2024年12月25日前全部完工。</w:t>
      </w:r>
    </w:p>
    <w:p w14:paraId="6F563014">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截止至自评节点，项目已完成为249个村购买图书，放映员补助因资金未下拨未支付，资金使用合规率达到100%，购置图书合格率达到100%，农家书屋购置费用49.4万元。通过项目的实施，有效提高群众文化素质。</w:t>
      </w:r>
    </w:p>
    <w:p w14:paraId="4ED4024D">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 资金投入和使用情况</w:t>
      </w:r>
    </w:p>
    <w:p w14:paraId="229BACCB">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（1）项目资金安排、投入情况</w:t>
      </w:r>
    </w:p>
    <w:p w14:paraId="536B41BA">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本项目预算安排总额为50.14万元，资金来源为中央专项资金，其中：财政资金50.14万元，其他资金0万元，2024年实际收到预算资金50.14万元，预算资金到位率为100%。</w:t>
      </w:r>
    </w:p>
    <w:p w14:paraId="1A34746A">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（2）项目资金实际使用情况分析</w:t>
      </w:r>
    </w:p>
    <w:p w14:paraId="4B6D85AD">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val="en-US" w:eastAsia="zh-CN"/>
        </w:rPr>
        <w:t>49.4</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98.52</w:t>
      </w:r>
      <w:r>
        <w:rPr>
          <w:rFonts w:hint="eastAsia" w:ascii="宋体" w:hAnsi="宋体" w:eastAsia="宋体" w:cs="宋体"/>
          <w:color w:val="auto"/>
          <w:sz w:val="24"/>
          <w:szCs w:val="24"/>
        </w:rPr>
        <w:t>%。本项目资金主要用于</w:t>
      </w:r>
      <w:r>
        <w:rPr>
          <w:rFonts w:hint="eastAsia" w:ascii="宋体" w:hAnsi="宋体" w:eastAsia="宋体" w:cs="宋体"/>
          <w:color w:val="auto"/>
          <w:sz w:val="24"/>
          <w:szCs w:val="24"/>
          <w:lang w:eastAsia="zh-CN"/>
        </w:rPr>
        <w:t>支付农家书屋图书费用</w:t>
      </w:r>
      <w:r>
        <w:rPr>
          <w:rFonts w:hint="eastAsia" w:ascii="宋体" w:hAnsi="宋体" w:eastAsia="宋体" w:cs="宋体"/>
          <w:color w:val="auto"/>
          <w:sz w:val="24"/>
          <w:szCs w:val="24"/>
          <w:lang w:val="en-US" w:eastAsia="zh-CN"/>
        </w:rPr>
        <w:t>49.4</w:t>
      </w:r>
      <w:r>
        <w:rPr>
          <w:rFonts w:hint="eastAsia" w:ascii="宋体" w:hAnsi="宋体" w:eastAsia="宋体" w:cs="宋体"/>
          <w:color w:val="auto"/>
          <w:sz w:val="24"/>
          <w:szCs w:val="24"/>
        </w:rPr>
        <w:t>万元。</w:t>
      </w:r>
    </w:p>
    <w:p w14:paraId="51E0D628">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b/>
          <w:bCs/>
          <w:sz w:val="24"/>
          <w:szCs w:val="24"/>
          <w:lang w:val="en-US" w:eastAsia="zh-CN"/>
        </w:rPr>
      </w:pPr>
      <w:bookmarkStart w:id="2" w:name="_Toc68364659"/>
      <w:r>
        <w:rPr>
          <w:rFonts w:hint="eastAsia" w:ascii="宋体" w:hAnsi="宋体" w:eastAsia="宋体" w:cs="宋体"/>
          <w:b/>
          <w:bCs/>
          <w:sz w:val="24"/>
          <w:szCs w:val="24"/>
          <w:lang w:val="en-US" w:eastAsia="zh-CN"/>
        </w:rPr>
        <w:t>（二）项目绩效目标</w:t>
      </w:r>
      <w:bookmarkEnd w:id="2"/>
    </w:p>
    <w:p w14:paraId="423127EC">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553E6432">
      <w:pPr>
        <w:pStyle w:val="45"/>
        <w:pageBreakBefore w:val="0"/>
        <w:widowControl w:val="0"/>
        <w:numPr>
          <w:ilvl w:val="0"/>
          <w:numId w:val="3"/>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rPr>
        <w:t>总</w:t>
      </w:r>
      <w:r>
        <w:rPr>
          <w:rFonts w:hint="eastAsia" w:ascii="宋体" w:hAnsi="宋体" w:eastAsia="宋体" w:cs="宋体"/>
          <w:b/>
          <w:bCs/>
          <w:sz w:val="24"/>
          <w:szCs w:val="24"/>
          <w:lang w:val="en-US" w:eastAsia="zh-CN"/>
        </w:rPr>
        <w:t>体目标</w:t>
      </w:r>
    </w:p>
    <w:p w14:paraId="40263BE2">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根据《2022年中央补助地方公共文化服务体系建设补助资金》（和地财教〔2022〕30号）文件实施此项目，项目主要内容为：为249个村购买图书，保障11名农村电影放映员工资及时发放。通过项目实施，提高群众文化素质。</w:t>
      </w:r>
    </w:p>
    <w:p w14:paraId="39FA7A72">
      <w:pPr>
        <w:pStyle w:val="45"/>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阶段性目标</w:t>
      </w:r>
    </w:p>
    <w:p w14:paraId="1459D6D2">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0FBBE572">
      <w:pPr>
        <w:pStyle w:val="45"/>
        <w:pageBreakBefore w:val="0"/>
        <w:widowControl w:val="0"/>
        <w:numPr>
          <w:ilvl w:val="0"/>
          <w:numId w:val="4"/>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7376B1FC">
      <w:pPr>
        <w:pStyle w:val="45"/>
        <w:pageBreakBefore w:val="0"/>
        <w:widowControl w:val="0"/>
        <w:numPr>
          <w:ilvl w:val="0"/>
          <w:numId w:val="5"/>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3D2C30CF">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eastAsia="zh-CN"/>
        </w:rPr>
        <w:t>保障行政村数量</w:t>
      </w:r>
      <w:r>
        <w:rPr>
          <w:rFonts w:hint="eastAsia" w:ascii="宋体" w:hAnsi="宋体" w:eastAsia="宋体" w:cs="宋体"/>
          <w:color w:val="auto"/>
          <w:sz w:val="24"/>
          <w:szCs w:val="24"/>
          <w:lang w:val="en-US" w:eastAsia="zh-CN"/>
        </w:rPr>
        <w:t>,预期指标值</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249个</w:t>
      </w:r>
      <w:r>
        <w:rPr>
          <w:rFonts w:hint="eastAsia" w:ascii="宋体" w:hAnsi="宋体" w:eastAsia="宋体" w:cs="宋体"/>
          <w:color w:val="auto"/>
          <w:sz w:val="24"/>
          <w:szCs w:val="24"/>
          <w:lang w:eastAsia="zh-CN"/>
        </w:rPr>
        <w:t>；</w:t>
      </w:r>
    </w:p>
    <w:p w14:paraId="003DBBCB">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保障电影放映员工</w:t>
      </w:r>
      <w:r>
        <w:rPr>
          <w:rFonts w:hint="eastAsia" w:ascii="宋体" w:hAnsi="宋体" w:eastAsia="宋体" w:cs="宋体"/>
          <w:color w:val="auto"/>
          <w:sz w:val="24"/>
          <w:szCs w:val="24"/>
          <w:lang w:val="en-US" w:eastAsia="zh-CN"/>
        </w:rPr>
        <w:t>,预期指标值</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11个</w:t>
      </w:r>
      <w:r>
        <w:rPr>
          <w:rFonts w:hint="eastAsia" w:ascii="宋体" w:hAnsi="宋体" w:eastAsia="宋体" w:cs="宋体"/>
          <w:color w:val="auto"/>
          <w:sz w:val="24"/>
          <w:szCs w:val="24"/>
          <w:lang w:eastAsia="zh-CN"/>
        </w:rPr>
        <w:t>；</w:t>
      </w:r>
    </w:p>
    <w:p w14:paraId="60A7B3CD">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4187E209">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指标1：</w:t>
      </w:r>
      <w:r>
        <w:rPr>
          <w:rFonts w:hint="eastAsia" w:ascii="宋体" w:hAnsi="宋体" w:eastAsia="宋体" w:cs="宋体"/>
          <w:color w:val="auto"/>
          <w:sz w:val="24"/>
          <w:szCs w:val="24"/>
          <w:lang w:eastAsia="zh-CN"/>
        </w:rPr>
        <w:t>资金使用合规率</w:t>
      </w:r>
      <w:r>
        <w:rPr>
          <w:rFonts w:hint="eastAsia" w:ascii="宋体" w:hAnsi="宋体" w:eastAsia="宋体" w:cs="宋体"/>
          <w:color w:val="auto"/>
          <w:sz w:val="24"/>
          <w:szCs w:val="24"/>
          <w:lang w:val="en-US" w:eastAsia="zh-CN"/>
        </w:rPr>
        <w:t>,预期指标值=100%；</w:t>
      </w:r>
    </w:p>
    <w:p w14:paraId="6FC6064B">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购置图书合格率</w:t>
      </w:r>
      <w:r>
        <w:rPr>
          <w:rFonts w:hint="eastAsia" w:ascii="宋体" w:hAnsi="宋体" w:eastAsia="宋体" w:cs="宋体"/>
          <w:color w:val="auto"/>
          <w:sz w:val="24"/>
          <w:szCs w:val="24"/>
          <w:lang w:val="en-US" w:eastAsia="zh-CN"/>
        </w:rPr>
        <w:t>,预期指标值=100%；</w:t>
      </w:r>
    </w:p>
    <w:p w14:paraId="62AE505D">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3）时效目标：</w:t>
      </w:r>
    </w:p>
    <w:p w14:paraId="188278AB">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指标1：资金拨付及时率</w:t>
      </w:r>
      <w:r>
        <w:rPr>
          <w:rFonts w:hint="eastAsia" w:ascii="宋体" w:hAnsi="宋体" w:eastAsia="宋体" w:cs="宋体"/>
          <w:color w:val="auto"/>
          <w:sz w:val="24"/>
          <w:szCs w:val="24"/>
          <w:lang w:val="en-US" w:eastAsia="zh-CN"/>
        </w:rPr>
        <w:t>,预期指标值=100%</w:t>
      </w:r>
      <w:r>
        <w:rPr>
          <w:rFonts w:hint="eastAsia" w:ascii="宋体" w:hAnsi="宋体" w:eastAsia="宋体" w:cs="宋体"/>
          <w:color w:val="auto"/>
          <w:sz w:val="24"/>
          <w:szCs w:val="24"/>
        </w:rPr>
        <w:t>；</w:t>
      </w:r>
    </w:p>
    <w:p w14:paraId="6D83B114">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：项目完成时间</w:t>
      </w:r>
      <w:r>
        <w:rPr>
          <w:rFonts w:hint="eastAsia" w:ascii="宋体" w:hAnsi="宋体" w:eastAsia="宋体" w:cs="宋体"/>
          <w:color w:val="auto"/>
          <w:sz w:val="24"/>
          <w:szCs w:val="24"/>
          <w:lang w:val="en-US" w:eastAsia="zh-CN"/>
        </w:rPr>
        <w:t>,预期指标值2024年12月；</w:t>
      </w:r>
    </w:p>
    <w:p w14:paraId="17699260">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（2）成本指标： </w:t>
      </w:r>
    </w:p>
    <w:p w14:paraId="729F614A">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6F3FF315">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指标1：行政村平均图书购置成本</w:t>
      </w:r>
      <w:r>
        <w:rPr>
          <w:rFonts w:hint="eastAsia" w:ascii="宋体" w:hAnsi="宋体" w:eastAsia="宋体" w:cs="宋体"/>
          <w:color w:val="auto"/>
          <w:sz w:val="24"/>
          <w:szCs w:val="24"/>
          <w:lang w:val="en-US" w:eastAsia="zh-CN"/>
        </w:rPr>
        <w:t>,预期指标值</w:t>
      </w:r>
      <w:r>
        <w:rPr>
          <w:rFonts w:hint="eastAsia" w:ascii="宋体" w:hAnsi="宋体" w:eastAsia="宋体" w:cs="宋体"/>
          <w:color w:val="auto"/>
          <w:sz w:val="24"/>
          <w:szCs w:val="24"/>
        </w:rPr>
        <w:t>≤0.2万元/村；</w:t>
      </w:r>
    </w:p>
    <w:p w14:paraId="716461C3">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指标1：农村电影放映员放映补贴</w:t>
      </w:r>
      <w:r>
        <w:rPr>
          <w:rFonts w:hint="eastAsia" w:ascii="宋体" w:hAnsi="宋体" w:eastAsia="宋体" w:cs="宋体"/>
          <w:color w:val="auto"/>
          <w:sz w:val="24"/>
          <w:szCs w:val="24"/>
          <w:lang w:val="en-US" w:eastAsia="zh-CN"/>
        </w:rPr>
        <w:t>,预期指标值</w:t>
      </w:r>
      <w:r>
        <w:rPr>
          <w:rFonts w:hint="eastAsia" w:ascii="宋体" w:hAnsi="宋体" w:eastAsia="宋体" w:cs="宋体"/>
          <w:color w:val="auto"/>
          <w:sz w:val="24"/>
          <w:szCs w:val="24"/>
        </w:rPr>
        <w:t>≤0.35万元/人/月；</w:t>
      </w:r>
    </w:p>
    <w:p w14:paraId="0AD68FFA">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2）社会成本指标</w:t>
      </w:r>
    </w:p>
    <w:p w14:paraId="029761A7">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该项目无社会成本指标</w:t>
      </w:r>
    </w:p>
    <w:p w14:paraId="77EA21A0">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3）生态成本指标;</w:t>
      </w:r>
    </w:p>
    <w:p w14:paraId="0657776C">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该项目无生态成本指标</w:t>
      </w:r>
    </w:p>
    <w:p w14:paraId="05DB4418">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（3）效益指标：</w:t>
      </w:r>
    </w:p>
    <w:p w14:paraId="26CD0B60">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1）经济效益指标：</w:t>
      </w:r>
    </w:p>
    <w:p w14:paraId="09D27363">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该项目无经济效益指标</w:t>
      </w:r>
    </w:p>
    <w:p w14:paraId="691CC2A0">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378DEB37">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指标1：提高群众文化素质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预期指标值效果显著；</w:t>
      </w:r>
    </w:p>
    <w:p w14:paraId="0586602B">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3）生态效益指标：</w:t>
      </w:r>
    </w:p>
    <w:p w14:paraId="368A0A24">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该项目无生态效益指标</w:t>
      </w:r>
    </w:p>
    <w:p w14:paraId="501B78A4">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7EA11680">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指标1：受益群众满意度</w:t>
      </w:r>
      <w:r>
        <w:rPr>
          <w:rFonts w:hint="eastAsia" w:ascii="宋体" w:hAnsi="宋体" w:eastAsia="宋体" w:cs="宋体"/>
          <w:color w:val="000000"/>
          <w:sz w:val="24"/>
          <w:szCs w:val="24"/>
          <w:lang w:eastAsia="zh-CN"/>
        </w:rPr>
        <w:t>，</w:t>
      </w:r>
      <w:r>
        <w:rPr>
          <w:rFonts w:hint="eastAsia" w:ascii="宋体" w:hAnsi="宋体" w:eastAsia="宋体" w:cs="宋体"/>
          <w:color w:val="auto"/>
          <w:sz w:val="24"/>
          <w:szCs w:val="24"/>
          <w:lang w:val="en-US" w:eastAsia="zh-CN"/>
        </w:rPr>
        <w:t>预期指标值</w:t>
      </w:r>
      <w:r>
        <w:rPr>
          <w:rFonts w:hint="eastAsia" w:ascii="宋体" w:hAnsi="宋体" w:eastAsia="宋体" w:cs="宋体"/>
          <w:color w:val="000000"/>
          <w:sz w:val="24"/>
          <w:szCs w:val="24"/>
        </w:rPr>
        <w:t>≥9</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w:t>
      </w:r>
    </w:p>
    <w:p w14:paraId="52862031">
      <w:pPr>
        <w:pStyle w:val="45"/>
        <w:pageBreakBefore w:val="0"/>
        <w:widowControl w:val="0"/>
        <w:numPr>
          <w:ilvl w:val="0"/>
          <w:numId w:val="0"/>
        </w:numPr>
        <w:kinsoku/>
        <w:wordWrap/>
        <w:overflowPunct/>
        <w:topLinePunct w:val="0"/>
        <w:autoSpaceDE/>
        <w:autoSpaceDN/>
        <w:bidi w:val="0"/>
        <w:adjustRightInd/>
        <w:snapToGrid/>
        <w:spacing w:line="360" w:lineRule="auto"/>
        <w:ind w:right="0" w:firstLine="480" w:firstLineChars="200"/>
        <w:jc w:val="both"/>
        <w:textAlignment w:val="auto"/>
        <w:outlineLvl w:val="2"/>
        <w:rPr>
          <w:rFonts w:hint="eastAsia" w:ascii="黑体" w:hAnsi="黑体" w:eastAsia="黑体" w:cs="黑体"/>
          <w:sz w:val="24"/>
          <w:szCs w:val="24"/>
        </w:rPr>
      </w:pPr>
    </w:p>
    <w:p w14:paraId="02F27553">
      <w:pPr>
        <w:pStyle w:val="45"/>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2"/>
        <w:rPr>
          <w:rFonts w:hint="eastAsia" w:ascii="黑体" w:hAnsi="黑体" w:eastAsia="黑体" w:cs="黑体"/>
          <w:sz w:val="24"/>
          <w:szCs w:val="24"/>
        </w:rPr>
      </w:pPr>
      <w:r>
        <w:rPr>
          <w:rFonts w:hint="eastAsia" w:ascii="黑体" w:hAnsi="黑体" w:eastAsia="黑体" w:cs="黑体"/>
          <w:sz w:val="24"/>
          <w:szCs w:val="24"/>
          <w:lang w:val="en-US" w:eastAsia="zh-CN"/>
        </w:rPr>
        <w:t>二、</w:t>
      </w:r>
      <w:r>
        <w:rPr>
          <w:rFonts w:hint="eastAsia" w:ascii="黑体" w:hAnsi="黑体" w:eastAsia="黑体" w:cs="黑体"/>
          <w:sz w:val="24"/>
          <w:szCs w:val="24"/>
        </w:rPr>
        <w:t>绩效评价工作开展情况</w:t>
      </w:r>
      <w:bookmarkEnd w:id="3"/>
      <w:bookmarkStart w:id="4" w:name="_Toc68364661"/>
    </w:p>
    <w:p w14:paraId="736F61C5">
      <w:pPr>
        <w:pStyle w:val="45"/>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（一）绩效评价目的、对象和范围</w:t>
      </w:r>
      <w:bookmarkEnd w:id="4"/>
    </w:p>
    <w:p w14:paraId="70D5F379">
      <w:pPr>
        <w:pStyle w:val="45"/>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rPr>
        <w:t>1.</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绩效评价</w:t>
      </w:r>
      <w:r>
        <w:rPr>
          <w:rFonts w:hint="eastAsia" w:ascii="宋体" w:hAnsi="宋体" w:eastAsia="宋体" w:cs="宋体"/>
          <w:b/>
          <w:bCs/>
          <w:sz w:val="24"/>
          <w:szCs w:val="24"/>
          <w:lang w:eastAsia="zh-CN"/>
        </w:rPr>
        <w:t>目的</w:t>
      </w:r>
    </w:p>
    <w:p w14:paraId="7A2A508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rPr>
        <w:t>自治区财政厅《关于印发〈自治区项目支出绩效目标设置指引〉的通知》（新财预〔2022〕42号）等相关政策文件与规定，对</w:t>
      </w:r>
      <w:r>
        <w:rPr>
          <w:rFonts w:hint="eastAsia" w:ascii="宋体" w:hAnsi="宋体" w:eastAsia="宋体" w:cs="宋体"/>
          <w:sz w:val="24"/>
          <w:szCs w:val="24"/>
          <w:lang w:val="en-US" w:eastAsia="zh-CN"/>
        </w:rPr>
        <w:t>2022年中央补助地方公共文化服务体系建设补助资金（一般项目，绩效奖）</w:t>
      </w:r>
      <w:r>
        <w:rPr>
          <w:rFonts w:hint="eastAsia" w:ascii="宋体" w:hAnsi="宋体" w:eastAsia="宋体" w:cs="宋体"/>
          <w:sz w:val="24"/>
          <w:szCs w:val="24"/>
        </w:rPr>
        <w:t>项目开展本次部门项目支出绩效评价工作。全面了解</w:t>
      </w:r>
      <w:r>
        <w:rPr>
          <w:rFonts w:hint="eastAsia" w:ascii="宋体" w:hAnsi="宋体" w:eastAsia="宋体" w:cs="宋体"/>
          <w:sz w:val="24"/>
          <w:szCs w:val="24"/>
          <w:lang w:val="en-US" w:eastAsia="zh-CN"/>
        </w:rPr>
        <w:t>2022年中央补助地方公共文化服务体系建设补助资金（一般项目，绩效奖）</w:t>
      </w:r>
      <w:r>
        <w:rPr>
          <w:rFonts w:hint="eastAsia" w:ascii="宋体" w:hAnsi="宋体" w:eastAsia="宋体" w:cs="宋体"/>
          <w:sz w:val="24"/>
          <w:szCs w:val="24"/>
        </w:rPr>
        <w:t>项目预算编制合理性、资金使用合规性、项目管理的规范性、项目目标的实现情况、服务对象的满意度等项目实施前期、过程及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rPr>
        <w:t>效果</w:t>
      </w:r>
      <w:r>
        <w:rPr>
          <w:rFonts w:hint="eastAsia" w:ascii="宋体" w:hAnsi="宋体" w:eastAsia="宋体" w:cs="宋体"/>
          <w:sz w:val="24"/>
          <w:szCs w:val="24"/>
          <w:lang w:val="en-US" w:eastAsia="zh-CN"/>
        </w:rPr>
        <w:t>情况。</w:t>
      </w:r>
    </w:p>
    <w:p w14:paraId="0D0F99B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4900A28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5D5CE1C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0F18FB26">
      <w:pPr>
        <w:pStyle w:val="45"/>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6BE37235">
      <w:pPr>
        <w:pStyle w:val="45"/>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sz w:val="24"/>
          <w:szCs w:val="24"/>
          <w:lang w:val="en-US" w:eastAsia="zh-CN"/>
        </w:rPr>
        <w:t>2022年中央补助地方公共文化服务体系建设补助资金（一般项目，绩效奖）</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798F4157">
      <w:pPr>
        <w:pStyle w:val="45"/>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3. 绩效评价范围</w:t>
      </w:r>
    </w:p>
    <w:p w14:paraId="74ED1839">
      <w:pPr>
        <w:pStyle w:val="45"/>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本次绩效评价主要围绕</w:t>
      </w:r>
      <w:r>
        <w:rPr>
          <w:rFonts w:hint="eastAsia" w:ascii="宋体" w:hAnsi="宋体" w:eastAsia="宋体" w:cs="宋体"/>
          <w:sz w:val="24"/>
          <w:szCs w:val="24"/>
          <w:lang w:val="en-US" w:eastAsia="zh-CN"/>
        </w:rPr>
        <w:t>2022年中央补助地方公共文化服务体系建设补助资金（一般项目，绩效奖）项目</w:t>
      </w:r>
      <w:r>
        <w:rPr>
          <w:rFonts w:hint="eastAsia" w:ascii="宋体" w:hAnsi="宋体" w:eastAsia="宋体" w:cs="宋体"/>
          <w:sz w:val="24"/>
          <w:szCs w:val="24"/>
        </w:rPr>
        <w:t>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sz w:val="24"/>
          <w:szCs w:val="24"/>
          <w:lang w:eastAsia="zh-CN"/>
        </w:rPr>
        <w:t>，</w:t>
      </w:r>
      <w:r>
        <w:rPr>
          <w:rFonts w:hint="eastAsia" w:ascii="宋体" w:hAnsi="宋体" w:eastAsia="宋体" w:cs="宋体"/>
          <w:sz w:val="24"/>
          <w:szCs w:val="24"/>
        </w:rPr>
        <w:t>覆盖预算资金支出项目的所有内容进行评价。</w:t>
      </w:r>
    </w:p>
    <w:p w14:paraId="71DC8311">
      <w:pPr>
        <w:pStyle w:val="48"/>
        <w:pageBreakBefore w:val="0"/>
        <w:widowControl w:val="0"/>
        <w:kinsoku/>
        <w:wordWrap/>
        <w:overflowPunct/>
        <w:topLinePunct w:val="0"/>
        <w:autoSpaceDE/>
        <w:autoSpaceDN/>
        <w:bidi w:val="0"/>
        <w:adjustRightInd/>
        <w:snapToGrid/>
        <w:spacing w:before="0" w:after="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236C37C6">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绩效评价原则</w:t>
      </w:r>
    </w:p>
    <w:p w14:paraId="5F0237FA">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0E074C5D">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2F0629F7">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79E29DE1">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0AB4D1EA">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1A7500B8">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根据以上原则，绩效评价应遵循如下要求:</w:t>
      </w:r>
    </w:p>
    <w:p w14:paraId="0CEB5B22">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（1）在数据采集时，采取客观数据，主管部门审查、社会中介组织复查，与问卷调查相结合的形式，以保证各项指标的真实性。</w:t>
      </w:r>
    </w:p>
    <w:p w14:paraId="6CC376C7">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（2）保证评价结果的真实性、公正性，提高评价报告的公信力。</w:t>
      </w:r>
    </w:p>
    <w:p w14:paraId="076ADA3C">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（3）绩</w:t>
      </w:r>
      <w:r>
        <w:rPr>
          <w:rFonts w:hint="eastAsia" w:ascii="宋体" w:hAnsi="宋体" w:eastAsia="宋体" w:cs="宋体"/>
          <w:sz w:val="24"/>
          <w:szCs w:val="24"/>
          <w:lang w:val="en-US" w:eastAsia="zh-CN"/>
        </w:rPr>
        <w:t>效</w:t>
      </w:r>
      <w:r>
        <w:rPr>
          <w:rFonts w:hint="eastAsia" w:ascii="宋体" w:hAnsi="宋体" w:eastAsia="宋体" w:cs="宋体"/>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3A2F4395">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 绩效评价指标体系</w:t>
      </w:r>
    </w:p>
    <w:p w14:paraId="3FB8095D">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个二级指标。项目绩效评价体系</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详细指标体系见“附件1：项目支出绩效评价体系”。</w:t>
      </w:r>
    </w:p>
    <w:p w14:paraId="2642FE53">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 绩效评价方法</w:t>
      </w:r>
    </w:p>
    <w:p w14:paraId="02641B40">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3A8E956E">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12647729">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296E596D">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24AB5F88">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14C66B57">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7DA71682">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3C1174DA">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79CE6ABF">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4641B4A4">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57BE5215">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73476AD1">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3C83D6B0">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0A350C9C">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2BE14349">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305442D7">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绩效评价标准</w:t>
      </w:r>
    </w:p>
    <w:p w14:paraId="49B80C0A">
      <w:pPr>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color w:val="FF0000"/>
          <w:sz w:val="24"/>
          <w:szCs w:val="24"/>
        </w:rPr>
      </w:pPr>
      <w:bookmarkStart w:id="6" w:name="_Toc68364663"/>
      <w:r>
        <w:rPr>
          <w:rFonts w:hint="eastAsia" w:ascii="宋体" w:hAnsi="宋体" w:eastAsia="宋体" w:cs="宋体"/>
          <w:sz w:val="24"/>
          <w:szCs w:val="24"/>
        </w:rPr>
        <w:t>绩效评价标准通常包括计划标准、行业标准、历史标准等，用于对绩效指标完成情况进行比较、分析、评价。本次评价主要采用了</w:t>
      </w:r>
      <w:r>
        <w:rPr>
          <w:rFonts w:hint="eastAsia" w:ascii="宋体" w:hAnsi="宋体" w:eastAsia="宋体" w:cs="宋体"/>
          <w:sz w:val="24"/>
          <w:szCs w:val="24"/>
          <w:lang w:eastAsia="zh-CN"/>
        </w:rPr>
        <w:t>计划</w:t>
      </w:r>
      <w:r>
        <w:rPr>
          <w:rFonts w:hint="eastAsia" w:ascii="宋体" w:hAnsi="宋体" w:eastAsia="宋体" w:cs="宋体"/>
          <w:sz w:val="24"/>
          <w:szCs w:val="24"/>
        </w:rPr>
        <w:t>标准。</w:t>
      </w:r>
    </w:p>
    <w:p w14:paraId="0E475728">
      <w:pPr>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sz w:val="24"/>
          <w:szCs w:val="24"/>
        </w:rPr>
      </w:pPr>
      <w:bookmarkStart w:id="7" w:name="_Toc17882"/>
      <w:bookmarkStart w:id="8" w:name="_Toc31464"/>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7"/>
      <w:bookmarkEnd w:id="8"/>
    </w:p>
    <w:p w14:paraId="7AD9A815">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（三）绩效评价工作过程</w:t>
      </w:r>
      <w:bookmarkEnd w:id="6"/>
    </w:p>
    <w:p w14:paraId="03DB9540">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sz w:val="24"/>
          <w:szCs w:val="24"/>
        </w:rPr>
      </w:pPr>
      <w:bookmarkStart w:id="9" w:name="_Toc68364664"/>
      <w:r>
        <w:rPr>
          <w:rFonts w:hint="eastAsia" w:ascii="宋体" w:hAnsi="宋体" w:eastAsia="宋体" w:cs="宋体"/>
          <w:b/>
          <w:bCs/>
          <w:sz w:val="24"/>
          <w:szCs w:val="24"/>
        </w:rPr>
        <w:t>1.</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前期准备</w:t>
      </w:r>
    </w:p>
    <w:p w14:paraId="6A59D27F">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单位于2025年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日，确定绩效评价工作小组，正式开始前期准备工作，</w:t>
      </w:r>
      <w:r>
        <w:rPr>
          <w:rFonts w:hint="eastAsia" w:ascii="宋体" w:hAnsi="宋体" w:eastAsia="宋体" w:cs="宋体"/>
          <w:sz w:val="24"/>
          <w:szCs w:val="24"/>
        </w:rPr>
        <w:t>通过对评价对象前期调研，确定了评价的目的、方法以及评价的原则，根据项目的内容和特征制定了评价指标体系及评价标准。绩效评价工作小组人员名单及分工如下：</w:t>
      </w:r>
    </w:p>
    <w:p w14:paraId="5D18A7E7">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王和志</w:t>
      </w:r>
      <w:r>
        <w:rPr>
          <w:rFonts w:hint="eastAsia" w:ascii="宋体" w:hAnsi="宋体" w:eastAsia="宋体" w:cs="宋体"/>
          <w:sz w:val="24"/>
          <w:szCs w:val="24"/>
        </w:rPr>
        <w:t>（评价小组组长）：主要负责</w:t>
      </w:r>
      <w:r>
        <w:rPr>
          <w:rFonts w:hint="eastAsia" w:ascii="宋体" w:hAnsi="宋体" w:eastAsia="宋体" w:cs="宋体"/>
          <w:sz w:val="24"/>
          <w:szCs w:val="24"/>
          <w:lang w:val="en-US" w:eastAsia="zh-CN"/>
        </w:rPr>
        <w:t>全面负责评价小组的运作，制定评价计划和方案，把控整体进度和方向，与项目相关方沟通协调。对评价结果负责</w:t>
      </w:r>
      <w:r>
        <w:rPr>
          <w:rFonts w:hint="eastAsia" w:ascii="宋体" w:hAnsi="宋体" w:eastAsia="宋体" w:cs="宋体"/>
          <w:sz w:val="24"/>
          <w:szCs w:val="24"/>
        </w:rPr>
        <w:t>;</w:t>
      </w:r>
    </w:p>
    <w:p w14:paraId="78F47247">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吾尔古丽</w:t>
      </w:r>
      <w:r>
        <w:rPr>
          <w:rFonts w:hint="eastAsia" w:ascii="宋体" w:hAnsi="宋体" w:eastAsia="宋体" w:cs="宋体"/>
          <w:sz w:val="24"/>
          <w:szCs w:val="24"/>
          <w:lang w:val="en-US" w:eastAsia="zh-CN"/>
        </w:rPr>
        <w:t>·吐送尼亚孜</w:t>
      </w:r>
      <w:r>
        <w:rPr>
          <w:rFonts w:hint="eastAsia" w:ascii="宋体" w:hAnsi="宋体" w:eastAsia="宋体" w:cs="宋体"/>
          <w:sz w:val="24"/>
          <w:szCs w:val="24"/>
        </w:rPr>
        <w:t>（评价小组组员）：主要负责</w:t>
      </w:r>
      <w:r>
        <w:rPr>
          <w:rFonts w:hint="eastAsia" w:ascii="宋体" w:hAnsi="宋体" w:eastAsia="宋体" w:cs="宋体"/>
          <w:sz w:val="24"/>
          <w:szCs w:val="24"/>
          <w:lang w:val="en-US" w:eastAsia="zh-CN"/>
        </w:rPr>
        <w:t>对项目的业务流程进行梳理和评估，分析业务流程的合理性、效率和效果。识别业务流程中存在的问题和改进点，提高优化业务流程的建议</w:t>
      </w:r>
      <w:r>
        <w:rPr>
          <w:rFonts w:hint="eastAsia" w:ascii="宋体" w:hAnsi="宋体" w:eastAsia="宋体" w:cs="宋体"/>
          <w:sz w:val="24"/>
          <w:szCs w:val="24"/>
        </w:rPr>
        <w:t>;</w:t>
      </w:r>
    </w:p>
    <w:p w14:paraId="49CC1E2B">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刘丽</w:t>
      </w:r>
      <w:r>
        <w:rPr>
          <w:rFonts w:hint="eastAsia" w:ascii="宋体" w:hAnsi="宋体" w:eastAsia="宋体" w:cs="宋体"/>
          <w:sz w:val="24"/>
          <w:szCs w:val="24"/>
        </w:rPr>
        <w:t>（评价小组组员）：主要负责</w:t>
      </w:r>
      <w:r>
        <w:rPr>
          <w:rFonts w:hint="eastAsia" w:ascii="宋体" w:hAnsi="宋体" w:eastAsia="宋体" w:cs="宋体"/>
          <w:sz w:val="24"/>
          <w:szCs w:val="24"/>
          <w:lang w:eastAsia="zh-CN"/>
        </w:rPr>
        <w:t>负责项目的预算执行情况，提供财务方面的评价意见和建议，根据评价小组的工作成果，撰写项目绩效评价报告。</w:t>
      </w:r>
    </w:p>
    <w:p w14:paraId="28EFAE06">
      <w:pPr>
        <w:pStyle w:val="48"/>
        <w:pageBreakBefore w:val="0"/>
        <w:widowControl w:val="0"/>
        <w:numPr>
          <w:ilvl w:val="0"/>
          <w:numId w:val="3"/>
        </w:numPr>
        <w:tabs>
          <w:tab w:val="clear" w:pos="312"/>
        </w:tabs>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组织实施</w:t>
      </w:r>
    </w:p>
    <w:p w14:paraId="6114BA44">
      <w:pPr>
        <w:pageBreakBefore w:val="0"/>
        <w:widowControl w:val="0"/>
        <w:kinsoku/>
        <w:wordWrap/>
        <w:overflowPunct/>
        <w:topLinePunct w:val="0"/>
        <w:autoSpaceDE/>
        <w:autoSpaceDN/>
        <w:bidi w:val="0"/>
        <w:adjustRightInd/>
        <w:snapToGrid/>
        <w:spacing w:line="360" w:lineRule="auto"/>
        <w:ind w:left="238" w:leftChars="85" w:right="0" w:firstLine="240" w:firstLineChars="100"/>
        <w:jc w:val="left"/>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年2月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lang w:eastAsia="zh-CN"/>
        </w:rPr>
        <w:t>日-3月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日，评价工作进入实施阶段。在数据采集方面，评价</w:t>
      </w:r>
      <w:r>
        <w:rPr>
          <w:rFonts w:hint="eastAsia" w:ascii="宋体" w:hAnsi="宋体" w:eastAsia="宋体" w:cs="宋体"/>
          <w:sz w:val="24"/>
          <w:szCs w:val="24"/>
        </w:rPr>
        <w:t>小组整理单位前期提交的资料，与项目实施负责人沟通，了解资金的内容、操作流程、管理机制、资金使用方向等情况并采集信息，了解项目设置背景及资金使用等情况。</w:t>
      </w:r>
    </w:p>
    <w:p w14:paraId="1D1D6880">
      <w:pPr>
        <w:pStyle w:val="2"/>
        <w:pageBreakBefore w:val="0"/>
        <w:widowControl w:val="0"/>
        <w:numPr>
          <w:ilvl w:val="0"/>
          <w:numId w:val="3"/>
        </w:numPr>
        <w:tabs>
          <w:tab w:val="clear" w:pos="312"/>
        </w:tabs>
        <w:kinsoku/>
        <w:wordWrap/>
        <w:overflowPunct/>
        <w:topLinePunct w:val="0"/>
        <w:autoSpaceDE/>
        <w:autoSpaceDN/>
        <w:bidi w:val="0"/>
        <w:adjustRightInd/>
        <w:snapToGrid/>
        <w:spacing w:before="0" w:after="0" w:line="360" w:lineRule="auto"/>
        <w:ind w:left="0" w:leftChars="0" w:right="0" w:rightChars="0" w:firstLine="480"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分析评价</w:t>
      </w:r>
    </w:p>
    <w:p w14:paraId="2051E54D">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2025年3月</w:t>
      </w:r>
      <w:r>
        <w:rPr>
          <w:rFonts w:hint="eastAsia" w:ascii="宋体" w:hAnsi="宋体" w:eastAsia="宋体" w:cs="宋体"/>
          <w:sz w:val="24"/>
          <w:szCs w:val="24"/>
          <w:lang w:val="en-US" w:eastAsia="zh-CN"/>
        </w:rPr>
        <w:t>1</w:t>
      </w:r>
      <w:r>
        <w:rPr>
          <w:rFonts w:hint="eastAsia" w:ascii="宋体" w:hAnsi="宋体" w:eastAsia="宋体" w:cs="宋体"/>
          <w:sz w:val="24"/>
          <w:szCs w:val="24"/>
        </w:rPr>
        <w:t>日-</w:t>
      </w:r>
      <w:r>
        <w:rPr>
          <w:rFonts w:hint="eastAsia" w:ascii="宋体" w:hAnsi="宋体" w:eastAsia="宋体" w:cs="宋体"/>
          <w:sz w:val="24"/>
          <w:szCs w:val="24"/>
          <w:lang w:val="en-US" w:eastAsia="zh-CN"/>
        </w:rPr>
        <w:t>3</w:t>
      </w:r>
      <w:r>
        <w:rPr>
          <w:rFonts w:hint="eastAsia" w:ascii="宋体" w:hAnsi="宋体" w:eastAsia="宋体" w:cs="宋体"/>
          <w:sz w:val="24"/>
          <w:szCs w:val="24"/>
        </w:rPr>
        <w:t>月1</w:t>
      </w:r>
      <w:r>
        <w:rPr>
          <w:rFonts w:hint="eastAsia" w:ascii="宋体" w:hAnsi="宋体" w:eastAsia="宋体" w:cs="宋体"/>
          <w:sz w:val="24"/>
          <w:szCs w:val="24"/>
          <w:lang w:val="en-US" w:eastAsia="zh-CN"/>
        </w:rPr>
        <w:t>5</w:t>
      </w:r>
      <w:r>
        <w:rPr>
          <w:rFonts w:hint="eastAsia" w:ascii="宋体" w:hAnsi="宋体" w:eastAsia="宋体" w:cs="宋体"/>
          <w:sz w:val="24"/>
          <w:szCs w:val="24"/>
        </w:rPr>
        <w:t>日，评价小组按照绩效评价的原则和规范，对取得的资料进行审查核实，对采集的数据进行分析，按照绩效评价指标评分表逐项进行打分、分析、汇总各方评价结果。</w:t>
      </w:r>
    </w:p>
    <w:p w14:paraId="05171E13">
      <w:pPr>
        <w:pStyle w:val="2"/>
        <w:pageBreakBefore w:val="0"/>
        <w:widowControl w:val="0"/>
        <w:numPr>
          <w:ilvl w:val="0"/>
          <w:numId w:val="3"/>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撰写与提交评价报告</w:t>
      </w:r>
    </w:p>
    <w:p w14:paraId="66DED0B3">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2025年</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月1</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日-</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lang w:val="en-US" w:eastAsia="zh-CN"/>
        </w:rPr>
        <w:t>31</w:t>
      </w:r>
      <w:r>
        <w:rPr>
          <w:rFonts w:hint="eastAsia" w:ascii="宋体" w:hAnsi="宋体" w:eastAsia="宋体" w:cs="宋体"/>
          <w:sz w:val="24"/>
          <w:szCs w:val="24"/>
          <w:highlight w:val="none"/>
          <w:lang w:eastAsia="zh-CN"/>
        </w:rPr>
        <w:t>日评价小组撰写绩效评价报告，按照新疆维吾尔自治区财政绩效管理信息系统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129C0B1C">
      <w:pPr>
        <w:pStyle w:val="2"/>
        <w:pageBreakBefore w:val="0"/>
        <w:widowControl w:val="0"/>
        <w:numPr>
          <w:ilvl w:val="0"/>
          <w:numId w:val="3"/>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问题整改</w:t>
      </w:r>
    </w:p>
    <w:p w14:paraId="1CC0AF85">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4404223B">
      <w:pPr>
        <w:pStyle w:val="2"/>
        <w:pageBreakBefore w:val="0"/>
        <w:widowControl w:val="0"/>
        <w:numPr>
          <w:ilvl w:val="0"/>
          <w:numId w:val="3"/>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档案整理</w:t>
      </w:r>
    </w:p>
    <w:p w14:paraId="7D769D06">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018FBC6F">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p>
    <w:p w14:paraId="6BCCBB69">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sz w:val="24"/>
          <w:szCs w:val="24"/>
        </w:rPr>
      </w:pPr>
      <w:r>
        <w:rPr>
          <w:rFonts w:hint="eastAsia" w:ascii="黑体" w:hAnsi="黑体" w:eastAsia="黑体" w:cs="黑体"/>
          <w:b/>
          <w:bCs/>
          <w:sz w:val="24"/>
          <w:szCs w:val="24"/>
        </w:rPr>
        <w:t>三、综合评价情况及评价结论</w:t>
      </w:r>
      <w:bookmarkEnd w:id="9"/>
    </w:p>
    <w:p w14:paraId="7332D6E7">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sz w:val="24"/>
          <w:szCs w:val="24"/>
        </w:rPr>
      </w:pPr>
      <w:bookmarkStart w:id="10" w:name="_Toc68364665"/>
      <w:r>
        <w:rPr>
          <w:rFonts w:hint="eastAsia" w:ascii="宋体" w:hAnsi="宋体" w:eastAsia="宋体" w:cs="宋体"/>
          <w:b/>
          <w:bCs/>
          <w:sz w:val="24"/>
          <w:szCs w:val="24"/>
        </w:rPr>
        <w:t>（一）综合评价情况</w:t>
      </w:r>
      <w:bookmarkEnd w:id="10"/>
    </w:p>
    <w:p w14:paraId="291786AF">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FF0000"/>
          <w:sz w:val="24"/>
          <w:szCs w:val="24"/>
        </w:rPr>
      </w:pPr>
      <w:bookmarkStart w:id="11" w:name="_Toc68364666"/>
      <w:r>
        <w:rPr>
          <w:rFonts w:hint="eastAsia" w:ascii="宋体" w:hAnsi="宋体" w:eastAsia="宋体" w:cs="宋体"/>
          <w:sz w:val="24"/>
          <w:szCs w:val="24"/>
          <w:lang w:val="en-US" w:eastAsia="zh-CN"/>
        </w:rPr>
        <w:t>通过实施2022年中央补助地方公共文化服务体系建设补助资金（一般项目，绩效奖）项目产生通过放映具有教育意义的电影，可以传播积极向上的价值观、道德观和科学知识，有助于提升农民的思想道德素质和科学文化水平，推动农村精神文明建设效益，极大地丰富他们的业余生活。</w:t>
      </w:r>
      <w:r>
        <w:rPr>
          <w:rFonts w:hint="eastAsia" w:ascii="宋体" w:hAnsi="宋体" w:eastAsia="宋体" w:cs="宋体"/>
          <w:sz w:val="24"/>
          <w:szCs w:val="24"/>
        </w:rPr>
        <w:t>项目实施主要通过项目决策、项目过程、项目产出以及项目效益等方面进行评价，其中：</w:t>
      </w:r>
    </w:p>
    <w:p w14:paraId="6D99CE8F">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项目决策：该项目主要通过根据《2022年中央补助地方公共文化服务体系建设补助资金》（和地财教〔2022〕30号）文件立项，项目实施符合《2022年中央补助地方公共文化服务体系建设补助资金》（和地财教〔2022〕30号）文件及《新疆农村电影发行放映管理暂行办法》要求，项目立项依据充分，立项程序规范。 </w:t>
      </w:r>
    </w:p>
    <w:p w14:paraId="61E4CF20">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项目过程：2022年中央补助地方公共文化服务体系建设补助资金（一般项目，绩效奖）项目预算安排 50.41万元，实际支出49.4万元，预算执行率98%。项目资金使</w:t>
      </w:r>
      <w:r>
        <w:rPr>
          <w:rFonts w:hint="eastAsia" w:ascii="宋体" w:hAnsi="宋体" w:eastAsia="宋体" w:cs="宋体"/>
          <w:sz w:val="24"/>
          <w:szCs w:val="24"/>
        </w:rPr>
        <w:t>用合规，项目财务管理制度健全，财务监控到位，所有资金支付均按照国库集中支付制度严格执行，现有项目管理制度执行情况良好。</w:t>
      </w:r>
    </w:p>
    <w:p w14:paraId="03010C62">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项目产出：</w:t>
      </w:r>
      <w:r>
        <w:rPr>
          <w:rFonts w:hint="eastAsia" w:ascii="宋体" w:hAnsi="宋体" w:eastAsia="宋体" w:cs="宋体"/>
          <w:sz w:val="24"/>
          <w:szCs w:val="24"/>
          <w:lang w:eastAsia="zh-CN"/>
        </w:rPr>
        <w:t>该项目实际完成</w:t>
      </w:r>
      <w:r>
        <w:rPr>
          <w:rFonts w:hint="eastAsia" w:ascii="宋体" w:hAnsi="宋体" w:eastAsia="宋体" w:cs="宋体"/>
          <w:sz w:val="24"/>
          <w:szCs w:val="24"/>
          <w:lang w:val="en-US" w:eastAsia="zh-CN"/>
        </w:rPr>
        <w:t>村社区249个农家书屋配发工作，完成率达到100%。按照合同要求每村2000元标准配发图书，未出现任务未完成情况；通过定期检查和观众反馈，经统计群众满意度达到95%，达到预期质量目标。</w:t>
      </w:r>
    </w:p>
    <w:p w14:paraId="2C679F86">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项目效益：</w:t>
      </w:r>
      <w:r>
        <w:rPr>
          <w:rFonts w:hint="eastAsia" w:ascii="宋体" w:hAnsi="宋体" w:eastAsia="宋体" w:cs="宋体"/>
          <w:sz w:val="24"/>
          <w:szCs w:val="24"/>
          <w:lang w:eastAsia="zh-CN"/>
        </w:rPr>
        <w:t>丰富了农村群众业余文化生活，促进了农村精神文明建设，增进了村民之间的交流与凝聚力；传播了先进文化和科技知识，提升了农牧民文化素质，满足了群众对文化生活的需求。</w:t>
      </w:r>
    </w:p>
    <w:p w14:paraId="40667E62">
      <w:pPr>
        <w:pStyle w:val="48"/>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p>
    <w:p w14:paraId="508C9A8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333333"/>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2022年中央补助地方公共文化服务体系建设补助资金（一般项目，绩效奖）项目进行客观评价，最终评分结果：评价总</w:t>
      </w:r>
      <w:r>
        <w:rPr>
          <w:rFonts w:hint="eastAsia" w:ascii="宋体" w:hAnsi="宋体" w:eastAsia="宋体" w:cs="宋体"/>
          <w:color w:val="000000"/>
          <w:sz w:val="24"/>
          <w:szCs w:val="24"/>
        </w:rPr>
        <w:t>分</w:t>
      </w:r>
      <w:r>
        <w:rPr>
          <w:rFonts w:hint="eastAsia" w:ascii="宋体" w:hAnsi="宋体" w:eastAsia="宋体" w:cs="宋体"/>
          <w:color w:val="000000"/>
          <w:sz w:val="24"/>
          <w:szCs w:val="24"/>
          <w:lang w:val="en-US" w:eastAsia="zh-CN"/>
        </w:rPr>
        <w:t>93.75</w:t>
      </w:r>
      <w:r>
        <w:rPr>
          <w:rFonts w:hint="eastAsia" w:ascii="宋体" w:hAnsi="宋体" w:eastAsia="宋体" w:cs="宋体"/>
          <w:color w:val="000000"/>
          <w:sz w:val="24"/>
          <w:szCs w:val="24"/>
        </w:rPr>
        <w:t>分</w:t>
      </w:r>
      <w:r>
        <w:rPr>
          <w:rFonts w:hint="eastAsia" w:ascii="宋体" w:hAnsi="宋体" w:eastAsia="宋体" w:cs="宋体"/>
          <w:color w:val="333333"/>
          <w:sz w:val="24"/>
          <w:szCs w:val="24"/>
        </w:rPr>
        <w:t>，绩效等级为“</w:t>
      </w:r>
      <w:r>
        <w:rPr>
          <w:rFonts w:hint="eastAsia" w:ascii="宋体" w:hAnsi="宋体" w:eastAsia="宋体" w:cs="宋体"/>
          <w:color w:val="333333"/>
          <w:sz w:val="24"/>
          <w:szCs w:val="24"/>
          <w:lang w:val="en-US" w:eastAsia="zh-CN"/>
        </w:rPr>
        <w:t>优</w:t>
      </w:r>
      <w:r>
        <w:rPr>
          <w:rFonts w:hint="eastAsia" w:ascii="宋体" w:hAnsi="宋体" w:eastAsia="宋体" w:cs="宋体"/>
          <w:color w:val="333333"/>
          <w:sz w:val="24"/>
          <w:szCs w:val="24"/>
        </w:rPr>
        <w:t>”。</w:t>
      </w:r>
      <w:bookmarkEnd w:id="11"/>
      <w:bookmarkStart w:id="12" w:name="_Toc68364667"/>
    </w:p>
    <w:p w14:paraId="4CA2695D">
      <w:pPr>
        <w:pStyle w:val="3"/>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sz w:val="24"/>
          <w:szCs w:val="24"/>
        </w:rPr>
      </w:pPr>
    </w:p>
    <w:p w14:paraId="36630CEF">
      <w:pPr>
        <w:pStyle w:val="3"/>
        <w:pageBreakBefore w:val="0"/>
        <w:widowControl w:val="0"/>
        <w:kinsoku/>
        <w:wordWrap/>
        <w:topLinePunct w:val="0"/>
        <w:autoSpaceDE/>
        <w:autoSpaceDN/>
        <w:bidi w:val="0"/>
        <w:adjustRightInd/>
        <w:snapToGrid/>
        <w:spacing w:before="0" w:after="0" w:line="360" w:lineRule="auto"/>
        <w:ind w:left="0" w:leftChars="0" w:right="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四、绩效评价指标分析</w:t>
      </w:r>
      <w:bookmarkEnd w:id="12"/>
    </w:p>
    <w:p w14:paraId="24E5031C">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sz w:val="24"/>
          <w:szCs w:val="24"/>
        </w:rPr>
      </w:pPr>
      <w:bookmarkStart w:id="13" w:name="_Toc68364668"/>
      <w:r>
        <w:rPr>
          <w:rFonts w:hint="eastAsia" w:ascii="宋体" w:hAnsi="宋体" w:eastAsia="宋体" w:cs="宋体"/>
          <w:b/>
          <w:bCs/>
          <w:sz w:val="24"/>
          <w:szCs w:val="24"/>
        </w:rPr>
        <w:t>（一）项目决策情况</w:t>
      </w:r>
    </w:p>
    <w:p w14:paraId="2D76FC75">
      <w:pPr>
        <w:keepNext w:val="0"/>
        <w:keepLines w:val="0"/>
        <w:pageBreakBefore w:val="0"/>
        <w:widowControl w:val="0"/>
        <w:kinsoku/>
        <w:wordWrap/>
        <w:overflowPunct w:val="0"/>
        <w:topLinePunct w:val="0"/>
        <w:autoSpaceDE/>
        <w:autoSpaceDN/>
        <w:bidi w:val="0"/>
        <w:adjustRightInd/>
        <w:snapToGrid/>
        <w:spacing w:line="360" w:lineRule="auto"/>
        <w:ind w:left="0" w:leftChars="0" w:right="0" w:firstLine="480" w:firstLineChars="200"/>
        <w:contextualSpacing/>
        <w:jc w:val="both"/>
        <w:textAlignment w:val="auto"/>
        <w:rPr>
          <w:rFonts w:hint="eastAsia" w:ascii="宋体" w:hAnsi="宋体" w:eastAsia="宋体" w:cs="宋体"/>
          <w:color w:val="FF0000"/>
          <w:sz w:val="24"/>
          <w:szCs w:val="24"/>
        </w:rPr>
      </w:pPr>
      <w:r>
        <w:rPr>
          <w:rFonts w:hint="eastAsia" w:ascii="宋体" w:hAnsi="宋体" w:eastAsia="宋体" w:cs="宋体"/>
          <w:sz w:val="24"/>
          <w:szCs w:val="24"/>
        </w:rPr>
        <w:t>项目决策类指标包括项目立项、绩效目标和</w:t>
      </w:r>
      <w:r>
        <w:rPr>
          <w:rFonts w:hint="eastAsia" w:ascii="宋体" w:hAnsi="宋体" w:eastAsia="宋体" w:cs="宋体"/>
          <w:sz w:val="24"/>
          <w:szCs w:val="24"/>
          <w:highlight w:val="none"/>
        </w:rPr>
        <w:t>资金投入三方面的内容，由</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个三</w:t>
      </w:r>
      <w:r>
        <w:rPr>
          <w:rFonts w:hint="eastAsia" w:ascii="宋体" w:hAnsi="宋体" w:eastAsia="宋体" w:cs="宋体"/>
          <w:sz w:val="24"/>
          <w:szCs w:val="24"/>
        </w:rPr>
        <w:t>级指标构成，权重分</w:t>
      </w:r>
      <w:r>
        <w:rPr>
          <w:rFonts w:hint="eastAsia" w:ascii="宋体" w:hAnsi="宋体" w:eastAsia="宋体" w:cs="宋体"/>
          <w:sz w:val="24"/>
          <w:szCs w:val="24"/>
          <w:highlight w:val="none"/>
        </w:rPr>
        <w:t>为</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分</w:t>
      </w:r>
      <w:r>
        <w:rPr>
          <w:rFonts w:hint="eastAsia" w:ascii="宋体" w:hAnsi="宋体" w:eastAsia="宋体" w:cs="宋体"/>
          <w:sz w:val="24"/>
          <w:szCs w:val="24"/>
        </w:rPr>
        <w:t>，实际得分</w:t>
      </w:r>
      <w:r>
        <w:rPr>
          <w:rFonts w:hint="eastAsia" w:ascii="宋体" w:hAnsi="宋体" w:eastAsia="宋体" w:cs="宋体"/>
          <w:sz w:val="24"/>
          <w:szCs w:val="24"/>
          <w:lang w:val="en-US" w:eastAsia="zh-CN"/>
        </w:rPr>
        <w:t>20</w:t>
      </w:r>
      <w:r>
        <w:rPr>
          <w:rFonts w:hint="eastAsia" w:ascii="宋体" w:hAnsi="宋体" w:eastAsia="宋体" w:cs="宋体"/>
          <w:sz w:val="24"/>
          <w:szCs w:val="24"/>
        </w:rPr>
        <w:t>分，得分率为</w:t>
      </w:r>
      <w:r>
        <w:rPr>
          <w:rFonts w:hint="eastAsia" w:ascii="宋体" w:hAnsi="宋体" w:eastAsia="宋体" w:cs="宋体"/>
          <w:sz w:val="24"/>
          <w:szCs w:val="24"/>
          <w:lang w:val="en-US" w:eastAsia="zh-CN"/>
        </w:rPr>
        <w:t>100</w:t>
      </w:r>
      <w:r>
        <w:rPr>
          <w:rFonts w:hint="eastAsia" w:ascii="宋体" w:hAnsi="宋体" w:eastAsia="宋体" w:cs="宋体"/>
          <w:sz w:val="24"/>
          <w:szCs w:val="24"/>
        </w:rPr>
        <w:t>%。</w:t>
      </w:r>
    </w:p>
    <w:p w14:paraId="4839A1FB">
      <w:pPr>
        <w:pStyle w:val="48"/>
        <w:pageBreakBefore w:val="0"/>
        <w:widowControl w:val="0"/>
        <w:numPr>
          <w:ilvl w:val="0"/>
          <w:numId w:val="6"/>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立项依据充分性：</w:t>
      </w:r>
    </w:p>
    <w:p w14:paraId="3088EE87">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rPr>
        <w:t>本项目立项符合</w:t>
      </w:r>
      <w:r>
        <w:rPr>
          <w:rFonts w:hint="eastAsia" w:ascii="宋体" w:hAnsi="宋体" w:eastAsia="宋体" w:cs="宋体"/>
          <w:color w:val="000000"/>
          <w:sz w:val="24"/>
          <w:szCs w:val="24"/>
          <w:lang w:eastAsia="zh-CN"/>
        </w:rPr>
        <w:t>财政部</w:t>
      </w:r>
      <w:r>
        <w:rPr>
          <w:rFonts w:hint="eastAsia" w:ascii="宋体" w:hAnsi="宋体" w:eastAsia="宋体" w:cs="宋体"/>
          <w:color w:val="000000"/>
          <w:sz w:val="24"/>
          <w:szCs w:val="24"/>
        </w:rPr>
        <w:t>颁发的《</w:t>
      </w:r>
      <w:r>
        <w:rPr>
          <w:rFonts w:hint="eastAsia" w:ascii="宋体" w:hAnsi="宋体" w:eastAsia="宋体" w:cs="宋体"/>
          <w:color w:val="000000"/>
          <w:sz w:val="24"/>
          <w:szCs w:val="24"/>
          <w:lang w:eastAsia="zh-CN"/>
        </w:rPr>
        <w:t>中央补助地方公共文化服务体系建设专项资金管理暂行办法</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财教</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2015</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527</w:t>
      </w:r>
      <w:r>
        <w:rPr>
          <w:rFonts w:hint="eastAsia" w:ascii="宋体" w:hAnsi="宋体" w:eastAsia="宋体" w:cs="宋体"/>
          <w:color w:val="000000"/>
          <w:sz w:val="24"/>
          <w:szCs w:val="24"/>
        </w:rPr>
        <w:t>号）中：“</w:t>
      </w:r>
      <w:r>
        <w:rPr>
          <w:rFonts w:hint="eastAsia" w:ascii="宋体" w:hAnsi="宋体" w:eastAsia="宋体" w:cs="宋体"/>
          <w:color w:val="000000"/>
          <w:sz w:val="24"/>
          <w:szCs w:val="24"/>
          <w:lang w:eastAsia="zh-CN"/>
        </w:rPr>
        <w:t>支出范围</w:t>
      </w:r>
      <w:r>
        <w:rPr>
          <w:rFonts w:hint="eastAsia" w:ascii="宋体" w:hAnsi="宋体" w:eastAsia="宋体" w:cs="宋体"/>
          <w:color w:val="000000"/>
          <w:sz w:val="24"/>
          <w:szCs w:val="24"/>
        </w:rPr>
        <w:t>”；本项目立项符合《</w:t>
      </w:r>
      <w:r>
        <w:rPr>
          <w:rFonts w:hint="eastAsia" w:ascii="宋体" w:hAnsi="宋体" w:eastAsia="宋体" w:cs="宋体"/>
          <w:color w:val="000000"/>
          <w:sz w:val="24"/>
          <w:szCs w:val="24"/>
          <w:lang w:eastAsia="zh-CN"/>
        </w:rPr>
        <w:t>中央补助地方公共文化服务体系建设专项资金管理暂行办法</w:t>
      </w:r>
      <w:r>
        <w:rPr>
          <w:rFonts w:hint="eastAsia" w:ascii="宋体" w:hAnsi="宋体" w:eastAsia="宋体" w:cs="宋体"/>
          <w:color w:val="000000"/>
          <w:sz w:val="24"/>
          <w:szCs w:val="24"/>
        </w:rPr>
        <w:t>》中：“</w:t>
      </w:r>
      <w:r>
        <w:rPr>
          <w:rFonts w:hint="eastAsia" w:ascii="宋体" w:hAnsi="宋体" w:eastAsia="宋体" w:cs="宋体"/>
          <w:color w:val="000000"/>
          <w:sz w:val="24"/>
          <w:szCs w:val="24"/>
          <w:lang w:eastAsia="zh-CN"/>
        </w:rPr>
        <w:t>支出范围</w:t>
      </w:r>
      <w:r>
        <w:rPr>
          <w:rFonts w:hint="eastAsia" w:ascii="宋体" w:hAnsi="宋体" w:eastAsia="宋体" w:cs="宋体"/>
          <w:color w:val="000000"/>
          <w:sz w:val="24"/>
          <w:szCs w:val="24"/>
        </w:rPr>
        <w:t>”内容，符合行业发展规划和政策要求；根据《财政资金直接支付申请书》</w:t>
      </w:r>
      <w:r>
        <w:rPr>
          <w:rFonts w:hint="eastAsia" w:ascii="宋体" w:hAnsi="宋体" w:eastAsia="宋体" w:cs="宋体"/>
          <w:color w:val="000000"/>
          <w:sz w:val="24"/>
          <w:szCs w:val="24"/>
          <w:lang w:eastAsia="zh-CN"/>
        </w:rPr>
        <w:t>，本</w:t>
      </w:r>
      <w:r>
        <w:rPr>
          <w:rFonts w:hint="eastAsia" w:ascii="宋体" w:hAnsi="宋体" w:eastAsia="宋体" w:cs="宋体"/>
          <w:color w:val="000000"/>
          <w:sz w:val="24"/>
          <w:szCs w:val="24"/>
        </w:rPr>
        <w:t>项目资金性质为“公共财政预算”功能分类为“</w:t>
      </w:r>
      <w:r>
        <w:rPr>
          <w:rFonts w:hint="eastAsia" w:ascii="宋体" w:hAnsi="宋体" w:eastAsia="宋体" w:cs="宋体"/>
          <w:color w:val="000000"/>
          <w:sz w:val="24"/>
          <w:szCs w:val="24"/>
          <w:lang w:val="en-US" w:eastAsia="zh-CN"/>
        </w:rPr>
        <w:t>2079999</w:t>
      </w:r>
      <w:r>
        <w:rPr>
          <w:rFonts w:hint="eastAsia" w:ascii="宋体" w:hAnsi="宋体" w:eastAsia="宋体" w:cs="宋体"/>
          <w:color w:val="000000"/>
          <w:sz w:val="24"/>
          <w:szCs w:val="24"/>
        </w:rPr>
        <w:t>”经济分类为“</w:t>
      </w:r>
      <w:r>
        <w:rPr>
          <w:rFonts w:hint="eastAsia" w:ascii="宋体" w:hAnsi="宋体" w:eastAsia="宋体" w:cs="宋体"/>
          <w:color w:val="000000"/>
          <w:sz w:val="24"/>
          <w:szCs w:val="24"/>
          <w:lang w:val="en-US" w:eastAsia="zh-CN"/>
        </w:rPr>
        <w:t>50306设备购置、50502商品和服务支出、50601资本性支出（一）</w:t>
      </w:r>
      <w:r>
        <w:rPr>
          <w:rFonts w:hint="eastAsia" w:ascii="宋体" w:hAnsi="宋体" w:eastAsia="宋体" w:cs="宋体"/>
          <w:color w:val="000000"/>
          <w:sz w:val="24"/>
          <w:szCs w:val="24"/>
        </w:rPr>
        <w:t>”属于公</w:t>
      </w:r>
      <w:r>
        <w:rPr>
          <w:rFonts w:hint="eastAsia" w:ascii="宋体" w:hAnsi="宋体" w:eastAsia="宋体" w:cs="宋体"/>
          <w:color w:val="000000"/>
          <w:sz w:val="24"/>
          <w:szCs w:val="24"/>
          <w:highlight w:val="none"/>
        </w:rPr>
        <w:t>共财政支持范围，符合中央、地方事权支出责任划分原则；经检查我单位财政应用平台指标，本项目不存在重复。</w:t>
      </w:r>
    </w:p>
    <w:p w14:paraId="607B647D">
      <w:pPr>
        <w:keepNext w:val="0"/>
        <w:keepLines w:val="0"/>
        <w:pageBreakBefore w:val="0"/>
        <w:widowControl w:val="0"/>
        <w:kinsoku/>
        <w:wordWrap/>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综上所述，</w:t>
      </w:r>
      <w:r>
        <w:rPr>
          <w:rFonts w:hint="eastAsia" w:ascii="宋体" w:hAnsi="宋体" w:eastAsia="宋体" w:cs="宋体"/>
          <w:color w:val="000000"/>
          <w:sz w:val="24"/>
          <w:szCs w:val="24"/>
          <w:highlight w:val="none"/>
        </w:rPr>
        <w:t>本指标满分为</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分，本项目立项依据充分</w:t>
      </w:r>
      <w:r>
        <w:rPr>
          <w:rFonts w:hint="eastAsia" w:ascii="宋体" w:hAnsi="宋体" w:eastAsia="宋体" w:cs="宋体"/>
          <w:sz w:val="24"/>
          <w:szCs w:val="24"/>
          <w:highlight w:val="none"/>
        </w:rPr>
        <w:t>。</w:t>
      </w:r>
    </w:p>
    <w:p w14:paraId="14755264">
      <w:pPr>
        <w:keepNext w:val="0"/>
        <w:keepLines w:val="0"/>
        <w:pageBreakBefore w:val="0"/>
        <w:widowControl w:val="0"/>
        <w:numPr>
          <w:ilvl w:val="0"/>
          <w:numId w:val="6"/>
        </w:numPr>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立项程序规范性：</w:t>
      </w:r>
    </w:p>
    <w:p w14:paraId="7302176B">
      <w:pPr>
        <w:keepNext w:val="0"/>
        <w:keepLines w:val="0"/>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val="en-US" w:eastAsia="zh-CN"/>
        </w:rPr>
        <w:t>2022年中央补助地方公共文化服务体系建设补助资金（一般项目，绩效奖）</w:t>
      </w:r>
      <w:r>
        <w:rPr>
          <w:rFonts w:hint="eastAsia" w:ascii="宋体" w:hAnsi="宋体" w:eastAsia="宋体" w:cs="宋体"/>
          <w:color w:val="auto"/>
          <w:sz w:val="24"/>
          <w:szCs w:val="24"/>
          <w:highlight w:val="none"/>
          <w:lang w:eastAsia="zh-CN"/>
        </w:rPr>
        <w:t>，项</w:t>
      </w:r>
      <w:r>
        <w:rPr>
          <w:rFonts w:hint="eastAsia" w:ascii="宋体" w:hAnsi="宋体" w:eastAsia="宋体" w:cs="宋体"/>
          <w:color w:val="auto"/>
          <w:sz w:val="24"/>
          <w:szCs w:val="24"/>
          <w:highlight w:val="none"/>
        </w:rPr>
        <w:t>目立项过程中产生的文件均符合相关要求。本项目为</w:t>
      </w:r>
      <w:r>
        <w:rPr>
          <w:rFonts w:hint="eastAsia" w:ascii="宋体" w:hAnsi="宋体" w:eastAsia="宋体" w:cs="宋体"/>
          <w:color w:val="auto"/>
          <w:sz w:val="24"/>
          <w:szCs w:val="24"/>
          <w:highlight w:val="none"/>
          <w:lang w:eastAsia="zh-CN"/>
        </w:rPr>
        <w:t>特定目标</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50.41</w:t>
      </w:r>
      <w:r>
        <w:rPr>
          <w:rFonts w:hint="eastAsia" w:ascii="宋体" w:hAnsi="宋体" w:eastAsia="宋体" w:cs="宋体"/>
          <w:color w:val="auto"/>
          <w:sz w:val="24"/>
          <w:szCs w:val="24"/>
          <w:highlight w:val="none"/>
        </w:rPr>
        <w:t>万元，不涉及事前绩效评估和风险评估。</w:t>
      </w:r>
    </w:p>
    <w:p w14:paraId="5D4ADB25">
      <w:pPr>
        <w:keepNext w:val="0"/>
        <w:keepLines w:val="0"/>
        <w:pageBreakBefore w:val="0"/>
        <w:widowControl w:val="0"/>
        <w:kinsoku/>
        <w:wordWrap/>
        <w:topLinePunct w:val="0"/>
        <w:autoSpaceDE/>
        <w:autoSpaceDN/>
        <w:bidi w:val="0"/>
        <w:adjustRightInd/>
        <w:snapToGrid/>
        <w:spacing w:line="360" w:lineRule="auto"/>
        <w:ind w:left="238" w:leftChars="85" w:right="0" w:firstLine="240" w:firstLineChars="1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分，本项目立项程序合规。</w:t>
      </w:r>
    </w:p>
    <w:p w14:paraId="4D4FF407">
      <w:pPr>
        <w:keepNext w:val="0"/>
        <w:keepLines w:val="0"/>
        <w:pageBreakBefore w:val="0"/>
        <w:widowControl w:val="0"/>
        <w:numPr>
          <w:ilvl w:val="0"/>
          <w:numId w:val="6"/>
        </w:numPr>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b/>
          <w:bCs/>
          <w:sz w:val="24"/>
          <w:szCs w:val="24"/>
        </w:rPr>
        <w:t>绩效目标合理性</w:t>
      </w:r>
      <w:r>
        <w:rPr>
          <w:rFonts w:hint="eastAsia" w:ascii="宋体" w:hAnsi="宋体" w:eastAsia="宋体" w:cs="宋体"/>
          <w:sz w:val="24"/>
          <w:szCs w:val="24"/>
        </w:rPr>
        <w:t>：</w:t>
      </w:r>
    </w:p>
    <w:p w14:paraId="69DA4FAE">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①该项目已设置年度绩效目标，具体内容为“根据《2022年中央补助地方公共文化服务体系建设补助资金》（和地财教〔2022〕30号）文件实施此项目，本项目主要实施内容为：保障行政村数量</w:t>
      </w:r>
      <w:r>
        <w:rPr>
          <w:rFonts w:hint="eastAsia" w:ascii="宋体" w:hAnsi="宋体" w:eastAsia="宋体" w:cs="宋体"/>
          <w:color w:val="auto"/>
          <w:sz w:val="24"/>
          <w:szCs w:val="24"/>
          <w:lang w:val="en-US" w:eastAsia="zh-CN"/>
        </w:rPr>
        <w:t>249个，保障电影放映员工11名，项目总投资50.14万元，其中：农家书屋购置49.4万元，电影放映补贴0.74万元，电影放映费因结转2025年继续使用，未执行。</w:t>
      </w:r>
      <w:r>
        <w:rPr>
          <w:rFonts w:hint="eastAsia" w:ascii="宋体" w:hAnsi="宋体" w:eastAsia="宋体" w:cs="宋体"/>
          <w:color w:val="auto"/>
          <w:sz w:val="24"/>
          <w:szCs w:val="24"/>
        </w:rPr>
        <w:t>可保障群众文化权益，支持和引导地方基本公共文化服务指导标准和地方基本公共文化服务实施标准，促进基本公共文化服务标准化、均等化。通过项目实施，提高群众文化素质,保障11名农村电影放映员工资及时发放。</w:t>
      </w:r>
    </w:p>
    <w:p w14:paraId="72A68438">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yellow"/>
        </w:rPr>
      </w:pPr>
      <w:r>
        <w:rPr>
          <w:rFonts w:hint="eastAsia" w:ascii="宋体" w:hAnsi="宋体" w:eastAsia="宋体" w:cs="宋体"/>
          <w:color w:val="auto"/>
          <w:sz w:val="24"/>
          <w:szCs w:val="24"/>
        </w:rPr>
        <w:t>②该项目实际工作内容为：项目已完成为249个村购买图书，放映员补助因资金未下拨未支付，资金使用合规率达到100%，购置图书合格率达到100%，农家书屋购置费用49.4万元，实际完成率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%。通过项目的实施，有效提高群众文化素</w:t>
      </w:r>
      <w:r>
        <w:rPr>
          <w:rFonts w:hint="eastAsia" w:ascii="宋体" w:hAnsi="宋体" w:eastAsia="宋体" w:cs="宋体"/>
          <w:color w:val="auto"/>
          <w:sz w:val="24"/>
          <w:szCs w:val="24"/>
          <w:highlight w:val="none"/>
        </w:rPr>
        <w:t>质。绩效目标与实际工作内容一致，两者具有相关性。</w:t>
      </w:r>
    </w:p>
    <w:p w14:paraId="7005F700">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rPr>
        <w:t>③该项目按照绩效目标完成数量指标、质量指标、时效指标、成本指标，完成</w:t>
      </w:r>
      <w:r>
        <w:rPr>
          <w:rFonts w:hint="eastAsia" w:ascii="宋体" w:hAnsi="宋体" w:eastAsia="宋体" w:cs="宋体"/>
          <w:sz w:val="24"/>
          <w:szCs w:val="24"/>
          <w:lang w:val="en-US" w:eastAsia="zh-CN"/>
        </w:rPr>
        <w:t>了90</w:t>
      </w:r>
      <w:r>
        <w:rPr>
          <w:rFonts w:hint="eastAsia" w:ascii="宋体" w:hAnsi="宋体" w:eastAsia="宋体" w:cs="宋体"/>
          <w:color w:val="auto"/>
          <w:sz w:val="24"/>
          <w:szCs w:val="24"/>
          <w:lang w:val="en-US" w:eastAsia="zh-CN"/>
        </w:rPr>
        <w:t>%</w:t>
      </w:r>
      <w:r>
        <w:rPr>
          <w:rFonts w:hint="eastAsia" w:ascii="宋体" w:hAnsi="宋体" w:eastAsia="宋体" w:cs="宋体"/>
          <w:sz w:val="24"/>
          <w:szCs w:val="24"/>
          <w:lang w:val="en-US" w:eastAsia="zh-CN"/>
        </w:rPr>
        <w:t>，达到100%效益，预期产出效益和效果符合正常的业绩水平。</w:t>
      </w:r>
    </w:p>
    <w:p w14:paraId="5A23CF16">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④该项目批复的预算金额为50.14万元，《项目支出绩效目标表》中预算金额为50.14万元，预算确定的项目资金与预算确定的项目投资额相匹配。</w:t>
      </w:r>
    </w:p>
    <w:p w14:paraId="7533DD6E">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w:t>
      </w:r>
      <w:r>
        <w:rPr>
          <w:rFonts w:hint="eastAsia" w:ascii="宋体" w:hAnsi="宋体" w:eastAsia="宋体" w:cs="宋体"/>
          <w:color w:val="auto"/>
          <w:sz w:val="24"/>
          <w:szCs w:val="24"/>
          <w:highlight w:val="none"/>
          <w:lang w:eastAsia="zh-CN"/>
        </w:rPr>
        <w:t>。</w:t>
      </w:r>
    </w:p>
    <w:p w14:paraId="4972EF9A">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根据评分标准，该指标不扣分，得3分。</w:t>
      </w:r>
    </w:p>
    <w:p w14:paraId="21156545">
      <w:pPr>
        <w:pageBreakBefore w:val="0"/>
        <w:widowControl w:val="0"/>
        <w:numPr>
          <w:ilvl w:val="0"/>
          <w:numId w:val="6"/>
        </w:numPr>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p>
    <w:p w14:paraId="3CFE2DE5">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个，二级指标</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90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量化率70%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1D2703CD">
      <w:pPr>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该《项目绩效目标申报表》中，数量指标指标值为保障放映员人数≥11人，三级指标的年度指标值与年度绩效目标中任务数一致，已设置时效指标“</w:t>
      </w:r>
      <w:r>
        <w:rPr>
          <w:rFonts w:hint="eastAsia" w:ascii="宋体" w:hAnsi="宋体" w:eastAsia="宋体" w:cs="宋体"/>
          <w:color w:val="auto"/>
          <w:sz w:val="24"/>
          <w:szCs w:val="24"/>
          <w:highlight w:val="none"/>
          <w:lang w:val="en-US" w:eastAsia="zh-CN"/>
        </w:rPr>
        <w:t>资金拨付及时率=100%、项目完成时间2024年12月</w:t>
      </w:r>
      <w:r>
        <w:rPr>
          <w:rFonts w:hint="eastAsia" w:ascii="宋体" w:hAnsi="宋体" w:eastAsia="宋体" w:cs="宋体"/>
          <w:color w:val="auto"/>
          <w:sz w:val="24"/>
          <w:szCs w:val="24"/>
          <w:highlight w:val="none"/>
        </w:rPr>
        <w:t>”。已设置的绩效目标具备明确性、可衡量性、可实现性、相关性、时限性。根据评分标准，该指标不扣分，得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4ADE3262">
      <w:pPr>
        <w:pageBreakBefore w:val="0"/>
        <w:widowControl w:val="0"/>
        <w:numPr>
          <w:ilvl w:val="0"/>
          <w:numId w:val="6"/>
        </w:numPr>
        <w:kinsoku/>
        <w:wordWrap/>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预算编制科学性：</w:t>
      </w:r>
    </w:p>
    <w:p w14:paraId="2E2B6955">
      <w:pPr>
        <w:pageBreakBefore w:val="0"/>
        <w:widowControl w:val="0"/>
        <w:numPr>
          <w:ilvl w:val="0"/>
          <w:numId w:val="0"/>
        </w:numPr>
        <w:kinsoku/>
        <w:wordWrap/>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本项目2022年中央补助地方公共文化服务体系建设补助资金（一般项目，绩效奖），即预算编制较科学且经过论证；</w:t>
      </w:r>
    </w:p>
    <w:p w14:paraId="153C8821">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50.14</w:t>
      </w:r>
      <w:r>
        <w:rPr>
          <w:rFonts w:hint="eastAsia" w:ascii="宋体" w:hAnsi="宋体" w:eastAsia="宋体" w:cs="宋体"/>
          <w:color w:val="auto"/>
          <w:sz w:val="24"/>
          <w:szCs w:val="24"/>
          <w:highlight w:val="none"/>
        </w:rPr>
        <w:t>元，我单位在预算申请中严格按照项目实施内容及测算标准进行核算，其中：</w:t>
      </w:r>
      <w:r>
        <w:rPr>
          <w:rFonts w:hint="eastAsia" w:ascii="宋体" w:hAnsi="宋体" w:eastAsia="宋体" w:cs="宋体"/>
          <w:color w:val="auto"/>
          <w:sz w:val="24"/>
          <w:szCs w:val="24"/>
          <w:highlight w:val="none"/>
          <w:lang w:val="en-US" w:eastAsia="zh-CN"/>
        </w:rPr>
        <w:t>2022年农家书屋补贴49.4万元</w:t>
      </w:r>
      <w:r>
        <w:rPr>
          <w:rFonts w:hint="eastAsia" w:ascii="宋体" w:hAnsi="宋体" w:eastAsia="宋体" w:cs="宋体"/>
          <w:color w:val="auto"/>
          <w:sz w:val="24"/>
          <w:szCs w:val="24"/>
          <w:highlight w:val="none"/>
        </w:rPr>
        <w:t>。预算确定资金量与实际工作任务相匹配。本项目预算额度测算依据充分，严格按照标准编制，预算确定资金量与实际工作任务相匹配；根据评分标准，该指标不扣分，得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3CDF10AC">
      <w:pPr>
        <w:pageBreakBefore w:val="0"/>
        <w:widowControl w:val="0"/>
        <w:numPr>
          <w:ilvl w:val="0"/>
          <w:numId w:val="6"/>
        </w:numPr>
        <w:kinsoku/>
        <w:wordWrap/>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资金分配合理性：</w:t>
      </w:r>
    </w:p>
    <w:p w14:paraId="6EED0968">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本项目实际分配资金以《关于申请</w:t>
      </w:r>
      <w:r>
        <w:rPr>
          <w:rFonts w:hint="eastAsia" w:ascii="宋体" w:hAnsi="宋体" w:eastAsia="宋体" w:cs="宋体"/>
          <w:color w:val="auto"/>
          <w:sz w:val="24"/>
          <w:szCs w:val="24"/>
          <w:highlight w:val="none"/>
          <w:lang w:val="en-US" w:eastAsia="zh-CN"/>
        </w:rPr>
        <w:t>根据《2022年中央补助地方公共文化服务体系建设补助资金》（和地财教〔2022〕30号）文件</w:t>
      </w:r>
      <w:r>
        <w:rPr>
          <w:rFonts w:hint="eastAsia" w:ascii="宋体" w:hAnsi="宋体" w:eastAsia="宋体" w:cs="宋体"/>
          <w:color w:val="auto"/>
          <w:sz w:val="24"/>
          <w:szCs w:val="24"/>
          <w:highlight w:val="none"/>
        </w:rPr>
        <w:t>资金的请示》和《2022年中央补助地方公共文化服务体系建设补助资金实施方案》为依据进行资金分配，预算资金分配依据充分。根据《</w:t>
      </w:r>
      <w:r>
        <w:rPr>
          <w:rFonts w:hint="eastAsia" w:ascii="宋体" w:hAnsi="宋体" w:eastAsia="宋体" w:cs="宋体"/>
          <w:color w:val="auto"/>
          <w:sz w:val="24"/>
          <w:szCs w:val="24"/>
          <w:highlight w:val="none"/>
          <w:lang w:val="en-US" w:eastAsia="zh-CN"/>
        </w:rPr>
        <w:t>关于提前下达2022年中央补助地方公共文化服务体系建设补助资金的通知文件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和地财教〔2022〕30号</w:t>
      </w:r>
      <w:r>
        <w:rPr>
          <w:rFonts w:hint="eastAsia" w:ascii="宋体" w:hAnsi="宋体" w:eastAsia="宋体" w:cs="宋体"/>
          <w:color w:val="auto"/>
          <w:sz w:val="24"/>
          <w:szCs w:val="24"/>
          <w:highlight w:val="none"/>
        </w:rPr>
        <w:t>），本项目实际到位资金</w:t>
      </w:r>
      <w:r>
        <w:rPr>
          <w:rFonts w:hint="eastAsia" w:ascii="宋体" w:hAnsi="宋体" w:eastAsia="宋体" w:cs="宋体"/>
          <w:color w:val="auto"/>
          <w:sz w:val="24"/>
          <w:szCs w:val="24"/>
          <w:highlight w:val="none"/>
          <w:lang w:val="en-US" w:eastAsia="zh-CN"/>
        </w:rPr>
        <w:t>50.14</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2B0FF652">
      <w:pPr>
        <w:pStyle w:val="48"/>
        <w:pageBreakBefore w:val="0"/>
        <w:widowControl w:val="0"/>
        <w:kinsoku/>
        <w:wordWrap/>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1AE134FA">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 5个三级指标构成，权重分为20分，实际得分</w:t>
      </w:r>
      <w:r>
        <w:rPr>
          <w:rFonts w:hint="eastAsia" w:ascii="宋体" w:hAnsi="宋体" w:eastAsia="宋体" w:cs="宋体"/>
          <w:color w:val="auto"/>
          <w:sz w:val="24"/>
          <w:szCs w:val="24"/>
          <w:highlight w:val="none"/>
          <w:lang w:val="en-US" w:eastAsia="zh-CN"/>
        </w:rPr>
        <w:t>18.95</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94.75</w:t>
      </w:r>
      <w:r>
        <w:rPr>
          <w:rFonts w:hint="eastAsia" w:ascii="宋体" w:hAnsi="宋体" w:eastAsia="宋体" w:cs="宋体"/>
          <w:color w:val="auto"/>
          <w:sz w:val="24"/>
          <w:szCs w:val="24"/>
          <w:highlight w:val="none"/>
        </w:rPr>
        <w:t>%。</w:t>
      </w:r>
    </w:p>
    <w:p w14:paraId="4510A1C2">
      <w:pPr>
        <w:pageBreakBefore w:val="0"/>
        <w:widowControl w:val="0"/>
        <w:numPr>
          <w:ilvl w:val="0"/>
          <w:numId w:val="7"/>
        </w:numPr>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资金到位率：</w:t>
      </w:r>
    </w:p>
    <w:p w14:paraId="0DCF23FC">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本项目预算资金为</w:t>
      </w:r>
      <w:r>
        <w:rPr>
          <w:rFonts w:hint="eastAsia" w:ascii="宋体" w:hAnsi="宋体" w:eastAsia="宋体" w:cs="宋体"/>
          <w:color w:val="auto"/>
          <w:sz w:val="24"/>
          <w:szCs w:val="24"/>
          <w:highlight w:val="none"/>
          <w:lang w:val="en-US" w:eastAsia="zh-CN"/>
        </w:rPr>
        <w:t>50.14</w:t>
      </w:r>
      <w:r>
        <w:rPr>
          <w:rFonts w:hint="eastAsia" w:ascii="宋体" w:hAnsi="宋体" w:eastAsia="宋体" w:cs="宋体"/>
          <w:color w:val="auto"/>
          <w:sz w:val="24"/>
          <w:szCs w:val="24"/>
          <w:highlight w:val="none"/>
        </w:rPr>
        <w:t>万元，其中：财政安排资金</w:t>
      </w:r>
      <w:r>
        <w:rPr>
          <w:rFonts w:hint="eastAsia" w:ascii="宋体" w:hAnsi="宋体" w:eastAsia="宋体" w:cs="宋体"/>
          <w:color w:val="auto"/>
          <w:sz w:val="24"/>
          <w:szCs w:val="24"/>
          <w:highlight w:val="none"/>
          <w:lang w:val="en-US" w:eastAsia="zh-CN"/>
        </w:rPr>
        <w:t>50.14</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万元，实际到位资金</w:t>
      </w:r>
      <w:r>
        <w:rPr>
          <w:rFonts w:hint="eastAsia" w:ascii="宋体" w:hAnsi="宋体" w:eastAsia="宋体" w:cs="宋体"/>
          <w:color w:val="auto"/>
          <w:sz w:val="24"/>
          <w:szCs w:val="24"/>
          <w:highlight w:val="none"/>
          <w:lang w:val="en-US" w:eastAsia="zh-CN"/>
        </w:rPr>
        <w:t>50.14</w:t>
      </w:r>
      <w:r>
        <w:rPr>
          <w:rFonts w:hint="eastAsia" w:ascii="宋体" w:hAnsi="宋体" w:eastAsia="宋体" w:cs="宋体"/>
          <w:color w:val="auto"/>
          <w:sz w:val="24"/>
          <w:szCs w:val="24"/>
          <w:highlight w:val="none"/>
        </w:rPr>
        <w:t>万元，资金到位率=</w:t>
      </w:r>
      <w:r>
        <w:rPr>
          <w:rFonts w:hint="eastAsia" w:ascii="宋体" w:hAnsi="宋体" w:eastAsia="宋体" w:cs="宋体"/>
          <w:color w:val="auto"/>
          <w:sz w:val="24"/>
          <w:szCs w:val="24"/>
          <w:highlight w:val="none"/>
          <w:lang w:val="en-US" w:eastAsia="zh-CN"/>
        </w:rPr>
        <w:t>100%；通过分析可知，该项目</w:t>
      </w:r>
      <w:r>
        <w:rPr>
          <w:rFonts w:hint="eastAsia" w:ascii="宋体" w:hAnsi="宋体" w:eastAsia="宋体" w:cs="宋体"/>
          <w:color w:val="auto"/>
          <w:sz w:val="24"/>
          <w:szCs w:val="24"/>
          <w:highlight w:val="none"/>
        </w:rPr>
        <w:t>财政资金足额拨付到位，能够及时足额</w:t>
      </w:r>
      <w:r>
        <w:rPr>
          <w:rFonts w:hint="eastAsia" w:ascii="宋体" w:hAnsi="宋体" w:eastAsia="宋体" w:cs="宋体"/>
          <w:color w:val="auto"/>
          <w:sz w:val="24"/>
          <w:szCs w:val="24"/>
          <w:highlight w:val="none"/>
          <w:lang w:val="en-US" w:eastAsia="zh-CN"/>
        </w:rPr>
        <w:t>支付</w:t>
      </w:r>
      <w:r>
        <w:rPr>
          <w:rFonts w:hint="eastAsia" w:ascii="宋体" w:hAnsi="宋体" w:eastAsia="宋体" w:cs="宋体"/>
          <w:color w:val="auto"/>
          <w:sz w:val="24"/>
          <w:szCs w:val="24"/>
          <w:highlight w:val="none"/>
        </w:rPr>
        <w:t>给</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分。   </w:t>
      </w:r>
    </w:p>
    <w:p w14:paraId="6AF57BF0">
      <w:pPr>
        <w:pageBreakBefore w:val="0"/>
        <w:widowControl w:val="0"/>
        <w:numPr>
          <w:ilvl w:val="0"/>
          <w:numId w:val="7"/>
        </w:numPr>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预算执行率：</w:t>
      </w:r>
    </w:p>
    <w:p w14:paraId="5C8947D4">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49.4</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49.4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50.14</w:t>
      </w:r>
      <w:r>
        <w:rPr>
          <w:rFonts w:hint="eastAsia" w:ascii="宋体" w:hAnsi="宋体" w:eastAsia="宋体" w:cs="宋体"/>
          <w:color w:val="auto"/>
          <w:sz w:val="24"/>
          <w:szCs w:val="24"/>
          <w:highlight w:val="none"/>
        </w:rPr>
        <w:t>）×100.0%=</w:t>
      </w:r>
      <w:r>
        <w:rPr>
          <w:rFonts w:hint="eastAsia" w:ascii="宋体" w:hAnsi="宋体" w:eastAsia="宋体" w:cs="宋体"/>
          <w:color w:val="auto"/>
          <w:sz w:val="24"/>
          <w:szCs w:val="24"/>
          <w:highlight w:val="none"/>
          <w:lang w:val="en-US" w:eastAsia="zh-CN"/>
        </w:rPr>
        <w:t>98.52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预算编制较为详细，项目资金支出总体能够按照预算执行，根据评分标准，该指标扣</w:t>
      </w:r>
      <w:r>
        <w:rPr>
          <w:rFonts w:hint="eastAsia" w:ascii="宋体" w:hAnsi="宋体" w:eastAsia="宋体" w:cs="宋体"/>
          <w:color w:val="auto"/>
          <w:sz w:val="24"/>
          <w:szCs w:val="24"/>
          <w:highlight w:val="none"/>
          <w:lang w:val="en-US" w:eastAsia="zh-CN"/>
        </w:rPr>
        <w:t>0.05</w:t>
      </w:r>
      <w:r>
        <w:rPr>
          <w:rFonts w:hint="eastAsia" w:ascii="宋体" w:hAnsi="宋体" w:eastAsia="宋体" w:cs="宋体"/>
          <w:color w:val="auto"/>
          <w:sz w:val="24"/>
          <w:szCs w:val="24"/>
          <w:highlight w:val="none"/>
        </w:rPr>
        <w:t>分，得</w:t>
      </w:r>
      <w:r>
        <w:rPr>
          <w:rFonts w:hint="eastAsia" w:ascii="宋体" w:hAnsi="宋体" w:eastAsia="宋体" w:cs="宋体"/>
          <w:color w:val="auto"/>
          <w:sz w:val="24"/>
          <w:szCs w:val="24"/>
          <w:highlight w:val="none"/>
          <w:lang w:val="en-US" w:eastAsia="zh-CN"/>
        </w:rPr>
        <w:t>2.95</w:t>
      </w:r>
      <w:r>
        <w:rPr>
          <w:rFonts w:hint="eastAsia" w:ascii="宋体" w:hAnsi="宋体" w:eastAsia="宋体" w:cs="宋体"/>
          <w:color w:val="auto"/>
          <w:sz w:val="24"/>
          <w:szCs w:val="24"/>
          <w:highlight w:val="none"/>
        </w:rPr>
        <w:t>分。</w:t>
      </w:r>
    </w:p>
    <w:p w14:paraId="0E2F12BD">
      <w:pPr>
        <w:pageBreakBefore w:val="0"/>
        <w:widowControl w:val="0"/>
        <w:numPr>
          <w:ilvl w:val="0"/>
          <w:numId w:val="7"/>
        </w:numPr>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资金使用合规性：</w:t>
      </w:r>
    </w:p>
    <w:p w14:paraId="7B209878">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单位资金管理办法》《</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3CE6924B">
      <w:pPr>
        <w:pageBreakBefore w:val="0"/>
        <w:widowControl w:val="0"/>
        <w:numPr>
          <w:ilvl w:val="0"/>
          <w:numId w:val="7"/>
        </w:numPr>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管理制度健全性：</w:t>
      </w:r>
    </w:p>
    <w:p w14:paraId="19356959">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我单位已制定《</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收支业务管理制度》《</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政府采购业务管理制度》《</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合同管理制度》，</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制度均符合行政事业单位内控管理要求，财务和业务管理制度合法、合规、完整，本项目执行符合上述制度规定。根据评分标准，该指标不扣分，得5分。</w:t>
      </w:r>
    </w:p>
    <w:p w14:paraId="437FBF01">
      <w:pPr>
        <w:pageBreakBefore w:val="0"/>
        <w:widowControl w:val="0"/>
        <w:numPr>
          <w:ilvl w:val="0"/>
          <w:numId w:val="7"/>
        </w:numPr>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制度执行有效性：</w:t>
      </w:r>
    </w:p>
    <w:p w14:paraId="175F9408">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①该项目的实施符合《</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收支业务管理制度》《</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政府采购业务管理制度》《</w:t>
      </w:r>
      <w:r>
        <w:rPr>
          <w:rFonts w:hint="eastAsia" w:ascii="宋体" w:hAnsi="宋体" w:eastAsia="宋体" w:cs="宋体"/>
          <w:color w:val="auto"/>
          <w:sz w:val="24"/>
          <w:szCs w:val="24"/>
          <w:highlight w:val="none"/>
          <w:lang w:eastAsia="zh-CN"/>
        </w:rPr>
        <w:t>洛浦县委宣传部</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w:t>
      </w:r>
      <w:r>
        <w:rPr>
          <w:rFonts w:hint="eastAsia" w:ascii="宋体" w:hAnsi="宋体" w:eastAsia="宋体" w:cs="宋体"/>
          <w:color w:val="auto"/>
          <w:sz w:val="24"/>
          <w:szCs w:val="24"/>
          <w:highlight w:val="none"/>
          <w:lang w:eastAsia="zh-CN"/>
        </w:rPr>
        <w:t>项目采购、实施、验收等过程均按照采购管理办法和合同管理办法等相关制度执行，该项目实施过程中不存在调整事项</w:t>
      </w:r>
      <w:r>
        <w:rPr>
          <w:rFonts w:hint="eastAsia" w:ascii="宋体" w:hAnsi="宋体" w:eastAsia="宋体" w:cs="宋体"/>
          <w:color w:val="auto"/>
          <w:sz w:val="24"/>
          <w:szCs w:val="24"/>
          <w:highlight w:val="none"/>
          <w:lang w:val="en-US" w:eastAsia="zh-CN"/>
        </w:rPr>
        <w:t>；2024年12月31日项目结束，各类</w:t>
      </w:r>
      <w:r>
        <w:rPr>
          <w:rFonts w:hint="eastAsia" w:ascii="宋体" w:hAnsi="宋体" w:eastAsia="宋体" w:cs="宋体"/>
          <w:color w:val="auto"/>
          <w:sz w:val="24"/>
          <w:szCs w:val="24"/>
          <w:highlight w:val="none"/>
          <w:lang w:eastAsia="zh-CN"/>
        </w:rPr>
        <w:t>会议纪要、项目资金支付审批表、合同、验收单、记账凭证等财务资料齐全并及时归档。</w:t>
      </w:r>
    </w:p>
    <w:p w14:paraId="7A250C74">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根据评分标准，该指标不扣分，得5分。</w:t>
      </w:r>
    </w:p>
    <w:p w14:paraId="38FD2A8A">
      <w:pPr>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（三）项目产出情况</w:t>
      </w:r>
    </w:p>
    <w:p w14:paraId="2544286D">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35</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87.5</w:t>
      </w:r>
      <w:r>
        <w:rPr>
          <w:rFonts w:hint="eastAsia" w:ascii="宋体" w:hAnsi="宋体" w:eastAsia="宋体" w:cs="宋体"/>
          <w:color w:val="auto"/>
          <w:sz w:val="24"/>
          <w:szCs w:val="24"/>
          <w:highlight w:val="none"/>
        </w:rPr>
        <w:t>%。</w:t>
      </w:r>
    </w:p>
    <w:p w14:paraId="3E6CD6F6">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25B5C484">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预期指标保障行政村数量=249个,实际完成指标值249个，</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100%；，与预期目标一致，根据评分标准，该指标不扣分，得5分。</w:t>
      </w:r>
    </w:p>
    <w:p w14:paraId="18C49A9E">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预期指标保障放映员人数≥11人</w:t>
      </w:r>
      <w:r>
        <w:rPr>
          <w:rFonts w:hint="eastAsia" w:ascii="宋体" w:hAnsi="宋体" w:eastAsia="宋体" w:cs="宋体"/>
          <w:color w:val="auto"/>
          <w:sz w:val="24"/>
          <w:szCs w:val="24"/>
          <w:highlight w:val="none"/>
          <w:lang w:val="en-US" w:eastAsia="zh-CN"/>
        </w:rPr>
        <w:t>，实际完成值为11人，指标完成率为100%，与预期目标一致，根据评分标准，该指标不扣分，得5分。</w:t>
      </w:r>
    </w:p>
    <w:p w14:paraId="6DB8F9FA">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合计得10分。</w:t>
      </w:r>
    </w:p>
    <w:p w14:paraId="41C1F7A6">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对于“产出质量”：</w:t>
      </w:r>
    </w:p>
    <w:p w14:paraId="7F06F61F">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预期指标资金使用合规率=100%，实际完成值为100%，指标完成率为100%，与预期目标一致，根据评分标准，该指标不扣分，得5分。</w:t>
      </w:r>
    </w:p>
    <w:p w14:paraId="4FAE3FB1">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预期指标购置图书合格率=100%，实际完成值为100%，指标完成率为100%，与预期目标一致，根据评分标准，该指标不扣分，得5分。</w:t>
      </w:r>
    </w:p>
    <w:p w14:paraId="64400B12">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lang w:val="en-US" w:eastAsia="zh-CN"/>
        </w:rPr>
      </w:pPr>
      <w:r>
        <w:rPr>
          <w:rFonts w:hint="eastAsia" w:ascii="宋体" w:hAnsi="宋体" w:eastAsia="宋体" w:cs="宋体"/>
          <w:color w:val="auto"/>
          <w:sz w:val="24"/>
          <w:szCs w:val="24"/>
          <w:highlight w:val="none"/>
          <w:lang w:val="en-US" w:eastAsia="zh-CN"/>
        </w:rPr>
        <w:t>合计得10分。</w:t>
      </w:r>
    </w:p>
    <w:p w14:paraId="6554C5D2">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对于“产出时效”：</w:t>
      </w:r>
    </w:p>
    <w:p w14:paraId="1EBAAD38">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预期指标项目完成时间2024年12月，实际完成值为2024年12月，指标完成率为100%，与预期目标一致，根据评分标准，该指标不扣分，得5分。</w:t>
      </w:r>
    </w:p>
    <w:p w14:paraId="4C4BC8F7">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预期指标资金支付及时率=100%，实际完成值为100%，指标完成率为100%，与预期目标一致，根据评分标准，该指标不扣分，得5分。</w:t>
      </w:r>
    </w:p>
    <w:p w14:paraId="714D8FE0">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合计得10分。</w:t>
      </w:r>
    </w:p>
    <w:p w14:paraId="149895D6">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对于“产出成本”：</w:t>
      </w:r>
    </w:p>
    <w:p w14:paraId="775C25BA">
      <w:pPr>
        <w:pageBreakBefore w:val="0"/>
        <w:widowControl w:val="0"/>
        <w:kinsoku/>
        <w:wordWrap/>
        <w:overflowPunct/>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预期指标行政村平均图书购置成本≤0.2万元/村，实际完成值：行政村平均图书购置成本0.2万元/村；指标完成率为100%；根据评分标准，该指标不扣分，得5分。</w:t>
      </w:r>
    </w:p>
    <w:p w14:paraId="795DBDF0">
      <w:pPr>
        <w:pageBreakBefore w:val="0"/>
        <w:widowControl w:val="0"/>
        <w:kinsoku/>
        <w:wordWrap/>
        <w:overflowPunct/>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预期指标农村电影放映员放映补贴≤0.35万元/人/月,实际完成值：农村电影放映员放映补贴0万元/村，指标完成率为0%，实际支付率0%；根据评分标准，该指标扣5分，得0分。</w:t>
      </w:r>
    </w:p>
    <w:p w14:paraId="6BA98BF3">
      <w:pPr>
        <w:pStyle w:val="2"/>
        <w:pageBreakBefore w:val="0"/>
        <w:widowControl w:val="0"/>
        <w:kinsoku/>
        <w:wordWrap/>
        <w:overflowPunct/>
        <w:topLinePunct w:val="0"/>
        <w:autoSpaceDE/>
        <w:autoSpaceDN/>
        <w:bidi w:val="0"/>
        <w:adjustRightInd/>
        <w:snapToGrid/>
        <w:spacing w:before="0" w:after="0" w:line="360" w:lineRule="auto"/>
        <w:textAlignment w:val="auto"/>
        <w:rPr>
          <w:rFonts w:hint="default"/>
          <w:lang w:val="en-US" w:eastAsia="zh-CN"/>
        </w:rPr>
      </w:pPr>
      <w:r>
        <w:rPr>
          <w:rFonts w:hint="eastAsia" w:ascii="宋体" w:hAnsi="宋体" w:eastAsia="宋体" w:cs="宋体"/>
          <w:color w:val="auto"/>
          <w:sz w:val="24"/>
          <w:szCs w:val="24"/>
          <w:highlight w:val="none"/>
          <w:lang w:val="en-US" w:eastAsia="zh-CN"/>
        </w:rPr>
        <w:t>合计得5分。</w:t>
      </w:r>
    </w:p>
    <w:p w14:paraId="7E5160F0">
      <w:pPr>
        <w:pStyle w:val="48"/>
        <w:pageBreakBefore w:val="0"/>
        <w:widowControl w:val="0"/>
        <w:kinsoku/>
        <w:wordWrap/>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03A5A6A6">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项目效益类指标包括项目效益2个方面的内容，由2个三级指标构成，权重分为20分，实际得分20分，得分率为100%。</w:t>
      </w:r>
    </w:p>
    <w:p w14:paraId="437D07B8">
      <w:pPr>
        <w:pageBreakBefore w:val="0"/>
        <w:widowControl w:val="0"/>
        <w:numPr>
          <w:ilvl w:val="0"/>
          <w:numId w:val="9"/>
        </w:numPr>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对于“社会效益指标”：</w:t>
      </w:r>
    </w:p>
    <w:p w14:paraId="7B26EE1B">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预期指标提高群众文化素质指标，该指标预期指标值为效果显著，实际完成值为效果显著，指标完成率为100%，与预期指标一致，根据评分标准，该指标不扣分，得10分。</w:t>
      </w:r>
    </w:p>
    <w:p w14:paraId="317669A3">
      <w:pPr>
        <w:pStyle w:val="10"/>
        <w:pageBreakBefore w:val="0"/>
        <w:widowControl w:val="0"/>
        <w:numPr>
          <w:ilvl w:val="0"/>
          <w:numId w:val="9"/>
        </w:numPr>
        <w:kinsoku/>
        <w:wordWrap/>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Cs/>
          <w:sz w:val="24"/>
          <w:szCs w:val="24"/>
        </w:rPr>
      </w:pPr>
      <w:r>
        <w:rPr>
          <w:rFonts w:hint="eastAsia" w:ascii="宋体" w:hAnsi="宋体" w:eastAsia="宋体" w:cs="宋体"/>
          <w:bCs/>
          <w:sz w:val="24"/>
          <w:szCs w:val="24"/>
        </w:rPr>
        <w:t>满意度指标分析</w:t>
      </w:r>
      <w:bookmarkEnd w:id="13"/>
    </w:p>
    <w:p w14:paraId="54B81AC4">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预期指标群众满意度，该指标预期指标值为≥90%，实际完成值为95%，指标完成率为100%，与预期目标一致，根据评分标准，该指标不扣分,得10分。</w:t>
      </w:r>
    </w:p>
    <w:p w14:paraId="4CA135E8">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p>
    <w:p w14:paraId="33A7BCC5">
      <w:pPr>
        <w:pageBreakBefore w:val="0"/>
        <w:widowControl w:val="0"/>
        <w:numPr>
          <w:ilvl w:val="0"/>
          <w:numId w:val="10"/>
        </w:numPr>
        <w:kinsoku/>
        <w:wordWrap/>
        <w:topLinePunct w:val="0"/>
        <w:autoSpaceDE/>
        <w:autoSpaceDN/>
        <w:bidi w:val="0"/>
        <w:adjustRightInd/>
        <w:snapToGrid/>
        <w:spacing w:line="360" w:lineRule="auto"/>
        <w:ind w:left="0" w:leftChars="0" w:firstLine="643"/>
        <w:jc w:val="both"/>
        <w:textAlignment w:val="auto"/>
        <w:rPr>
          <w:rFonts w:hint="eastAsia" w:ascii="黑体" w:hAnsi="黑体" w:eastAsia="黑体" w:cs="黑体"/>
          <w:b/>
          <w:bCs/>
          <w:sz w:val="24"/>
          <w:szCs w:val="24"/>
        </w:rPr>
      </w:pPr>
      <w:r>
        <w:rPr>
          <w:rFonts w:hint="eastAsia" w:ascii="黑体" w:hAnsi="黑体" w:eastAsia="黑体" w:cs="黑体"/>
          <w:b/>
          <w:bCs/>
          <w:sz w:val="24"/>
          <w:szCs w:val="24"/>
        </w:rPr>
        <w:t>预算执行进度与绩效指标偏差情况</w:t>
      </w:r>
    </w:p>
    <w:p w14:paraId="6BB3D0A9">
      <w:pPr>
        <w:pStyle w:val="45"/>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本项目年初预算资金总额为50.14万元，全年预算数为50.14万元，全年执行数为49.4万元，预算执行率为98.52%。</w:t>
      </w:r>
    </w:p>
    <w:p w14:paraId="067BC579">
      <w:pPr>
        <w:pStyle w:val="45"/>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本项目共设置三级指标数量10个，满分指标数量9个，扣分指标数量1个，经分析计算所有三级指标完成率得出，本项目总体完成率为90%。</w:t>
      </w:r>
    </w:p>
    <w:p w14:paraId="7E2540F9">
      <w:pPr>
        <w:pStyle w:val="45"/>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综上所述本项目预算执行率与总体完成率之间的偏差为8.52%。</w:t>
      </w:r>
      <w:bookmarkStart w:id="14" w:name="_Toc68364673"/>
    </w:p>
    <w:p w14:paraId="75AEA006">
      <w:pPr>
        <w:pStyle w:val="45"/>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lang w:val="en-US" w:eastAsia="zh-CN"/>
        </w:rPr>
      </w:pPr>
    </w:p>
    <w:p w14:paraId="760DBF25">
      <w:pPr>
        <w:pStyle w:val="45"/>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黑体" w:hAnsi="黑体" w:eastAsia="黑体" w:cs="黑体"/>
          <w:b/>
          <w:bCs/>
          <w:kern w:val="44"/>
          <w:sz w:val="24"/>
          <w:szCs w:val="24"/>
          <w:lang w:val="en-US" w:eastAsia="zh-CN" w:bidi="ar-SA"/>
        </w:rPr>
      </w:pPr>
      <w:r>
        <w:rPr>
          <w:rFonts w:hint="eastAsia" w:ascii="黑体" w:hAnsi="黑体" w:eastAsia="黑体" w:cs="黑体"/>
          <w:b/>
          <w:bCs/>
          <w:kern w:val="44"/>
          <w:sz w:val="24"/>
          <w:szCs w:val="24"/>
          <w:lang w:val="en-US" w:eastAsia="zh-CN" w:bidi="ar-SA"/>
        </w:rPr>
        <w:t>六、主要经验及做法、存在的问题及原因分析</w:t>
      </w:r>
    </w:p>
    <w:p w14:paraId="7D4466BC">
      <w:pPr>
        <w:pStyle w:val="48"/>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（一）主要经验及做法</w:t>
      </w:r>
      <w:bookmarkEnd w:id="14"/>
    </w:p>
    <w:p w14:paraId="4B6EF0F9">
      <w:pPr>
        <w:pStyle w:val="45"/>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一、本项目能够严格按照《项目实施方案》执行，项目执行情况较好。</w:t>
      </w:r>
    </w:p>
    <w:p w14:paraId="69FBA3C8">
      <w:pPr>
        <w:pStyle w:val="45"/>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二、加强组织领导，本项目绩效评价工作，有主要领导亲自挂帅，分管领导具体负责，从项目到资金，均能够很好的执行。</w:t>
      </w:r>
    </w:p>
    <w:p w14:paraId="5F1326C9">
      <w:pPr>
        <w:pStyle w:val="48"/>
        <w:pageBreakBefore w:val="0"/>
        <w:widowControl w:val="0"/>
        <w:numPr>
          <w:ilvl w:val="0"/>
          <w:numId w:val="11"/>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sz w:val="24"/>
          <w:szCs w:val="24"/>
        </w:rPr>
      </w:pPr>
      <w:bookmarkStart w:id="15" w:name="_Toc68364674"/>
      <w:r>
        <w:rPr>
          <w:rFonts w:hint="eastAsia" w:ascii="宋体" w:hAnsi="宋体" w:eastAsia="宋体" w:cs="宋体"/>
          <w:sz w:val="24"/>
          <w:szCs w:val="24"/>
        </w:rPr>
        <w:t>存在问题及原因分析</w:t>
      </w:r>
      <w:bookmarkEnd w:id="15"/>
    </w:p>
    <w:p w14:paraId="4A0D4B39">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1.项目资金管理环节：</w:t>
      </w:r>
    </w:p>
    <w:p w14:paraId="38DBD7C1">
      <w:pPr>
        <w:pStyle w:val="45"/>
        <w:pageBreakBefore w:val="0"/>
        <w:widowControl w:val="0"/>
        <w:numPr>
          <w:ilvl w:val="0"/>
          <w:numId w:val="0"/>
        </w:numPr>
        <w:kinsoku/>
        <w:wordWrap/>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b w:val="0"/>
          <w:color w:val="000000"/>
          <w:kern w:val="2"/>
          <w:sz w:val="24"/>
          <w:szCs w:val="24"/>
          <w:highlight w:val="none"/>
          <w:lang w:val="en-US" w:eastAsia="zh-CN" w:bidi="ar-SA"/>
        </w:rPr>
      </w:pPr>
      <w:r>
        <w:rPr>
          <w:rFonts w:hint="eastAsia" w:ascii="宋体" w:hAnsi="宋体" w:eastAsia="宋体" w:cs="宋体"/>
          <w:b w:val="0"/>
          <w:color w:val="000000"/>
          <w:kern w:val="2"/>
          <w:sz w:val="24"/>
          <w:szCs w:val="24"/>
          <w:highlight w:val="none"/>
          <w:lang w:val="en-US" w:eastAsia="zh-CN" w:bidi="ar-SA"/>
        </w:rPr>
        <w:t>缺乏有效的资金监控机制，无法实时掌握资金流向和使用情况；对资金使用</w:t>
      </w:r>
    </w:p>
    <w:p w14:paraId="61FB9A4C">
      <w:pPr>
        <w:pStyle w:val="45"/>
        <w:pageBreakBefore w:val="0"/>
        <w:widowControl w:val="0"/>
        <w:numPr>
          <w:ilvl w:val="0"/>
          <w:numId w:val="0"/>
        </w:numPr>
        <w:kinsoku/>
        <w:wordWrap/>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2.项目管理环节：</w:t>
      </w:r>
    </w:p>
    <w:p w14:paraId="2DF7DD06">
      <w:pPr>
        <w:pStyle w:val="45"/>
        <w:pageBreakBefore w:val="0"/>
        <w:widowControl w:val="0"/>
        <w:numPr>
          <w:ilvl w:val="0"/>
          <w:numId w:val="0"/>
        </w:numPr>
        <w:kinsoku/>
        <w:wordWrap/>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b w:val="0"/>
          <w:color w:val="000000"/>
          <w:kern w:val="2"/>
          <w:sz w:val="24"/>
          <w:szCs w:val="24"/>
          <w:highlight w:val="none"/>
          <w:lang w:val="en-US" w:eastAsia="zh-CN" w:bidi="ar-SA"/>
        </w:rPr>
      </w:pPr>
      <w:r>
        <w:rPr>
          <w:rFonts w:hint="eastAsia" w:ascii="宋体" w:hAnsi="宋体" w:eastAsia="宋体" w:cs="宋体"/>
          <w:b w:val="0"/>
          <w:color w:val="000000"/>
          <w:kern w:val="2"/>
          <w:sz w:val="24"/>
          <w:szCs w:val="24"/>
          <w:highlight w:val="none"/>
          <w:lang w:val="en-US" w:eastAsia="zh-CN" w:bidi="ar-SA"/>
        </w:rPr>
        <w:t>项目计划缺乏详细分解和时间安排，目标不够清晰；对风险和问题考虑不足，缺乏应急措施，项目实际进度落后于计划，延误支付；对进度偏差不敏感，未及时采取调整措施。根据《项目绩效管理办法》及单位相关项目管理制度的规定，对项目的实施进行监督管理。建立健全项目后续各项监督管理制度，确保项目正常运转，长期发挥效益。</w:t>
      </w:r>
    </w:p>
    <w:p w14:paraId="6D6BAEF1">
      <w:pPr>
        <w:pStyle w:val="45"/>
        <w:pageBreakBefore w:val="0"/>
        <w:widowControl w:val="0"/>
        <w:numPr>
          <w:ilvl w:val="0"/>
          <w:numId w:val="0"/>
        </w:numPr>
        <w:kinsoku/>
        <w:wordWrap/>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3.项目绩效管理环节</w:t>
      </w:r>
    </w:p>
    <w:p w14:paraId="4AF0B3C0">
      <w:pPr>
        <w:pageBreakBefore w:val="0"/>
        <w:widowControl w:val="0"/>
        <w:kinsoku/>
        <w:wordWrap/>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b w:val="0"/>
          <w:color w:val="000000"/>
          <w:kern w:val="2"/>
          <w:sz w:val="24"/>
          <w:szCs w:val="24"/>
          <w:highlight w:val="none"/>
          <w:lang w:val="en-US" w:eastAsia="zh-CN" w:bidi="ar-SA"/>
        </w:rPr>
      </w:pPr>
      <w:r>
        <w:rPr>
          <w:rFonts w:hint="eastAsia" w:ascii="宋体" w:hAnsi="宋体" w:eastAsia="宋体" w:cs="宋体"/>
          <w:b w:val="0"/>
          <w:color w:val="000000"/>
          <w:kern w:val="2"/>
          <w:sz w:val="24"/>
          <w:szCs w:val="24"/>
          <w:highlight w:val="none"/>
          <w:lang w:val="en-US" w:eastAsia="zh-CN" w:bidi="ar-SA"/>
        </w:rPr>
        <w:t>成本控制情况：严格按照相关的专项资金管理办法，实行多重审批控制专项经费的支出。</w:t>
      </w:r>
    </w:p>
    <w:p w14:paraId="142C3371">
      <w:pPr>
        <w:pageBreakBefore w:val="0"/>
        <w:widowControl w:val="0"/>
        <w:kinsoku/>
        <w:wordWrap/>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val="0"/>
          <w:color w:val="000000"/>
          <w:kern w:val="2"/>
          <w:sz w:val="24"/>
          <w:szCs w:val="24"/>
          <w:highlight w:val="none"/>
          <w:lang w:val="en-US" w:eastAsia="zh-CN" w:bidi="ar-SA"/>
        </w:rPr>
        <w:t>成本节约情况：项目根据实际情况做出合理预算，支出严格控制在预算范围内，本着节约成本，防止资源浪费的原则将项目成效最大化。</w:t>
      </w:r>
    </w:p>
    <w:p w14:paraId="720D9D1F">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4.各级监督检查（项目管理、资金管理、绩效管理）发现问题及原因分析</w:t>
      </w:r>
    </w:p>
    <w:p w14:paraId="75E43C74">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val="0"/>
          <w:color w:val="auto"/>
          <w:kern w:val="0"/>
          <w:sz w:val="24"/>
          <w:szCs w:val="24"/>
          <w:lang w:val="en-US" w:eastAsia="zh-CN" w:bidi="ar-SA"/>
        </w:rPr>
      </w:pPr>
      <w:bookmarkStart w:id="16" w:name="_Toc68364675"/>
      <w:r>
        <w:rPr>
          <w:rFonts w:hint="eastAsia" w:ascii="宋体" w:hAnsi="宋体" w:eastAsia="宋体" w:cs="宋体"/>
          <w:b w:val="0"/>
          <w:bCs w:val="0"/>
          <w:color w:val="auto"/>
          <w:kern w:val="0"/>
          <w:sz w:val="24"/>
          <w:szCs w:val="24"/>
          <w:lang w:val="en-US" w:eastAsia="zh-CN" w:bidi="ar-SA"/>
        </w:rPr>
        <w:t>一、对各项指标和指标值要进一步优化、完善，主要在细化、量化上改进；</w:t>
      </w:r>
    </w:p>
    <w:p w14:paraId="1E2CB91C">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二、部门评价工作还存在自我审定的局限性，会影响评价质量，容易造成问题的疏漏，在客观性和公正性上说服力不强；</w:t>
      </w:r>
    </w:p>
    <w:p w14:paraId="32751BE8">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三、缺少带着问题去评价的意识；</w:t>
      </w:r>
    </w:p>
    <w:p w14:paraId="6B001289">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bidi="ar-SA"/>
        </w:rPr>
        <w:t>四、现场评价的工作量少，后续效益评价具体措施和方法较少。</w:t>
      </w:r>
    </w:p>
    <w:p w14:paraId="1E327E8B">
      <w:pPr>
        <w:pStyle w:val="4"/>
        <w:rPr>
          <w:rFonts w:hint="eastAsia"/>
          <w:lang w:val="en-US" w:eastAsia="zh-CN"/>
        </w:rPr>
      </w:pPr>
    </w:p>
    <w:p w14:paraId="542F9484">
      <w:pPr>
        <w:pStyle w:val="3"/>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val="0"/>
          <w:color w:val="FF0000"/>
          <w:sz w:val="24"/>
          <w:szCs w:val="24"/>
          <w:lang w:eastAsia="zh-CN"/>
        </w:rPr>
      </w:pPr>
      <w:r>
        <w:rPr>
          <w:rFonts w:hint="eastAsia" w:ascii="黑体" w:hAnsi="黑体" w:eastAsia="黑体" w:cs="黑体"/>
          <w:sz w:val="24"/>
          <w:szCs w:val="24"/>
        </w:rPr>
        <w:t>七、有关</w:t>
      </w:r>
      <w:bookmarkEnd w:id="16"/>
      <w:r>
        <w:rPr>
          <w:rFonts w:hint="eastAsia" w:ascii="黑体" w:hAnsi="黑体" w:eastAsia="黑体" w:cs="黑体"/>
          <w:sz w:val="24"/>
          <w:szCs w:val="24"/>
          <w:lang w:eastAsia="zh-CN"/>
        </w:rPr>
        <w:t>建议</w:t>
      </w:r>
    </w:p>
    <w:p w14:paraId="1DA14D9B">
      <w:pPr>
        <w:pStyle w:val="59"/>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color w:val="000000"/>
          <w:kern w:val="2"/>
          <w:sz w:val="24"/>
          <w:szCs w:val="24"/>
        </w:rPr>
      </w:pPr>
      <w:bookmarkStart w:id="17" w:name="_Toc68364676"/>
      <w:r>
        <w:rPr>
          <w:rFonts w:hint="eastAsia" w:ascii="宋体" w:hAnsi="宋体" w:eastAsia="宋体" w:cs="宋体"/>
          <w:b w:val="0"/>
          <w:color w:val="000000"/>
          <w:kern w:val="2"/>
          <w:sz w:val="24"/>
          <w:szCs w:val="24"/>
        </w:rPr>
        <w:t>预算编制工作，认真做好预算的编制。全面编制预算项目，优先保障固定性的、相对刚性的费用支出项目，尽量压缩变动性的、有控制空间的费用项目，进一步提高预算编制的科学性、严谨性和可控性。</w:t>
      </w:r>
    </w:p>
    <w:p w14:paraId="695D73B4">
      <w:pPr>
        <w:pStyle w:val="60"/>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开展进度的跟踪，确保项目绩效目标的完成。规范程序，严格把关。进一步完善项目申报、审核、公示、审批等程序，严格审核切实做好项目信息公开，公开内容要及时、完整、真实，确保项目公平、公开、公正。</w:t>
      </w:r>
    </w:p>
    <w:p w14:paraId="027E7A6B">
      <w:pPr>
        <w:pStyle w:val="59"/>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b w:val="0"/>
          <w:bCs w:val="0"/>
          <w:color w:val="000000"/>
          <w:kern w:val="2"/>
          <w:sz w:val="24"/>
          <w:szCs w:val="24"/>
          <w:lang w:val="en-US" w:eastAsia="zh-CN" w:bidi="ar-SA"/>
        </w:rPr>
        <w:t>健全制度，加强督促。针对项目实施中存在的问题，进一步完善相关制度，加强督促检查，确保质量安全和建设进度；同时及时完善资料。</w:t>
      </w:r>
    </w:p>
    <w:p w14:paraId="725213A0">
      <w:pPr>
        <w:pStyle w:val="3"/>
        <w:pageBreakBefore w:val="0"/>
        <w:widowControl w:val="0"/>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黑体" w:hAnsi="黑体" w:eastAsia="黑体" w:cs="黑体"/>
          <w:sz w:val="24"/>
          <w:szCs w:val="24"/>
        </w:rPr>
      </w:pPr>
    </w:p>
    <w:p w14:paraId="7E95FF50">
      <w:pPr>
        <w:pStyle w:val="45"/>
        <w:pageBreakBefore w:val="0"/>
        <w:widowControl w:val="0"/>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b/>
          <w:bCs/>
          <w:kern w:val="44"/>
          <w:sz w:val="24"/>
          <w:szCs w:val="24"/>
          <w:lang w:val="en-US" w:eastAsia="zh-CN" w:bidi="ar-SA"/>
        </w:rPr>
      </w:pPr>
      <w:r>
        <w:rPr>
          <w:rFonts w:hint="eastAsia" w:ascii="宋体" w:hAnsi="宋体" w:eastAsia="宋体" w:cs="宋体"/>
          <w:b/>
          <w:bCs/>
          <w:kern w:val="44"/>
          <w:sz w:val="24"/>
          <w:szCs w:val="24"/>
          <w:lang w:val="en-US" w:eastAsia="zh-CN" w:bidi="ar-SA"/>
        </w:rPr>
        <w:t>八、其他需要说明的问题</w:t>
      </w:r>
      <w:bookmarkEnd w:id="17"/>
    </w:p>
    <w:p w14:paraId="09F6421A">
      <w:pPr>
        <w:pStyle w:val="45"/>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我单位对上述项目支出绩效评价报告内反映内容的真实性、完整性负责，</w:t>
      </w:r>
      <w:r>
        <w:rPr>
          <w:rFonts w:hint="eastAsia" w:ascii="宋体" w:hAnsi="宋体" w:eastAsia="宋体" w:cs="宋体"/>
          <w:sz w:val="24"/>
          <w:szCs w:val="24"/>
          <w:lang w:val="en-US" w:eastAsia="zh-CN"/>
        </w:rPr>
        <w:t>愿</w:t>
      </w:r>
      <w:r>
        <w:rPr>
          <w:rFonts w:hint="eastAsia" w:ascii="宋体" w:hAnsi="宋体" w:eastAsia="宋体" w:cs="宋体"/>
          <w:sz w:val="24"/>
          <w:szCs w:val="24"/>
        </w:rPr>
        <w:t>接受上级部门及社会公众监督。</w:t>
      </w:r>
    </w:p>
    <w:p w14:paraId="616D7CBB">
      <w:pPr>
        <w:pageBreakBefore w:val="0"/>
        <w:widowControl w:val="0"/>
        <w:kinsoku/>
        <w:wordWrap/>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附件1：2022年中央补助地方公共文化服务体系建设补助资金（一般项目，绩效奖）项目绩效评价指标体系</w:t>
      </w:r>
    </w:p>
    <w:p w14:paraId="59A3DFD9">
      <w:pPr>
        <w:pageBreakBefore w:val="0"/>
        <w:widowControl w:val="0"/>
        <w:kinsoku/>
        <w:wordWrap/>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附件2：2022年中央补助地方公共文化服务体系建设补助资金（一般项目，绩效奖）项目综合得分表</w:t>
      </w:r>
    </w:p>
    <w:p w14:paraId="1DEA6265">
      <w:pPr>
        <w:pageBreakBefore w:val="0"/>
        <w:widowControl w:val="0"/>
        <w:kinsoku/>
        <w:wordWrap/>
        <w:topLinePunct w:val="0"/>
        <w:autoSpaceDE/>
        <w:autoSpaceDN/>
        <w:bidi w:val="0"/>
        <w:adjustRightInd/>
        <w:snapToGrid/>
        <w:spacing w:line="360" w:lineRule="auto"/>
        <w:ind w:left="0" w:leftChars="0" w:right="0" w:firstLine="480" w:firstLineChars="200"/>
        <w:textAlignment w:val="auto"/>
        <w:rPr>
          <w:rFonts w:hint="default" w:ascii="宋体" w:hAnsi="宋体" w:eastAsia="宋体" w:cs="宋体"/>
          <w:sz w:val="24"/>
          <w:szCs w:val="24"/>
          <w:lang w:val="en-US"/>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r>
        <w:rPr>
          <w:rFonts w:hint="eastAsia" w:ascii="宋体" w:hAnsi="宋体" w:eastAsia="宋体" w:cs="宋体"/>
          <w:kern w:val="0"/>
          <w:sz w:val="24"/>
          <w:szCs w:val="24"/>
          <w:lang w:val="en-US" w:eastAsia="zh-CN" w:bidi="ar-SA"/>
        </w:rPr>
        <w:t>附件3：满意度调查问分析情况</w:t>
      </w:r>
    </w:p>
    <w:tbl>
      <w:tblPr>
        <w:tblStyle w:val="23"/>
        <w:tblpPr w:leftFromText="180" w:rightFromText="180" w:vertAnchor="text" w:horzAnchor="page" w:tblpX="1733" w:tblpY="347"/>
        <w:tblOverlap w:val="never"/>
        <w:tblW w:w="14213"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81"/>
        <w:gridCol w:w="750"/>
        <w:gridCol w:w="694"/>
        <w:gridCol w:w="694"/>
        <w:gridCol w:w="750"/>
        <w:gridCol w:w="699"/>
        <w:gridCol w:w="2120"/>
        <w:gridCol w:w="885"/>
        <w:gridCol w:w="4959"/>
        <w:gridCol w:w="1026"/>
        <w:gridCol w:w="855"/>
      </w:tblGrid>
      <w:tr w14:paraId="5CE727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4213" w:type="dxa"/>
            <w:gridSpan w:val="11"/>
            <w:tcBorders>
              <w:top w:val="nil"/>
              <w:left w:val="nil"/>
              <w:bottom w:val="single" w:color="auto" w:sz="4" w:space="0"/>
              <w:right w:val="nil"/>
            </w:tcBorders>
            <w:noWrap w:val="0"/>
            <w:vAlign w:val="center"/>
          </w:tcPr>
          <w:p w14:paraId="4D0FEAAB">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firstLine="0" w:firstLineChars="0"/>
              <w:jc w:val="both"/>
              <w:textAlignment w:val="center"/>
              <w:rPr>
                <w:rFonts w:hint="eastAsia" w:ascii="宋体" w:hAnsi="宋体" w:eastAsia="宋体" w:cs="宋体"/>
                <w:b/>
                <w:bCs/>
                <w:i w:val="0"/>
                <w:iCs w:val="0"/>
                <w:color w:val="000000"/>
                <w:kern w:val="0"/>
                <w:sz w:val="21"/>
                <w:szCs w:val="21"/>
                <w:u w:val="none"/>
                <w:lang w:val="en-US" w:eastAsia="zh-CN"/>
              </w:rPr>
            </w:pPr>
            <w:r>
              <w:rPr>
                <w:rFonts w:hint="eastAsia" w:ascii="宋体" w:hAnsi="宋体" w:eastAsia="宋体" w:cs="宋体"/>
                <w:b/>
                <w:bCs/>
                <w:i w:val="0"/>
                <w:iCs w:val="0"/>
                <w:color w:val="000000"/>
                <w:kern w:val="0"/>
                <w:sz w:val="21"/>
                <w:szCs w:val="21"/>
                <w:u w:val="none"/>
                <w:lang w:val="en-US" w:eastAsia="zh-CN"/>
              </w:rPr>
              <w:t>附件1：</w:t>
            </w:r>
          </w:p>
          <w:p w14:paraId="57BFF517">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2022年中央补助地方公共文化服务体系建设补助资金（一般项目，绩效奖）项目绩效评价指标体系综合评分表</w:t>
            </w:r>
          </w:p>
        </w:tc>
      </w:tr>
      <w:tr w14:paraId="06133B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81" w:type="dxa"/>
            <w:tcBorders>
              <w:top w:val="single" w:color="auto" w:sz="4" w:space="0"/>
              <w:bottom w:val="single" w:color="auto" w:sz="4" w:space="0"/>
              <w:right w:val="single" w:color="auto" w:sz="4" w:space="0"/>
            </w:tcBorders>
            <w:noWrap w:val="0"/>
            <w:vAlign w:val="center"/>
          </w:tcPr>
          <w:p w14:paraId="781E640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一级指标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781A192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694" w:type="dxa"/>
            <w:tcBorders>
              <w:top w:val="single" w:color="auto" w:sz="4" w:space="0"/>
              <w:left w:val="single" w:color="auto" w:sz="4" w:space="0"/>
              <w:bottom w:val="single" w:color="auto" w:sz="4" w:space="0"/>
              <w:right w:val="single" w:color="auto" w:sz="4" w:space="0"/>
            </w:tcBorders>
            <w:noWrap w:val="0"/>
            <w:vAlign w:val="center"/>
          </w:tcPr>
          <w:p w14:paraId="67C09A8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二级指标</w:t>
            </w:r>
          </w:p>
        </w:tc>
        <w:tc>
          <w:tcPr>
            <w:tcW w:w="694" w:type="dxa"/>
            <w:tcBorders>
              <w:top w:val="single" w:color="auto" w:sz="4" w:space="0"/>
              <w:left w:val="single" w:color="auto" w:sz="4" w:space="0"/>
              <w:bottom w:val="single" w:color="auto" w:sz="4" w:space="0"/>
              <w:right w:val="single" w:color="auto" w:sz="4" w:space="0"/>
            </w:tcBorders>
            <w:noWrap w:val="0"/>
            <w:vAlign w:val="center"/>
          </w:tcPr>
          <w:p w14:paraId="30E7D78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51510F0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三级指标</w:t>
            </w:r>
          </w:p>
        </w:tc>
        <w:tc>
          <w:tcPr>
            <w:tcW w:w="699" w:type="dxa"/>
            <w:tcBorders>
              <w:top w:val="single" w:color="auto" w:sz="4" w:space="0"/>
              <w:left w:val="single" w:color="auto" w:sz="4" w:space="0"/>
              <w:bottom w:val="single" w:color="auto" w:sz="4" w:space="0"/>
              <w:right w:val="single" w:color="auto" w:sz="4" w:space="0"/>
            </w:tcBorders>
            <w:noWrap w:val="0"/>
            <w:vAlign w:val="center"/>
          </w:tcPr>
          <w:p w14:paraId="49C3E3A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120" w:type="dxa"/>
            <w:tcBorders>
              <w:top w:val="single" w:color="auto" w:sz="4" w:space="0"/>
              <w:left w:val="single" w:color="auto" w:sz="4" w:space="0"/>
              <w:bottom w:val="single" w:color="auto" w:sz="4" w:space="0"/>
              <w:right w:val="single" w:color="auto" w:sz="4" w:space="0"/>
            </w:tcBorders>
            <w:noWrap w:val="0"/>
            <w:vAlign w:val="center"/>
          </w:tcPr>
          <w:p w14:paraId="794C79C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指标解释</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45C4E11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标杆值</w:t>
            </w:r>
          </w:p>
        </w:tc>
        <w:tc>
          <w:tcPr>
            <w:tcW w:w="4959" w:type="dxa"/>
            <w:tcBorders>
              <w:top w:val="single" w:color="auto" w:sz="4" w:space="0"/>
              <w:left w:val="single" w:color="auto" w:sz="4" w:space="0"/>
              <w:bottom w:val="single" w:color="auto" w:sz="4" w:space="0"/>
              <w:right w:val="single" w:color="auto" w:sz="4" w:space="0"/>
            </w:tcBorders>
            <w:noWrap w:val="0"/>
            <w:vAlign w:val="center"/>
          </w:tcPr>
          <w:p w14:paraId="2E5C90C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评分标准</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67009A2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完成值</w:t>
            </w:r>
          </w:p>
        </w:tc>
        <w:tc>
          <w:tcPr>
            <w:tcW w:w="855" w:type="dxa"/>
            <w:tcBorders>
              <w:top w:val="single" w:color="auto" w:sz="4" w:space="0"/>
              <w:left w:val="single" w:color="auto" w:sz="4" w:space="0"/>
              <w:bottom w:val="single" w:color="auto" w:sz="4" w:space="0"/>
            </w:tcBorders>
            <w:noWrap w:val="0"/>
            <w:vAlign w:val="center"/>
          </w:tcPr>
          <w:p w14:paraId="1D775B5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w:t>
            </w:r>
          </w:p>
        </w:tc>
      </w:tr>
      <w:tr w14:paraId="374663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81" w:type="dxa"/>
            <w:vMerge w:val="restart"/>
            <w:tcBorders>
              <w:top w:val="single" w:color="auto" w:sz="4" w:space="0"/>
              <w:bottom w:val="single" w:color="auto" w:sz="4" w:space="0"/>
              <w:right w:val="single" w:color="auto" w:sz="4" w:space="0"/>
            </w:tcBorders>
            <w:noWrap w:val="0"/>
            <w:vAlign w:val="center"/>
          </w:tcPr>
          <w:p w14:paraId="309B8B4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项目决策</w:t>
            </w:r>
          </w:p>
        </w:tc>
        <w:tc>
          <w:tcPr>
            <w:tcW w:w="750" w:type="dxa"/>
            <w:vMerge w:val="restart"/>
            <w:tcBorders>
              <w:top w:val="single" w:color="auto" w:sz="4" w:space="0"/>
              <w:left w:val="single" w:color="auto" w:sz="4" w:space="0"/>
              <w:bottom w:val="single" w:color="auto" w:sz="4" w:space="0"/>
              <w:right w:val="single" w:color="auto" w:sz="4" w:space="0"/>
            </w:tcBorders>
            <w:noWrap w:val="0"/>
            <w:vAlign w:val="center"/>
          </w:tcPr>
          <w:p w14:paraId="0785C5B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694" w:type="dxa"/>
            <w:vMerge w:val="restart"/>
            <w:tcBorders>
              <w:top w:val="single" w:color="auto" w:sz="4" w:space="0"/>
              <w:left w:val="single" w:color="auto" w:sz="4" w:space="0"/>
              <w:bottom w:val="single" w:color="auto" w:sz="4" w:space="0"/>
              <w:right w:val="single" w:color="auto" w:sz="4" w:space="0"/>
            </w:tcBorders>
            <w:noWrap w:val="0"/>
            <w:vAlign w:val="center"/>
          </w:tcPr>
          <w:p w14:paraId="5E49428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w:t>
            </w:r>
          </w:p>
        </w:tc>
        <w:tc>
          <w:tcPr>
            <w:tcW w:w="694" w:type="dxa"/>
            <w:vMerge w:val="restart"/>
            <w:tcBorders>
              <w:top w:val="single" w:color="auto" w:sz="4" w:space="0"/>
              <w:left w:val="single" w:color="auto" w:sz="4" w:space="0"/>
              <w:bottom w:val="single" w:color="auto" w:sz="8" w:space="0"/>
              <w:right w:val="single" w:color="auto" w:sz="8" w:space="0"/>
            </w:tcBorders>
            <w:noWrap w:val="0"/>
            <w:vAlign w:val="center"/>
          </w:tcPr>
          <w:p w14:paraId="0F34091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750" w:type="dxa"/>
            <w:tcBorders>
              <w:top w:val="single" w:color="auto" w:sz="4" w:space="0"/>
              <w:left w:val="nil"/>
              <w:bottom w:val="single" w:color="auto" w:sz="8" w:space="0"/>
              <w:right w:val="single" w:color="auto" w:sz="8" w:space="0"/>
            </w:tcBorders>
            <w:noWrap w:val="0"/>
            <w:vAlign w:val="center"/>
          </w:tcPr>
          <w:p w14:paraId="08EE5B8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立项依据充分性</w:t>
            </w:r>
          </w:p>
        </w:tc>
        <w:tc>
          <w:tcPr>
            <w:tcW w:w="699" w:type="dxa"/>
            <w:tcBorders>
              <w:top w:val="single" w:color="auto" w:sz="4" w:space="0"/>
              <w:left w:val="nil"/>
              <w:bottom w:val="single" w:color="auto" w:sz="8" w:space="0"/>
              <w:right w:val="single" w:color="auto" w:sz="8" w:space="0"/>
            </w:tcBorders>
            <w:noWrap w:val="0"/>
            <w:vAlign w:val="center"/>
          </w:tcPr>
          <w:p w14:paraId="66DF261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2120" w:type="dxa"/>
            <w:tcBorders>
              <w:top w:val="single" w:color="auto" w:sz="4" w:space="0"/>
              <w:left w:val="nil"/>
              <w:bottom w:val="single" w:color="auto" w:sz="8" w:space="0"/>
              <w:right w:val="single" w:color="auto" w:sz="8" w:space="0"/>
            </w:tcBorders>
            <w:noWrap w:val="0"/>
            <w:vAlign w:val="center"/>
          </w:tcPr>
          <w:p w14:paraId="3A4BA6E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项目立项是否符合法律法规、相关政策、发展规划以及部门职责，用以反映和考核项目立项依据情况。</w:t>
            </w:r>
          </w:p>
        </w:tc>
        <w:tc>
          <w:tcPr>
            <w:tcW w:w="885" w:type="dxa"/>
            <w:tcBorders>
              <w:top w:val="single" w:color="auto" w:sz="4" w:space="0"/>
              <w:left w:val="nil"/>
              <w:bottom w:val="single" w:color="auto" w:sz="8" w:space="0"/>
              <w:right w:val="single" w:color="auto" w:sz="8" w:space="0"/>
            </w:tcBorders>
            <w:noWrap w:val="0"/>
            <w:vAlign w:val="center"/>
          </w:tcPr>
          <w:p w14:paraId="220A44D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4959" w:type="dxa"/>
            <w:tcBorders>
              <w:top w:val="single" w:color="auto" w:sz="4" w:space="0"/>
              <w:left w:val="nil"/>
              <w:bottom w:val="single" w:color="auto" w:sz="8" w:space="0"/>
              <w:right w:val="single" w:color="auto" w:sz="8" w:space="0"/>
            </w:tcBorders>
            <w:noWrap w:val="0"/>
            <w:vAlign w:val="center"/>
          </w:tcPr>
          <w:p w14:paraId="593D477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①项目立项是否符合国家法律法规、国民经济发展规划和相关政策；</w:t>
            </w:r>
          </w:p>
          <w:p w14:paraId="73F02BE9">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②项目立项是否符合行业发展规划和政策要求；</w:t>
            </w:r>
          </w:p>
          <w:p w14:paraId="1C17BA57">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③项目立项是否与部门职责范围相符，属于部门履职所需；</w:t>
            </w:r>
          </w:p>
          <w:p w14:paraId="0E42304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④项目是否属于公共财政支持范围，是否符合中央、地方事权支出责任划分原则；</w:t>
            </w:r>
          </w:p>
          <w:p w14:paraId="11CDCFF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⑤项目是否与相关部门同类项目或部门内部相关项目重复。</w:t>
            </w:r>
          </w:p>
          <w:p w14:paraId="548A38A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以上每条要素占权重分的20%，每有一条不符合，扣除对应权重分，扣完为止。</w:t>
            </w:r>
          </w:p>
        </w:tc>
        <w:tc>
          <w:tcPr>
            <w:tcW w:w="1026" w:type="dxa"/>
            <w:tcBorders>
              <w:top w:val="single" w:color="auto" w:sz="4" w:space="0"/>
              <w:left w:val="nil"/>
              <w:bottom w:val="single" w:color="auto" w:sz="8" w:space="0"/>
              <w:right w:val="single" w:color="auto" w:sz="8" w:space="0"/>
            </w:tcBorders>
            <w:noWrap w:val="0"/>
            <w:vAlign w:val="center"/>
          </w:tcPr>
          <w:p w14:paraId="7A02F96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855" w:type="dxa"/>
            <w:tcBorders>
              <w:top w:val="single" w:color="auto" w:sz="4" w:space="0"/>
              <w:left w:val="nil"/>
              <w:bottom w:val="single" w:color="auto" w:sz="8" w:space="0"/>
            </w:tcBorders>
            <w:noWrap w:val="0"/>
            <w:vAlign w:val="center"/>
          </w:tcPr>
          <w:p w14:paraId="3C4A8B8E">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7B9361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781" w:type="dxa"/>
            <w:vMerge w:val="continue"/>
            <w:tcBorders>
              <w:top w:val="single" w:color="auto" w:sz="4" w:space="0"/>
              <w:bottom w:val="single" w:color="auto" w:sz="4" w:space="0"/>
              <w:right w:val="single" w:color="auto" w:sz="4" w:space="0"/>
            </w:tcBorders>
            <w:noWrap w:val="0"/>
            <w:vAlign w:val="center"/>
          </w:tcPr>
          <w:p w14:paraId="02C3055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008D7AE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single" w:color="auto" w:sz="4" w:space="0"/>
              <w:left w:val="single" w:color="auto" w:sz="4" w:space="0"/>
              <w:bottom w:val="single" w:color="auto" w:sz="4" w:space="0"/>
              <w:right w:val="single" w:color="auto" w:sz="4" w:space="0"/>
            </w:tcBorders>
            <w:noWrap w:val="0"/>
            <w:vAlign w:val="center"/>
          </w:tcPr>
          <w:p w14:paraId="01FEF2D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nil"/>
              <w:left w:val="single" w:color="auto" w:sz="4" w:space="0"/>
              <w:bottom w:val="single" w:color="auto" w:sz="4" w:space="0"/>
              <w:right w:val="single" w:color="auto" w:sz="8" w:space="0"/>
            </w:tcBorders>
            <w:noWrap w:val="0"/>
            <w:vAlign w:val="center"/>
          </w:tcPr>
          <w:p w14:paraId="79070BE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tcBorders>
              <w:top w:val="nil"/>
              <w:left w:val="nil"/>
              <w:bottom w:val="single" w:color="auto" w:sz="4" w:space="0"/>
              <w:right w:val="single" w:color="auto" w:sz="8" w:space="0"/>
            </w:tcBorders>
            <w:noWrap w:val="0"/>
            <w:vAlign w:val="center"/>
          </w:tcPr>
          <w:p w14:paraId="5BD211C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立项程序规范性</w:t>
            </w:r>
          </w:p>
        </w:tc>
        <w:tc>
          <w:tcPr>
            <w:tcW w:w="699" w:type="dxa"/>
            <w:tcBorders>
              <w:top w:val="nil"/>
              <w:left w:val="nil"/>
              <w:bottom w:val="single" w:color="auto" w:sz="4" w:space="0"/>
              <w:right w:val="single" w:color="auto" w:sz="8" w:space="0"/>
            </w:tcBorders>
            <w:noWrap w:val="0"/>
            <w:vAlign w:val="center"/>
          </w:tcPr>
          <w:p w14:paraId="432C80A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2120" w:type="dxa"/>
            <w:tcBorders>
              <w:top w:val="nil"/>
              <w:left w:val="nil"/>
              <w:bottom w:val="single" w:color="auto" w:sz="4" w:space="0"/>
              <w:right w:val="single" w:color="auto" w:sz="8" w:space="0"/>
            </w:tcBorders>
            <w:noWrap w:val="0"/>
            <w:vAlign w:val="center"/>
          </w:tcPr>
          <w:p w14:paraId="68657D1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项目申请、设立过程是否符合相关要求，用以反映和考核项目立项的规范情况。</w:t>
            </w:r>
          </w:p>
        </w:tc>
        <w:tc>
          <w:tcPr>
            <w:tcW w:w="885" w:type="dxa"/>
            <w:tcBorders>
              <w:top w:val="nil"/>
              <w:left w:val="nil"/>
              <w:bottom w:val="single" w:color="auto" w:sz="4" w:space="0"/>
              <w:right w:val="single" w:color="auto" w:sz="8" w:space="0"/>
            </w:tcBorders>
            <w:noWrap w:val="0"/>
            <w:vAlign w:val="center"/>
          </w:tcPr>
          <w:p w14:paraId="51688BB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4959" w:type="dxa"/>
            <w:tcBorders>
              <w:top w:val="nil"/>
              <w:left w:val="nil"/>
              <w:bottom w:val="single" w:color="auto" w:sz="4" w:space="0"/>
              <w:right w:val="single" w:color="auto" w:sz="8" w:space="0"/>
            </w:tcBorders>
            <w:noWrap w:val="0"/>
            <w:vAlign w:val="center"/>
          </w:tcPr>
          <w:p w14:paraId="1703774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①项目是否按照规定的程序申请设立；</w:t>
            </w:r>
          </w:p>
          <w:p w14:paraId="6FA2B39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②审批文件、材料是否符合相关要求；</w:t>
            </w:r>
          </w:p>
          <w:p w14:paraId="4297527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③事前是否已经过必要的可行性研究、专家论证、风险评估、绩效评估、集体决策。</w:t>
            </w:r>
          </w:p>
          <w:p w14:paraId="1EFDB46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①②③齐全得权重分的100%，缺①扣权重分的40%，缺②扣权重分的30%，缺③扣权重分的30%。</w:t>
            </w:r>
          </w:p>
        </w:tc>
        <w:tc>
          <w:tcPr>
            <w:tcW w:w="1026" w:type="dxa"/>
            <w:tcBorders>
              <w:top w:val="nil"/>
              <w:left w:val="nil"/>
              <w:bottom w:val="single" w:color="auto" w:sz="4" w:space="0"/>
              <w:right w:val="single" w:color="auto" w:sz="8" w:space="0"/>
            </w:tcBorders>
            <w:noWrap w:val="0"/>
            <w:vAlign w:val="center"/>
          </w:tcPr>
          <w:p w14:paraId="40FA85C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855" w:type="dxa"/>
            <w:tcBorders>
              <w:top w:val="nil"/>
              <w:left w:val="nil"/>
              <w:bottom w:val="single" w:color="auto" w:sz="4" w:space="0"/>
            </w:tcBorders>
            <w:noWrap w:val="0"/>
            <w:vAlign w:val="center"/>
          </w:tcPr>
          <w:p w14:paraId="6769338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32048C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09" w:hRule="atLeast"/>
        </w:trPr>
        <w:tc>
          <w:tcPr>
            <w:tcW w:w="781" w:type="dxa"/>
            <w:vMerge w:val="continue"/>
            <w:tcBorders>
              <w:top w:val="single" w:color="auto" w:sz="4" w:space="0"/>
              <w:bottom w:val="single" w:color="auto" w:sz="4" w:space="0"/>
              <w:right w:val="single" w:color="auto" w:sz="4" w:space="0"/>
            </w:tcBorders>
            <w:noWrap w:val="0"/>
            <w:vAlign w:val="center"/>
          </w:tcPr>
          <w:p w14:paraId="775FFC5B">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6577FFD9">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restart"/>
            <w:tcBorders>
              <w:top w:val="single" w:color="auto" w:sz="4" w:space="0"/>
              <w:left w:val="single" w:color="auto" w:sz="4" w:space="0"/>
              <w:bottom w:val="single" w:color="auto" w:sz="4" w:space="0"/>
              <w:right w:val="single" w:color="auto" w:sz="4" w:space="0"/>
            </w:tcBorders>
            <w:noWrap w:val="0"/>
            <w:vAlign w:val="center"/>
          </w:tcPr>
          <w:p w14:paraId="4213EBA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w:t>
            </w:r>
          </w:p>
        </w:tc>
        <w:tc>
          <w:tcPr>
            <w:tcW w:w="694" w:type="dxa"/>
            <w:vMerge w:val="restart"/>
            <w:tcBorders>
              <w:top w:val="single" w:color="auto" w:sz="4" w:space="0"/>
              <w:left w:val="single" w:color="auto" w:sz="4" w:space="0"/>
              <w:bottom w:val="single" w:color="auto" w:sz="8" w:space="0"/>
              <w:right w:val="single" w:color="auto" w:sz="8" w:space="0"/>
            </w:tcBorders>
            <w:noWrap w:val="0"/>
            <w:vAlign w:val="center"/>
          </w:tcPr>
          <w:p w14:paraId="12120A29">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750" w:type="dxa"/>
            <w:tcBorders>
              <w:top w:val="single" w:color="auto" w:sz="4" w:space="0"/>
              <w:left w:val="nil"/>
              <w:bottom w:val="single" w:color="auto" w:sz="8" w:space="0"/>
              <w:right w:val="single" w:color="auto" w:sz="8" w:space="0"/>
            </w:tcBorders>
            <w:noWrap w:val="0"/>
            <w:vAlign w:val="center"/>
          </w:tcPr>
          <w:p w14:paraId="3EECCFC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绩效目标合理性</w:t>
            </w:r>
          </w:p>
        </w:tc>
        <w:tc>
          <w:tcPr>
            <w:tcW w:w="699" w:type="dxa"/>
            <w:tcBorders>
              <w:top w:val="single" w:color="auto" w:sz="4" w:space="0"/>
              <w:left w:val="nil"/>
              <w:bottom w:val="single" w:color="auto" w:sz="8" w:space="0"/>
              <w:right w:val="single" w:color="auto" w:sz="8" w:space="0"/>
            </w:tcBorders>
            <w:noWrap w:val="0"/>
            <w:vAlign w:val="center"/>
          </w:tcPr>
          <w:p w14:paraId="27732DB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2120" w:type="dxa"/>
            <w:tcBorders>
              <w:top w:val="single" w:color="auto" w:sz="4" w:space="0"/>
              <w:left w:val="nil"/>
              <w:bottom w:val="single" w:color="auto" w:sz="8" w:space="0"/>
              <w:right w:val="single" w:color="auto" w:sz="8" w:space="0"/>
            </w:tcBorders>
            <w:noWrap w:val="0"/>
            <w:vAlign w:val="center"/>
          </w:tcPr>
          <w:p w14:paraId="6765D1E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项目所设定的绩效目标是否依据充分，是否符合客观实际，用以反映和考核项目绩效目标与项目实施的相符情况。</w:t>
            </w:r>
          </w:p>
        </w:tc>
        <w:tc>
          <w:tcPr>
            <w:tcW w:w="885" w:type="dxa"/>
            <w:tcBorders>
              <w:top w:val="single" w:color="auto" w:sz="4" w:space="0"/>
              <w:left w:val="nil"/>
              <w:bottom w:val="single" w:color="auto" w:sz="8" w:space="0"/>
              <w:right w:val="single" w:color="auto" w:sz="8" w:space="0"/>
            </w:tcBorders>
            <w:noWrap w:val="0"/>
            <w:vAlign w:val="center"/>
          </w:tcPr>
          <w:p w14:paraId="0DAB4EF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4959" w:type="dxa"/>
            <w:tcBorders>
              <w:top w:val="single" w:color="auto" w:sz="4" w:space="0"/>
              <w:left w:val="nil"/>
              <w:bottom w:val="single" w:color="auto" w:sz="8" w:space="0"/>
              <w:right w:val="single" w:color="auto" w:sz="8" w:space="0"/>
            </w:tcBorders>
            <w:noWrap w:val="0"/>
            <w:vAlign w:val="center"/>
          </w:tcPr>
          <w:p w14:paraId="68C6038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①项目是否有绩效目标；</w:t>
            </w:r>
          </w:p>
          <w:p w14:paraId="05E83E7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②项目绩效目标与实际工作内容是否具有相关性；</w:t>
            </w:r>
          </w:p>
          <w:p w14:paraId="1302C9E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③项目预期产出效益和效果是否符合正常的业绩水平；</w:t>
            </w:r>
          </w:p>
          <w:p w14:paraId="744EA7B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④是否与预算确定的项目投资额或资金量相匹配。</w:t>
            </w:r>
          </w:p>
          <w:p w14:paraId="4E1E6F5E">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1026" w:type="dxa"/>
            <w:tcBorders>
              <w:top w:val="single" w:color="auto" w:sz="4" w:space="0"/>
              <w:left w:val="nil"/>
              <w:bottom w:val="single" w:color="auto" w:sz="8" w:space="0"/>
              <w:right w:val="single" w:color="auto" w:sz="8" w:space="0"/>
            </w:tcBorders>
            <w:noWrap w:val="0"/>
            <w:vAlign w:val="center"/>
          </w:tcPr>
          <w:p w14:paraId="03D2272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855" w:type="dxa"/>
            <w:tcBorders>
              <w:top w:val="single" w:color="auto" w:sz="4" w:space="0"/>
              <w:left w:val="nil"/>
              <w:bottom w:val="single" w:color="auto" w:sz="8" w:space="0"/>
            </w:tcBorders>
            <w:noWrap w:val="0"/>
            <w:vAlign w:val="center"/>
          </w:tcPr>
          <w:p w14:paraId="62ACE14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3F1A72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81" w:type="dxa"/>
            <w:vMerge w:val="continue"/>
            <w:tcBorders>
              <w:top w:val="single" w:color="auto" w:sz="4" w:space="0"/>
              <w:bottom w:val="single" w:color="auto" w:sz="4" w:space="0"/>
              <w:right w:val="single" w:color="auto" w:sz="4" w:space="0"/>
            </w:tcBorders>
            <w:noWrap w:val="0"/>
            <w:vAlign w:val="center"/>
          </w:tcPr>
          <w:p w14:paraId="462456D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095D18B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single" w:color="auto" w:sz="4" w:space="0"/>
              <w:left w:val="single" w:color="auto" w:sz="4" w:space="0"/>
              <w:bottom w:val="single" w:color="auto" w:sz="4" w:space="0"/>
              <w:right w:val="single" w:color="auto" w:sz="4" w:space="0"/>
            </w:tcBorders>
            <w:noWrap w:val="0"/>
            <w:vAlign w:val="center"/>
          </w:tcPr>
          <w:p w14:paraId="4C003ED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nil"/>
              <w:left w:val="single" w:color="auto" w:sz="4" w:space="0"/>
              <w:bottom w:val="single" w:color="auto" w:sz="4" w:space="0"/>
              <w:right w:val="single" w:color="auto" w:sz="8" w:space="0"/>
            </w:tcBorders>
            <w:noWrap w:val="0"/>
            <w:vAlign w:val="center"/>
          </w:tcPr>
          <w:p w14:paraId="7C587B3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tcBorders>
              <w:top w:val="nil"/>
              <w:left w:val="nil"/>
              <w:bottom w:val="single" w:color="auto" w:sz="4" w:space="0"/>
              <w:right w:val="single" w:color="auto" w:sz="8" w:space="0"/>
            </w:tcBorders>
            <w:noWrap w:val="0"/>
            <w:vAlign w:val="center"/>
          </w:tcPr>
          <w:p w14:paraId="5EBE49A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绩效指标明确性</w:t>
            </w:r>
          </w:p>
        </w:tc>
        <w:tc>
          <w:tcPr>
            <w:tcW w:w="699" w:type="dxa"/>
            <w:tcBorders>
              <w:top w:val="nil"/>
              <w:left w:val="nil"/>
              <w:bottom w:val="single" w:color="auto" w:sz="4" w:space="0"/>
              <w:right w:val="single" w:color="auto" w:sz="8" w:space="0"/>
            </w:tcBorders>
            <w:noWrap w:val="0"/>
            <w:vAlign w:val="center"/>
          </w:tcPr>
          <w:p w14:paraId="6BE3A82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2120" w:type="dxa"/>
            <w:tcBorders>
              <w:top w:val="nil"/>
              <w:left w:val="nil"/>
              <w:bottom w:val="single" w:color="auto" w:sz="4" w:space="0"/>
              <w:right w:val="single" w:color="auto" w:sz="8" w:space="0"/>
            </w:tcBorders>
            <w:noWrap w:val="0"/>
            <w:vAlign w:val="center"/>
          </w:tcPr>
          <w:p w14:paraId="2AB29A09">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依据绩效目标设定的绩效指标是否清晰、细化、可衡量等，用以反映和考核项目绩效目标的明细化情况。</w:t>
            </w:r>
          </w:p>
        </w:tc>
        <w:tc>
          <w:tcPr>
            <w:tcW w:w="885" w:type="dxa"/>
            <w:tcBorders>
              <w:top w:val="nil"/>
              <w:left w:val="nil"/>
              <w:bottom w:val="single" w:color="auto" w:sz="4" w:space="0"/>
              <w:right w:val="single" w:color="auto" w:sz="8" w:space="0"/>
            </w:tcBorders>
            <w:noWrap w:val="0"/>
            <w:vAlign w:val="center"/>
          </w:tcPr>
          <w:p w14:paraId="1DF775C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4959" w:type="dxa"/>
            <w:tcBorders>
              <w:top w:val="nil"/>
              <w:left w:val="nil"/>
              <w:bottom w:val="single" w:color="auto" w:sz="4" w:space="0"/>
              <w:right w:val="single" w:color="auto" w:sz="8" w:space="0"/>
            </w:tcBorders>
            <w:noWrap w:val="0"/>
            <w:vAlign w:val="center"/>
          </w:tcPr>
          <w:p w14:paraId="56EEA84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①是否将项目绩效目标细化分解为具体的绩效指标；</w:t>
            </w:r>
          </w:p>
          <w:p w14:paraId="54CED85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②是否通过清晰、可衡量的指标值予以体现；</w:t>
            </w:r>
          </w:p>
          <w:p w14:paraId="04C051A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③是否与项目目标任务数或计划数相对应。</w:t>
            </w:r>
          </w:p>
          <w:p w14:paraId="569D178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①②③齐全得权重分的100%，缺①扣权重分的20%，缺②扣权重分的50%，缺③扣权重分的30%。</w:t>
            </w:r>
          </w:p>
        </w:tc>
        <w:tc>
          <w:tcPr>
            <w:tcW w:w="1026" w:type="dxa"/>
            <w:tcBorders>
              <w:top w:val="nil"/>
              <w:left w:val="nil"/>
              <w:bottom w:val="single" w:color="auto" w:sz="4" w:space="0"/>
              <w:right w:val="single" w:color="auto" w:sz="8" w:space="0"/>
            </w:tcBorders>
            <w:noWrap w:val="0"/>
            <w:vAlign w:val="center"/>
          </w:tcPr>
          <w:p w14:paraId="6AF349F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855" w:type="dxa"/>
            <w:tcBorders>
              <w:top w:val="nil"/>
              <w:left w:val="nil"/>
              <w:bottom w:val="single" w:color="auto" w:sz="4" w:space="0"/>
            </w:tcBorders>
            <w:noWrap w:val="0"/>
            <w:vAlign w:val="center"/>
          </w:tcPr>
          <w:p w14:paraId="34D5C1F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4A2830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85" w:hRule="atLeast"/>
        </w:trPr>
        <w:tc>
          <w:tcPr>
            <w:tcW w:w="781" w:type="dxa"/>
            <w:vMerge w:val="continue"/>
            <w:tcBorders>
              <w:top w:val="single" w:color="auto" w:sz="4" w:space="0"/>
              <w:bottom w:val="single" w:color="auto" w:sz="4" w:space="0"/>
              <w:right w:val="single" w:color="auto" w:sz="4" w:space="0"/>
            </w:tcBorders>
            <w:noWrap w:val="0"/>
            <w:vAlign w:val="center"/>
          </w:tcPr>
          <w:p w14:paraId="7BFF37E2">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3B31ABA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restart"/>
            <w:tcBorders>
              <w:top w:val="single" w:color="auto" w:sz="4" w:space="0"/>
              <w:left w:val="single" w:color="auto" w:sz="4" w:space="0"/>
              <w:bottom w:val="single" w:color="auto" w:sz="4" w:space="0"/>
              <w:right w:val="single" w:color="auto" w:sz="4" w:space="0"/>
            </w:tcBorders>
            <w:noWrap w:val="0"/>
            <w:vAlign w:val="center"/>
          </w:tcPr>
          <w:p w14:paraId="42B525D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资金投入</w:t>
            </w:r>
          </w:p>
        </w:tc>
        <w:tc>
          <w:tcPr>
            <w:tcW w:w="694" w:type="dxa"/>
            <w:vMerge w:val="restart"/>
            <w:tcBorders>
              <w:top w:val="single" w:color="auto" w:sz="4" w:space="0"/>
              <w:left w:val="single" w:color="auto" w:sz="4" w:space="0"/>
              <w:bottom w:val="single" w:color="auto" w:sz="4" w:space="0"/>
              <w:right w:val="single" w:color="auto" w:sz="8" w:space="0"/>
            </w:tcBorders>
            <w:noWrap w:val="0"/>
            <w:vAlign w:val="center"/>
          </w:tcPr>
          <w:p w14:paraId="2B8F97F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50" w:type="dxa"/>
            <w:tcBorders>
              <w:top w:val="single" w:color="auto" w:sz="4" w:space="0"/>
              <w:left w:val="nil"/>
              <w:bottom w:val="single" w:color="auto" w:sz="4" w:space="0"/>
              <w:right w:val="single" w:color="auto" w:sz="8" w:space="0"/>
            </w:tcBorders>
            <w:noWrap w:val="0"/>
            <w:vAlign w:val="center"/>
          </w:tcPr>
          <w:p w14:paraId="59A6CEA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预算编制科学性</w:t>
            </w:r>
          </w:p>
        </w:tc>
        <w:tc>
          <w:tcPr>
            <w:tcW w:w="699" w:type="dxa"/>
            <w:tcBorders>
              <w:top w:val="single" w:color="auto" w:sz="4" w:space="0"/>
              <w:left w:val="nil"/>
              <w:bottom w:val="single" w:color="auto" w:sz="4" w:space="0"/>
              <w:right w:val="single" w:color="auto" w:sz="8" w:space="0"/>
            </w:tcBorders>
            <w:noWrap w:val="0"/>
            <w:vAlign w:val="center"/>
          </w:tcPr>
          <w:p w14:paraId="745F4B9E">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120" w:type="dxa"/>
            <w:tcBorders>
              <w:top w:val="single" w:color="auto" w:sz="4" w:space="0"/>
              <w:left w:val="nil"/>
              <w:bottom w:val="single" w:color="auto" w:sz="4" w:space="0"/>
              <w:right w:val="single" w:color="auto" w:sz="8" w:space="0"/>
            </w:tcBorders>
            <w:noWrap w:val="0"/>
            <w:vAlign w:val="center"/>
          </w:tcPr>
          <w:p w14:paraId="267C27D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885" w:type="dxa"/>
            <w:tcBorders>
              <w:top w:val="single" w:color="auto" w:sz="4" w:space="0"/>
              <w:left w:val="nil"/>
              <w:bottom w:val="single" w:color="auto" w:sz="4" w:space="0"/>
              <w:right w:val="single" w:color="auto" w:sz="8" w:space="0"/>
            </w:tcBorders>
            <w:noWrap w:val="0"/>
            <w:vAlign w:val="center"/>
          </w:tcPr>
          <w:p w14:paraId="40A8A2A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4959" w:type="dxa"/>
            <w:tcBorders>
              <w:top w:val="single" w:color="auto" w:sz="4" w:space="0"/>
              <w:left w:val="nil"/>
              <w:bottom w:val="single" w:color="auto" w:sz="4" w:space="0"/>
              <w:right w:val="single" w:color="auto" w:sz="8" w:space="0"/>
            </w:tcBorders>
            <w:noWrap w:val="0"/>
            <w:vAlign w:val="center"/>
          </w:tcPr>
          <w:p w14:paraId="2D0B0D5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①预算编制是否经过科学论证；</w:t>
            </w:r>
          </w:p>
          <w:p w14:paraId="100E784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②预算内容与项目内容是否匹配；</w:t>
            </w:r>
          </w:p>
          <w:p w14:paraId="512A96B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③预算额度测算依据是否充分，是否按照标准编制；</w:t>
            </w:r>
          </w:p>
          <w:p w14:paraId="4C360AE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④预算确定的项目投资额或资金量是否与工作任务相匹配。</w:t>
            </w:r>
          </w:p>
          <w:p w14:paraId="4B354E27">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1026" w:type="dxa"/>
            <w:tcBorders>
              <w:top w:val="single" w:color="auto" w:sz="4" w:space="0"/>
              <w:left w:val="nil"/>
              <w:bottom w:val="single" w:color="auto" w:sz="4" w:space="0"/>
              <w:right w:val="single" w:color="auto" w:sz="8" w:space="0"/>
            </w:tcBorders>
            <w:noWrap w:val="0"/>
            <w:vAlign w:val="center"/>
          </w:tcPr>
          <w:p w14:paraId="4F265D7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855" w:type="dxa"/>
            <w:tcBorders>
              <w:top w:val="single" w:color="auto" w:sz="4" w:space="0"/>
              <w:left w:val="nil"/>
              <w:bottom w:val="single" w:color="auto" w:sz="4" w:space="0"/>
            </w:tcBorders>
            <w:noWrap w:val="0"/>
            <w:vAlign w:val="center"/>
          </w:tcPr>
          <w:p w14:paraId="55962DE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7DAE9F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781" w:type="dxa"/>
            <w:vMerge w:val="continue"/>
            <w:tcBorders>
              <w:top w:val="single" w:color="auto" w:sz="4" w:space="0"/>
              <w:bottom w:val="single" w:color="auto" w:sz="4" w:space="0"/>
              <w:right w:val="single" w:color="auto" w:sz="8" w:space="0"/>
            </w:tcBorders>
            <w:noWrap w:val="0"/>
            <w:vAlign w:val="center"/>
          </w:tcPr>
          <w:p w14:paraId="4B81EB5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single" w:color="auto" w:sz="4" w:space="0"/>
              <w:left w:val="nil"/>
              <w:bottom w:val="single" w:color="auto" w:sz="4" w:space="0"/>
              <w:right w:val="single" w:color="auto" w:sz="4" w:space="0"/>
            </w:tcBorders>
            <w:noWrap w:val="0"/>
            <w:vAlign w:val="center"/>
          </w:tcPr>
          <w:p w14:paraId="0C87596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single" w:color="auto" w:sz="4" w:space="0"/>
              <w:left w:val="single" w:color="auto" w:sz="4" w:space="0"/>
              <w:bottom w:val="single" w:color="auto" w:sz="4" w:space="0"/>
              <w:right w:val="single" w:color="auto" w:sz="4" w:space="0"/>
            </w:tcBorders>
            <w:noWrap w:val="0"/>
            <w:vAlign w:val="center"/>
          </w:tcPr>
          <w:p w14:paraId="0F6C605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single" w:color="auto" w:sz="4" w:space="0"/>
              <w:left w:val="single" w:color="auto" w:sz="4" w:space="0"/>
              <w:bottom w:val="single" w:color="auto" w:sz="8" w:space="0"/>
              <w:right w:val="single" w:color="auto" w:sz="8" w:space="0"/>
            </w:tcBorders>
            <w:noWrap w:val="0"/>
            <w:vAlign w:val="center"/>
          </w:tcPr>
          <w:p w14:paraId="0F4901F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tcBorders>
              <w:top w:val="single" w:color="auto" w:sz="4" w:space="0"/>
              <w:left w:val="nil"/>
              <w:bottom w:val="single" w:color="auto" w:sz="8" w:space="0"/>
              <w:right w:val="single" w:color="auto" w:sz="8" w:space="0"/>
            </w:tcBorders>
            <w:noWrap w:val="0"/>
            <w:vAlign w:val="center"/>
          </w:tcPr>
          <w:p w14:paraId="4278F689">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资金分配合理性</w:t>
            </w:r>
          </w:p>
        </w:tc>
        <w:tc>
          <w:tcPr>
            <w:tcW w:w="699" w:type="dxa"/>
            <w:tcBorders>
              <w:top w:val="single" w:color="auto" w:sz="4" w:space="0"/>
              <w:left w:val="nil"/>
              <w:bottom w:val="single" w:color="auto" w:sz="8" w:space="0"/>
              <w:right w:val="single" w:color="auto" w:sz="8" w:space="0"/>
            </w:tcBorders>
            <w:noWrap w:val="0"/>
            <w:vAlign w:val="center"/>
          </w:tcPr>
          <w:p w14:paraId="0CFAC6F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120" w:type="dxa"/>
            <w:tcBorders>
              <w:top w:val="single" w:color="auto" w:sz="4" w:space="0"/>
              <w:left w:val="nil"/>
              <w:bottom w:val="single" w:color="auto" w:sz="8" w:space="0"/>
              <w:right w:val="single" w:color="auto" w:sz="8" w:space="0"/>
            </w:tcBorders>
            <w:noWrap w:val="0"/>
            <w:vAlign w:val="center"/>
          </w:tcPr>
          <w:p w14:paraId="7137E84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项目预算资金分配是否有测算依据，与补助单位或地方实际是否相适应，用以反映和考核项目预算资金分配的科学性、合理性情况。</w:t>
            </w:r>
          </w:p>
        </w:tc>
        <w:tc>
          <w:tcPr>
            <w:tcW w:w="885" w:type="dxa"/>
            <w:tcBorders>
              <w:top w:val="single" w:color="auto" w:sz="4" w:space="0"/>
              <w:left w:val="nil"/>
              <w:bottom w:val="single" w:color="auto" w:sz="8" w:space="0"/>
              <w:right w:val="single" w:color="auto" w:sz="8" w:space="0"/>
            </w:tcBorders>
            <w:noWrap w:val="0"/>
            <w:vAlign w:val="center"/>
          </w:tcPr>
          <w:p w14:paraId="7E029CA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4959" w:type="dxa"/>
            <w:tcBorders>
              <w:top w:val="single" w:color="auto" w:sz="4" w:space="0"/>
              <w:left w:val="nil"/>
              <w:bottom w:val="single" w:color="auto" w:sz="8" w:space="0"/>
              <w:right w:val="single" w:color="auto" w:sz="8" w:space="0"/>
            </w:tcBorders>
            <w:noWrap w:val="0"/>
            <w:vAlign w:val="center"/>
          </w:tcPr>
          <w:p w14:paraId="7C39F16E">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①预算资金分配依据是否充分；</w:t>
            </w:r>
          </w:p>
          <w:p w14:paraId="216473A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②资金分配额度是否合理，与项目单位或地方实际是否相适应。</w:t>
            </w:r>
          </w:p>
          <w:p w14:paraId="77898C9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1026" w:type="dxa"/>
            <w:tcBorders>
              <w:top w:val="single" w:color="auto" w:sz="4" w:space="0"/>
              <w:left w:val="nil"/>
              <w:bottom w:val="single" w:color="auto" w:sz="8" w:space="0"/>
              <w:right w:val="single" w:color="auto" w:sz="8" w:space="0"/>
            </w:tcBorders>
            <w:noWrap w:val="0"/>
            <w:vAlign w:val="center"/>
          </w:tcPr>
          <w:p w14:paraId="12C45CA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855" w:type="dxa"/>
            <w:tcBorders>
              <w:top w:val="single" w:color="auto" w:sz="4" w:space="0"/>
              <w:left w:val="nil"/>
              <w:bottom w:val="single" w:color="auto" w:sz="8" w:space="0"/>
            </w:tcBorders>
            <w:noWrap w:val="0"/>
            <w:vAlign w:val="center"/>
          </w:tcPr>
          <w:p w14:paraId="00A846C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597B50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5" w:hRule="atLeast"/>
        </w:trPr>
        <w:tc>
          <w:tcPr>
            <w:tcW w:w="781" w:type="dxa"/>
            <w:vMerge w:val="restart"/>
            <w:tcBorders>
              <w:top w:val="single" w:color="auto" w:sz="4" w:space="0"/>
              <w:bottom w:val="single" w:color="auto" w:sz="4" w:space="0"/>
              <w:right w:val="single" w:color="auto" w:sz="8" w:space="0"/>
            </w:tcBorders>
            <w:noWrap w:val="0"/>
            <w:vAlign w:val="center"/>
          </w:tcPr>
          <w:p w14:paraId="6656C0A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项目过程</w:t>
            </w:r>
          </w:p>
        </w:tc>
        <w:tc>
          <w:tcPr>
            <w:tcW w:w="750" w:type="dxa"/>
            <w:vMerge w:val="restart"/>
            <w:tcBorders>
              <w:top w:val="single" w:color="auto" w:sz="4" w:space="0"/>
              <w:left w:val="nil"/>
              <w:bottom w:val="single" w:color="auto" w:sz="4" w:space="0"/>
              <w:right w:val="single" w:color="auto" w:sz="8" w:space="0"/>
            </w:tcBorders>
            <w:noWrap w:val="0"/>
            <w:vAlign w:val="center"/>
          </w:tcPr>
          <w:p w14:paraId="48E1203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694" w:type="dxa"/>
            <w:vMerge w:val="restart"/>
            <w:tcBorders>
              <w:top w:val="single" w:color="auto" w:sz="4" w:space="0"/>
              <w:left w:val="nil"/>
              <w:bottom w:val="single" w:color="auto" w:sz="4" w:space="0"/>
              <w:right w:val="single" w:color="auto" w:sz="8" w:space="0"/>
            </w:tcBorders>
            <w:noWrap w:val="0"/>
            <w:vAlign w:val="center"/>
          </w:tcPr>
          <w:p w14:paraId="7CC3FB4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资金管理</w:t>
            </w:r>
          </w:p>
        </w:tc>
        <w:tc>
          <w:tcPr>
            <w:tcW w:w="694" w:type="dxa"/>
            <w:vMerge w:val="restart"/>
            <w:tcBorders>
              <w:top w:val="nil"/>
              <w:left w:val="nil"/>
              <w:bottom w:val="single" w:color="auto" w:sz="8" w:space="0"/>
              <w:right w:val="single" w:color="auto" w:sz="8" w:space="0"/>
            </w:tcBorders>
            <w:noWrap w:val="0"/>
            <w:vAlign w:val="center"/>
          </w:tcPr>
          <w:p w14:paraId="6CC9649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50" w:type="dxa"/>
            <w:tcBorders>
              <w:top w:val="nil"/>
              <w:left w:val="nil"/>
              <w:bottom w:val="single" w:color="auto" w:sz="8" w:space="0"/>
              <w:right w:val="single" w:color="auto" w:sz="8" w:space="0"/>
            </w:tcBorders>
            <w:noWrap w:val="0"/>
            <w:vAlign w:val="center"/>
          </w:tcPr>
          <w:p w14:paraId="5CFA35E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w:t>
            </w:r>
          </w:p>
        </w:tc>
        <w:tc>
          <w:tcPr>
            <w:tcW w:w="699" w:type="dxa"/>
            <w:tcBorders>
              <w:top w:val="nil"/>
              <w:left w:val="nil"/>
              <w:bottom w:val="single" w:color="auto" w:sz="8" w:space="0"/>
              <w:right w:val="single" w:color="auto" w:sz="8" w:space="0"/>
            </w:tcBorders>
            <w:noWrap w:val="0"/>
            <w:vAlign w:val="center"/>
          </w:tcPr>
          <w:p w14:paraId="0D84CFE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2120" w:type="dxa"/>
            <w:tcBorders>
              <w:top w:val="nil"/>
              <w:left w:val="nil"/>
              <w:bottom w:val="single" w:color="auto" w:sz="8" w:space="0"/>
              <w:right w:val="single" w:color="auto" w:sz="8" w:space="0"/>
            </w:tcBorders>
            <w:noWrap w:val="0"/>
            <w:vAlign w:val="center"/>
          </w:tcPr>
          <w:p w14:paraId="6390C6A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实际到位资金与预算资金的比率，用以反映和考核资金落实情况对项目实施的总体保障程度。</w:t>
            </w:r>
          </w:p>
        </w:tc>
        <w:tc>
          <w:tcPr>
            <w:tcW w:w="885" w:type="dxa"/>
            <w:tcBorders>
              <w:top w:val="nil"/>
              <w:left w:val="nil"/>
              <w:bottom w:val="single" w:color="auto" w:sz="8" w:space="0"/>
              <w:right w:val="single" w:color="auto" w:sz="8" w:space="0"/>
            </w:tcBorders>
            <w:noWrap w:val="0"/>
            <w:vAlign w:val="center"/>
          </w:tcPr>
          <w:p w14:paraId="6ABE2999">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4959" w:type="dxa"/>
            <w:tcBorders>
              <w:top w:val="nil"/>
              <w:left w:val="nil"/>
              <w:bottom w:val="single" w:color="auto" w:sz="8" w:space="0"/>
              <w:right w:val="single" w:color="auto" w:sz="8" w:space="0"/>
            </w:tcBorders>
            <w:noWrap w:val="0"/>
            <w:vAlign w:val="center"/>
          </w:tcPr>
          <w:p w14:paraId="053FE08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资金到位率=（实际到位资金/预算资金）×100%。</w:t>
            </w:r>
          </w:p>
          <w:p w14:paraId="21FF1A9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资金到位率=100%，得权重分满分，每降低1%，扣除5%权重分，扣完为止。</w:t>
            </w:r>
          </w:p>
        </w:tc>
        <w:tc>
          <w:tcPr>
            <w:tcW w:w="1026" w:type="dxa"/>
            <w:tcBorders>
              <w:top w:val="nil"/>
              <w:left w:val="nil"/>
              <w:bottom w:val="single" w:color="auto" w:sz="8" w:space="0"/>
              <w:right w:val="single" w:color="auto" w:sz="8" w:space="0"/>
            </w:tcBorders>
            <w:noWrap w:val="0"/>
            <w:vAlign w:val="center"/>
          </w:tcPr>
          <w:p w14:paraId="5B26A6B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855" w:type="dxa"/>
            <w:tcBorders>
              <w:top w:val="nil"/>
              <w:left w:val="nil"/>
              <w:bottom w:val="single" w:color="auto" w:sz="8" w:space="0"/>
            </w:tcBorders>
            <w:noWrap w:val="0"/>
            <w:vAlign w:val="center"/>
          </w:tcPr>
          <w:p w14:paraId="0FFB1CA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714296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781" w:type="dxa"/>
            <w:vMerge w:val="continue"/>
            <w:tcBorders>
              <w:top w:val="single" w:color="auto" w:sz="4" w:space="0"/>
              <w:bottom w:val="single" w:color="auto" w:sz="4" w:space="0"/>
              <w:right w:val="single" w:color="auto" w:sz="8" w:space="0"/>
            </w:tcBorders>
            <w:noWrap w:val="0"/>
            <w:vAlign w:val="center"/>
          </w:tcPr>
          <w:p w14:paraId="41934CB2">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single" w:color="auto" w:sz="4" w:space="0"/>
              <w:left w:val="nil"/>
              <w:bottom w:val="single" w:color="auto" w:sz="4" w:space="0"/>
              <w:right w:val="single" w:color="auto" w:sz="8" w:space="0"/>
            </w:tcBorders>
            <w:noWrap w:val="0"/>
            <w:vAlign w:val="center"/>
          </w:tcPr>
          <w:p w14:paraId="3BD85B0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single" w:color="auto" w:sz="4" w:space="0"/>
              <w:left w:val="nil"/>
              <w:bottom w:val="single" w:color="auto" w:sz="4" w:space="0"/>
              <w:right w:val="single" w:color="auto" w:sz="8" w:space="0"/>
            </w:tcBorders>
            <w:noWrap w:val="0"/>
            <w:vAlign w:val="center"/>
          </w:tcPr>
          <w:p w14:paraId="056523AB">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nil"/>
              <w:left w:val="nil"/>
              <w:bottom w:val="single" w:color="auto" w:sz="8" w:space="0"/>
              <w:right w:val="single" w:color="auto" w:sz="8" w:space="0"/>
            </w:tcBorders>
            <w:noWrap w:val="0"/>
            <w:vAlign w:val="center"/>
          </w:tcPr>
          <w:p w14:paraId="2DBA6AF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tcBorders>
              <w:top w:val="nil"/>
              <w:left w:val="nil"/>
              <w:bottom w:val="single" w:color="auto" w:sz="4" w:space="0"/>
              <w:right w:val="single" w:color="auto" w:sz="8" w:space="0"/>
            </w:tcBorders>
            <w:noWrap w:val="0"/>
            <w:vAlign w:val="center"/>
          </w:tcPr>
          <w:p w14:paraId="198EA54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w:t>
            </w:r>
          </w:p>
        </w:tc>
        <w:tc>
          <w:tcPr>
            <w:tcW w:w="699" w:type="dxa"/>
            <w:tcBorders>
              <w:top w:val="nil"/>
              <w:left w:val="nil"/>
              <w:bottom w:val="single" w:color="auto" w:sz="4" w:space="0"/>
              <w:right w:val="single" w:color="auto" w:sz="8" w:space="0"/>
            </w:tcBorders>
            <w:noWrap w:val="0"/>
            <w:vAlign w:val="center"/>
          </w:tcPr>
          <w:p w14:paraId="79243A4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2120" w:type="dxa"/>
            <w:tcBorders>
              <w:top w:val="nil"/>
              <w:left w:val="nil"/>
              <w:bottom w:val="single" w:color="auto" w:sz="4" w:space="0"/>
              <w:right w:val="single" w:color="auto" w:sz="8" w:space="0"/>
            </w:tcBorders>
            <w:noWrap w:val="0"/>
            <w:vAlign w:val="center"/>
          </w:tcPr>
          <w:p w14:paraId="7F74E2F9">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项目预算资金是否按照计划执行，用以反映或考核项目预算执行情况。</w:t>
            </w:r>
          </w:p>
        </w:tc>
        <w:tc>
          <w:tcPr>
            <w:tcW w:w="885" w:type="dxa"/>
            <w:tcBorders>
              <w:top w:val="nil"/>
              <w:left w:val="nil"/>
              <w:bottom w:val="single" w:color="auto" w:sz="4" w:space="0"/>
              <w:right w:val="single" w:color="auto" w:sz="8" w:space="0"/>
            </w:tcBorders>
            <w:noWrap w:val="0"/>
            <w:vAlign w:val="center"/>
          </w:tcPr>
          <w:p w14:paraId="56F8FA0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4959" w:type="dxa"/>
            <w:tcBorders>
              <w:top w:val="nil"/>
              <w:left w:val="nil"/>
              <w:bottom w:val="single" w:color="auto" w:sz="4" w:space="0"/>
              <w:right w:val="single" w:color="auto" w:sz="8" w:space="0"/>
            </w:tcBorders>
            <w:noWrap w:val="0"/>
            <w:vAlign w:val="center"/>
          </w:tcPr>
          <w:p w14:paraId="2D6ADBC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预算执行率=（实际支出资金/实际到位资金）×100%。</w:t>
            </w:r>
          </w:p>
          <w:p w14:paraId="7B32097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预算执行率=100%，得权重分满分；若预算执行率＜100%，得分=预算执行率*分值；若执行率≤60%，则不得分。</w:t>
            </w:r>
          </w:p>
        </w:tc>
        <w:tc>
          <w:tcPr>
            <w:tcW w:w="1026" w:type="dxa"/>
            <w:tcBorders>
              <w:top w:val="nil"/>
              <w:left w:val="nil"/>
              <w:bottom w:val="single" w:color="auto" w:sz="4" w:space="0"/>
              <w:right w:val="single" w:color="auto" w:sz="8" w:space="0"/>
            </w:tcBorders>
            <w:noWrap w:val="0"/>
            <w:vAlign w:val="center"/>
          </w:tcPr>
          <w:p w14:paraId="023B6F2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98.52%</w:t>
            </w:r>
          </w:p>
        </w:tc>
        <w:tc>
          <w:tcPr>
            <w:tcW w:w="855" w:type="dxa"/>
            <w:tcBorders>
              <w:top w:val="nil"/>
              <w:left w:val="nil"/>
              <w:bottom w:val="single" w:color="auto" w:sz="4" w:space="0"/>
            </w:tcBorders>
            <w:noWrap w:val="0"/>
            <w:vAlign w:val="center"/>
          </w:tcPr>
          <w:p w14:paraId="3CE3932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2.95</w:t>
            </w:r>
          </w:p>
        </w:tc>
      </w:tr>
      <w:tr w14:paraId="0D8DD8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45" w:hRule="atLeast"/>
        </w:trPr>
        <w:tc>
          <w:tcPr>
            <w:tcW w:w="781" w:type="dxa"/>
            <w:vMerge w:val="continue"/>
            <w:tcBorders>
              <w:top w:val="single" w:color="auto" w:sz="4" w:space="0"/>
              <w:bottom w:val="single" w:color="auto" w:sz="4" w:space="0"/>
              <w:right w:val="single" w:color="auto" w:sz="8" w:space="0"/>
            </w:tcBorders>
            <w:noWrap w:val="0"/>
            <w:vAlign w:val="center"/>
          </w:tcPr>
          <w:p w14:paraId="38873FA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single" w:color="auto" w:sz="4" w:space="0"/>
              <w:left w:val="nil"/>
              <w:bottom w:val="single" w:color="auto" w:sz="4" w:space="0"/>
              <w:right w:val="single" w:color="auto" w:sz="8" w:space="0"/>
            </w:tcBorders>
            <w:noWrap w:val="0"/>
            <w:vAlign w:val="center"/>
          </w:tcPr>
          <w:p w14:paraId="757AEF0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single" w:color="auto" w:sz="4" w:space="0"/>
              <w:left w:val="nil"/>
              <w:bottom w:val="single" w:color="auto" w:sz="4" w:space="0"/>
              <w:right w:val="single" w:color="auto" w:sz="8" w:space="0"/>
            </w:tcBorders>
            <w:noWrap w:val="0"/>
            <w:vAlign w:val="center"/>
          </w:tcPr>
          <w:p w14:paraId="1F777BB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nil"/>
              <w:left w:val="nil"/>
              <w:bottom w:val="single" w:color="auto" w:sz="4" w:space="0"/>
              <w:right w:val="single" w:color="auto" w:sz="8" w:space="0"/>
            </w:tcBorders>
            <w:noWrap w:val="0"/>
            <w:vAlign w:val="center"/>
          </w:tcPr>
          <w:p w14:paraId="355DA402">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tcBorders>
              <w:top w:val="single" w:color="auto" w:sz="4" w:space="0"/>
              <w:left w:val="nil"/>
              <w:bottom w:val="single" w:color="auto" w:sz="4" w:space="0"/>
              <w:right w:val="single" w:color="auto" w:sz="8" w:space="0"/>
            </w:tcBorders>
            <w:noWrap w:val="0"/>
            <w:vAlign w:val="center"/>
          </w:tcPr>
          <w:p w14:paraId="366F574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资金使用合规性</w:t>
            </w:r>
          </w:p>
        </w:tc>
        <w:tc>
          <w:tcPr>
            <w:tcW w:w="699" w:type="dxa"/>
            <w:tcBorders>
              <w:top w:val="single" w:color="auto" w:sz="4" w:space="0"/>
              <w:left w:val="nil"/>
              <w:bottom w:val="single" w:color="auto" w:sz="4" w:space="0"/>
              <w:right w:val="single" w:color="auto" w:sz="8" w:space="0"/>
            </w:tcBorders>
            <w:noWrap w:val="0"/>
            <w:vAlign w:val="center"/>
          </w:tcPr>
          <w:p w14:paraId="5443AB6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2120" w:type="dxa"/>
            <w:tcBorders>
              <w:top w:val="single" w:color="auto" w:sz="4" w:space="0"/>
              <w:left w:val="nil"/>
              <w:bottom w:val="single" w:color="auto" w:sz="4" w:space="0"/>
              <w:right w:val="single" w:color="auto" w:sz="8" w:space="0"/>
            </w:tcBorders>
            <w:noWrap w:val="0"/>
            <w:vAlign w:val="center"/>
          </w:tcPr>
          <w:p w14:paraId="499A9A3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项目资金使用是否符合相关的财务管理制度规定，用以反映和考核项目资金的规范运行情况。</w:t>
            </w:r>
          </w:p>
        </w:tc>
        <w:tc>
          <w:tcPr>
            <w:tcW w:w="885" w:type="dxa"/>
            <w:tcBorders>
              <w:top w:val="single" w:color="auto" w:sz="4" w:space="0"/>
              <w:left w:val="nil"/>
              <w:bottom w:val="single" w:color="auto" w:sz="4" w:space="0"/>
              <w:right w:val="single" w:color="auto" w:sz="8" w:space="0"/>
            </w:tcBorders>
            <w:noWrap w:val="0"/>
            <w:vAlign w:val="center"/>
          </w:tcPr>
          <w:p w14:paraId="0A6EB15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4959" w:type="dxa"/>
            <w:tcBorders>
              <w:top w:val="single" w:color="auto" w:sz="4" w:space="0"/>
              <w:left w:val="nil"/>
              <w:bottom w:val="single" w:color="auto" w:sz="4" w:space="0"/>
              <w:right w:val="single" w:color="auto" w:sz="8" w:space="0"/>
            </w:tcBorders>
            <w:noWrap w:val="0"/>
            <w:vAlign w:val="center"/>
          </w:tcPr>
          <w:p w14:paraId="6158E2A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①否符合国家财经法规和财务管理制度以及有关专项资金管理办法的规定；</w:t>
            </w:r>
          </w:p>
          <w:p w14:paraId="646CEF5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②资金的拨付是否有完整的审批程序和手续；</w:t>
            </w:r>
          </w:p>
          <w:p w14:paraId="4C44BEA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③是否符合项目预算批复或合同规定的用途；</w:t>
            </w:r>
          </w:p>
          <w:p w14:paraId="4E933DA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④是否存在截留、挤占、挪用、虚列支出等情况。</w:t>
            </w:r>
          </w:p>
          <w:p w14:paraId="6A318B4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以上每条指标各占权重分的25%，要素①②不符合，扣除对应权重分；要素③④不符合属于重大违纪，该指标不得分。</w:t>
            </w:r>
          </w:p>
        </w:tc>
        <w:tc>
          <w:tcPr>
            <w:tcW w:w="1026" w:type="dxa"/>
            <w:tcBorders>
              <w:top w:val="single" w:color="auto" w:sz="4" w:space="0"/>
              <w:left w:val="nil"/>
              <w:bottom w:val="single" w:color="auto" w:sz="4" w:space="0"/>
              <w:right w:val="single" w:color="auto" w:sz="8" w:space="0"/>
            </w:tcBorders>
            <w:noWrap w:val="0"/>
            <w:vAlign w:val="center"/>
          </w:tcPr>
          <w:p w14:paraId="5C1F5E7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855" w:type="dxa"/>
            <w:tcBorders>
              <w:top w:val="single" w:color="auto" w:sz="4" w:space="0"/>
              <w:left w:val="nil"/>
              <w:bottom w:val="single" w:color="auto" w:sz="4" w:space="0"/>
            </w:tcBorders>
            <w:noWrap w:val="0"/>
            <w:vAlign w:val="center"/>
          </w:tcPr>
          <w:p w14:paraId="21521AA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526E7C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29" w:hRule="atLeast"/>
        </w:trPr>
        <w:tc>
          <w:tcPr>
            <w:tcW w:w="781" w:type="dxa"/>
            <w:vMerge w:val="continue"/>
            <w:tcBorders>
              <w:top w:val="single" w:color="auto" w:sz="4" w:space="0"/>
              <w:bottom w:val="single" w:color="auto" w:sz="4" w:space="0"/>
              <w:right w:val="single" w:color="auto" w:sz="8" w:space="0"/>
            </w:tcBorders>
            <w:noWrap w:val="0"/>
            <w:vAlign w:val="center"/>
          </w:tcPr>
          <w:p w14:paraId="675B450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single" w:color="auto" w:sz="4" w:space="0"/>
              <w:left w:val="nil"/>
              <w:bottom w:val="single" w:color="auto" w:sz="4" w:space="0"/>
              <w:right w:val="single" w:color="auto" w:sz="4" w:space="0"/>
            </w:tcBorders>
            <w:noWrap w:val="0"/>
            <w:vAlign w:val="center"/>
          </w:tcPr>
          <w:p w14:paraId="5D6FFC5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restart"/>
            <w:tcBorders>
              <w:top w:val="single" w:color="auto" w:sz="4" w:space="0"/>
              <w:left w:val="single" w:color="auto" w:sz="4" w:space="0"/>
              <w:bottom w:val="single" w:color="auto" w:sz="4" w:space="0"/>
              <w:right w:val="single" w:color="auto" w:sz="4" w:space="0"/>
            </w:tcBorders>
            <w:noWrap w:val="0"/>
            <w:vAlign w:val="center"/>
          </w:tcPr>
          <w:p w14:paraId="797C249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组织实施</w:t>
            </w:r>
          </w:p>
        </w:tc>
        <w:tc>
          <w:tcPr>
            <w:tcW w:w="694" w:type="dxa"/>
            <w:vMerge w:val="restart"/>
            <w:tcBorders>
              <w:top w:val="single" w:color="auto" w:sz="4" w:space="0"/>
              <w:left w:val="single" w:color="auto" w:sz="4" w:space="0"/>
              <w:bottom w:val="single" w:color="auto" w:sz="4" w:space="0"/>
              <w:right w:val="single" w:color="auto" w:sz="4" w:space="0"/>
            </w:tcBorders>
            <w:noWrap w:val="0"/>
            <w:vAlign w:val="center"/>
          </w:tcPr>
          <w:p w14:paraId="4F3DEDF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0F51152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管理制度健全性</w:t>
            </w:r>
          </w:p>
        </w:tc>
        <w:tc>
          <w:tcPr>
            <w:tcW w:w="699" w:type="dxa"/>
            <w:tcBorders>
              <w:top w:val="single" w:color="auto" w:sz="4" w:space="0"/>
              <w:left w:val="single" w:color="auto" w:sz="4" w:space="0"/>
              <w:bottom w:val="single" w:color="auto" w:sz="4" w:space="0"/>
              <w:right w:val="single" w:color="auto" w:sz="4" w:space="0"/>
            </w:tcBorders>
            <w:noWrap w:val="0"/>
            <w:vAlign w:val="center"/>
          </w:tcPr>
          <w:p w14:paraId="233B0BB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120" w:type="dxa"/>
            <w:tcBorders>
              <w:top w:val="single" w:color="auto" w:sz="4" w:space="0"/>
              <w:left w:val="single" w:color="auto" w:sz="4" w:space="0"/>
              <w:bottom w:val="single" w:color="auto" w:sz="4" w:space="0"/>
              <w:right w:val="single" w:color="auto" w:sz="4" w:space="0"/>
            </w:tcBorders>
            <w:noWrap w:val="0"/>
            <w:vAlign w:val="center"/>
          </w:tcPr>
          <w:p w14:paraId="46A51B9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项目实施单位的财务和业务管理制度是否健全，用以反映和考核财务和业务管理制度对项目顺利实施的保障情况。</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145683D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4959" w:type="dxa"/>
            <w:tcBorders>
              <w:top w:val="single" w:color="auto" w:sz="4" w:space="0"/>
              <w:left w:val="single" w:color="auto" w:sz="4" w:space="0"/>
              <w:bottom w:val="single" w:color="auto" w:sz="4" w:space="0"/>
              <w:right w:val="single" w:color="auto" w:sz="4" w:space="0"/>
            </w:tcBorders>
            <w:noWrap w:val="0"/>
            <w:vAlign w:val="center"/>
          </w:tcPr>
          <w:p w14:paraId="2C5B5E0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①是否已制定或具有相应的财务和业务管理制度；</w:t>
            </w:r>
          </w:p>
          <w:p w14:paraId="089DFFC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②财务和业务管理制度是否合法、合规、完整。</w:t>
            </w:r>
          </w:p>
          <w:p w14:paraId="2E9BBFD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539ED38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855" w:type="dxa"/>
            <w:tcBorders>
              <w:top w:val="single" w:color="auto" w:sz="4" w:space="0"/>
              <w:left w:val="single" w:color="auto" w:sz="4" w:space="0"/>
              <w:bottom w:val="single" w:color="auto" w:sz="4" w:space="0"/>
            </w:tcBorders>
            <w:noWrap w:val="0"/>
            <w:vAlign w:val="center"/>
          </w:tcPr>
          <w:p w14:paraId="23787E5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18591A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81" w:type="dxa"/>
            <w:vMerge w:val="continue"/>
            <w:tcBorders>
              <w:top w:val="single" w:color="auto" w:sz="4" w:space="0"/>
              <w:bottom w:val="single" w:color="auto" w:sz="4" w:space="0"/>
              <w:right w:val="single" w:color="auto" w:sz="8" w:space="0"/>
            </w:tcBorders>
            <w:noWrap w:val="0"/>
            <w:vAlign w:val="center"/>
          </w:tcPr>
          <w:p w14:paraId="1E32DC6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single" w:color="auto" w:sz="4" w:space="0"/>
              <w:left w:val="nil"/>
              <w:bottom w:val="single" w:color="auto" w:sz="4" w:space="0"/>
              <w:right w:val="single" w:color="auto" w:sz="4" w:space="0"/>
            </w:tcBorders>
            <w:noWrap w:val="0"/>
            <w:vAlign w:val="center"/>
          </w:tcPr>
          <w:p w14:paraId="1D32D515">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single" w:color="auto" w:sz="4" w:space="0"/>
              <w:left w:val="single" w:color="auto" w:sz="4" w:space="0"/>
              <w:bottom w:val="single" w:color="auto" w:sz="4" w:space="0"/>
              <w:right w:val="single" w:color="auto" w:sz="8" w:space="0"/>
            </w:tcBorders>
            <w:noWrap w:val="0"/>
            <w:vAlign w:val="center"/>
          </w:tcPr>
          <w:p w14:paraId="55779C3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single" w:color="auto" w:sz="4" w:space="0"/>
              <w:left w:val="nil"/>
              <w:bottom w:val="single" w:color="auto" w:sz="4" w:space="0"/>
              <w:right w:val="single" w:color="auto" w:sz="8" w:space="0"/>
            </w:tcBorders>
            <w:noWrap w:val="0"/>
            <w:vAlign w:val="center"/>
          </w:tcPr>
          <w:p w14:paraId="7C6C4CF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tcBorders>
              <w:top w:val="single" w:color="auto" w:sz="4" w:space="0"/>
              <w:left w:val="nil"/>
              <w:bottom w:val="single" w:color="auto" w:sz="4" w:space="0"/>
              <w:right w:val="single" w:color="auto" w:sz="8" w:space="0"/>
            </w:tcBorders>
            <w:noWrap w:val="0"/>
            <w:vAlign w:val="center"/>
          </w:tcPr>
          <w:p w14:paraId="76C16997">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制度执行有效性</w:t>
            </w:r>
          </w:p>
        </w:tc>
        <w:tc>
          <w:tcPr>
            <w:tcW w:w="699" w:type="dxa"/>
            <w:tcBorders>
              <w:top w:val="single" w:color="auto" w:sz="4" w:space="0"/>
              <w:left w:val="nil"/>
              <w:bottom w:val="single" w:color="auto" w:sz="4" w:space="0"/>
              <w:right w:val="single" w:color="auto" w:sz="8" w:space="0"/>
            </w:tcBorders>
            <w:noWrap w:val="0"/>
            <w:vAlign w:val="center"/>
          </w:tcPr>
          <w:p w14:paraId="648BF23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120" w:type="dxa"/>
            <w:tcBorders>
              <w:top w:val="single" w:color="auto" w:sz="4" w:space="0"/>
              <w:left w:val="nil"/>
              <w:bottom w:val="single" w:color="auto" w:sz="4" w:space="0"/>
              <w:right w:val="single" w:color="auto" w:sz="8" w:space="0"/>
            </w:tcBorders>
            <w:noWrap w:val="0"/>
            <w:vAlign w:val="center"/>
          </w:tcPr>
          <w:p w14:paraId="62DB5187">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项目实施是否符合相关管理规定，用以反映和考核相关管理制度的有效执行情况。</w:t>
            </w:r>
          </w:p>
        </w:tc>
        <w:tc>
          <w:tcPr>
            <w:tcW w:w="885" w:type="dxa"/>
            <w:tcBorders>
              <w:top w:val="single" w:color="auto" w:sz="4" w:space="0"/>
              <w:left w:val="nil"/>
              <w:bottom w:val="single" w:color="auto" w:sz="4" w:space="0"/>
              <w:right w:val="single" w:color="auto" w:sz="8" w:space="0"/>
            </w:tcBorders>
            <w:noWrap w:val="0"/>
            <w:vAlign w:val="center"/>
          </w:tcPr>
          <w:p w14:paraId="33F2E89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4959" w:type="dxa"/>
            <w:tcBorders>
              <w:top w:val="single" w:color="auto" w:sz="4" w:space="0"/>
              <w:left w:val="nil"/>
              <w:bottom w:val="single" w:color="auto" w:sz="4" w:space="0"/>
              <w:right w:val="single" w:color="auto" w:sz="8" w:space="0"/>
            </w:tcBorders>
            <w:noWrap w:val="0"/>
            <w:vAlign w:val="center"/>
          </w:tcPr>
          <w:p w14:paraId="383860F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①否遵守相关法律法规和相关管理规定；</w:t>
            </w:r>
          </w:p>
          <w:p w14:paraId="7F72D94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②项目调整及支出调整手续是否完备；</w:t>
            </w:r>
          </w:p>
          <w:p w14:paraId="48ACD39E">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③项目资料是否齐全并及时归档。</w:t>
            </w:r>
          </w:p>
          <w:p w14:paraId="62818B7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①②③齐全得权重分的100%，缺①扣权重分的30%，缺②扣权重分的40%，缺③扣权重分的30%。</w:t>
            </w:r>
          </w:p>
        </w:tc>
        <w:tc>
          <w:tcPr>
            <w:tcW w:w="1026" w:type="dxa"/>
            <w:tcBorders>
              <w:top w:val="single" w:color="auto" w:sz="4" w:space="0"/>
              <w:left w:val="nil"/>
              <w:bottom w:val="single" w:color="auto" w:sz="4" w:space="0"/>
              <w:right w:val="single" w:color="auto" w:sz="8" w:space="0"/>
            </w:tcBorders>
            <w:noWrap w:val="0"/>
            <w:vAlign w:val="center"/>
          </w:tcPr>
          <w:p w14:paraId="0DD7E81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855" w:type="dxa"/>
            <w:tcBorders>
              <w:top w:val="single" w:color="auto" w:sz="4" w:space="0"/>
              <w:left w:val="nil"/>
              <w:bottom w:val="single" w:color="auto" w:sz="8" w:space="0"/>
            </w:tcBorders>
            <w:noWrap w:val="0"/>
            <w:vAlign w:val="center"/>
          </w:tcPr>
          <w:p w14:paraId="40AD483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1810DE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781" w:type="dxa"/>
            <w:vMerge w:val="restart"/>
            <w:tcBorders>
              <w:top w:val="single" w:color="auto" w:sz="4" w:space="0"/>
              <w:bottom w:val="single" w:color="auto" w:sz="4" w:space="0"/>
              <w:right w:val="single" w:color="auto" w:sz="8" w:space="0"/>
            </w:tcBorders>
            <w:noWrap w:val="0"/>
            <w:vAlign w:val="center"/>
          </w:tcPr>
          <w:p w14:paraId="63EDC5A9">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项目产出</w:t>
            </w:r>
          </w:p>
        </w:tc>
        <w:tc>
          <w:tcPr>
            <w:tcW w:w="750" w:type="dxa"/>
            <w:vMerge w:val="restart"/>
            <w:tcBorders>
              <w:top w:val="single" w:color="auto" w:sz="4" w:space="0"/>
              <w:left w:val="nil"/>
              <w:bottom w:val="single" w:color="auto" w:sz="4" w:space="0"/>
              <w:right w:val="single" w:color="auto" w:sz="8" w:space="0"/>
            </w:tcBorders>
            <w:noWrap w:val="0"/>
            <w:vAlign w:val="center"/>
          </w:tcPr>
          <w:p w14:paraId="4B5DF21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40</w:t>
            </w:r>
          </w:p>
        </w:tc>
        <w:tc>
          <w:tcPr>
            <w:tcW w:w="694" w:type="dxa"/>
            <w:vMerge w:val="restart"/>
            <w:tcBorders>
              <w:top w:val="single" w:color="auto" w:sz="4" w:space="0"/>
              <w:left w:val="nil"/>
              <w:bottom w:val="single" w:color="auto" w:sz="4" w:space="0"/>
              <w:right w:val="single" w:color="auto" w:sz="8" w:space="0"/>
            </w:tcBorders>
            <w:noWrap w:val="0"/>
            <w:vAlign w:val="center"/>
          </w:tcPr>
          <w:p w14:paraId="1D971A17">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产出数量</w:t>
            </w:r>
          </w:p>
        </w:tc>
        <w:tc>
          <w:tcPr>
            <w:tcW w:w="694" w:type="dxa"/>
            <w:vMerge w:val="restart"/>
            <w:tcBorders>
              <w:top w:val="single" w:color="auto" w:sz="4" w:space="0"/>
              <w:left w:val="nil"/>
              <w:right w:val="single" w:color="auto" w:sz="8" w:space="0"/>
            </w:tcBorders>
            <w:noWrap w:val="0"/>
            <w:vAlign w:val="center"/>
          </w:tcPr>
          <w:p w14:paraId="3FA0A62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50" w:type="dxa"/>
            <w:vMerge w:val="restart"/>
            <w:tcBorders>
              <w:top w:val="single" w:color="auto" w:sz="4" w:space="0"/>
              <w:left w:val="nil"/>
              <w:right w:val="single" w:color="auto" w:sz="4" w:space="0"/>
            </w:tcBorders>
            <w:noWrap w:val="0"/>
            <w:vAlign w:val="center"/>
          </w:tcPr>
          <w:p w14:paraId="191CE89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w:t>
            </w:r>
          </w:p>
        </w:tc>
        <w:tc>
          <w:tcPr>
            <w:tcW w:w="699" w:type="dxa"/>
            <w:tcBorders>
              <w:top w:val="single" w:color="auto" w:sz="4" w:space="0"/>
              <w:left w:val="single" w:color="auto" w:sz="4" w:space="0"/>
              <w:bottom w:val="single" w:color="auto" w:sz="4" w:space="0"/>
              <w:right w:val="single" w:color="auto" w:sz="4" w:space="0"/>
            </w:tcBorders>
            <w:noWrap w:val="0"/>
            <w:vAlign w:val="center"/>
          </w:tcPr>
          <w:p w14:paraId="0846F06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5</w:t>
            </w:r>
          </w:p>
        </w:tc>
        <w:tc>
          <w:tcPr>
            <w:tcW w:w="2120" w:type="dxa"/>
            <w:tcBorders>
              <w:top w:val="single" w:color="auto" w:sz="4" w:space="0"/>
              <w:left w:val="single" w:color="auto" w:sz="4" w:space="0"/>
              <w:bottom w:val="single" w:color="auto" w:sz="4" w:space="0"/>
              <w:right w:val="single" w:color="auto" w:sz="8" w:space="0"/>
            </w:tcBorders>
            <w:noWrap w:val="0"/>
            <w:vAlign w:val="center"/>
          </w:tcPr>
          <w:p w14:paraId="38EA114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保障行政村数量</w:t>
            </w:r>
          </w:p>
        </w:tc>
        <w:tc>
          <w:tcPr>
            <w:tcW w:w="885" w:type="dxa"/>
            <w:tcBorders>
              <w:top w:val="single" w:color="auto" w:sz="4" w:space="0"/>
              <w:left w:val="nil"/>
              <w:bottom w:val="single" w:color="auto" w:sz="4" w:space="0"/>
              <w:right w:val="single" w:color="auto" w:sz="8" w:space="0"/>
            </w:tcBorders>
            <w:noWrap w:val="0"/>
            <w:vAlign w:val="center"/>
          </w:tcPr>
          <w:p w14:paraId="69FF4F0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=249个</w:t>
            </w:r>
          </w:p>
        </w:tc>
        <w:tc>
          <w:tcPr>
            <w:tcW w:w="4959" w:type="dxa"/>
            <w:vMerge w:val="restart"/>
            <w:tcBorders>
              <w:top w:val="single" w:color="auto" w:sz="4" w:space="0"/>
              <w:left w:val="nil"/>
              <w:right w:val="single" w:color="auto" w:sz="4" w:space="0"/>
            </w:tcBorders>
            <w:noWrap w:val="0"/>
            <w:vAlign w:val="center"/>
          </w:tcPr>
          <w:p w14:paraId="442329D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①实际完成率=（实际完成/预期完成）×100%。</w:t>
            </w:r>
          </w:p>
          <w:p w14:paraId="31A9D90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②实际完成率≥100%，偏离程度≥20%，得0分；</w:t>
            </w:r>
          </w:p>
          <w:p w14:paraId="19A5E54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③实际完成率×100%＜100%，得分=实际完成率×指标分值。</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58C95EB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=249个</w:t>
            </w:r>
          </w:p>
        </w:tc>
        <w:tc>
          <w:tcPr>
            <w:tcW w:w="855" w:type="dxa"/>
            <w:tcBorders>
              <w:top w:val="nil"/>
              <w:left w:val="single" w:color="auto" w:sz="4" w:space="0"/>
              <w:bottom w:val="single" w:color="auto" w:sz="8" w:space="0"/>
            </w:tcBorders>
            <w:noWrap w:val="0"/>
            <w:vAlign w:val="center"/>
          </w:tcPr>
          <w:p w14:paraId="56AE0E69">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13C868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8" w:hRule="atLeast"/>
        </w:trPr>
        <w:tc>
          <w:tcPr>
            <w:tcW w:w="781" w:type="dxa"/>
            <w:vMerge w:val="continue"/>
            <w:tcBorders>
              <w:top w:val="single" w:color="auto" w:sz="4" w:space="0"/>
              <w:bottom w:val="single" w:color="auto" w:sz="4" w:space="0"/>
              <w:right w:val="single" w:color="auto" w:sz="8" w:space="0"/>
            </w:tcBorders>
            <w:noWrap w:val="0"/>
            <w:vAlign w:val="center"/>
          </w:tcPr>
          <w:p w14:paraId="050E27D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p>
        </w:tc>
        <w:tc>
          <w:tcPr>
            <w:tcW w:w="750" w:type="dxa"/>
            <w:vMerge w:val="continue"/>
            <w:tcBorders>
              <w:top w:val="single" w:color="auto" w:sz="4" w:space="0"/>
              <w:left w:val="nil"/>
              <w:bottom w:val="single" w:color="auto" w:sz="4" w:space="0"/>
              <w:right w:val="single" w:color="auto" w:sz="8" w:space="0"/>
            </w:tcBorders>
            <w:noWrap w:val="0"/>
            <w:vAlign w:val="center"/>
          </w:tcPr>
          <w:p w14:paraId="110422C7">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p>
        </w:tc>
        <w:tc>
          <w:tcPr>
            <w:tcW w:w="694" w:type="dxa"/>
            <w:vMerge w:val="continue"/>
            <w:tcBorders>
              <w:top w:val="single" w:color="auto" w:sz="4" w:space="0"/>
              <w:left w:val="nil"/>
              <w:bottom w:val="single" w:color="auto" w:sz="4" w:space="0"/>
              <w:right w:val="single" w:color="auto" w:sz="8" w:space="0"/>
            </w:tcBorders>
            <w:noWrap w:val="0"/>
            <w:vAlign w:val="center"/>
          </w:tcPr>
          <w:p w14:paraId="7D3CE4F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p>
        </w:tc>
        <w:tc>
          <w:tcPr>
            <w:tcW w:w="694" w:type="dxa"/>
            <w:vMerge w:val="continue"/>
            <w:tcBorders>
              <w:left w:val="nil"/>
              <w:bottom w:val="single" w:color="auto" w:sz="8" w:space="0"/>
              <w:right w:val="single" w:color="auto" w:sz="8" w:space="0"/>
            </w:tcBorders>
            <w:noWrap w:val="0"/>
            <w:vAlign w:val="center"/>
          </w:tcPr>
          <w:p w14:paraId="3A24861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p>
        </w:tc>
        <w:tc>
          <w:tcPr>
            <w:tcW w:w="750" w:type="dxa"/>
            <w:vMerge w:val="continue"/>
            <w:tcBorders>
              <w:left w:val="nil"/>
              <w:bottom w:val="single" w:color="auto" w:sz="8" w:space="0"/>
              <w:right w:val="single" w:color="auto" w:sz="4" w:space="0"/>
            </w:tcBorders>
            <w:noWrap w:val="0"/>
            <w:vAlign w:val="center"/>
          </w:tcPr>
          <w:p w14:paraId="70B20A5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p>
        </w:tc>
        <w:tc>
          <w:tcPr>
            <w:tcW w:w="699" w:type="dxa"/>
            <w:tcBorders>
              <w:top w:val="single" w:color="auto" w:sz="4" w:space="0"/>
              <w:left w:val="single" w:color="auto" w:sz="4" w:space="0"/>
              <w:bottom w:val="single" w:color="auto" w:sz="4" w:space="0"/>
              <w:right w:val="single" w:color="auto" w:sz="4" w:space="0"/>
            </w:tcBorders>
            <w:noWrap w:val="0"/>
            <w:vAlign w:val="center"/>
          </w:tcPr>
          <w:p w14:paraId="5A0718E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5</w:t>
            </w:r>
          </w:p>
        </w:tc>
        <w:tc>
          <w:tcPr>
            <w:tcW w:w="2120" w:type="dxa"/>
            <w:tcBorders>
              <w:top w:val="nil"/>
              <w:left w:val="single" w:color="auto" w:sz="4" w:space="0"/>
              <w:bottom w:val="single" w:color="auto" w:sz="4" w:space="0"/>
              <w:right w:val="single" w:color="auto" w:sz="8" w:space="0"/>
            </w:tcBorders>
            <w:noWrap w:val="0"/>
            <w:vAlign w:val="center"/>
          </w:tcPr>
          <w:p w14:paraId="5352EE1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rPr>
              <w:t>保障电影放映员工</w:t>
            </w:r>
          </w:p>
        </w:tc>
        <w:tc>
          <w:tcPr>
            <w:tcW w:w="885" w:type="dxa"/>
            <w:tcBorders>
              <w:top w:val="nil"/>
              <w:left w:val="nil"/>
              <w:bottom w:val="single" w:color="auto" w:sz="4" w:space="0"/>
              <w:right w:val="single" w:color="auto" w:sz="8" w:space="0"/>
            </w:tcBorders>
            <w:noWrap w:val="0"/>
            <w:vAlign w:val="center"/>
          </w:tcPr>
          <w:p w14:paraId="47D78DE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rPr>
              <w:t>=11人</w:t>
            </w:r>
          </w:p>
        </w:tc>
        <w:tc>
          <w:tcPr>
            <w:tcW w:w="4959" w:type="dxa"/>
            <w:vMerge w:val="continue"/>
            <w:tcBorders>
              <w:left w:val="nil"/>
              <w:bottom w:val="single" w:color="auto" w:sz="4" w:space="0"/>
              <w:right w:val="single" w:color="auto" w:sz="4" w:space="0"/>
            </w:tcBorders>
            <w:noWrap w:val="0"/>
            <w:vAlign w:val="center"/>
          </w:tcPr>
          <w:p w14:paraId="5C24A78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p>
        </w:tc>
        <w:tc>
          <w:tcPr>
            <w:tcW w:w="1026" w:type="dxa"/>
            <w:tcBorders>
              <w:top w:val="single" w:color="auto" w:sz="4" w:space="0"/>
              <w:left w:val="single" w:color="auto" w:sz="4" w:space="0"/>
              <w:bottom w:val="single" w:color="auto" w:sz="4" w:space="0"/>
              <w:right w:val="single" w:color="auto" w:sz="4" w:space="0"/>
            </w:tcBorders>
            <w:noWrap w:val="0"/>
            <w:vAlign w:val="center"/>
          </w:tcPr>
          <w:p w14:paraId="3980DBA9">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=11人</w:t>
            </w:r>
          </w:p>
        </w:tc>
        <w:tc>
          <w:tcPr>
            <w:tcW w:w="855" w:type="dxa"/>
            <w:tcBorders>
              <w:top w:val="nil"/>
              <w:left w:val="single" w:color="auto" w:sz="4" w:space="0"/>
              <w:bottom w:val="single" w:color="auto" w:sz="8" w:space="0"/>
            </w:tcBorders>
            <w:noWrap w:val="0"/>
            <w:vAlign w:val="center"/>
          </w:tcPr>
          <w:p w14:paraId="6905170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7AFE6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5" w:hRule="atLeast"/>
        </w:trPr>
        <w:tc>
          <w:tcPr>
            <w:tcW w:w="781" w:type="dxa"/>
            <w:vMerge w:val="continue"/>
            <w:tcBorders>
              <w:top w:val="single" w:color="auto" w:sz="4" w:space="0"/>
              <w:right w:val="single" w:color="auto" w:sz="8" w:space="0"/>
            </w:tcBorders>
            <w:noWrap w:val="0"/>
            <w:vAlign w:val="center"/>
          </w:tcPr>
          <w:p w14:paraId="772C4B8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single" w:color="auto" w:sz="4" w:space="0"/>
              <w:left w:val="nil"/>
              <w:right w:val="single" w:color="auto" w:sz="8" w:space="0"/>
            </w:tcBorders>
            <w:noWrap w:val="0"/>
            <w:vAlign w:val="center"/>
          </w:tcPr>
          <w:p w14:paraId="5B8090C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restart"/>
            <w:tcBorders>
              <w:top w:val="single" w:color="auto" w:sz="4" w:space="0"/>
              <w:left w:val="nil"/>
              <w:right w:val="single" w:color="auto" w:sz="8" w:space="0"/>
            </w:tcBorders>
            <w:noWrap w:val="0"/>
            <w:vAlign w:val="center"/>
          </w:tcPr>
          <w:p w14:paraId="02681857">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产出质量</w:t>
            </w:r>
          </w:p>
        </w:tc>
        <w:tc>
          <w:tcPr>
            <w:tcW w:w="694" w:type="dxa"/>
            <w:vMerge w:val="restart"/>
            <w:tcBorders>
              <w:top w:val="nil"/>
              <w:left w:val="nil"/>
              <w:right w:val="single" w:color="auto" w:sz="8" w:space="0"/>
            </w:tcBorders>
            <w:noWrap w:val="0"/>
            <w:vAlign w:val="center"/>
          </w:tcPr>
          <w:p w14:paraId="6B655BE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50" w:type="dxa"/>
            <w:vMerge w:val="restart"/>
            <w:tcBorders>
              <w:top w:val="nil"/>
              <w:left w:val="nil"/>
              <w:right w:val="single" w:color="auto" w:sz="8" w:space="0"/>
            </w:tcBorders>
            <w:noWrap w:val="0"/>
            <w:vAlign w:val="center"/>
          </w:tcPr>
          <w:p w14:paraId="6601E08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质量达标率</w:t>
            </w:r>
          </w:p>
        </w:tc>
        <w:tc>
          <w:tcPr>
            <w:tcW w:w="699" w:type="dxa"/>
            <w:vMerge w:val="restart"/>
            <w:tcBorders>
              <w:top w:val="single" w:color="auto" w:sz="4" w:space="0"/>
              <w:left w:val="nil"/>
              <w:right w:val="single" w:color="auto" w:sz="8" w:space="0"/>
            </w:tcBorders>
            <w:noWrap w:val="0"/>
            <w:vAlign w:val="center"/>
          </w:tcPr>
          <w:p w14:paraId="2239242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120" w:type="dxa"/>
            <w:tcBorders>
              <w:top w:val="single" w:color="auto" w:sz="4" w:space="0"/>
              <w:left w:val="nil"/>
              <w:right w:val="single" w:color="auto" w:sz="4" w:space="0"/>
            </w:tcBorders>
            <w:noWrap w:val="0"/>
            <w:vAlign w:val="center"/>
          </w:tcPr>
          <w:p w14:paraId="621B7ACA">
            <w:pPr>
              <w:keepNext w:val="0"/>
              <w:keepLines w:val="0"/>
              <w:widowControl/>
              <w:suppressLineNumbers w:val="0"/>
              <w:ind w:firstLine="400" w:firstLineChars="20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0"/>
                <w:szCs w:val="20"/>
                <w:u w:val="none"/>
                <w:lang w:val="en-US" w:eastAsia="zh-CN"/>
              </w:rPr>
              <w:t>资金使用合规率</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1429272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4959" w:type="dxa"/>
            <w:vMerge w:val="restart"/>
            <w:tcBorders>
              <w:top w:val="single" w:color="auto" w:sz="4" w:space="0"/>
              <w:left w:val="single" w:color="auto" w:sz="4" w:space="0"/>
              <w:right w:val="single" w:color="auto" w:sz="4" w:space="0"/>
            </w:tcBorders>
            <w:noWrap w:val="0"/>
            <w:vAlign w:val="center"/>
          </w:tcPr>
          <w:p w14:paraId="5206CF0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若指标达到标杆值，则得100%权重分；否则，得分=（实际完成/预期完成）×100%×指标分值。</w:t>
            </w:r>
          </w:p>
          <w:p w14:paraId="1F86480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若指标完成值达到标杆值，则得100%权重分；否则，不得分。</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681E0D9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855" w:type="dxa"/>
            <w:vMerge w:val="restart"/>
            <w:tcBorders>
              <w:top w:val="nil"/>
              <w:left w:val="single" w:color="auto" w:sz="4" w:space="0"/>
            </w:tcBorders>
            <w:noWrap w:val="0"/>
            <w:vAlign w:val="center"/>
          </w:tcPr>
          <w:p w14:paraId="69FA7CD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7FAA1F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5" w:hRule="atLeast"/>
        </w:trPr>
        <w:tc>
          <w:tcPr>
            <w:tcW w:w="781" w:type="dxa"/>
            <w:vMerge w:val="continue"/>
            <w:tcBorders>
              <w:right w:val="single" w:color="auto" w:sz="8" w:space="0"/>
            </w:tcBorders>
            <w:noWrap w:val="0"/>
            <w:vAlign w:val="center"/>
          </w:tcPr>
          <w:p w14:paraId="7C42D98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750" w:type="dxa"/>
            <w:vMerge w:val="continue"/>
            <w:tcBorders>
              <w:left w:val="nil"/>
              <w:right w:val="single" w:color="auto" w:sz="8" w:space="0"/>
            </w:tcBorders>
            <w:noWrap w:val="0"/>
            <w:vAlign w:val="center"/>
          </w:tcPr>
          <w:p w14:paraId="3CB05C1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694" w:type="dxa"/>
            <w:vMerge w:val="continue"/>
            <w:tcBorders>
              <w:left w:val="nil"/>
              <w:bottom w:val="single" w:color="auto" w:sz="8" w:space="0"/>
              <w:right w:val="single" w:color="auto" w:sz="8" w:space="0"/>
            </w:tcBorders>
            <w:noWrap w:val="0"/>
            <w:vAlign w:val="center"/>
          </w:tcPr>
          <w:p w14:paraId="5E4F004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694" w:type="dxa"/>
            <w:vMerge w:val="continue"/>
            <w:tcBorders>
              <w:left w:val="nil"/>
              <w:bottom w:val="single" w:color="auto" w:sz="8" w:space="0"/>
              <w:right w:val="single" w:color="auto" w:sz="8" w:space="0"/>
            </w:tcBorders>
            <w:noWrap w:val="0"/>
            <w:vAlign w:val="center"/>
          </w:tcPr>
          <w:p w14:paraId="4A1BBBA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750" w:type="dxa"/>
            <w:vMerge w:val="continue"/>
            <w:tcBorders>
              <w:left w:val="nil"/>
              <w:bottom w:val="single" w:color="auto" w:sz="8" w:space="0"/>
              <w:right w:val="single" w:color="auto" w:sz="8" w:space="0"/>
            </w:tcBorders>
            <w:noWrap w:val="0"/>
            <w:vAlign w:val="center"/>
          </w:tcPr>
          <w:p w14:paraId="4618A6F7">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699" w:type="dxa"/>
            <w:vMerge w:val="continue"/>
            <w:tcBorders>
              <w:left w:val="nil"/>
              <w:bottom w:val="single" w:color="auto" w:sz="8" w:space="0"/>
              <w:right w:val="single" w:color="auto" w:sz="8" w:space="0"/>
            </w:tcBorders>
            <w:noWrap w:val="0"/>
            <w:vAlign w:val="center"/>
          </w:tcPr>
          <w:p w14:paraId="6F05FCE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120" w:type="dxa"/>
            <w:tcBorders>
              <w:top w:val="single" w:color="auto" w:sz="4" w:space="0"/>
              <w:left w:val="nil"/>
              <w:right w:val="single" w:color="auto" w:sz="4" w:space="0"/>
            </w:tcBorders>
            <w:noWrap w:val="0"/>
            <w:vAlign w:val="center"/>
          </w:tcPr>
          <w:p w14:paraId="74C9AF74">
            <w:pPr>
              <w:keepNext w:val="0"/>
              <w:keepLines w:val="0"/>
              <w:widowControl/>
              <w:suppressLineNumbers w:val="0"/>
              <w:ind w:firstLine="400" w:firstLineChars="20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0"/>
                <w:szCs w:val="20"/>
                <w:u w:val="none"/>
                <w:lang w:val="en-US" w:eastAsia="zh-CN"/>
              </w:rPr>
              <w:t>购置图书合格率</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64DF5E6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100%</w:t>
            </w:r>
          </w:p>
        </w:tc>
        <w:tc>
          <w:tcPr>
            <w:tcW w:w="4959" w:type="dxa"/>
            <w:vMerge w:val="continue"/>
            <w:tcBorders>
              <w:left w:val="single" w:color="auto" w:sz="4" w:space="0"/>
              <w:bottom w:val="single" w:color="auto" w:sz="4" w:space="0"/>
              <w:right w:val="single" w:color="auto" w:sz="4" w:space="0"/>
            </w:tcBorders>
            <w:noWrap w:val="0"/>
            <w:vAlign w:val="center"/>
          </w:tcPr>
          <w:p w14:paraId="6E3CD1B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p>
        </w:tc>
        <w:tc>
          <w:tcPr>
            <w:tcW w:w="1026" w:type="dxa"/>
            <w:tcBorders>
              <w:top w:val="single" w:color="auto" w:sz="4" w:space="0"/>
              <w:left w:val="single" w:color="auto" w:sz="4" w:space="0"/>
              <w:bottom w:val="single" w:color="auto" w:sz="4" w:space="0"/>
              <w:right w:val="single" w:color="auto" w:sz="4" w:space="0"/>
            </w:tcBorders>
            <w:noWrap w:val="0"/>
            <w:vAlign w:val="center"/>
          </w:tcPr>
          <w:p w14:paraId="4E55739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100%</w:t>
            </w:r>
          </w:p>
        </w:tc>
        <w:tc>
          <w:tcPr>
            <w:tcW w:w="855" w:type="dxa"/>
            <w:vMerge w:val="continue"/>
            <w:tcBorders>
              <w:left w:val="single" w:color="auto" w:sz="4" w:space="0"/>
              <w:bottom w:val="single" w:color="auto" w:sz="8" w:space="0"/>
            </w:tcBorders>
            <w:noWrap w:val="0"/>
            <w:vAlign w:val="center"/>
          </w:tcPr>
          <w:p w14:paraId="78B5F9D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p>
        </w:tc>
      </w:tr>
      <w:tr w14:paraId="1BDBF7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exact"/>
        </w:trPr>
        <w:tc>
          <w:tcPr>
            <w:tcW w:w="781" w:type="dxa"/>
            <w:vMerge w:val="continue"/>
            <w:tcBorders>
              <w:right w:val="single" w:color="auto" w:sz="8" w:space="0"/>
            </w:tcBorders>
            <w:noWrap w:val="0"/>
            <w:vAlign w:val="center"/>
          </w:tcPr>
          <w:p w14:paraId="01152FE8">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left w:val="nil"/>
              <w:right w:val="single" w:color="auto" w:sz="8" w:space="0"/>
            </w:tcBorders>
            <w:noWrap w:val="0"/>
            <w:vAlign w:val="center"/>
          </w:tcPr>
          <w:p w14:paraId="2890091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restart"/>
            <w:tcBorders>
              <w:top w:val="nil"/>
              <w:left w:val="nil"/>
              <w:right w:val="single" w:color="auto" w:sz="8" w:space="0"/>
            </w:tcBorders>
            <w:noWrap w:val="0"/>
            <w:vAlign w:val="center"/>
          </w:tcPr>
          <w:p w14:paraId="0C72B78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产出时效</w:t>
            </w:r>
          </w:p>
        </w:tc>
        <w:tc>
          <w:tcPr>
            <w:tcW w:w="694" w:type="dxa"/>
            <w:vMerge w:val="restart"/>
            <w:tcBorders>
              <w:top w:val="nil"/>
              <w:left w:val="nil"/>
              <w:right w:val="single" w:color="auto" w:sz="8" w:space="0"/>
            </w:tcBorders>
            <w:noWrap w:val="0"/>
            <w:vAlign w:val="center"/>
          </w:tcPr>
          <w:p w14:paraId="58F0DE6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750" w:type="dxa"/>
            <w:vMerge w:val="restart"/>
            <w:tcBorders>
              <w:top w:val="nil"/>
              <w:left w:val="nil"/>
              <w:right w:val="single" w:color="auto" w:sz="8" w:space="0"/>
            </w:tcBorders>
            <w:noWrap w:val="0"/>
            <w:vAlign w:val="center"/>
          </w:tcPr>
          <w:p w14:paraId="336DFD8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完成及时率</w:t>
            </w:r>
          </w:p>
        </w:tc>
        <w:tc>
          <w:tcPr>
            <w:tcW w:w="699" w:type="dxa"/>
            <w:tcBorders>
              <w:top w:val="nil"/>
              <w:left w:val="nil"/>
              <w:bottom w:val="single" w:color="auto" w:sz="8" w:space="0"/>
              <w:right w:val="single" w:color="auto" w:sz="8" w:space="0"/>
            </w:tcBorders>
            <w:noWrap w:val="0"/>
            <w:vAlign w:val="center"/>
          </w:tcPr>
          <w:p w14:paraId="61CB94E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c>
          <w:tcPr>
            <w:tcW w:w="2120" w:type="dxa"/>
            <w:tcBorders>
              <w:top w:val="single" w:color="auto" w:sz="4" w:space="0"/>
              <w:left w:val="single" w:color="auto" w:sz="4" w:space="0"/>
              <w:bottom w:val="single" w:color="auto" w:sz="4" w:space="0"/>
              <w:right w:val="single" w:color="auto" w:sz="4" w:space="0"/>
            </w:tcBorders>
            <w:noWrap/>
            <w:vAlign w:val="center"/>
          </w:tcPr>
          <w:p w14:paraId="2F1FF47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项目完成时间</w:t>
            </w:r>
          </w:p>
        </w:tc>
        <w:tc>
          <w:tcPr>
            <w:tcW w:w="885" w:type="dxa"/>
            <w:tcBorders>
              <w:top w:val="single" w:color="auto" w:sz="4" w:space="0"/>
              <w:left w:val="single" w:color="auto" w:sz="4" w:space="0"/>
              <w:bottom w:val="single" w:color="auto" w:sz="4" w:space="0"/>
              <w:right w:val="single" w:color="auto" w:sz="4" w:space="0"/>
            </w:tcBorders>
            <w:noWrap/>
            <w:vAlign w:val="center"/>
          </w:tcPr>
          <w:p w14:paraId="57DBDCE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2024年</w:t>
            </w:r>
          </w:p>
          <w:p w14:paraId="3E08375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12月</w:t>
            </w:r>
          </w:p>
        </w:tc>
        <w:tc>
          <w:tcPr>
            <w:tcW w:w="4959" w:type="dxa"/>
            <w:vMerge w:val="restart"/>
            <w:tcBorders>
              <w:top w:val="single" w:color="auto" w:sz="4" w:space="0"/>
              <w:left w:val="single" w:color="auto" w:sz="4" w:space="0"/>
              <w:bottom w:val="single" w:color="auto" w:sz="4" w:space="0"/>
              <w:right w:val="single" w:color="auto" w:sz="4" w:space="0"/>
            </w:tcBorders>
            <w:noWrap w:val="0"/>
            <w:vAlign w:val="center"/>
          </w:tcPr>
          <w:p w14:paraId="49E9871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若指标完成值达到标杆值，则得100%权重分；否则，得分=（实际完成/预期完成）×100%×指标分值。</w:t>
            </w:r>
          </w:p>
          <w:p w14:paraId="4521B1C2">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若在规定时间内完成，得100%权重分；若未在规定的时间内完成，得分=（1-未在规定时间内完成工作数/实际完成工作总数）×分值。</w:t>
            </w:r>
          </w:p>
        </w:tc>
        <w:tc>
          <w:tcPr>
            <w:tcW w:w="1026" w:type="dxa"/>
            <w:tcBorders>
              <w:top w:val="single" w:color="auto" w:sz="4" w:space="0"/>
              <w:left w:val="single" w:color="auto" w:sz="4" w:space="0"/>
              <w:right w:val="single" w:color="auto" w:sz="4" w:space="0"/>
            </w:tcBorders>
            <w:noWrap w:val="0"/>
            <w:vAlign w:val="center"/>
          </w:tcPr>
          <w:p w14:paraId="001E0027">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2024年</w:t>
            </w:r>
          </w:p>
          <w:p w14:paraId="3CC65C0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12月</w:t>
            </w:r>
          </w:p>
        </w:tc>
        <w:tc>
          <w:tcPr>
            <w:tcW w:w="855" w:type="dxa"/>
            <w:tcBorders>
              <w:top w:val="nil"/>
              <w:left w:val="single" w:color="auto" w:sz="4" w:space="0"/>
              <w:bottom w:val="single" w:color="auto" w:sz="8" w:space="0"/>
            </w:tcBorders>
            <w:noWrap w:val="0"/>
            <w:vAlign w:val="center"/>
          </w:tcPr>
          <w:p w14:paraId="3DAC22F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7A6915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81" w:type="dxa"/>
            <w:vMerge w:val="continue"/>
            <w:tcBorders>
              <w:right w:val="single" w:color="auto" w:sz="8" w:space="0"/>
            </w:tcBorders>
            <w:noWrap w:val="0"/>
            <w:vAlign w:val="center"/>
          </w:tcPr>
          <w:p w14:paraId="76398C8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left w:val="nil"/>
              <w:right w:val="single" w:color="auto" w:sz="8" w:space="0"/>
            </w:tcBorders>
            <w:noWrap w:val="0"/>
            <w:vAlign w:val="center"/>
          </w:tcPr>
          <w:p w14:paraId="6A88A40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nil"/>
              <w:left w:val="nil"/>
              <w:bottom w:val="single" w:color="auto" w:sz="8" w:space="0"/>
              <w:right w:val="single" w:color="auto" w:sz="8" w:space="0"/>
            </w:tcBorders>
            <w:noWrap w:val="0"/>
            <w:vAlign w:val="center"/>
          </w:tcPr>
          <w:p w14:paraId="1DE39CD5">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nil"/>
              <w:left w:val="nil"/>
              <w:bottom w:val="single" w:color="auto" w:sz="8" w:space="0"/>
              <w:right w:val="single" w:color="auto" w:sz="8" w:space="0"/>
            </w:tcBorders>
            <w:noWrap w:val="0"/>
            <w:vAlign w:val="center"/>
          </w:tcPr>
          <w:p w14:paraId="2C1974E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nil"/>
              <w:left w:val="nil"/>
              <w:bottom w:val="single" w:color="auto" w:sz="8" w:space="0"/>
              <w:right w:val="single" w:color="auto" w:sz="8" w:space="0"/>
            </w:tcBorders>
            <w:noWrap w:val="0"/>
            <w:vAlign w:val="center"/>
          </w:tcPr>
          <w:p w14:paraId="4025B17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9" w:type="dxa"/>
            <w:tcBorders>
              <w:top w:val="nil"/>
              <w:left w:val="nil"/>
              <w:bottom w:val="single" w:color="auto" w:sz="8" w:space="0"/>
              <w:right w:val="single" w:color="auto" w:sz="8" w:space="0"/>
            </w:tcBorders>
            <w:noWrap w:val="0"/>
            <w:vAlign w:val="center"/>
          </w:tcPr>
          <w:p w14:paraId="7E4B99D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c>
          <w:tcPr>
            <w:tcW w:w="2120" w:type="dxa"/>
            <w:tcBorders>
              <w:top w:val="nil"/>
              <w:left w:val="nil"/>
              <w:bottom w:val="single" w:color="auto" w:sz="8" w:space="0"/>
              <w:right w:val="single" w:color="auto" w:sz="8" w:space="0"/>
            </w:tcBorders>
            <w:noWrap w:val="0"/>
            <w:vAlign w:val="center"/>
          </w:tcPr>
          <w:p w14:paraId="4436602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资金拨付及时率</w:t>
            </w:r>
          </w:p>
        </w:tc>
        <w:tc>
          <w:tcPr>
            <w:tcW w:w="885" w:type="dxa"/>
            <w:tcBorders>
              <w:top w:val="nil"/>
              <w:left w:val="nil"/>
              <w:bottom w:val="single" w:color="auto" w:sz="8" w:space="0"/>
              <w:right w:val="single" w:color="auto" w:sz="4" w:space="0"/>
            </w:tcBorders>
            <w:noWrap w:val="0"/>
            <w:vAlign w:val="center"/>
          </w:tcPr>
          <w:p w14:paraId="7B93D2EB">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4959" w:type="dxa"/>
            <w:vMerge w:val="continue"/>
            <w:tcBorders>
              <w:top w:val="single" w:color="auto" w:sz="4" w:space="0"/>
              <w:left w:val="single" w:color="auto" w:sz="4" w:space="0"/>
              <w:bottom w:val="single" w:color="auto" w:sz="4" w:space="0"/>
              <w:right w:val="single" w:color="auto" w:sz="4" w:space="0"/>
            </w:tcBorders>
            <w:noWrap w:val="0"/>
            <w:vAlign w:val="center"/>
          </w:tcPr>
          <w:p w14:paraId="116B5D6E">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p>
        </w:tc>
        <w:tc>
          <w:tcPr>
            <w:tcW w:w="1026" w:type="dxa"/>
            <w:tcBorders>
              <w:top w:val="single" w:color="auto" w:sz="4" w:space="0"/>
              <w:left w:val="single" w:color="auto" w:sz="4" w:space="0"/>
              <w:bottom w:val="single" w:color="auto" w:sz="4" w:space="0"/>
              <w:right w:val="single" w:color="auto" w:sz="4" w:space="0"/>
            </w:tcBorders>
            <w:noWrap w:val="0"/>
            <w:vAlign w:val="center"/>
          </w:tcPr>
          <w:p w14:paraId="4FED996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kern w:val="0"/>
                <w:sz w:val="21"/>
                <w:szCs w:val="21"/>
                <w:u w:val="none"/>
                <w:lang w:val="en-US" w:eastAsia="zh-CN"/>
              </w:rPr>
              <w:t>100%</w:t>
            </w:r>
          </w:p>
        </w:tc>
        <w:tc>
          <w:tcPr>
            <w:tcW w:w="855" w:type="dxa"/>
            <w:tcBorders>
              <w:top w:val="nil"/>
              <w:left w:val="single" w:color="auto" w:sz="4" w:space="0"/>
              <w:bottom w:val="single" w:color="auto" w:sz="8" w:space="0"/>
            </w:tcBorders>
            <w:noWrap w:val="0"/>
            <w:vAlign w:val="center"/>
          </w:tcPr>
          <w:p w14:paraId="5331AA0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52D489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781" w:type="dxa"/>
            <w:vMerge w:val="continue"/>
            <w:tcBorders>
              <w:right w:val="single" w:color="auto" w:sz="8" w:space="0"/>
            </w:tcBorders>
            <w:noWrap w:val="0"/>
            <w:vAlign w:val="center"/>
          </w:tcPr>
          <w:p w14:paraId="4C196BF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left w:val="nil"/>
              <w:right w:val="single" w:color="auto" w:sz="8" w:space="0"/>
            </w:tcBorders>
            <w:noWrap w:val="0"/>
            <w:vAlign w:val="center"/>
          </w:tcPr>
          <w:p w14:paraId="77A5E2C5">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restart"/>
            <w:tcBorders>
              <w:top w:val="nil"/>
              <w:left w:val="nil"/>
              <w:right w:val="single" w:color="auto" w:sz="8" w:space="0"/>
            </w:tcBorders>
            <w:noWrap w:val="0"/>
            <w:vAlign w:val="center"/>
          </w:tcPr>
          <w:p w14:paraId="582ED99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产出成本</w:t>
            </w:r>
          </w:p>
        </w:tc>
        <w:tc>
          <w:tcPr>
            <w:tcW w:w="694" w:type="dxa"/>
            <w:vMerge w:val="restart"/>
            <w:tcBorders>
              <w:top w:val="nil"/>
              <w:left w:val="nil"/>
              <w:right w:val="single" w:color="auto" w:sz="8" w:space="0"/>
            </w:tcBorders>
            <w:noWrap w:val="0"/>
            <w:vAlign w:val="center"/>
          </w:tcPr>
          <w:p w14:paraId="47BA84A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50" w:type="dxa"/>
            <w:vMerge w:val="restart"/>
            <w:tcBorders>
              <w:top w:val="nil"/>
              <w:left w:val="nil"/>
              <w:right w:val="single" w:color="auto" w:sz="8" w:space="0"/>
            </w:tcBorders>
            <w:noWrap w:val="0"/>
            <w:vAlign w:val="center"/>
          </w:tcPr>
          <w:p w14:paraId="41695C6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成本节约率</w:t>
            </w:r>
          </w:p>
        </w:tc>
        <w:tc>
          <w:tcPr>
            <w:tcW w:w="699" w:type="dxa"/>
            <w:tcBorders>
              <w:top w:val="nil"/>
              <w:left w:val="nil"/>
              <w:bottom w:val="single" w:color="auto" w:sz="8" w:space="0"/>
              <w:right w:val="single" w:color="auto" w:sz="8" w:space="0"/>
            </w:tcBorders>
            <w:noWrap w:val="0"/>
            <w:vAlign w:val="center"/>
          </w:tcPr>
          <w:p w14:paraId="5690DD0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120" w:type="dxa"/>
            <w:tcBorders>
              <w:top w:val="nil"/>
              <w:left w:val="nil"/>
              <w:bottom w:val="single" w:color="auto" w:sz="4" w:space="0"/>
              <w:right w:val="single" w:color="auto" w:sz="8" w:space="0"/>
            </w:tcBorders>
            <w:noWrap w:val="0"/>
            <w:vAlign w:val="center"/>
          </w:tcPr>
          <w:p w14:paraId="66C8535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行政村平均图书购置成本</w:t>
            </w:r>
          </w:p>
        </w:tc>
        <w:tc>
          <w:tcPr>
            <w:tcW w:w="885" w:type="dxa"/>
            <w:tcBorders>
              <w:top w:val="nil"/>
              <w:left w:val="nil"/>
              <w:bottom w:val="single" w:color="auto" w:sz="4" w:space="0"/>
              <w:right w:val="single" w:color="auto" w:sz="8" w:space="0"/>
            </w:tcBorders>
            <w:noWrap w:val="0"/>
            <w:vAlign w:val="center"/>
          </w:tcPr>
          <w:p w14:paraId="3841799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&lt;=0.2万元/村</w:t>
            </w:r>
          </w:p>
        </w:tc>
        <w:tc>
          <w:tcPr>
            <w:tcW w:w="4959" w:type="dxa"/>
            <w:vMerge w:val="restart"/>
            <w:tcBorders>
              <w:top w:val="single" w:color="auto" w:sz="4" w:space="0"/>
              <w:left w:val="nil"/>
              <w:bottom w:val="single" w:color="auto" w:sz="4" w:space="0"/>
              <w:right w:val="single" w:color="auto" w:sz="8" w:space="0"/>
            </w:tcBorders>
            <w:noWrap w:val="0"/>
            <w:vAlign w:val="center"/>
          </w:tcPr>
          <w:p w14:paraId="29A27FE0">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实际完成率=（实际支付资金数/计划应支付资金数）×100%。</w:t>
            </w:r>
          </w:p>
          <w:p w14:paraId="5FED8D6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①实际完成率＞年度指标值，得0得分；</w:t>
            </w:r>
          </w:p>
          <w:p w14:paraId="6A24EA4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②实际完成率≤年度指标值，且偏离程度＜20%，得满分；</w:t>
            </w:r>
          </w:p>
          <w:p w14:paraId="63F1A1F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③实际完成率＜年度指标值，且偏离程度≥20%，得分=实际完成率×分值。</w:t>
            </w:r>
          </w:p>
        </w:tc>
        <w:tc>
          <w:tcPr>
            <w:tcW w:w="1026" w:type="dxa"/>
            <w:tcBorders>
              <w:top w:val="single" w:color="auto" w:sz="4" w:space="0"/>
              <w:left w:val="nil"/>
              <w:bottom w:val="single" w:color="auto" w:sz="8" w:space="0"/>
              <w:right w:val="single" w:color="auto" w:sz="8" w:space="0"/>
            </w:tcBorders>
            <w:noWrap w:val="0"/>
            <w:vAlign w:val="center"/>
          </w:tcPr>
          <w:p w14:paraId="71659B3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auto"/>
                <w:sz w:val="21"/>
                <w:szCs w:val="21"/>
                <w:u w:val="none"/>
              </w:rPr>
              <w:t>=0.2万元/村</w:t>
            </w:r>
          </w:p>
        </w:tc>
        <w:tc>
          <w:tcPr>
            <w:tcW w:w="855" w:type="dxa"/>
            <w:tcBorders>
              <w:top w:val="nil"/>
              <w:left w:val="nil"/>
              <w:bottom w:val="single" w:color="auto" w:sz="8" w:space="0"/>
            </w:tcBorders>
            <w:noWrap w:val="0"/>
            <w:vAlign w:val="center"/>
          </w:tcPr>
          <w:p w14:paraId="1B02907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433A42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0" w:hRule="atLeast"/>
        </w:trPr>
        <w:tc>
          <w:tcPr>
            <w:tcW w:w="781" w:type="dxa"/>
            <w:vMerge w:val="continue"/>
            <w:tcBorders>
              <w:bottom w:val="single" w:color="auto" w:sz="4" w:space="0"/>
              <w:right w:val="single" w:color="auto" w:sz="8" w:space="0"/>
            </w:tcBorders>
            <w:noWrap w:val="0"/>
            <w:vAlign w:val="center"/>
          </w:tcPr>
          <w:p w14:paraId="3B0AA158">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left w:val="nil"/>
              <w:bottom w:val="single" w:color="auto" w:sz="4" w:space="0"/>
              <w:right w:val="single" w:color="auto" w:sz="8" w:space="0"/>
            </w:tcBorders>
            <w:noWrap w:val="0"/>
            <w:vAlign w:val="center"/>
          </w:tcPr>
          <w:p w14:paraId="1683EDD5">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left w:val="nil"/>
              <w:bottom w:val="single" w:color="auto" w:sz="4" w:space="0"/>
              <w:right w:val="single" w:color="auto" w:sz="8" w:space="0"/>
            </w:tcBorders>
            <w:noWrap w:val="0"/>
            <w:vAlign w:val="center"/>
          </w:tcPr>
          <w:p w14:paraId="0B5076A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p>
        </w:tc>
        <w:tc>
          <w:tcPr>
            <w:tcW w:w="694" w:type="dxa"/>
            <w:vMerge w:val="continue"/>
            <w:tcBorders>
              <w:left w:val="nil"/>
              <w:bottom w:val="single" w:color="auto" w:sz="4" w:space="0"/>
              <w:right w:val="single" w:color="auto" w:sz="8" w:space="0"/>
            </w:tcBorders>
            <w:noWrap w:val="0"/>
            <w:vAlign w:val="center"/>
          </w:tcPr>
          <w:p w14:paraId="363C06F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p>
        </w:tc>
        <w:tc>
          <w:tcPr>
            <w:tcW w:w="750" w:type="dxa"/>
            <w:vMerge w:val="continue"/>
            <w:tcBorders>
              <w:left w:val="nil"/>
              <w:bottom w:val="single" w:color="auto" w:sz="4" w:space="0"/>
              <w:right w:val="single" w:color="auto" w:sz="8" w:space="0"/>
            </w:tcBorders>
            <w:noWrap w:val="0"/>
            <w:vAlign w:val="center"/>
          </w:tcPr>
          <w:p w14:paraId="5BB050E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p>
        </w:tc>
        <w:tc>
          <w:tcPr>
            <w:tcW w:w="699" w:type="dxa"/>
            <w:tcBorders>
              <w:top w:val="nil"/>
              <w:left w:val="nil"/>
              <w:bottom w:val="single" w:color="auto" w:sz="4" w:space="0"/>
              <w:right w:val="single" w:color="auto" w:sz="8" w:space="0"/>
            </w:tcBorders>
            <w:noWrap w:val="0"/>
            <w:vAlign w:val="center"/>
          </w:tcPr>
          <w:p w14:paraId="233E7851">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5</w:t>
            </w:r>
          </w:p>
        </w:tc>
        <w:tc>
          <w:tcPr>
            <w:tcW w:w="2120" w:type="dxa"/>
            <w:tcBorders>
              <w:top w:val="nil"/>
              <w:left w:val="nil"/>
              <w:bottom w:val="single" w:color="auto" w:sz="4" w:space="0"/>
              <w:right w:val="single" w:color="auto" w:sz="8" w:space="0"/>
            </w:tcBorders>
            <w:noWrap w:val="0"/>
            <w:vAlign w:val="center"/>
          </w:tcPr>
          <w:p w14:paraId="275F463C">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rPr>
              <w:t>农村电影放映员放映补贴</w:t>
            </w:r>
          </w:p>
        </w:tc>
        <w:tc>
          <w:tcPr>
            <w:tcW w:w="885" w:type="dxa"/>
            <w:tcBorders>
              <w:top w:val="nil"/>
              <w:left w:val="nil"/>
              <w:bottom w:val="single" w:color="auto" w:sz="4" w:space="0"/>
              <w:right w:val="single" w:color="auto" w:sz="8" w:space="0"/>
            </w:tcBorders>
            <w:noWrap w:val="0"/>
            <w:vAlign w:val="center"/>
          </w:tcPr>
          <w:p w14:paraId="7FCE047D">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kern w:val="2"/>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rPr>
              <w:t>≤4.32元/人/年</w:t>
            </w:r>
          </w:p>
        </w:tc>
        <w:tc>
          <w:tcPr>
            <w:tcW w:w="4959" w:type="dxa"/>
            <w:vMerge w:val="continue"/>
            <w:tcBorders>
              <w:top w:val="single" w:color="auto" w:sz="4" w:space="0"/>
              <w:left w:val="nil"/>
              <w:bottom w:val="single" w:color="auto" w:sz="4" w:space="0"/>
              <w:right w:val="single" w:color="auto" w:sz="8" w:space="0"/>
            </w:tcBorders>
            <w:noWrap w:val="0"/>
            <w:vAlign w:val="center"/>
          </w:tcPr>
          <w:p w14:paraId="0FE6D2E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p>
        </w:tc>
        <w:tc>
          <w:tcPr>
            <w:tcW w:w="1026" w:type="dxa"/>
            <w:tcBorders>
              <w:top w:val="single" w:color="auto" w:sz="4" w:space="0"/>
              <w:left w:val="nil"/>
              <w:bottom w:val="single" w:color="auto" w:sz="4" w:space="0"/>
              <w:right w:val="single" w:color="auto" w:sz="8" w:space="0"/>
            </w:tcBorders>
            <w:noWrap w:val="0"/>
            <w:vAlign w:val="center"/>
          </w:tcPr>
          <w:p w14:paraId="42A6FBD9">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=0万元/人/月</w:t>
            </w:r>
          </w:p>
        </w:tc>
        <w:tc>
          <w:tcPr>
            <w:tcW w:w="855" w:type="dxa"/>
            <w:tcBorders>
              <w:top w:val="nil"/>
              <w:left w:val="nil"/>
              <w:bottom w:val="single" w:color="auto" w:sz="4" w:space="0"/>
            </w:tcBorders>
            <w:noWrap w:val="0"/>
            <w:vAlign w:val="center"/>
          </w:tcPr>
          <w:p w14:paraId="23A8515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0</w:t>
            </w:r>
          </w:p>
        </w:tc>
      </w:tr>
      <w:tr w14:paraId="41675B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781" w:type="dxa"/>
            <w:vMerge w:val="restart"/>
            <w:tcBorders>
              <w:top w:val="single" w:color="auto" w:sz="4" w:space="0"/>
              <w:bottom w:val="single" w:color="auto" w:sz="4" w:space="0"/>
              <w:right w:val="single" w:color="auto" w:sz="4" w:space="0"/>
            </w:tcBorders>
            <w:noWrap w:val="0"/>
            <w:vAlign w:val="center"/>
          </w:tcPr>
          <w:p w14:paraId="52323D7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750" w:type="dxa"/>
            <w:vMerge w:val="restart"/>
            <w:tcBorders>
              <w:top w:val="single" w:color="auto" w:sz="4" w:space="0"/>
              <w:left w:val="single" w:color="auto" w:sz="4" w:space="0"/>
              <w:bottom w:val="single" w:color="auto" w:sz="4" w:space="0"/>
              <w:right w:val="single" w:color="auto" w:sz="4" w:space="0"/>
            </w:tcBorders>
            <w:noWrap w:val="0"/>
            <w:vAlign w:val="center"/>
          </w:tcPr>
          <w:p w14:paraId="4F1B2B79">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694" w:type="dxa"/>
            <w:vMerge w:val="restart"/>
            <w:tcBorders>
              <w:top w:val="single" w:color="auto" w:sz="4" w:space="0"/>
              <w:left w:val="single" w:color="auto" w:sz="4" w:space="0"/>
              <w:bottom w:val="single" w:color="auto" w:sz="4" w:space="0"/>
              <w:right w:val="single" w:color="auto" w:sz="4" w:space="0"/>
            </w:tcBorders>
            <w:noWrap w:val="0"/>
            <w:vAlign w:val="center"/>
          </w:tcPr>
          <w:p w14:paraId="42902B0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694" w:type="dxa"/>
            <w:vMerge w:val="restart"/>
            <w:tcBorders>
              <w:top w:val="single" w:color="auto" w:sz="4" w:space="0"/>
              <w:left w:val="single" w:color="auto" w:sz="4" w:space="0"/>
              <w:bottom w:val="single" w:color="auto" w:sz="4" w:space="0"/>
              <w:right w:val="single" w:color="auto" w:sz="4" w:space="0"/>
            </w:tcBorders>
            <w:noWrap w:val="0"/>
            <w:vAlign w:val="center"/>
          </w:tcPr>
          <w:p w14:paraId="0E1447F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7A8FCDE8">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社会效益</w:t>
            </w:r>
          </w:p>
        </w:tc>
        <w:tc>
          <w:tcPr>
            <w:tcW w:w="699" w:type="dxa"/>
            <w:tcBorders>
              <w:top w:val="single" w:color="auto" w:sz="4" w:space="0"/>
              <w:left w:val="single" w:color="auto" w:sz="4" w:space="0"/>
              <w:bottom w:val="single" w:color="auto" w:sz="4" w:space="0"/>
              <w:right w:val="single" w:color="auto" w:sz="4" w:space="0"/>
            </w:tcBorders>
            <w:noWrap w:val="0"/>
            <w:vAlign w:val="center"/>
          </w:tcPr>
          <w:p w14:paraId="1D501D2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120" w:type="dxa"/>
            <w:tcBorders>
              <w:top w:val="single" w:color="auto" w:sz="4" w:space="0"/>
              <w:left w:val="single" w:color="auto" w:sz="4" w:space="0"/>
              <w:bottom w:val="single" w:color="auto" w:sz="4" w:space="0"/>
              <w:right w:val="single" w:color="auto" w:sz="4" w:space="0"/>
            </w:tcBorders>
            <w:noWrap w:val="0"/>
            <w:vAlign w:val="center"/>
          </w:tcPr>
          <w:p w14:paraId="3253FC49">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提高群众文化素质益</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4C797CCF">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效果显著</w:t>
            </w:r>
          </w:p>
        </w:tc>
        <w:tc>
          <w:tcPr>
            <w:tcW w:w="4959" w:type="dxa"/>
            <w:tcBorders>
              <w:top w:val="single" w:color="auto" w:sz="4" w:space="0"/>
              <w:left w:val="single" w:color="auto" w:sz="4" w:space="0"/>
              <w:bottom w:val="single" w:color="auto" w:sz="4" w:space="0"/>
              <w:right w:val="single" w:color="auto" w:sz="4" w:space="0"/>
            </w:tcBorders>
            <w:noWrap w:val="0"/>
            <w:vAlign w:val="center"/>
          </w:tcPr>
          <w:p w14:paraId="55852E6A">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按评判等级赋分。分为基本达成目标、部分实现目标、实现目标程度较低三个档次，并分别按照该指标对应分值区间100%-80%（含）、80%-60%（含）、60%-0%合理确定分值。</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44180FAE">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效果显著</w:t>
            </w:r>
          </w:p>
        </w:tc>
        <w:tc>
          <w:tcPr>
            <w:tcW w:w="855" w:type="dxa"/>
            <w:tcBorders>
              <w:top w:val="single" w:color="auto" w:sz="4" w:space="0"/>
              <w:left w:val="single" w:color="auto" w:sz="4" w:space="0"/>
              <w:bottom w:val="single" w:color="auto" w:sz="4" w:space="0"/>
            </w:tcBorders>
            <w:noWrap w:val="0"/>
            <w:vAlign w:val="center"/>
          </w:tcPr>
          <w:p w14:paraId="35B3127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729ECC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0" w:hRule="atLeast"/>
        </w:trPr>
        <w:tc>
          <w:tcPr>
            <w:tcW w:w="781" w:type="dxa"/>
            <w:vMerge w:val="continue"/>
            <w:tcBorders>
              <w:top w:val="single" w:color="auto" w:sz="4" w:space="0"/>
              <w:bottom w:val="single" w:color="auto" w:sz="4" w:space="0"/>
              <w:right w:val="single" w:color="auto" w:sz="4" w:space="0"/>
            </w:tcBorders>
            <w:noWrap w:val="0"/>
            <w:vAlign w:val="center"/>
          </w:tcPr>
          <w:p w14:paraId="1C583DE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vMerge w:val="continue"/>
            <w:tcBorders>
              <w:top w:val="single" w:color="auto" w:sz="4" w:space="0"/>
              <w:left w:val="single" w:color="auto" w:sz="4" w:space="0"/>
              <w:bottom w:val="single" w:color="auto" w:sz="4" w:space="0"/>
              <w:right w:val="single" w:color="auto" w:sz="4" w:space="0"/>
            </w:tcBorders>
            <w:noWrap w:val="0"/>
            <w:vAlign w:val="center"/>
          </w:tcPr>
          <w:p w14:paraId="07D49BF7">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single" w:color="auto" w:sz="4" w:space="0"/>
              <w:left w:val="single" w:color="auto" w:sz="4" w:space="0"/>
              <w:bottom w:val="single" w:color="auto" w:sz="4" w:space="0"/>
              <w:right w:val="single" w:color="auto" w:sz="4" w:space="0"/>
            </w:tcBorders>
            <w:noWrap w:val="0"/>
            <w:vAlign w:val="center"/>
          </w:tcPr>
          <w:p w14:paraId="4EC57B0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vMerge w:val="continue"/>
            <w:tcBorders>
              <w:top w:val="single" w:color="auto" w:sz="4" w:space="0"/>
              <w:left w:val="single" w:color="auto" w:sz="4" w:space="0"/>
              <w:bottom w:val="single" w:color="auto" w:sz="4" w:space="0"/>
              <w:right w:val="single" w:color="auto" w:sz="4" w:space="0"/>
            </w:tcBorders>
            <w:noWrap w:val="0"/>
            <w:vAlign w:val="center"/>
          </w:tcPr>
          <w:p w14:paraId="46881FE4">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7E206F8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服务对象满意度</w:t>
            </w:r>
          </w:p>
        </w:tc>
        <w:tc>
          <w:tcPr>
            <w:tcW w:w="699" w:type="dxa"/>
            <w:tcBorders>
              <w:top w:val="single" w:color="auto" w:sz="4" w:space="0"/>
              <w:left w:val="single" w:color="auto" w:sz="4" w:space="0"/>
              <w:bottom w:val="single" w:color="auto" w:sz="4" w:space="0"/>
              <w:right w:val="single" w:color="auto" w:sz="4" w:space="0"/>
            </w:tcBorders>
            <w:noWrap w:val="0"/>
            <w:vAlign w:val="center"/>
          </w:tcPr>
          <w:p w14:paraId="0A04DCCE">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w:t>
            </w:r>
          </w:p>
        </w:tc>
        <w:tc>
          <w:tcPr>
            <w:tcW w:w="2120" w:type="dxa"/>
            <w:tcBorders>
              <w:top w:val="single" w:color="auto" w:sz="4" w:space="0"/>
              <w:left w:val="single" w:color="auto" w:sz="4" w:space="0"/>
              <w:bottom w:val="single" w:color="auto" w:sz="4" w:space="0"/>
              <w:right w:val="single" w:color="auto" w:sz="4" w:space="0"/>
            </w:tcBorders>
            <w:noWrap w:val="0"/>
            <w:vAlign w:val="center"/>
          </w:tcPr>
          <w:p w14:paraId="289CB9D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受益群众满意度</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593CDB0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≥90%</w:t>
            </w:r>
          </w:p>
        </w:tc>
        <w:tc>
          <w:tcPr>
            <w:tcW w:w="4959" w:type="dxa"/>
            <w:tcBorders>
              <w:top w:val="single" w:color="auto" w:sz="4" w:space="0"/>
              <w:left w:val="single" w:color="auto" w:sz="4" w:space="0"/>
              <w:bottom w:val="single" w:color="auto" w:sz="4" w:space="0"/>
              <w:right w:val="single" w:color="auto" w:sz="4" w:space="0"/>
            </w:tcBorders>
            <w:noWrap w:val="0"/>
            <w:vAlign w:val="center"/>
          </w:tcPr>
          <w:p w14:paraId="1D43D31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根据问卷调查，满意度达到标杆值，得权重分的100%；否则低于95%，得分=实际满意度*指标分值。</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78FF00B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95.0%</w:t>
            </w:r>
          </w:p>
        </w:tc>
        <w:tc>
          <w:tcPr>
            <w:tcW w:w="855" w:type="dxa"/>
            <w:tcBorders>
              <w:top w:val="single" w:color="auto" w:sz="4" w:space="0"/>
              <w:left w:val="single" w:color="auto" w:sz="4" w:space="0"/>
              <w:bottom w:val="single" w:color="auto" w:sz="4" w:space="0"/>
            </w:tcBorders>
            <w:noWrap w:val="0"/>
            <w:vAlign w:val="center"/>
          </w:tcPr>
          <w:p w14:paraId="40D3742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7D0B96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81" w:type="dxa"/>
            <w:tcBorders>
              <w:top w:val="single" w:color="auto" w:sz="4" w:space="0"/>
              <w:right w:val="single" w:color="auto" w:sz="8" w:space="0"/>
            </w:tcBorders>
            <w:noWrap w:val="0"/>
            <w:vAlign w:val="center"/>
          </w:tcPr>
          <w:p w14:paraId="268D938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总分</w:t>
            </w:r>
          </w:p>
        </w:tc>
        <w:tc>
          <w:tcPr>
            <w:tcW w:w="750" w:type="dxa"/>
            <w:tcBorders>
              <w:top w:val="single" w:color="auto" w:sz="4" w:space="0"/>
              <w:left w:val="nil"/>
              <w:right w:val="single" w:color="auto" w:sz="8" w:space="0"/>
            </w:tcBorders>
            <w:noWrap w:val="0"/>
            <w:vAlign w:val="center"/>
          </w:tcPr>
          <w:p w14:paraId="44E32475">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694" w:type="dxa"/>
            <w:tcBorders>
              <w:top w:val="single" w:color="auto" w:sz="4" w:space="0"/>
              <w:left w:val="nil"/>
              <w:right w:val="single" w:color="auto" w:sz="8" w:space="0"/>
            </w:tcBorders>
            <w:noWrap w:val="0"/>
            <w:vAlign w:val="center"/>
          </w:tcPr>
          <w:p w14:paraId="01A4BE1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4" w:type="dxa"/>
            <w:tcBorders>
              <w:top w:val="single" w:color="auto" w:sz="4" w:space="0"/>
              <w:left w:val="nil"/>
              <w:right w:val="single" w:color="auto" w:sz="8" w:space="0"/>
            </w:tcBorders>
            <w:noWrap w:val="0"/>
            <w:vAlign w:val="center"/>
          </w:tcPr>
          <w:p w14:paraId="19B12AF6">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750" w:type="dxa"/>
            <w:tcBorders>
              <w:top w:val="single" w:color="auto" w:sz="4" w:space="0"/>
              <w:left w:val="nil"/>
              <w:right w:val="single" w:color="auto" w:sz="8" w:space="0"/>
            </w:tcBorders>
            <w:noWrap w:val="0"/>
            <w:vAlign w:val="center"/>
          </w:tcPr>
          <w:p w14:paraId="625C68EF">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99" w:type="dxa"/>
            <w:tcBorders>
              <w:top w:val="single" w:color="auto" w:sz="4" w:space="0"/>
              <w:left w:val="nil"/>
              <w:right w:val="single" w:color="auto" w:sz="8" w:space="0"/>
            </w:tcBorders>
            <w:noWrap w:val="0"/>
            <w:vAlign w:val="center"/>
          </w:tcPr>
          <w:p w14:paraId="2ED5D622">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120" w:type="dxa"/>
            <w:tcBorders>
              <w:top w:val="single" w:color="auto" w:sz="4" w:space="0"/>
              <w:left w:val="nil"/>
              <w:right w:val="single" w:color="auto" w:sz="8" w:space="0"/>
            </w:tcBorders>
            <w:noWrap w:val="0"/>
            <w:vAlign w:val="center"/>
          </w:tcPr>
          <w:p w14:paraId="39FC4215">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85" w:type="dxa"/>
            <w:tcBorders>
              <w:top w:val="single" w:color="auto" w:sz="4" w:space="0"/>
              <w:left w:val="nil"/>
              <w:right w:val="single" w:color="auto" w:sz="8" w:space="0"/>
            </w:tcBorders>
            <w:noWrap w:val="0"/>
            <w:vAlign w:val="center"/>
          </w:tcPr>
          <w:p w14:paraId="38F7DF73">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w:t>
            </w:r>
          </w:p>
        </w:tc>
        <w:tc>
          <w:tcPr>
            <w:tcW w:w="4959" w:type="dxa"/>
            <w:tcBorders>
              <w:top w:val="single" w:color="auto" w:sz="4" w:space="0"/>
              <w:left w:val="nil"/>
              <w:right w:val="single" w:color="auto" w:sz="8" w:space="0"/>
            </w:tcBorders>
            <w:noWrap w:val="0"/>
            <w:vAlign w:val="center"/>
          </w:tcPr>
          <w:p w14:paraId="08226B17">
            <w:pPr>
              <w:keepNext w:val="0"/>
              <w:keepLines w:val="0"/>
              <w:pageBreakBefore w:val="0"/>
              <w:widowControl w:val="0"/>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1026" w:type="dxa"/>
            <w:tcBorders>
              <w:top w:val="single" w:color="auto" w:sz="4" w:space="0"/>
              <w:left w:val="nil"/>
              <w:right w:val="single" w:color="auto" w:sz="8" w:space="0"/>
            </w:tcBorders>
            <w:noWrap w:val="0"/>
            <w:vAlign w:val="center"/>
          </w:tcPr>
          <w:p w14:paraId="774EAC8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855" w:type="dxa"/>
            <w:tcBorders>
              <w:top w:val="single" w:color="auto" w:sz="4" w:space="0"/>
              <w:left w:val="nil"/>
            </w:tcBorders>
            <w:noWrap w:val="0"/>
            <w:vAlign w:val="center"/>
          </w:tcPr>
          <w:p w14:paraId="4D8B24E4">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93.75</w:t>
            </w:r>
          </w:p>
        </w:tc>
      </w:tr>
    </w:tbl>
    <w:p w14:paraId="67397DA5">
      <w:pPr>
        <w:pStyle w:val="10"/>
        <w:keepNext w:val="0"/>
        <w:keepLines w:val="0"/>
        <w:pageBreakBefore w:val="0"/>
        <w:shd w:val="clear" w:color="auto" w:fill="auto"/>
        <w:kinsoku/>
        <w:wordWrap/>
        <w:overflowPunct/>
        <w:topLinePunct w:val="0"/>
        <w:autoSpaceDE/>
        <w:autoSpaceDN/>
        <w:bidi w:val="0"/>
        <w:adjustRightInd/>
        <w:snapToGrid/>
        <w:spacing w:before="0" w:after="0" w:line="240" w:lineRule="auto"/>
        <w:ind w:left="0" w:leftChars="0" w:firstLine="0" w:firstLineChars="0"/>
        <w:jc w:val="both"/>
        <w:rPr>
          <w:rFonts w:hint="eastAsia" w:ascii="宋体" w:hAnsi="宋体" w:eastAsia="宋体" w:cs="宋体"/>
          <w:sz w:val="21"/>
          <w:szCs w:val="21"/>
          <w:lang w:eastAsia="zh-CN"/>
        </w:rPr>
      </w:pPr>
    </w:p>
    <w:p w14:paraId="374C5852">
      <w:pPr>
        <w:pStyle w:val="10"/>
        <w:keepNext w:val="0"/>
        <w:keepLines w:val="0"/>
        <w:pageBreakBefore w:val="0"/>
        <w:kinsoku/>
        <w:wordWrap/>
        <w:overflowPunct/>
        <w:topLinePunct w:val="0"/>
        <w:autoSpaceDE/>
        <w:autoSpaceDN/>
        <w:bidi w:val="0"/>
        <w:adjustRightInd/>
        <w:snapToGrid/>
        <w:jc w:val="center"/>
        <w:rPr>
          <w:rFonts w:hint="eastAsia" w:ascii="宋体" w:hAnsi="宋体" w:eastAsia="宋体" w:cs="宋体"/>
          <w:sz w:val="21"/>
          <w:szCs w:val="21"/>
          <w:lang w:eastAsia="zh-CN"/>
        </w:rPr>
      </w:pPr>
    </w:p>
    <w:p w14:paraId="0B8BEC97">
      <w:pPr>
        <w:pStyle w:val="10"/>
        <w:keepNext w:val="0"/>
        <w:keepLines w:val="0"/>
        <w:pageBreakBefore w:val="0"/>
        <w:kinsoku/>
        <w:wordWrap/>
        <w:overflowPunct/>
        <w:topLinePunct w:val="0"/>
        <w:autoSpaceDE/>
        <w:autoSpaceDN/>
        <w:bidi w:val="0"/>
        <w:adjustRightInd/>
        <w:snapToGrid/>
        <w:jc w:val="center"/>
        <w:rPr>
          <w:rFonts w:hint="eastAsia" w:ascii="宋体" w:hAnsi="宋体" w:eastAsia="宋体" w:cs="宋体"/>
          <w:sz w:val="21"/>
          <w:szCs w:val="21"/>
          <w:lang w:eastAsia="zh-CN"/>
        </w:rPr>
      </w:pPr>
    </w:p>
    <w:p w14:paraId="3B405BB2">
      <w:pPr>
        <w:pStyle w:val="10"/>
        <w:keepNext w:val="0"/>
        <w:keepLines w:val="0"/>
        <w:pageBreakBefore w:val="0"/>
        <w:kinsoku/>
        <w:wordWrap/>
        <w:overflowPunct/>
        <w:topLinePunct w:val="0"/>
        <w:autoSpaceDE/>
        <w:autoSpaceDN/>
        <w:bidi w:val="0"/>
        <w:adjustRightInd/>
        <w:snapToGrid/>
        <w:jc w:val="center"/>
        <w:rPr>
          <w:rFonts w:hint="eastAsia" w:ascii="宋体" w:hAnsi="宋体" w:eastAsia="宋体" w:cs="宋体"/>
          <w:sz w:val="21"/>
          <w:szCs w:val="21"/>
          <w:lang w:eastAsia="zh-CN"/>
        </w:rPr>
      </w:pPr>
    </w:p>
    <w:p w14:paraId="6333ADCA">
      <w:pPr>
        <w:pStyle w:val="10"/>
        <w:keepNext w:val="0"/>
        <w:keepLines w:val="0"/>
        <w:pageBreakBefore w:val="0"/>
        <w:kinsoku/>
        <w:wordWrap/>
        <w:overflowPunct/>
        <w:topLinePunct w:val="0"/>
        <w:autoSpaceDE/>
        <w:autoSpaceDN/>
        <w:bidi w:val="0"/>
        <w:adjustRightInd/>
        <w:snapToGrid/>
        <w:jc w:val="center"/>
        <w:rPr>
          <w:rFonts w:hint="eastAsia" w:ascii="宋体" w:hAnsi="宋体" w:eastAsia="宋体" w:cs="宋体"/>
          <w:sz w:val="21"/>
          <w:szCs w:val="21"/>
          <w:lang w:eastAsia="zh-CN"/>
        </w:rPr>
      </w:pPr>
    </w:p>
    <w:p w14:paraId="5A1F942B">
      <w:pPr>
        <w:pStyle w:val="10"/>
        <w:keepNext w:val="0"/>
        <w:keepLines w:val="0"/>
        <w:pageBreakBefore w:val="0"/>
        <w:kinsoku/>
        <w:wordWrap/>
        <w:overflowPunct/>
        <w:topLinePunct w:val="0"/>
        <w:autoSpaceDE/>
        <w:autoSpaceDN/>
        <w:bidi w:val="0"/>
        <w:adjustRightInd/>
        <w:snapToGrid/>
        <w:ind w:left="0" w:leftChars="0" w:firstLine="0" w:firstLineChars="0"/>
        <w:jc w:val="center"/>
        <w:rPr>
          <w:rFonts w:hint="eastAsia" w:ascii="宋体" w:hAnsi="宋体" w:eastAsia="宋体" w:cs="宋体"/>
          <w:sz w:val="21"/>
          <w:szCs w:val="21"/>
          <w:lang w:eastAsia="zh-CN"/>
        </w:rPr>
      </w:pPr>
    </w:p>
    <w:p w14:paraId="401E7338">
      <w:pPr>
        <w:pStyle w:val="10"/>
        <w:keepNext w:val="0"/>
        <w:keepLines w:val="0"/>
        <w:pageBreakBefore w:val="0"/>
        <w:kinsoku/>
        <w:wordWrap/>
        <w:overflowPunct/>
        <w:topLinePunct w:val="0"/>
        <w:autoSpaceDE/>
        <w:autoSpaceDN/>
        <w:bidi w:val="0"/>
        <w:adjustRightInd/>
        <w:snapToGrid/>
        <w:ind w:left="0" w:leftChars="0" w:firstLine="0" w:firstLineChars="0"/>
        <w:jc w:val="left"/>
        <w:rPr>
          <w:rFonts w:hint="eastAsia" w:ascii="宋体" w:hAnsi="宋体" w:eastAsia="宋体" w:cs="宋体"/>
          <w:sz w:val="21"/>
          <w:szCs w:val="21"/>
          <w:lang w:val="en-US" w:eastAsia="zh-CN"/>
        </w:rPr>
      </w:pPr>
    </w:p>
    <w:p w14:paraId="7298D312">
      <w:pPr>
        <w:pStyle w:val="10"/>
        <w:keepNext w:val="0"/>
        <w:keepLines w:val="0"/>
        <w:pageBreakBefore w:val="0"/>
        <w:kinsoku/>
        <w:wordWrap/>
        <w:overflowPunct/>
        <w:topLinePunct w:val="0"/>
        <w:autoSpaceDE/>
        <w:autoSpaceDN/>
        <w:bidi w:val="0"/>
        <w:adjustRightInd/>
        <w:snapToGrid/>
        <w:ind w:left="0" w:leftChars="0" w:firstLine="0" w:firstLineChars="0"/>
        <w:jc w:val="left"/>
        <w:rPr>
          <w:rFonts w:hint="eastAsia" w:ascii="宋体" w:hAnsi="宋体" w:eastAsia="宋体" w:cs="宋体"/>
          <w:sz w:val="21"/>
          <w:szCs w:val="21"/>
          <w:lang w:val="en-US" w:eastAsia="zh-CN"/>
        </w:rPr>
      </w:pPr>
    </w:p>
    <w:p w14:paraId="37F9013A">
      <w:pPr>
        <w:pStyle w:val="10"/>
        <w:keepNext w:val="0"/>
        <w:keepLines w:val="0"/>
        <w:pageBreakBefore w:val="0"/>
        <w:kinsoku/>
        <w:wordWrap/>
        <w:overflowPunct/>
        <w:topLinePunct w:val="0"/>
        <w:autoSpaceDE/>
        <w:autoSpaceDN/>
        <w:bidi w:val="0"/>
        <w:adjustRightInd/>
        <w:snapToGrid/>
        <w:ind w:left="0" w:leftChars="0" w:firstLine="0" w:firstLineChars="0"/>
        <w:jc w:val="left"/>
        <w:rPr>
          <w:rFonts w:hint="eastAsia" w:ascii="宋体" w:hAnsi="宋体" w:eastAsia="宋体" w:cs="宋体"/>
          <w:sz w:val="21"/>
          <w:szCs w:val="21"/>
          <w:lang w:val="en-US" w:eastAsia="zh-CN"/>
        </w:rPr>
      </w:pPr>
    </w:p>
    <w:p w14:paraId="72ABF5BD">
      <w:pPr>
        <w:pStyle w:val="10"/>
        <w:keepNext w:val="0"/>
        <w:keepLines w:val="0"/>
        <w:pageBreakBefore w:val="0"/>
        <w:kinsoku/>
        <w:wordWrap/>
        <w:overflowPunct/>
        <w:topLinePunct w:val="0"/>
        <w:autoSpaceDE/>
        <w:autoSpaceDN/>
        <w:bidi w:val="0"/>
        <w:adjustRightInd/>
        <w:snapToGrid/>
        <w:ind w:left="0" w:leftChars="0" w:firstLine="0" w:firstLineChars="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附件2：</w:t>
      </w:r>
    </w:p>
    <w:tbl>
      <w:tblPr>
        <w:tblStyle w:val="23"/>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11A2F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10E8F6B6">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auto"/>
                <w:sz w:val="21"/>
                <w:szCs w:val="21"/>
                <w:highlight w:val="yellow"/>
                <w:u w:val="none"/>
              </w:rPr>
            </w:pPr>
          </w:p>
        </w:tc>
        <w:tc>
          <w:tcPr>
            <w:tcW w:w="1778" w:type="dxa"/>
            <w:tcBorders>
              <w:top w:val="nil"/>
              <w:left w:val="nil"/>
              <w:bottom w:val="nil"/>
              <w:right w:val="nil"/>
            </w:tcBorders>
            <w:noWrap/>
            <w:vAlign w:val="center"/>
          </w:tcPr>
          <w:p w14:paraId="50143F15">
            <w:pPr>
              <w:keepNext w:val="0"/>
              <w:keepLines w:val="0"/>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auto"/>
                <w:sz w:val="21"/>
                <w:szCs w:val="21"/>
                <w:highlight w:val="yellow"/>
                <w:u w:val="none"/>
              </w:rPr>
            </w:pPr>
          </w:p>
        </w:tc>
        <w:tc>
          <w:tcPr>
            <w:tcW w:w="2786" w:type="dxa"/>
            <w:tcBorders>
              <w:top w:val="nil"/>
              <w:left w:val="nil"/>
              <w:bottom w:val="nil"/>
              <w:right w:val="nil"/>
            </w:tcBorders>
            <w:noWrap/>
            <w:vAlign w:val="center"/>
          </w:tcPr>
          <w:p w14:paraId="396F44C1">
            <w:pPr>
              <w:keepNext w:val="0"/>
              <w:keepLines w:val="0"/>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auto"/>
                <w:sz w:val="21"/>
                <w:szCs w:val="21"/>
                <w:highlight w:val="yellow"/>
                <w:u w:val="none"/>
              </w:rPr>
            </w:pPr>
          </w:p>
        </w:tc>
        <w:tc>
          <w:tcPr>
            <w:tcW w:w="2314" w:type="dxa"/>
            <w:tcBorders>
              <w:top w:val="nil"/>
              <w:left w:val="nil"/>
              <w:bottom w:val="nil"/>
              <w:right w:val="nil"/>
            </w:tcBorders>
            <w:noWrap/>
            <w:vAlign w:val="center"/>
          </w:tcPr>
          <w:p w14:paraId="513A731F">
            <w:pPr>
              <w:keepNext w:val="0"/>
              <w:keepLines w:val="0"/>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auto"/>
                <w:sz w:val="21"/>
                <w:szCs w:val="21"/>
                <w:highlight w:val="yellow"/>
                <w:u w:val="none"/>
              </w:rPr>
            </w:pPr>
          </w:p>
        </w:tc>
        <w:tc>
          <w:tcPr>
            <w:tcW w:w="3449" w:type="dxa"/>
            <w:tcBorders>
              <w:top w:val="nil"/>
              <w:left w:val="nil"/>
              <w:bottom w:val="nil"/>
              <w:right w:val="nil"/>
            </w:tcBorders>
            <w:noWrap/>
            <w:vAlign w:val="center"/>
          </w:tcPr>
          <w:p w14:paraId="2C5DF91A">
            <w:pPr>
              <w:keepNext w:val="0"/>
              <w:keepLines w:val="0"/>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auto"/>
                <w:sz w:val="21"/>
                <w:szCs w:val="21"/>
                <w:highlight w:val="yellow"/>
                <w:u w:val="none"/>
              </w:rPr>
            </w:pPr>
          </w:p>
        </w:tc>
        <w:tc>
          <w:tcPr>
            <w:tcW w:w="1331" w:type="dxa"/>
            <w:tcBorders>
              <w:top w:val="nil"/>
              <w:left w:val="nil"/>
              <w:bottom w:val="nil"/>
              <w:right w:val="nil"/>
            </w:tcBorders>
            <w:noWrap/>
            <w:vAlign w:val="center"/>
          </w:tcPr>
          <w:p w14:paraId="2D568B96">
            <w:pPr>
              <w:keepNext w:val="0"/>
              <w:keepLines w:val="0"/>
              <w:pageBreakBefore w:val="0"/>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auto"/>
                <w:sz w:val="21"/>
                <w:szCs w:val="21"/>
                <w:highlight w:val="yellow"/>
                <w:u w:val="none"/>
              </w:rPr>
            </w:pPr>
          </w:p>
        </w:tc>
      </w:tr>
      <w:tr w14:paraId="4DCF7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57E7E7F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2022年中央补助地方公共文化服务体系建设补助资金预算的通知-农家书屋项目综合得分表</w:t>
            </w:r>
          </w:p>
        </w:tc>
      </w:tr>
      <w:tr w14:paraId="7E79E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74C59ECE">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57775199">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20" w:firstLineChars="20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4F6F46A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7F04D0E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0D22397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2FF2967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合计</w:t>
            </w:r>
          </w:p>
        </w:tc>
      </w:tr>
      <w:tr w14:paraId="20684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5ECF3B03">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D74832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rPr>
              <w:t>20.00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4BBA465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rPr>
              <w:t>20.00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5B82D1B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456CB1D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20.00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460FC23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100.00</w:t>
            </w:r>
          </w:p>
        </w:tc>
      </w:tr>
      <w:tr w14:paraId="40122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72209DFB">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7B674A8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rPr>
              <w:t>20.00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5B831A1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18.95</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3249AB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35.00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18D1E55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20.00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BD93EB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93.75</w:t>
            </w:r>
          </w:p>
        </w:tc>
      </w:tr>
      <w:tr w14:paraId="64592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563D3D87">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12416C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DB4810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94.75%</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053E7F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87.5%</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5040729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51350ACF">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93.75%</w:t>
            </w:r>
          </w:p>
        </w:tc>
      </w:tr>
    </w:tbl>
    <w:p w14:paraId="77E9D55E">
      <w:pPr>
        <w:pStyle w:val="10"/>
        <w:keepNext w:val="0"/>
        <w:keepLines w:val="0"/>
        <w:pageBreakBefore w:val="0"/>
        <w:kinsoku/>
        <w:wordWrap/>
        <w:overflowPunct/>
        <w:topLinePunct w:val="0"/>
        <w:autoSpaceDE/>
        <w:autoSpaceDN/>
        <w:bidi w:val="0"/>
        <w:adjustRightInd/>
        <w:snapToGrid/>
        <w:ind w:left="0" w:leftChars="0" w:firstLine="0" w:firstLineChars="0"/>
        <w:jc w:val="center"/>
        <w:rPr>
          <w:rFonts w:hint="default" w:ascii="宋体" w:hAnsi="宋体" w:eastAsia="宋体" w:cs="宋体"/>
          <w:sz w:val="24"/>
          <w:szCs w:val="24"/>
          <w:lang w:val="en-US" w:eastAsia="zh-CN"/>
        </w:rPr>
      </w:pPr>
    </w:p>
    <w:p w14:paraId="10832D90">
      <w:pPr>
        <w:pStyle w:val="10"/>
        <w:ind w:left="0" w:leftChars="0" w:firstLine="0" w:firstLineChars="0"/>
        <w:jc w:val="both"/>
        <w:rPr>
          <w:rFonts w:hint="default" w:ascii="宋体" w:hAnsi="宋体" w:eastAsia="宋体" w:cs="宋体"/>
          <w:sz w:val="24"/>
          <w:szCs w:val="24"/>
          <w:lang w:val="en-US" w:eastAsia="zh-CN"/>
        </w:rPr>
        <w:sectPr>
          <w:pgSz w:w="16838" w:h="11906" w:orient="landscape"/>
          <w:pgMar w:top="1531" w:right="1985" w:bottom="1531" w:left="1701" w:header="851" w:footer="992" w:gutter="0"/>
          <w:pgNumType w:start="1"/>
          <w:cols w:space="720" w:num="1"/>
          <w:docGrid w:type="linesAndChars" w:linePitch="386" w:charSpace="0"/>
        </w:sectPr>
      </w:pPr>
    </w:p>
    <w:p w14:paraId="216D1D2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4C4E72F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2022年中央补助地方公共文化服务体系建设补助资金预算的通知-农家书屋</w:t>
      </w:r>
      <w:r>
        <w:rPr>
          <w:rFonts w:hint="eastAsia" w:ascii="宋体" w:hAnsi="宋体" w:eastAsia="宋体" w:cs="宋体"/>
          <w:b/>
          <w:bCs/>
          <w:color w:val="000000"/>
          <w:sz w:val="24"/>
          <w:szCs w:val="24"/>
          <w:highlight w:val="none"/>
          <w:lang w:val="en-US" w:eastAsia="zh-CN"/>
        </w:rPr>
        <w:t>项目</w:t>
      </w:r>
      <w:r>
        <w:rPr>
          <w:rFonts w:hint="eastAsia" w:ascii="宋体" w:hAnsi="宋体" w:eastAsia="宋体" w:cs="宋体"/>
          <w:b/>
          <w:bCs/>
          <w:sz w:val="24"/>
          <w:szCs w:val="24"/>
          <w:highlight w:val="none"/>
          <w:lang w:val="en-US" w:eastAsia="zh-CN"/>
        </w:rPr>
        <w:t>满意度</w:t>
      </w:r>
      <w:r>
        <w:rPr>
          <w:rFonts w:hint="eastAsia" w:ascii="宋体" w:hAnsi="宋体" w:eastAsia="宋体" w:cs="宋体"/>
          <w:b/>
          <w:bCs/>
          <w:sz w:val="24"/>
          <w:szCs w:val="24"/>
          <w:highlight w:val="none"/>
        </w:rPr>
        <w:t>调查问卷</w:t>
      </w:r>
      <w:r>
        <w:rPr>
          <w:rFonts w:hint="eastAsia" w:ascii="宋体" w:hAnsi="宋体" w:eastAsia="宋体" w:cs="宋体"/>
          <w:b/>
          <w:bCs/>
          <w:sz w:val="24"/>
          <w:szCs w:val="24"/>
          <w:highlight w:val="none"/>
          <w:lang w:val="en-US" w:eastAsia="zh-CN"/>
        </w:rPr>
        <w:t>分析报告</w:t>
      </w:r>
    </w:p>
    <w:p w14:paraId="6807EF3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bCs/>
          <w:sz w:val="24"/>
          <w:szCs w:val="24"/>
          <w:highlight w:val="none"/>
        </w:rPr>
      </w:pPr>
    </w:p>
    <w:p w14:paraId="6AB77C2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sz w:val="24"/>
          <w:szCs w:val="24"/>
          <w:highlight w:val="none"/>
        </w:rPr>
        <w:t>为客观评价该项目的社会效果，了解</w:t>
      </w:r>
      <w:r>
        <w:rPr>
          <w:rFonts w:hint="eastAsia" w:ascii="宋体" w:hAnsi="宋体" w:eastAsia="宋体" w:cs="宋体"/>
          <w:sz w:val="24"/>
          <w:szCs w:val="24"/>
          <w:highlight w:val="none"/>
          <w:lang w:val="en-US" w:eastAsia="zh-CN"/>
        </w:rPr>
        <w:t>项目受益群体</w:t>
      </w:r>
      <w:r>
        <w:rPr>
          <w:rFonts w:hint="eastAsia" w:ascii="宋体" w:hAnsi="宋体" w:eastAsia="宋体" w:cs="宋体"/>
          <w:sz w:val="24"/>
          <w:szCs w:val="24"/>
          <w:highlight w:val="none"/>
        </w:rPr>
        <w:t>对项目</w:t>
      </w:r>
      <w:r>
        <w:rPr>
          <w:rFonts w:hint="eastAsia" w:ascii="宋体" w:hAnsi="宋体" w:eastAsia="宋体" w:cs="宋体"/>
          <w:sz w:val="24"/>
          <w:szCs w:val="24"/>
          <w:highlight w:val="none"/>
          <w:lang w:val="en-US" w:eastAsia="zh-CN"/>
        </w:rPr>
        <w:t>实施后</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val="en-US" w:eastAsia="zh-CN"/>
        </w:rPr>
        <w:t>真实</w:t>
      </w:r>
      <w:r>
        <w:rPr>
          <w:rFonts w:hint="eastAsia" w:ascii="宋体" w:hAnsi="宋体" w:eastAsia="宋体" w:cs="宋体"/>
          <w:sz w:val="24"/>
          <w:szCs w:val="24"/>
          <w:highlight w:val="none"/>
        </w:rPr>
        <w:t>评价情况，对本项目</w:t>
      </w:r>
      <w:r>
        <w:rPr>
          <w:rFonts w:hint="eastAsia" w:ascii="宋体" w:hAnsi="宋体" w:eastAsia="宋体" w:cs="宋体"/>
          <w:sz w:val="24"/>
          <w:szCs w:val="24"/>
          <w:highlight w:val="none"/>
          <w:lang w:eastAsia="zh-CN"/>
        </w:rPr>
        <w:t>开展</w:t>
      </w:r>
      <w:r>
        <w:rPr>
          <w:rFonts w:hint="eastAsia" w:ascii="宋体" w:hAnsi="宋体" w:eastAsia="宋体" w:cs="宋体"/>
          <w:sz w:val="24"/>
          <w:szCs w:val="24"/>
          <w:highlight w:val="none"/>
        </w:rPr>
        <w:t>满意度问卷调查。问卷调查工作情况如下。问卷调查工作情况如下：</w:t>
      </w:r>
    </w:p>
    <w:p w14:paraId="20A471E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该问卷调查从202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10</w:t>
      </w:r>
      <w:r>
        <w:rPr>
          <w:rFonts w:hint="eastAsia" w:ascii="宋体" w:hAnsi="宋体" w:eastAsia="宋体" w:cs="宋体"/>
          <w:b/>
          <w:bCs/>
          <w:color w:val="auto"/>
          <w:sz w:val="24"/>
          <w:szCs w:val="24"/>
          <w:highlight w:val="none"/>
        </w:rPr>
        <w:t>日开始至202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日结束，调查问卷共设置</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道题目。</w:t>
      </w:r>
    </w:p>
    <w:p w14:paraId="23EE5496">
      <w:pPr>
        <w:pStyle w:val="10"/>
        <w:keepNext w:val="0"/>
        <w:keepLines w:val="0"/>
        <w:pageBreakBefore w:val="0"/>
        <w:widowControl w:val="0"/>
        <w:kinsoku/>
        <w:wordWrap/>
        <w:overflowPunct/>
        <w:topLinePunct w:val="0"/>
        <w:autoSpaceDE/>
        <w:autoSpaceDN/>
        <w:bidi w:val="0"/>
        <w:snapToGrid w:val="0"/>
        <w:spacing w:before="0" w:after="0" w:line="360" w:lineRule="auto"/>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w:t>
      </w:r>
      <w:r>
        <w:rPr>
          <w:rFonts w:hint="eastAsia" w:ascii="宋体" w:hAnsi="宋体" w:eastAsia="宋体" w:cs="宋体"/>
          <w:b/>
          <w:bCs/>
          <w:sz w:val="24"/>
          <w:szCs w:val="24"/>
          <w:highlight w:val="none"/>
          <w:lang w:eastAsia="zh-CN"/>
        </w:rPr>
        <w:t>调查</w:t>
      </w:r>
      <w:r>
        <w:rPr>
          <w:rFonts w:hint="eastAsia" w:ascii="宋体" w:hAnsi="宋体" w:eastAsia="宋体" w:cs="宋体"/>
          <w:b/>
          <w:bCs/>
          <w:sz w:val="24"/>
          <w:szCs w:val="24"/>
          <w:highlight w:val="none"/>
        </w:rPr>
        <w:t>对象</w:t>
      </w:r>
    </w:p>
    <w:p w14:paraId="185E8BD2">
      <w:pPr>
        <w:pStyle w:val="10"/>
        <w:keepNext w:val="0"/>
        <w:keepLines w:val="0"/>
        <w:pageBreakBefore w:val="0"/>
        <w:widowControl w:val="0"/>
        <w:kinsoku/>
        <w:wordWrap/>
        <w:overflowPunct/>
        <w:topLinePunct w:val="0"/>
        <w:autoSpaceDE/>
        <w:autoSpaceDN/>
        <w:bidi w:val="0"/>
        <w:snapToGrid w:val="0"/>
        <w:spacing w:before="0" w:after="0" w:line="360" w:lineRule="auto"/>
        <w:jc w:val="left"/>
        <w:textAlignment w:val="auto"/>
        <w:rPr>
          <w:rFonts w:hint="eastAsia" w:ascii="宋体" w:hAnsi="宋体" w:eastAsia="宋体" w:cs="宋体"/>
          <w:b w:val="0"/>
          <w:bCs/>
          <w:i w:val="0"/>
          <w:iCs w:val="0"/>
          <w:sz w:val="24"/>
          <w:szCs w:val="24"/>
          <w:highlight w:val="none"/>
        </w:rPr>
      </w:pPr>
      <w:r>
        <w:rPr>
          <w:rFonts w:hint="eastAsia" w:ascii="宋体" w:hAnsi="宋体" w:eastAsia="宋体" w:cs="宋体"/>
          <w:b w:val="0"/>
          <w:bCs/>
          <w:sz w:val="24"/>
          <w:szCs w:val="24"/>
          <w:highlight w:val="none"/>
        </w:rPr>
        <w:t>本次</w:t>
      </w:r>
      <w:r>
        <w:rPr>
          <w:rFonts w:hint="eastAsia" w:ascii="宋体" w:hAnsi="宋体" w:eastAsia="宋体" w:cs="宋体"/>
          <w:b w:val="0"/>
          <w:bCs/>
          <w:sz w:val="24"/>
          <w:szCs w:val="24"/>
          <w:highlight w:val="none"/>
          <w:lang w:eastAsia="zh-CN"/>
        </w:rPr>
        <w:t>调查</w:t>
      </w:r>
      <w:r>
        <w:rPr>
          <w:rFonts w:hint="eastAsia" w:ascii="宋体" w:hAnsi="宋体" w:eastAsia="宋体" w:cs="宋体"/>
          <w:b w:val="0"/>
          <w:bCs/>
          <w:sz w:val="24"/>
          <w:szCs w:val="24"/>
          <w:highlight w:val="none"/>
        </w:rPr>
        <w:t>的受益对象为</w:t>
      </w:r>
      <w:r>
        <w:rPr>
          <w:rFonts w:hint="eastAsia" w:ascii="宋体" w:hAnsi="宋体" w:eastAsia="宋体" w:cs="宋体"/>
          <w:b w:val="0"/>
          <w:bCs/>
          <w:sz w:val="24"/>
          <w:szCs w:val="24"/>
          <w:highlight w:val="none"/>
          <w:lang w:eastAsia="zh-CN"/>
        </w:rPr>
        <w:t>农牧民群众</w:t>
      </w:r>
      <w:r>
        <w:rPr>
          <w:rFonts w:hint="eastAsia" w:ascii="宋体" w:hAnsi="宋体" w:eastAsia="宋体" w:cs="宋体"/>
          <w:b w:val="0"/>
          <w:bCs/>
          <w:sz w:val="24"/>
          <w:szCs w:val="24"/>
          <w:highlight w:val="none"/>
        </w:rPr>
        <w:t>。</w:t>
      </w:r>
    </w:p>
    <w:p w14:paraId="5CFFBAA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b/>
          <w:bCs/>
          <w:i w:val="0"/>
          <w:iCs w:val="0"/>
          <w:sz w:val="24"/>
          <w:szCs w:val="24"/>
          <w:highlight w:val="none"/>
        </w:rPr>
        <w:t>2.</w:t>
      </w:r>
      <w:r>
        <w:rPr>
          <w:rFonts w:hint="eastAsia" w:ascii="宋体" w:hAnsi="宋体" w:eastAsia="宋体" w:cs="宋体"/>
          <w:b/>
          <w:bCs/>
          <w:i w:val="0"/>
          <w:iCs w:val="0"/>
          <w:sz w:val="24"/>
          <w:szCs w:val="24"/>
          <w:highlight w:val="none"/>
          <w:lang w:eastAsia="zh-CN"/>
        </w:rPr>
        <w:t>调查</w:t>
      </w:r>
      <w:r>
        <w:rPr>
          <w:rFonts w:hint="eastAsia" w:ascii="宋体" w:hAnsi="宋体" w:eastAsia="宋体" w:cs="宋体"/>
          <w:b/>
          <w:bCs/>
          <w:i w:val="0"/>
          <w:iCs w:val="0"/>
          <w:sz w:val="24"/>
          <w:szCs w:val="24"/>
          <w:highlight w:val="none"/>
        </w:rPr>
        <w:t>内容</w:t>
      </w:r>
    </w:p>
    <w:p w14:paraId="34A628E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①您对</w:t>
      </w:r>
      <w:r>
        <w:rPr>
          <w:rFonts w:hint="eastAsia" w:ascii="宋体" w:hAnsi="宋体" w:eastAsia="宋体" w:cs="宋体"/>
          <w:color w:val="000000"/>
          <w:kern w:val="0"/>
          <w:sz w:val="24"/>
          <w:szCs w:val="24"/>
          <w:highlight w:val="none"/>
          <w:lang w:val="en-US" w:eastAsia="zh-CN" w:bidi="zh-CN"/>
        </w:rPr>
        <w:t>2022年中央补助地方公共文化服务体系建设补助资金预算的通知-农家书屋</w:t>
      </w:r>
      <w:r>
        <w:rPr>
          <w:rFonts w:hint="eastAsia" w:ascii="宋体" w:hAnsi="宋体" w:eastAsia="宋体" w:cs="宋体"/>
          <w:color w:val="000000"/>
          <w:sz w:val="24"/>
          <w:szCs w:val="24"/>
          <w:highlight w:val="none"/>
          <w:lang w:val="en-US" w:eastAsia="zh-CN"/>
        </w:rPr>
        <w:t>项目的</w:t>
      </w:r>
      <w:r>
        <w:rPr>
          <w:rFonts w:hint="eastAsia" w:ascii="宋体" w:hAnsi="宋体" w:eastAsia="宋体" w:cs="宋体"/>
          <w:color w:val="000000"/>
          <w:kern w:val="0"/>
          <w:sz w:val="24"/>
          <w:szCs w:val="24"/>
          <w:highlight w:val="none"/>
          <w:lang w:val="en-US" w:eastAsia="zh-CN" w:bidi="zh-CN"/>
        </w:rPr>
        <w:t>播放的电影</w:t>
      </w:r>
      <w:r>
        <w:rPr>
          <w:rFonts w:hint="eastAsia" w:ascii="宋体" w:hAnsi="宋体" w:eastAsia="宋体" w:cs="宋体"/>
          <w:color w:val="000000"/>
          <w:sz w:val="24"/>
          <w:szCs w:val="24"/>
          <w:highlight w:val="none"/>
          <w:lang w:val="en-US" w:eastAsia="zh-CN"/>
        </w:rPr>
        <w:t>是否满意?</w:t>
      </w:r>
    </w:p>
    <w:p w14:paraId="4B6328E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A.非常满意              B.满意             C.一般            D.不满意</w:t>
      </w:r>
    </w:p>
    <w:p w14:paraId="32458F1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②您对</w:t>
      </w:r>
      <w:r>
        <w:rPr>
          <w:rFonts w:hint="eastAsia" w:ascii="宋体" w:hAnsi="宋体" w:eastAsia="宋体" w:cs="宋体"/>
          <w:color w:val="000000"/>
          <w:kern w:val="0"/>
          <w:sz w:val="24"/>
          <w:szCs w:val="24"/>
          <w:highlight w:val="none"/>
          <w:lang w:val="en-US" w:eastAsia="zh-CN" w:bidi="zh-CN"/>
        </w:rPr>
        <w:t>2022年中央补助地方公共文化服务体系建设补助资金预算的通知-农家书屋</w:t>
      </w:r>
      <w:r>
        <w:rPr>
          <w:rFonts w:hint="eastAsia" w:ascii="宋体" w:hAnsi="宋体" w:eastAsia="宋体" w:cs="宋体"/>
          <w:color w:val="000000"/>
          <w:sz w:val="24"/>
          <w:szCs w:val="24"/>
          <w:highlight w:val="none"/>
          <w:lang w:val="en-US" w:eastAsia="zh-CN"/>
        </w:rPr>
        <w:t>项目的</w:t>
      </w:r>
      <w:r>
        <w:rPr>
          <w:rFonts w:hint="eastAsia" w:ascii="宋体" w:hAnsi="宋体" w:eastAsia="宋体" w:cs="宋体"/>
          <w:color w:val="000000"/>
          <w:kern w:val="0"/>
          <w:sz w:val="24"/>
          <w:szCs w:val="24"/>
          <w:highlight w:val="none"/>
          <w:lang w:val="en-US" w:eastAsia="zh-CN" w:bidi="zh-CN"/>
        </w:rPr>
        <w:t>播放时间安排</w:t>
      </w:r>
      <w:r>
        <w:rPr>
          <w:rFonts w:hint="eastAsia" w:ascii="宋体" w:hAnsi="宋体" w:eastAsia="宋体" w:cs="宋体"/>
          <w:color w:val="000000"/>
          <w:sz w:val="24"/>
          <w:szCs w:val="24"/>
          <w:highlight w:val="none"/>
          <w:lang w:val="en-US" w:eastAsia="zh-CN"/>
        </w:rPr>
        <w:t>是否满意？</w:t>
      </w:r>
    </w:p>
    <w:p w14:paraId="536E841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A.非常满意              B.满意             C.一般            D.不满意</w:t>
      </w:r>
    </w:p>
    <w:p w14:paraId="1B2EAFF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③总的来说，您对目前</w:t>
      </w:r>
      <w:r>
        <w:rPr>
          <w:rFonts w:hint="eastAsia" w:ascii="宋体" w:hAnsi="宋体" w:eastAsia="宋体" w:cs="宋体"/>
          <w:color w:val="000000"/>
          <w:kern w:val="0"/>
          <w:sz w:val="24"/>
          <w:szCs w:val="24"/>
          <w:highlight w:val="none"/>
          <w:lang w:val="en-US" w:eastAsia="zh-CN" w:bidi="zh-CN"/>
        </w:rPr>
        <w:t>2022年中央补助地方公共文化服务体系建设补助资金预算的通知-农家书屋</w:t>
      </w:r>
      <w:r>
        <w:rPr>
          <w:rFonts w:hint="eastAsia" w:ascii="宋体" w:hAnsi="宋体" w:eastAsia="宋体" w:cs="宋体"/>
          <w:color w:val="000000"/>
          <w:sz w:val="24"/>
          <w:szCs w:val="24"/>
          <w:highlight w:val="none"/>
          <w:lang w:val="en-US" w:eastAsia="zh-CN"/>
        </w:rPr>
        <w:t>项目实施后的整体满意程度如何？</w:t>
      </w:r>
    </w:p>
    <w:p w14:paraId="6499E84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A.非常满意              B.满意             C.一般            D.不满意</w:t>
      </w:r>
    </w:p>
    <w:p w14:paraId="35792FAE">
      <w:pPr>
        <w:pStyle w:val="10"/>
        <w:keepNext w:val="0"/>
        <w:keepLines w:val="0"/>
        <w:pageBreakBefore w:val="0"/>
        <w:widowControl w:val="0"/>
        <w:kinsoku/>
        <w:wordWrap/>
        <w:overflowPunct/>
        <w:topLinePunct w:val="0"/>
        <w:autoSpaceDE/>
        <w:autoSpaceDN/>
        <w:bidi w:val="0"/>
        <w:snapToGrid w:val="0"/>
        <w:spacing w:before="0" w:after="0" w:line="360" w:lineRule="auto"/>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3.</w:t>
      </w:r>
      <w:r>
        <w:rPr>
          <w:rFonts w:hint="eastAsia" w:ascii="宋体" w:hAnsi="宋体" w:eastAsia="宋体" w:cs="宋体"/>
          <w:b/>
          <w:bCs/>
          <w:sz w:val="24"/>
          <w:szCs w:val="24"/>
          <w:highlight w:val="none"/>
          <w:lang w:eastAsia="zh-CN"/>
        </w:rPr>
        <w:t>调查</w:t>
      </w:r>
      <w:r>
        <w:rPr>
          <w:rFonts w:hint="eastAsia" w:ascii="宋体" w:hAnsi="宋体" w:eastAsia="宋体" w:cs="宋体"/>
          <w:b/>
          <w:bCs/>
          <w:sz w:val="24"/>
          <w:szCs w:val="24"/>
          <w:highlight w:val="none"/>
        </w:rPr>
        <w:t>方法</w:t>
      </w:r>
    </w:p>
    <w:p w14:paraId="67EB1C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rPr>
        <w:t>问卷调查采取</w:t>
      </w:r>
      <w:r>
        <w:rPr>
          <w:rFonts w:hint="eastAsia" w:ascii="宋体" w:hAnsi="宋体" w:eastAsia="宋体" w:cs="宋体"/>
          <w:sz w:val="24"/>
          <w:szCs w:val="24"/>
          <w:highlight w:val="none"/>
          <w:lang w:val="en-US" w:eastAsia="zh-CN"/>
        </w:rPr>
        <w:t>分层</w:t>
      </w:r>
      <w:r>
        <w:rPr>
          <w:rFonts w:hint="eastAsia" w:ascii="宋体" w:hAnsi="宋体" w:eastAsia="宋体" w:cs="宋体"/>
          <w:sz w:val="24"/>
          <w:szCs w:val="24"/>
          <w:highlight w:val="none"/>
        </w:rPr>
        <w:t>抽样和</w:t>
      </w:r>
      <w:r>
        <w:rPr>
          <w:rFonts w:hint="eastAsia" w:ascii="宋体" w:hAnsi="宋体" w:eastAsia="宋体" w:cs="宋体"/>
          <w:sz w:val="24"/>
          <w:szCs w:val="24"/>
          <w:highlight w:val="none"/>
          <w:lang w:val="en-US" w:eastAsia="zh-CN"/>
        </w:rPr>
        <w:t>随机抽样相结合</w:t>
      </w:r>
      <w:r>
        <w:rPr>
          <w:rFonts w:hint="eastAsia" w:ascii="宋体" w:hAnsi="宋体" w:eastAsia="宋体" w:cs="宋体"/>
          <w:sz w:val="24"/>
          <w:szCs w:val="24"/>
          <w:highlight w:val="none"/>
        </w:rPr>
        <w:t>的方式进行。在全面</w:t>
      </w:r>
      <w:r>
        <w:rPr>
          <w:rFonts w:hint="eastAsia" w:ascii="宋体" w:hAnsi="宋体" w:eastAsia="宋体" w:cs="宋体"/>
          <w:sz w:val="24"/>
          <w:szCs w:val="24"/>
          <w:highlight w:val="none"/>
          <w:lang w:eastAsia="zh-CN"/>
        </w:rPr>
        <w:t>调查</w:t>
      </w:r>
      <w:r>
        <w:rPr>
          <w:rFonts w:hint="eastAsia" w:ascii="宋体" w:hAnsi="宋体" w:eastAsia="宋体" w:cs="宋体"/>
          <w:sz w:val="24"/>
          <w:szCs w:val="24"/>
          <w:highlight w:val="none"/>
        </w:rPr>
        <w:t>开展之前会先进行论证，依据论证结果对问卷和抽样方案再进行一次修改和调整</w:t>
      </w:r>
      <w:r>
        <w:rPr>
          <w:rFonts w:hint="eastAsia" w:ascii="宋体" w:hAnsi="宋体" w:eastAsia="宋体" w:cs="宋体"/>
          <w:sz w:val="24"/>
          <w:szCs w:val="24"/>
          <w:highlight w:val="none"/>
          <w:lang w:val="en-US" w:eastAsia="zh-CN"/>
        </w:rPr>
        <w:t>之后再付诸实施</w:t>
      </w:r>
      <w:r>
        <w:rPr>
          <w:rFonts w:hint="eastAsia" w:ascii="宋体" w:hAnsi="宋体" w:eastAsia="宋体" w:cs="宋体"/>
          <w:sz w:val="24"/>
          <w:szCs w:val="24"/>
          <w:highlight w:val="none"/>
        </w:rPr>
        <w:t>。</w:t>
      </w:r>
    </w:p>
    <w:p w14:paraId="5202D67D">
      <w:pPr>
        <w:pStyle w:val="10"/>
        <w:keepNext w:val="0"/>
        <w:keepLines w:val="0"/>
        <w:pageBreakBefore w:val="0"/>
        <w:widowControl w:val="0"/>
        <w:kinsoku/>
        <w:wordWrap/>
        <w:overflowPunct/>
        <w:topLinePunct w:val="0"/>
        <w:autoSpaceDE/>
        <w:autoSpaceDN/>
        <w:bidi w:val="0"/>
        <w:snapToGrid w:val="0"/>
        <w:spacing w:before="0" w:after="0" w:line="360" w:lineRule="auto"/>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4.</w:t>
      </w:r>
      <w:r>
        <w:rPr>
          <w:rFonts w:hint="eastAsia" w:ascii="宋体" w:hAnsi="宋体" w:eastAsia="宋体" w:cs="宋体"/>
          <w:b/>
          <w:bCs/>
          <w:sz w:val="24"/>
          <w:szCs w:val="24"/>
          <w:highlight w:val="none"/>
        </w:rPr>
        <w:t>抽样方式</w:t>
      </w:r>
    </w:p>
    <w:p w14:paraId="36CF20F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rPr>
        <w:t>为确保问卷</w:t>
      </w:r>
      <w:r>
        <w:rPr>
          <w:rFonts w:hint="eastAsia" w:ascii="宋体" w:hAnsi="宋体" w:eastAsia="宋体" w:cs="宋体"/>
          <w:sz w:val="24"/>
          <w:szCs w:val="24"/>
          <w:highlight w:val="none"/>
          <w:lang w:eastAsia="zh-CN"/>
        </w:rPr>
        <w:t>调查</w:t>
      </w:r>
      <w:r>
        <w:rPr>
          <w:rFonts w:hint="eastAsia" w:ascii="宋体" w:hAnsi="宋体" w:eastAsia="宋体" w:cs="宋体"/>
          <w:sz w:val="24"/>
          <w:szCs w:val="24"/>
          <w:highlight w:val="none"/>
        </w:rPr>
        <w:t>的全面性和代表性，本次</w:t>
      </w:r>
      <w:r>
        <w:rPr>
          <w:rFonts w:hint="eastAsia" w:ascii="宋体" w:hAnsi="宋体" w:eastAsia="宋体" w:cs="宋体"/>
          <w:sz w:val="24"/>
          <w:szCs w:val="24"/>
          <w:highlight w:val="none"/>
          <w:lang w:eastAsia="zh-CN"/>
        </w:rPr>
        <w:t>调查</w:t>
      </w:r>
      <w:r>
        <w:rPr>
          <w:rFonts w:hint="eastAsia" w:ascii="宋体" w:hAnsi="宋体" w:eastAsia="宋体" w:cs="宋体"/>
          <w:sz w:val="24"/>
          <w:szCs w:val="24"/>
          <w:highlight w:val="none"/>
        </w:rPr>
        <w:t>问卷调查采取</w:t>
      </w:r>
      <w:r>
        <w:rPr>
          <w:rFonts w:hint="eastAsia" w:ascii="宋体" w:hAnsi="宋体" w:eastAsia="宋体" w:cs="宋体"/>
          <w:sz w:val="24"/>
          <w:szCs w:val="24"/>
          <w:highlight w:val="none"/>
          <w:lang w:val="en-US" w:eastAsia="zh-CN"/>
        </w:rPr>
        <w:t>随机</w:t>
      </w:r>
      <w:r>
        <w:rPr>
          <w:rFonts w:hint="eastAsia" w:ascii="宋体" w:hAnsi="宋体" w:eastAsia="宋体" w:cs="宋体"/>
          <w:sz w:val="24"/>
          <w:szCs w:val="24"/>
          <w:highlight w:val="none"/>
        </w:rPr>
        <w:t>抽样和</w:t>
      </w:r>
      <w:r>
        <w:rPr>
          <w:rFonts w:hint="eastAsia" w:ascii="宋体" w:hAnsi="宋体" w:eastAsia="宋体" w:cs="宋体"/>
          <w:sz w:val="24"/>
          <w:szCs w:val="24"/>
          <w:highlight w:val="none"/>
          <w:lang w:val="en-US" w:eastAsia="zh-CN"/>
        </w:rPr>
        <w:t>分层抽样相结合</w:t>
      </w:r>
      <w:r>
        <w:rPr>
          <w:rFonts w:hint="eastAsia" w:ascii="宋体" w:hAnsi="宋体" w:eastAsia="宋体" w:cs="宋体"/>
          <w:sz w:val="24"/>
          <w:szCs w:val="24"/>
          <w:highlight w:val="none"/>
        </w:rPr>
        <w:t>方式进行。</w:t>
      </w:r>
    </w:p>
    <w:p w14:paraId="43AB82D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5.问卷的发放和回收</w:t>
      </w:r>
    </w:p>
    <w:p w14:paraId="6189362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03C2EB2E">
      <w:pPr>
        <w:pStyle w:val="10"/>
        <w:keepNext w:val="0"/>
        <w:keepLines w:val="0"/>
        <w:pageBreakBefore w:val="0"/>
        <w:widowControl w:val="0"/>
        <w:kinsoku/>
        <w:wordWrap/>
        <w:overflowPunct/>
        <w:topLinePunct w:val="0"/>
        <w:autoSpaceDE/>
        <w:autoSpaceDN/>
        <w:bidi w:val="0"/>
        <w:snapToGrid w:val="0"/>
        <w:spacing w:before="0" w:after="0" w:line="360" w:lineRule="auto"/>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6.问卷调查分析结果</w:t>
      </w:r>
    </w:p>
    <w:p w14:paraId="3C1A32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本次调查过程中，评价小组实际发放问卷30份，回收问卷30份，问卷回收率为100.00%，有效问卷30份，有效回收率100.00%，本次调查的整体情况如下：</w:t>
      </w:r>
    </w:p>
    <w:p w14:paraId="7584DEE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第一个问题：该项统计有效问卷数量30份，选择</w:t>
      </w:r>
      <w:r>
        <w:rPr>
          <w:rFonts w:hint="eastAsia" w:ascii="宋体" w:hAnsi="宋体" w:eastAsia="宋体" w:cs="宋体"/>
          <w:color w:val="auto"/>
          <w:sz w:val="24"/>
          <w:szCs w:val="24"/>
          <w:highlight w:val="none"/>
          <w:lang w:val="en-US" w:eastAsia="zh-CN"/>
        </w:rPr>
        <w:t>非常满意的人数为30人。</w:t>
      </w:r>
      <w:r>
        <w:rPr>
          <w:rFonts w:hint="eastAsia" w:ascii="宋体" w:hAnsi="宋体" w:eastAsia="宋体" w:cs="宋体"/>
          <w:sz w:val="24"/>
          <w:szCs w:val="24"/>
          <w:highlight w:val="none"/>
          <w:lang w:val="en-US" w:eastAsia="zh-CN"/>
        </w:rPr>
        <w:t>选择比较满意的人数为0人，选择一般的人数0人，选择不满意的人数0人，选择非常不满意的人数0人。</w:t>
      </w:r>
    </w:p>
    <w:p w14:paraId="4EA63D0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157B776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1D39430B">
      <w:pPr>
        <w:pStyle w:val="2"/>
        <w:rPr>
          <w:rFonts w:hint="eastAsia"/>
          <w:lang w:val="en-US" w:eastAsia="zh-CN"/>
        </w:rPr>
      </w:pPr>
    </w:p>
    <w:p w14:paraId="5AAE67A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二、调查结果统计</w:t>
      </w:r>
    </w:p>
    <w:p w14:paraId="0A0AC7E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000000"/>
          <w:kern w:val="0"/>
          <w:sz w:val="24"/>
          <w:szCs w:val="24"/>
          <w:highlight w:val="none"/>
          <w:lang w:val="en-US" w:eastAsia="zh-CN" w:bidi="zh-CN"/>
        </w:rPr>
        <w:t>2022年中央补助地方公共文化服务体系建设补助资金预算的通知-农家书屋</w:t>
      </w:r>
      <w:r>
        <w:rPr>
          <w:rFonts w:hint="eastAsia" w:ascii="宋体" w:hAnsi="宋体" w:eastAsia="宋体" w:cs="宋体"/>
          <w:color w:val="000000"/>
          <w:sz w:val="24"/>
          <w:szCs w:val="24"/>
          <w:highlight w:val="none"/>
          <w:lang w:val="en-US" w:eastAsia="zh-CN"/>
        </w:rPr>
        <w:t>项目</w:t>
      </w:r>
      <w:r>
        <w:rPr>
          <w:rFonts w:hint="eastAsia" w:ascii="宋体" w:hAnsi="宋体" w:eastAsia="宋体" w:cs="宋体"/>
          <w:sz w:val="24"/>
          <w:szCs w:val="24"/>
          <w:highlight w:val="none"/>
          <w:lang w:val="en-US" w:eastAsia="zh-CN"/>
        </w:rPr>
        <w:t>针对受益人员发放30份调查问卷，最终统计受益人群满意度为100%。</w:t>
      </w:r>
    </w:p>
    <w:p w14:paraId="776601F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p>
    <w:p w14:paraId="13281BF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中共洛浦县委宣传部</w:t>
      </w:r>
    </w:p>
    <w:p w14:paraId="1B097C4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2025年2月21日</w:t>
      </w:r>
    </w:p>
    <w:p w14:paraId="4A0159A7">
      <w:pPr>
        <w:pStyle w:val="10"/>
        <w:rPr>
          <w:rFonts w:hint="eastAsia" w:ascii="宋体" w:hAnsi="宋体" w:eastAsia="宋体" w:cs="宋体"/>
          <w:sz w:val="24"/>
          <w:szCs w:val="24"/>
          <w:highlight w:val="none"/>
          <w:lang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4D17F">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1BC92">
    <w:pPr>
      <w:pStyle w:val="16"/>
      <w:pBdr>
        <w:bottom w:val="none" w:color="auto" w:sz="0" w:space="1"/>
      </w:pBdr>
      <w:ind w:firstLine="360"/>
    </w:pPr>
  </w:p>
  <w:p w14:paraId="2990F217">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5"/>
      <w:numFmt w:val="chineseCounting"/>
      <w:suff w:val="nothing"/>
      <w:lvlText w:val="%1、"/>
      <w:lvlJc w:val="left"/>
      <w:rPr>
        <w:rFonts w:hint="eastAsia"/>
      </w:rPr>
    </w:lvl>
  </w:abstractNum>
  <w:abstractNum w:abstractNumId="1">
    <w:nsid w:val="B5E306ED"/>
    <w:multiLevelType w:val="singleLevel"/>
    <w:tmpl w:val="B5E306ED"/>
    <w:lvl w:ilvl="0" w:tentative="0">
      <w:start w:val="1"/>
      <w:numFmt w:val="decimal"/>
      <w:suff w:val="nothing"/>
      <w:lvlText w:val="%1）"/>
      <w:lvlJc w:val="left"/>
    </w:lvl>
  </w:abstractNum>
  <w:abstractNum w:abstractNumId="2">
    <w:nsid w:val="BF205925"/>
    <w:multiLevelType w:val="singleLevel"/>
    <w:tmpl w:val="BF205925"/>
    <w:lvl w:ilvl="0" w:tentative="0">
      <w:start w:val="1"/>
      <w:numFmt w:val="decimal"/>
      <w:suff w:val="nothing"/>
      <w:lvlText w:val="（%1）"/>
      <w:lvlJc w:val="left"/>
    </w:lvl>
  </w:abstractNum>
  <w:abstractNum w:abstractNumId="3">
    <w:nsid w:val="CF092B84"/>
    <w:multiLevelType w:val="singleLevel"/>
    <w:tmpl w:val="CF092B84"/>
    <w:lvl w:ilvl="0" w:tentative="0">
      <w:start w:val="2"/>
      <w:numFmt w:val="decimal"/>
      <w:suff w:val="space"/>
      <w:lvlText w:val="%1."/>
      <w:lvlJc w:val="left"/>
    </w:lvl>
  </w:abstractNum>
  <w:abstractNum w:abstractNumId="4">
    <w:nsid w:val="0053208E"/>
    <w:multiLevelType w:val="multilevel"/>
    <w:tmpl w:val="0053208E"/>
    <w:lvl w:ilvl="0" w:tentative="0">
      <w:start w:val="1"/>
      <w:numFmt w:val="chineseCountingThousand"/>
      <w:pStyle w:val="5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248C179"/>
    <w:multiLevelType w:val="singleLevel"/>
    <w:tmpl w:val="0248C179"/>
    <w:lvl w:ilvl="0" w:tentative="0">
      <w:start w:val="1"/>
      <w:numFmt w:val="decimal"/>
      <w:suff w:val="space"/>
      <w:lvlText w:val="%1."/>
      <w:lvlJc w:val="left"/>
    </w:lvl>
  </w:abstractNum>
  <w:abstractNum w:abstractNumId="6">
    <w:nsid w:val="03D62ECE"/>
    <w:multiLevelType w:val="singleLevel"/>
    <w:tmpl w:val="03D62ECE"/>
    <w:lvl w:ilvl="0" w:tentative="0">
      <w:start w:val="1"/>
      <w:numFmt w:val="decimal"/>
      <w:suff w:val="space"/>
      <w:lvlText w:val="%1."/>
      <w:lvlJc w:val="left"/>
      <w:rPr>
        <w:rFonts w:hint="default" w:ascii="宋体" w:hAnsi="宋体" w:eastAsia="宋体" w:cs="宋体"/>
        <w:b/>
        <w:bCs/>
      </w:rPr>
    </w:lvl>
  </w:abstractNum>
  <w:abstractNum w:abstractNumId="7">
    <w:nsid w:val="25B654F3"/>
    <w:multiLevelType w:val="singleLevel"/>
    <w:tmpl w:val="25B654F3"/>
    <w:lvl w:ilvl="0" w:tentative="0">
      <w:start w:val="1"/>
      <w:numFmt w:val="decimal"/>
      <w:suff w:val="space"/>
      <w:lvlText w:val="%1."/>
      <w:lvlJc w:val="left"/>
      <w:rPr>
        <w:rFonts w:hint="default" w:ascii="宋体" w:hAnsi="宋体" w:eastAsia="宋体" w:cs="宋体"/>
        <w:b/>
        <w:bCs/>
        <w:sz w:val="24"/>
        <w:szCs w:val="24"/>
      </w:rPr>
    </w:lvl>
  </w:abstractNum>
  <w:abstractNum w:abstractNumId="8">
    <w:nsid w:val="2A8F537B"/>
    <w:multiLevelType w:val="singleLevel"/>
    <w:tmpl w:val="2A8F537B"/>
    <w:lvl w:ilvl="0" w:tentative="0">
      <w:start w:val="2"/>
      <w:numFmt w:val="chineseCounting"/>
      <w:suff w:val="nothing"/>
      <w:lvlText w:val="（%1）"/>
      <w:lvlJc w:val="left"/>
      <w:rPr>
        <w:rFonts w:hint="eastAsia"/>
      </w:rPr>
    </w:lvl>
  </w:abstractNum>
  <w:abstractNum w:abstractNumId="9">
    <w:nsid w:val="59ADCABA"/>
    <w:multiLevelType w:val="singleLevel"/>
    <w:tmpl w:val="59ADCABA"/>
    <w:lvl w:ilvl="0" w:tentative="0">
      <w:start w:val="1"/>
      <w:numFmt w:val="decimal"/>
      <w:lvlText w:val="%1."/>
      <w:lvlJc w:val="left"/>
      <w:pPr>
        <w:tabs>
          <w:tab w:val="left" w:pos="312"/>
        </w:tabs>
      </w:pPr>
    </w:lvl>
  </w:abstractNum>
  <w:abstractNum w:abstractNumId="10">
    <w:nsid w:val="72183CF9"/>
    <w:multiLevelType w:val="singleLevel"/>
    <w:tmpl w:val="72183CF9"/>
    <w:lvl w:ilvl="0" w:tentative="0">
      <w:start w:val="1"/>
      <w:numFmt w:val="decimal"/>
      <w:suff w:val="space"/>
      <w:lvlText w:val="%1."/>
      <w:lvlJc w:val="left"/>
    </w:lvl>
  </w:abstractNum>
  <w:num w:numId="1">
    <w:abstractNumId w:val="4"/>
  </w:num>
  <w:num w:numId="2">
    <w:abstractNumId w:val="3"/>
  </w:num>
  <w:num w:numId="3">
    <w:abstractNumId w:val="9"/>
  </w:num>
  <w:num w:numId="4">
    <w:abstractNumId w:val="2"/>
  </w:num>
  <w:num w:numId="5">
    <w:abstractNumId w:val="1"/>
  </w:num>
  <w:num w:numId="6">
    <w:abstractNumId w:val="6"/>
  </w:num>
  <w:num w:numId="7">
    <w:abstractNumId w:val="7"/>
  </w:num>
  <w:num w:numId="8">
    <w:abstractNumId w:val="10"/>
  </w:num>
  <w:num w:numId="9">
    <w:abstractNumId w:val="5"/>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43371E8F"/>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qFormat="1" w:uiPriority="39" w:semiHidden="0" w:name="toc 4"/>
    <w:lsdException w:uiPriority="39" w:semiHidden="0" w:name="toc 5"/>
    <w:lsdException w:qFormat="1" w:uiPriority="39" w:semiHidden="0" w:name="toc 6"/>
    <w:lsdException w:uiPriority="39" w:semiHidden="0" w:name="toc 7"/>
    <w:lsdException w:uiPriority="39" w:semiHidden="0" w:name="toc 8"/>
    <w:lsdException w:qFormat="1"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3">
    <w:name w:val="heading 1"/>
    <w:basedOn w:val="1"/>
    <w:next w:val="4"/>
    <w:link w:val="3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link w:val="30"/>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4">
    <w:name w:val="Body Text First Indent 2"/>
    <w:basedOn w:val="5"/>
    <w:link w:val="33"/>
    <w:unhideWhenUsed/>
    <w:qFormat/>
    <w:uiPriority w:val="0"/>
    <w:pPr>
      <w:ind w:firstLine="420"/>
    </w:pPr>
  </w:style>
  <w:style w:type="paragraph" w:styleId="5">
    <w:name w:val="Body Text Indent"/>
    <w:basedOn w:val="1"/>
    <w:link w:val="32"/>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qFormat/>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qFormat/>
    <w:uiPriority w:val="39"/>
    <w:pPr>
      <w:spacing w:before="120" w:after="120"/>
      <w:jc w:val="left"/>
    </w:pPr>
    <w:rPr>
      <w:rFonts w:ascii="Calibri" w:hAnsi="Calibri" w:cs="Calibri"/>
      <w:b/>
      <w:bCs/>
      <w:caps/>
      <w:sz w:val="20"/>
      <w:szCs w:val="20"/>
    </w:rPr>
  </w:style>
  <w:style w:type="paragraph" w:styleId="18">
    <w:name w:val="toc 4"/>
    <w:basedOn w:val="1"/>
    <w:next w:val="1"/>
    <w:unhideWhenUsed/>
    <w:qFormat/>
    <w:uiPriority w:val="39"/>
    <w:pPr>
      <w:ind w:left="840"/>
      <w:jc w:val="left"/>
    </w:pPr>
    <w:rPr>
      <w:rFonts w:ascii="Calibri" w:hAnsi="Calibri" w:cs="Calibri"/>
      <w:sz w:val="18"/>
      <w:szCs w:val="18"/>
    </w:rPr>
  </w:style>
  <w:style w:type="paragraph" w:styleId="19">
    <w:name w:val="toc 6"/>
    <w:basedOn w:val="1"/>
    <w:next w:val="1"/>
    <w:unhideWhenUsed/>
    <w:qFormat/>
    <w:uiPriority w:val="39"/>
    <w:pPr>
      <w:ind w:left="1400"/>
      <w:jc w:val="left"/>
    </w:pPr>
    <w:rPr>
      <w:rFonts w:ascii="Calibri" w:hAnsi="Calibri" w:cs="Calibri"/>
      <w:sz w:val="18"/>
      <w:szCs w:val="18"/>
    </w:rPr>
  </w:style>
  <w:style w:type="paragraph" w:styleId="20">
    <w:name w:val="toc 2"/>
    <w:basedOn w:val="1"/>
    <w:next w:val="1"/>
    <w:unhideWhenUsed/>
    <w:qFormat/>
    <w:uiPriority w:val="39"/>
    <w:pPr>
      <w:ind w:left="280"/>
      <w:jc w:val="left"/>
    </w:pPr>
    <w:rPr>
      <w:rFonts w:ascii="Calibri" w:hAnsi="Calibri" w:cs="Calibri"/>
      <w:smallCaps/>
      <w:sz w:val="20"/>
      <w:szCs w:val="20"/>
    </w:rPr>
  </w:style>
  <w:style w:type="paragraph" w:styleId="21">
    <w:name w:val="toc 9"/>
    <w:basedOn w:val="1"/>
    <w:next w:val="1"/>
    <w:unhideWhenUsed/>
    <w:qFormat/>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qFormat/>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qFormat/>
    <w:uiPriority w:val="99"/>
    <w:rPr>
      <w:b/>
      <w:bCs/>
    </w:rPr>
  </w:style>
  <w:style w:type="character" w:customStyle="1" w:styleId="29">
    <w:name w:val="Comment Reference"/>
    <w:unhideWhenUsed/>
    <w:qFormat/>
    <w:uiPriority w:val="99"/>
    <w:rPr>
      <w:sz w:val="16"/>
      <w:szCs w:val="16"/>
    </w:rPr>
  </w:style>
  <w:style w:type="character" w:customStyle="1" w:styleId="30">
    <w:name w:val="标题 3 Char"/>
    <w:link w:val="2"/>
    <w:qFormat/>
    <w:uiPriority w:val="9"/>
    <w:rPr>
      <w:rFonts w:ascii="Calibri" w:hAnsi="Calibri" w:eastAsia="仿宋_GB2312" w:cs="黑体"/>
      <w:bCs/>
      <w:sz w:val="28"/>
      <w:szCs w:val="32"/>
    </w:rPr>
  </w:style>
  <w:style w:type="character" w:customStyle="1" w:styleId="31">
    <w:name w:val="标题 1 Char"/>
    <w:link w:val="3"/>
    <w:qFormat/>
    <w:uiPriority w:val="9"/>
    <w:rPr>
      <w:rFonts w:ascii="Times New Roman" w:hAnsi="Times New Roman" w:eastAsia="仿宋_GB2312" w:cs="Times New Roman"/>
      <w:b/>
      <w:bCs/>
      <w:kern w:val="44"/>
      <w:sz w:val="32"/>
      <w:szCs w:val="44"/>
    </w:rPr>
  </w:style>
  <w:style w:type="character" w:customStyle="1" w:styleId="32">
    <w:name w:val="正文文本缩进 Char"/>
    <w:link w:val="5"/>
    <w:semiHidden/>
    <w:qFormat/>
    <w:uiPriority w:val="99"/>
    <w:rPr>
      <w:rFonts w:ascii="Calibri" w:hAnsi="Calibri" w:eastAsia="仿宋_GB2312" w:cs="黑体"/>
      <w:sz w:val="28"/>
    </w:rPr>
  </w:style>
  <w:style w:type="character" w:customStyle="1" w:styleId="33">
    <w:name w:val="正文首行缩进 2 Char"/>
    <w:link w:val="4"/>
    <w:qFormat/>
    <w:uiPriority w:val="0"/>
    <w:rPr>
      <w:rFonts w:ascii="Calibri" w:hAnsi="Calibri" w:eastAsia="仿宋_GB2312" w:cs="黑体"/>
      <w:sz w:val="28"/>
    </w:rPr>
  </w:style>
  <w:style w:type="character" w:customStyle="1" w:styleId="34">
    <w:name w:val="标题 2 Char"/>
    <w:link w:val="6"/>
    <w:qFormat/>
    <w:uiPriority w:val="0"/>
    <w:rPr>
      <w:rFonts w:ascii="Cambria" w:hAnsi="Cambria" w:eastAsia="仿宋_GB2312" w:cs="Times New Roman"/>
      <w:b/>
      <w:bCs/>
      <w:kern w:val="0"/>
      <w:sz w:val="30"/>
      <w:szCs w:val="32"/>
    </w:rPr>
  </w:style>
  <w:style w:type="character" w:customStyle="1" w:styleId="35">
    <w:name w:val="标题 4 Char"/>
    <w:link w:val="7"/>
    <w:semiHidden/>
    <w:qFormat/>
    <w:uiPriority w:val="9"/>
    <w:rPr>
      <w:rFonts w:ascii="Cambria" w:hAnsi="Cambria" w:eastAsia="宋体" w:cs="Times New Roman"/>
      <w:b/>
      <w:bCs/>
      <w:sz w:val="28"/>
      <w:szCs w:val="28"/>
    </w:rPr>
  </w:style>
  <w:style w:type="character" w:customStyle="1" w:styleId="36">
    <w:name w:val="文档结构图 Char"/>
    <w:link w:val="9"/>
    <w:semiHidden/>
    <w:qFormat/>
    <w:uiPriority w:val="99"/>
    <w:rPr>
      <w:rFonts w:ascii="宋体" w:hAnsi="Calibri" w:eastAsia="宋体" w:cs="黑体"/>
      <w:sz w:val="18"/>
      <w:szCs w:val="18"/>
    </w:rPr>
  </w:style>
  <w:style w:type="character" w:customStyle="1" w:styleId="37">
    <w:name w:val="批注文字 Char"/>
    <w:link w:val="27"/>
    <w:semiHidden/>
    <w:qFormat/>
    <w:uiPriority w:val="99"/>
    <w:rPr>
      <w:rFonts w:ascii="Calibri" w:hAnsi="Calibri" w:eastAsia="仿宋_GB2312" w:cs="黑体"/>
      <w:sz w:val="20"/>
      <w:szCs w:val="20"/>
    </w:rPr>
  </w:style>
  <w:style w:type="character" w:customStyle="1" w:styleId="38">
    <w:name w:val="批注框文本 Char"/>
    <w:link w:val="14"/>
    <w:semiHidden/>
    <w:qFormat/>
    <w:uiPriority w:val="99"/>
    <w:rPr>
      <w:rFonts w:ascii="Calibri" w:hAnsi="Calibri" w:eastAsia="仿宋_GB2312" w:cs="黑体"/>
      <w:sz w:val="18"/>
      <w:szCs w:val="18"/>
    </w:rPr>
  </w:style>
  <w:style w:type="character" w:customStyle="1" w:styleId="39">
    <w:name w:val="页脚 Char"/>
    <w:link w:val="15"/>
    <w:qFormat/>
    <w:uiPriority w:val="99"/>
    <w:rPr>
      <w:rFonts w:ascii="Calibri" w:hAnsi="Calibri" w:eastAsia="仿宋_GB2312" w:cs="黑体"/>
      <w:sz w:val="18"/>
      <w:szCs w:val="18"/>
    </w:rPr>
  </w:style>
  <w:style w:type="character" w:customStyle="1" w:styleId="40">
    <w:name w:val="页眉 Char"/>
    <w:link w:val="16"/>
    <w:qFormat/>
    <w:uiPriority w:val="99"/>
    <w:rPr>
      <w:rFonts w:ascii="Calibri" w:hAnsi="Calibri" w:eastAsia="仿宋_GB2312" w:cs="黑体"/>
      <w:sz w:val="18"/>
      <w:szCs w:val="18"/>
    </w:rPr>
  </w:style>
  <w:style w:type="character" w:customStyle="1" w:styleId="41">
    <w:name w:val="标题 Char"/>
    <w:link w:val="22"/>
    <w:qFormat/>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闻政-正文一级标题 Char"/>
    <w:link w:val="44"/>
    <w:uiPriority w:val="3"/>
    <w:rPr>
      <w:rFonts w:ascii="黑体" w:hAnsi="黑体" w:eastAsia="黑体"/>
      <w:bCs/>
      <w:sz w:val="32"/>
      <w:szCs w:val="32"/>
    </w:rPr>
  </w:style>
  <w:style w:type="paragraph" w:customStyle="1" w:styleId="44">
    <w:name w:val="闻政-正文一级标题"/>
    <w:basedOn w:val="2"/>
    <w:next w:val="45"/>
    <w:link w:val="43"/>
    <w:qFormat/>
    <w:uiPriority w:val="3"/>
    <w:pPr>
      <w:spacing w:before="120" w:after="60" w:line="500" w:lineRule="exact"/>
      <w:ind w:firstLine="0" w:firstLineChars="0"/>
      <w:outlineLvl w:val="0"/>
    </w:pPr>
    <w:rPr>
      <w:rFonts w:ascii="黑体" w:hAnsi="黑体" w:eastAsia="黑体"/>
      <w:sz w:val="32"/>
    </w:rPr>
  </w:style>
  <w:style w:type="paragraph" w:customStyle="1" w:styleId="45">
    <w:name w:val="闻政-正文段落文字"/>
    <w:basedOn w:val="1"/>
    <w:link w:val="46"/>
    <w:qFormat/>
    <w:uiPriority w:val="3"/>
    <w:pPr>
      <w:spacing w:line="500" w:lineRule="exact"/>
      <w:ind w:firstLine="200"/>
    </w:pPr>
    <w:rPr>
      <w:rFonts w:ascii="Times New Roman" w:hAnsi="Times New Roman" w:cs="Times New Roman"/>
      <w:kern w:val="0"/>
      <w:szCs w:val="28"/>
    </w:rPr>
  </w:style>
  <w:style w:type="character" w:customStyle="1" w:styleId="46">
    <w:name w:val="闻政-正文段落文字 Char"/>
    <w:link w:val="45"/>
    <w:uiPriority w:val="3"/>
    <w:rPr>
      <w:rFonts w:ascii="Times New Roman" w:hAnsi="Times New Roman" w:eastAsia="仿宋_GB2312"/>
      <w:sz w:val="28"/>
      <w:szCs w:val="28"/>
    </w:rPr>
  </w:style>
  <w:style w:type="character" w:customStyle="1" w:styleId="47">
    <w:name w:val="闻政-正文二级标题 Char"/>
    <w:link w:val="48"/>
    <w:uiPriority w:val="3"/>
    <w:rPr>
      <w:rFonts w:ascii="Times New Roman" w:hAnsi="Times New Roman" w:eastAsia="仿宋_GB2312"/>
      <w:b/>
      <w:bCs/>
      <w:sz w:val="28"/>
      <w:szCs w:val="32"/>
    </w:rPr>
  </w:style>
  <w:style w:type="paragraph" w:customStyle="1" w:styleId="48">
    <w:name w:val="闻政-正文二级标题"/>
    <w:basedOn w:val="6"/>
    <w:next w:val="45"/>
    <w:link w:val="47"/>
    <w:qFormat/>
    <w:uiPriority w:val="3"/>
    <w:pPr>
      <w:spacing w:before="120" w:after="60" w:line="500" w:lineRule="exact"/>
      <w:ind w:left="200" w:leftChars="200" w:firstLine="0" w:firstLineChars="0"/>
    </w:pPr>
    <w:rPr>
      <w:rFonts w:ascii="Times New Roman" w:hAnsi="Times New Roman"/>
      <w:sz w:val="28"/>
    </w:rPr>
  </w:style>
  <w:style w:type="character" w:customStyle="1" w:styleId="49">
    <w:name w:val="font11"/>
    <w:uiPriority w:val="0"/>
    <w:rPr>
      <w:rFonts w:hint="eastAsia" w:ascii="方正仿宋_GBK" w:hAnsi="方正仿宋_GBK" w:eastAsia="方正仿宋_GBK" w:cs="方正仿宋_GBK"/>
      <w:color w:val="000000"/>
      <w:sz w:val="24"/>
      <w:szCs w:val="24"/>
      <w:u w:val="none"/>
    </w:rPr>
  </w:style>
  <w:style w:type="character" w:customStyle="1" w:styleId="50">
    <w:name w:val="50"/>
    <w:qFormat/>
    <w:uiPriority w:val="0"/>
    <w:rPr>
      <w:b/>
      <w:bCs/>
      <w:smallCaps/>
      <w:color w:val="C0504D"/>
      <w:spacing w:val="5"/>
      <w:u w:val="single"/>
    </w:rPr>
  </w:style>
  <w:style w:type="character" w:customStyle="1" w:styleId="51">
    <w:name w:val="闻政-正文三级标题 Char"/>
    <w:link w:val="52"/>
    <w:uiPriority w:val="3"/>
    <w:rPr>
      <w:rFonts w:ascii="Times New Roman" w:hAnsi="Times New Roman" w:eastAsia="仿宋_GB2312"/>
      <w:b/>
      <w:snapToGrid w:val="0"/>
      <w:sz w:val="28"/>
      <w:szCs w:val="28"/>
    </w:rPr>
  </w:style>
  <w:style w:type="paragraph" w:customStyle="1" w:styleId="52">
    <w:name w:val="闻政-正文三级标题"/>
    <w:basedOn w:val="1"/>
    <w:next w:val="45"/>
    <w:link w:val="51"/>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3">
    <w:name w:val="font21"/>
    <w:uiPriority w:val="0"/>
    <w:rPr>
      <w:rFonts w:hint="default" w:ascii="Times New Roman" w:hAnsi="Times New Roman" w:cs="Times New Roman"/>
      <w:color w:val="000000"/>
      <w:sz w:val="24"/>
      <w:szCs w:val="24"/>
      <w:u w:val="none"/>
    </w:rPr>
  </w:style>
  <w:style w:type="character" w:customStyle="1" w:styleId="54">
    <w:name w:val="无间隔 Char"/>
    <w:link w:val="55"/>
    <w:uiPriority w:val="1"/>
    <w:rPr>
      <w:rFonts w:eastAsia="仿宋_GB2312" w:cs="黑体"/>
      <w:kern w:val="2"/>
      <w:sz w:val="28"/>
      <w:szCs w:val="22"/>
      <w:lang w:val="en-US" w:eastAsia="zh-CN" w:bidi="ar-SA"/>
    </w:rPr>
  </w:style>
  <w:style w:type="paragraph" w:styleId="55">
    <w:name w:val="No Spacing"/>
    <w:link w:val="54"/>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6">
    <w:name w:val="List Paragraph"/>
    <w:basedOn w:val="1"/>
    <w:qFormat/>
    <w:uiPriority w:val="34"/>
    <w:pPr>
      <w:ind w:firstLine="420"/>
    </w:p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8">
    <w:name w:val="font71"/>
    <w:basedOn w:val="25"/>
    <w:uiPriority w:val="0"/>
    <w:rPr>
      <w:rFonts w:hint="eastAsia" w:ascii="微软雅黑" w:hAnsi="微软雅黑" w:eastAsia="微软雅黑" w:cs="微软雅黑"/>
      <w:b/>
      <w:bCs/>
      <w:color w:val="000000"/>
      <w:sz w:val="32"/>
      <w:szCs w:val="32"/>
      <w:u w:val="none"/>
    </w:rPr>
  </w:style>
  <w:style w:type="paragraph" w:customStyle="1" w:styleId="59">
    <w:name w:val="标题2"/>
    <w:basedOn w:val="6"/>
    <w:qFormat/>
    <w:uiPriority w:val="0"/>
    <w:pPr>
      <w:numPr>
        <w:ilvl w:val="0"/>
        <w:numId w:val="1"/>
      </w:numPr>
      <w:spacing w:before="120" w:after="120" w:line="500" w:lineRule="exact"/>
    </w:pPr>
    <w:rPr>
      <w:rFonts w:ascii="仿宋_GB2312" w:eastAsia="仿宋_GB2312" w:cs="Times New Roman"/>
    </w:rPr>
  </w:style>
  <w:style w:type="paragraph" w:customStyle="1" w:styleId="60">
    <w:name w:val="Char"/>
    <w:basedOn w:val="1"/>
    <w:qFormat/>
    <w:uiPriority w:val="0"/>
    <w:rPr>
      <w:rFonts w:ascii="仿宋_GB2312" w:eastAsia="仿宋_GB2312" w:cs="黑体"/>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605535B8DD134A2DB7C3E52210879EAB_13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024819ed-edbc-479f-95c6-48af0e4c478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10787</Words>
  <Characters>11367</Characters>
  <Lines>1</Lines>
  <Paragraphs>1</Paragraphs>
  <TotalTime>0</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2025-10-10T10:20:49Z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605535B8DD134A2DB7C3E52210879EAB_13</vt:lpwstr>
  </property>
  <property fmtid="{D5CDD505-2E9C-101B-9397-08002B2CF9AE}" pid="4" name="KSOTemplateDocerSaveRecord">
    <vt:lpwstr>eyJoZGlkIjoiZDE5MGZhMTJhZDM2OTQwYzkzYWVjM2FhZDUxN2Q0M2IiLCJ1c2VySWQiOiI2NTE5NDIwMjYifQ_x003D__x003D_</vt:lpwstr>
  </property>
</Properties>
</file>