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D7648">
      <w:bookmarkStart w:id="18" w:name="_GoBack"/>
      <w:bookmarkEnd w:id="18"/>
    </w:p>
    <w:p w14:paraId="08DBDAD0">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1FF6C204">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和田地区洛浦县维吾尔医医院发热门诊建设项目</w:t>
      </w:r>
    </w:p>
    <w:p w14:paraId="3BC511D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rPr>
        <w:t>支出绩效评价报告</w:t>
      </w:r>
    </w:p>
    <w:p w14:paraId="58C914B8">
      <w:pPr>
        <w:pStyle w:val="2"/>
        <w:jc w:val="center"/>
        <w:rPr>
          <w:rFonts w:hint="eastAsia" w:eastAsia="仿宋_GB2312"/>
          <w:lang w:eastAsia="zh-CN"/>
        </w:rPr>
      </w:pPr>
      <w:r>
        <w:rPr>
          <w:rFonts w:hint="eastAsia"/>
          <w:lang w:eastAsia="zh-CN"/>
        </w:rPr>
        <w:t>（</w:t>
      </w:r>
      <w:r>
        <w:rPr>
          <w:rFonts w:hint="eastAsia"/>
          <w:lang w:val="en-US" w:eastAsia="zh-CN"/>
        </w:rPr>
        <w:t>2024年度</w:t>
      </w:r>
      <w:r>
        <w:rPr>
          <w:rFonts w:hint="eastAsia"/>
          <w:lang w:eastAsia="zh-CN"/>
        </w:rPr>
        <w:t>）</w:t>
      </w:r>
    </w:p>
    <w:p w14:paraId="65A0CE6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E210342">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989E2FA">
      <w:pPr>
        <w:pStyle w:val="2"/>
        <w:rPr>
          <w:rFonts w:hint="eastAsia" w:eastAsia="方正仿宋_GBK" w:cs="方正仿宋_GBK"/>
          <w:b/>
          <w:kern w:val="0"/>
          <w:sz w:val="32"/>
          <w:szCs w:val="32"/>
          <w:lang w:bidi="en-US"/>
        </w:rPr>
      </w:pPr>
    </w:p>
    <w:p w14:paraId="313E6B25">
      <w:pPr>
        <w:rPr>
          <w:rFonts w:hint="eastAsia" w:eastAsia="方正仿宋_GBK" w:cs="方正仿宋_GBK"/>
          <w:b/>
          <w:kern w:val="0"/>
          <w:sz w:val="32"/>
          <w:szCs w:val="32"/>
          <w:lang w:bidi="en-US"/>
        </w:rPr>
      </w:pPr>
    </w:p>
    <w:p w14:paraId="252880D2">
      <w:pPr>
        <w:pStyle w:val="2"/>
        <w:rPr>
          <w:rFonts w:hint="eastAsia"/>
        </w:rPr>
      </w:pPr>
    </w:p>
    <w:p w14:paraId="0963C703">
      <w:pPr>
        <w:pStyle w:val="2"/>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67BE091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3830FBF4">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bookmarkStart w:id="0" w:name="_Toc68364657"/>
      <w:r>
        <w:rPr>
          <w:rFonts w:hint="eastAsia" w:ascii="宋体" w:hAnsi="宋体" w:eastAsia="宋体" w:cs="宋体"/>
          <w:kern w:val="0"/>
          <w:sz w:val="28"/>
          <w:szCs w:val="28"/>
          <w:lang w:bidi="en-US"/>
        </w:rPr>
        <w:t>项目名称：和田地区洛浦县维吾尔医医院发热门诊建设项目</w:t>
      </w:r>
    </w:p>
    <w:p w14:paraId="715BBFA3">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项目单位：洛浦县维吾尔医医院</w:t>
      </w:r>
    </w:p>
    <w:p w14:paraId="7F396216">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主管部门：洛浦县维吾尔医医院</w:t>
      </w:r>
    </w:p>
    <w:p w14:paraId="1F9B717D">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项目负责人：奥布力喀斯木</w:t>
      </w:r>
    </w:p>
    <w:p w14:paraId="3A799E48">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 xml:space="preserve">填报时间：  </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 xml:space="preserve">  年  </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 xml:space="preserve">月 </w:t>
      </w:r>
      <w:r>
        <w:rPr>
          <w:rFonts w:hint="eastAsia" w:ascii="宋体" w:hAnsi="宋体" w:eastAsia="宋体" w:cs="宋体"/>
          <w:kern w:val="0"/>
          <w:sz w:val="28"/>
          <w:szCs w:val="28"/>
          <w:lang w:val="en-US" w:eastAsia="zh-CN" w:bidi="en-US"/>
        </w:rPr>
        <w:t>31</w:t>
      </w:r>
      <w:r>
        <w:rPr>
          <w:rFonts w:hint="eastAsia" w:ascii="宋体" w:hAnsi="宋体" w:eastAsia="宋体" w:cs="宋体"/>
          <w:kern w:val="0"/>
          <w:sz w:val="28"/>
          <w:szCs w:val="28"/>
          <w:lang w:bidi="en-US"/>
        </w:rPr>
        <w:t>日</w:t>
      </w:r>
    </w:p>
    <w:p w14:paraId="41B98FA5">
      <w:pPr>
        <w:pStyle w:val="4"/>
        <w:rPr>
          <w:rFonts w:hint="eastAsia"/>
          <w:color w:val="auto"/>
          <w:highlight w:val="none"/>
        </w:rPr>
      </w:pPr>
    </w:p>
    <w:p w14:paraId="2E8E0CE3">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796F35D1">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14613022">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770E1B69">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4DE0A941">
      <w:pPr>
        <w:pageBreakBefore w:val="0"/>
        <w:widowControl w:val="0"/>
        <w:kinsoku/>
        <w:wordWrap/>
        <w:topLinePunct w:val="0"/>
        <w:autoSpaceDE/>
        <w:bidi w:val="0"/>
        <w:adjustRightInd/>
        <w:snapToGrid/>
        <w:spacing w:line="360" w:lineRule="auto"/>
        <w:ind w:left="0" w:leftChars="0" w:firstLine="480" w:firstLineChars="200"/>
        <w:textAlignment w:val="auto"/>
        <w:outlineLvl w:val="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本项目可为洛浦县人民群众提供优质、高效、安全、便捷和经济的医疗卫生服务，营造“以人为本，病人为中心”的医疗环境，创造提高医疗服务水平和质量，成为适应社会经济发展的现代化医院。</w:t>
      </w:r>
    </w:p>
    <w:p w14:paraId="3D34DE52">
      <w:pPr>
        <w:pageBreakBefore w:val="0"/>
        <w:widowControl w:val="0"/>
        <w:kinsoku/>
        <w:wordWrap/>
        <w:topLinePunct w:val="0"/>
        <w:autoSpaceDE/>
        <w:bidi w:val="0"/>
        <w:adjustRightInd/>
        <w:snapToGrid/>
        <w:spacing w:line="360" w:lineRule="auto"/>
        <w:ind w:left="0" w:leftChars="0" w:firstLine="480" w:firstLineChars="200"/>
        <w:textAlignment w:val="auto"/>
        <w:outlineLvl w:val="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本项目根据洛财纪字【2024】3号政策根据，新建发热门诊2921.27平方米，新建留观病房36间，配套附属设施，购置医疗设备等，提高医疗服务水平和质量。</w:t>
      </w:r>
    </w:p>
    <w:p w14:paraId="45E8AF71">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3EE9DEC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主要内容：</w:t>
      </w:r>
    </w:p>
    <w:p w14:paraId="28A89320">
      <w:pPr>
        <w:pageBreakBefore w:val="0"/>
        <w:widowControl w:val="0"/>
        <w:kinsoku/>
        <w:wordWrap/>
        <w:topLinePunct w:val="0"/>
        <w:autoSpaceDE/>
        <w:bidi w:val="0"/>
        <w:adjustRightInd/>
        <w:snapToGrid/>
        <w:spacing w:line="360" w:lineRule="auto"/>
        <w:ind w:left="0" w:leftChars="0" w:firstLine="480" w:firstLineChars="200"/>
        <w:textAlignment w:val="auto"/>
        <w:outlineLvl w:val="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项目实施内容：</w:t>
      </w:r>
    </w:p>
    <w:p w14:paraId="086BF733">
      <w:pPr>
        <w:pageBreakBefore w:val="0"/>
        <w:widowControl w:val="0"/>
        <w:kinsoku/>
        <w:wordWrap/>
        <w:topLinePunct w:val="0"/>
        <w:autoSpaceDE/>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根据洛财纪字【2024】3号，新建发热门诊2921.27平方米，新建留观病房36间，配套附属设施，购置医疗设备等，提高医疗服务水平和质量。</w:t>
      </w:r>
    </w:p>
    <w:p w14:paraId="00E56C26">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649BF416">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1C7DC288">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本项目的主管部门为洛浦县卫生健康委员会,实施单位为洛浦县维吾尔医医院，主要职责实行医疗卫生，疾病控制及预防。</w:t>
      </w:r>
    </w:p>
    <w:p w14:paraId="7E1D17E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1E04B0F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32359C9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本项目于2024年12月31日前全部完工。</w:t>
      </w:r>
    </w:p>
    <w:p w14:paraId="7C7ADCAB">
      <w:pPr>
        <w:pageBreakBefore w:val="0"/>
        <w:widowControl w:val="0"/>
        <w:kinsoku/>
        <w:wordWrap/>
        <w:topLinePunct w:val="0"/>
        <w:autoSpaceDE/>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项目实施前进行充分调研，并制定项目实施方案，项目实施过程中严格按照实施方案进行实施并及时进行监督管理，项目实施后进行及时验收及后期维护。</w:t>
      </w:r>
    </w:p>
    <w:p w14:paraId="6C0F072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772E67C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5F0D52A1">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资金投入情况：本项目总投资40.24万元，资金来源为县配套资金。资金使用情况：根据项目实施情况，项目资金实际支付40.24万元，资金执行率达到100%。</w:t>
      </w:r>
      <w:r>
        <w:rPr>
          <w:rFonts w:hint="eastAsia" w:ascii="宋体" w:hAnsi="宋体" w:eastAsia="宋体" w:cs="宋体"/>
          <w:b/>
          <w:bCs/>
          <w:color w:val="auto"/>
          <w:sz w:val="24"/>
          <w:szCs w:val="24"/>
          <w:highlight w:val="none"/>
        </w:rPr>
        <w:t>（2）项目资金实际使用情况分析</w:t>
      </w:r>
    </w:p>
    <w:p w14:paraId="5055ACD1">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房屋改造</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w:t>
      </w:r>
    </w:p>
    <w:p w14:paraId="393443F9">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624299A2">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5F14137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37859F85">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年度总体目标为：根据洛财纪字</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号</w:t>
      </w:r>
      <w:r>
        <w:rPr>
          <w:rFonts w:hint="eastAsia" w:ascii="宋体" w:hAnsi="宋体" w:eastAsia="宋体" w:cs="宋体"/>
          <w:color w:val="auto"/>
          <w:sz w:val="24"/>
          <w:szCs w:val="24"/>
          <w:highlight w:val="none"/>
          <w:lang w:val="en-US" w:eastAsia="zh-CN"/>
        </w:rPr>
        <w:t>，</w:t>
      </w:r>
    </w:p>
    <w:p w14:paraId="460B2C8B">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项目本年度计划投资40.24万元元，主要用途为如下：</w:t>
      </w:r>
    </w:p>
    <w:p w14:paraId="0B869C89">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1.新建发热门诊2921.27平方米，新建留观病房36间，配套附属设施，购置医疗设备等。</w:t>
      </w:r>
    </w:p>
    <w:p w14:paraId="119AFE84">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2.项目建成后可为洛浦县人民群众提供优质、高效、安全、便捷和经济的医疗卫生服务，营造“以人为本，病人为中心”的医疗环境，创造提高医疗服务水平和质量，成为适应社会经济发展的现代化医院。</w:t>
      </w:r>
    </w:p>
    <w:p w14:paraId="7289ED19">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阶段性目标</w:t>
      </w:r>
      <w:bookmarkStart w:id="3" w:name="_Toc68364660"/>
    </w:p>
    <w:p w14:paraId="0AE144E6">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2D13319">
      <w:pPr>
        <w:pStyle w:val="48"/>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3958DA4C">
      <w:pPr>
        <w:pStyle w:val="48"/>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4D85524F">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支付往年欠款项目个数：预期指标值为</w:t>
      </w:r>
      <w:r>
        <w:rPr>
          <w:rFonts w:hint="eastAsia" w:ascii="宋体" w:hAnsi="宋体" w:eastAsia="宋体" w:cs="宋体"/>
          <w:color w:val="auto"/>
          <w:sz w:val="24"/>
          <w:szCs w:val="24"/>
          <w:highlight w:val="none"/>
          <w:lang w:eastAsia="zh-CN"/>
        </w:rPr>
        <w:t>≥1个</w:t>
      </w:r>
      <w:r>
        <w:rPr>
          <w:rFonts w:hint="eastAsia" w:ascii="宋体" w:hAnsi="宋体" w:eastAsia="宋体" w:cs="宋体"/>
          <w:color w:val="auto"/>
          <w:sz w:val="24"/>
          <w:szCs w:val="24"/>
          <w:highlight w:val="none"/>
        </w:rPr>
        <w:t>；</w:t>
      </w:r>
    </w:p>
    <w:p w14:paraId="353E35E3">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4FC3528A">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资金使用合规</w:t>
      </w:r>
      <w:r>
        <w:rPr>
          <w:rFonts w:hint="eastAsia" w:ascii="宋体" w:hAnsi="宋体" w:eastAsia="宋体" w:cs="宋体"/>
          <w:color w:val="auto"/>
          <w:sz w:val="24"/>
          <w:szCs w:val="24"/>
          <w:highlight w:val="none"/>
          <w:lang w:val="en-US" w:eastAsia="zh-CN"/>
        </w:rPr>
        <w:t>性</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FC3FA4D">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）时效指标</w:t>
      </w:r>
    </w:p>
    <w:p w14:paraId="7609B85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资金拨付及时率：预期指标值为=100%；</w:t>
      </w:r>
    </w:p>
    <w:p w14:paraId="0315AE13">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w:t>
      </w:r>
      <w:r>
        <w:rPr>
          <w:rFonts w:hint="eastAsia" w:ascii="宋体" w:hAnsi="宋体" w:eastAsia="宋体" w:cs="宋体"/>
          <w:color w:val="auto"/>
          <w:sz w:val="24"/>
          <w:szCs w:val="24"/>
          <w:highlight w:val="none"/>
        </w:rPr>
        <w:t>项目结束时间：预期指标值为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2024年3月；</w:t>
      </w:r>
    </w:p>
    <w:p w14:paraId="6C4A8C88">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4AF261AB">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7338B32B">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支付往年欠款：预期指标值为</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=40.24万元</w:t>
      </w:r>
      <w:r>
        <w:rPr>
          <w:rFonts w:hint="eastAsia" w:ascii="宋体" w:hAnsi="宋体" w:eastAsia="宋体" w:cs="宋体"/>
          <w:color w:val="auto"/>
          <w:sz w:val="24"/>
          <w:szCs w:val="24"/>
          <w:highlight w:val="none"/>
        </w:rPr>
        <w:t>；</w:t>
      </w:r>
    </w:p>
    <w:p w14:paraId="7773BA7A">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0A0848ED">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1D293B86">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2292DCD4">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该项目无生态成本指标</w:t>
      </w:r>
    </w:p>
    <w:p w14:paraId="57EAF005">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效益指标：</w:t>
      </w:r>
    </w:p>
    <w:p w14:paraId="147BC819">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经济</w:t>
      </w:r>
      <w:r>
        <w:rPr>
          <w:rFonts w:hint="eastAsia" w:ascii="宋体" w:hAnsi="宋体" w:eastAsia="宋体" w:cs="宋体"/>
          <w:color w:val="auto"/>
          <w:sz w:val="24"/>
          <w:szCs w:val="24"/>
          <w:highlight w:val="none"/>
        </w:rPr>
        <w:t>效益指标：</w:t>
      </w:r>
    </w:p>
    <w:p w14:paraId="4965663D">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该项目无经济效益指标；</w:t>
      </w:r>
    </w:p>
    <w:p w14:paraId="414419B5">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25404973">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指标1：提高医疗服务水平和质量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有效提高</w:t>
      </w:r>
      <w:r>
        <w:rPr>
          <w:rFonts w:hint="eastAsia" w:ascii="宋体" w:hAnsi="宋体" w:eastAsia="宋体" w:cs="宋体"/>
          <w:color w:val="auto"/>
          <w:sz w:val="24"/>
          <w:szCs w:val="24"/>
          <w:highlight w:val="none"/>
        </w:rPr>
        <w:t>；</w:t>
      </w:r>
    </w:p>
    <w:p w14:paraId="0D37E95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生态</w:t>
      </w:r>
      <w:r>
        <w:rPr>
          <w:rFonts w:hint="eastAsia" w:ascii="宋体" w:hAnsi="宋体" w:eastAsia="宋体" w:cs="宋体"/>
          <w:color w:val="auto"/>
          <w:sz w:val="24"/>
          <w:szCs w:val="24"/>
          <w:highlight w:val="none"/>
        </w:rPr>
        <w:t>效益指标：</w:t>
      </w:r>
    </w:p>
    <w:p w14:paraId="3D3995C0">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该项目无生态效益指标；</w:t>
      </w:r>
    </w:p>
    <w:p w14:paraId="64955748">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）服务对象满意度指标：</w:t>
      </w:r>
    </w:p>
    <w:p w14:paraId="3751DA5F">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受益对象满意度，</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95%。</w:t>
      </w:r>
    </w:p>
    <w:p w14:paraId="706214A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73B6430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3786D97D">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7D52A151">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1220A434">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遵循财政部《项目支出绩效评价管理办法》（财预〔2020〕10号）和自治区财政厅《自治区财政支出绩效评价管理暂行办法》（新财预〔2018〕189号）等相关政策文件与规定，旨在评价中央疫情防控财力补助项目实施前期、过程及效果，评价财政预算资金使用的效率及效益。</w:t>
      </w:r>
    </w:p>
    <w:p w14:paraId="0694D395">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绩效评价，客观地评判和田地区洛浦县维吾尔医医院发热门诊建设项目的管理绩效，了解和掌握和田地区洛浦县维吾尔医医院发热门诊建设项目资金的具体情况，评价该项目资金安排的科学性、合理性、规范性和资金的使用成效，及时总结项目管理经验，完善项目管理办法，提高项目管理水平和资金使用效益。促使项目承担单位洛浦县维吾尔医医院根据绩效评价中发现的问题，认真加以整改，及时调整和完善单位的工作计划和绩效目标并加强中央疫情防控财力补助项目管理，提高管理水平，同时为项目后续资金投入、分配和管理提供决策依据。同时将绩效评价结果与项目预算挂钩，进一步提高项目资金的使用效益及配置效率，实现财政资源配置效益与效率最大化。</w:t>
      </w:r>
    </w:p>
    <w:p w14:paraId="337C1EE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3A229055">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对和田地区洛浦县维吾尔医医院发热门诊建设项目从预算编制合理性、资金使用合规性、项目管理的规范性、实施情况、总体绩效目标、各项绩效指标完成情况以及预算执行情况进行科学性评价。</w:t>
      </w:r>
    </w:p>
    <w:p w14:paraId="000FB2C9">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269F97BC">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b w:val="0"/>
          <w:bCs w:val="0"/>
          <w:color w:val="auto"/>
          <w:kern w:val="0"/>
          <w:sz w:val="24"/>
          <w:szCs w:val="24"/>
          <w:highlight w:val="none"/>
          <w:lang w:val="en-US" w:eastAsia="zh-CN" w:bidi="ar-SA"/>
        </w:rPr>
      </w:pPr>
      <w:bookmarkStart w:id="5" w:name="_Toc68364662"/>
      <w:r>
        <w:rPr>
          <w:rFonts w:hint="eastAsia" w:ascii="宋体" w:hAnsi="宋体" w:eastAsia="宋体" w:cs="宋体"/>
          <w:b w:val="0"/>
          <w:bCs w:val="0"/>
          <w:color w:val="auto"/>
          <w:kern w:val="0"/>
          <w:sz w:val="24"/>
          <w:szCs w:val="24"/>
          <w:highlight w:val="none"/>
          <w:lang w:val="en-US" w:eastAsia="zh-CN" w:bidi="ar-SA"/>
        </w:rPr>
        <w:t>本次评价从项目决策（包括绩效目标、决策过程）、项目管理（包括项目资金、项目实施）、项目产出（包括项目产出数量、产出质量、产出时效和产出成本）项目效益四个维度进行评价，评价对象为2024年度财政下达预算绩效管理所有项目支出，评价核心为预算资金的支出完成情况和效果。</w:t>
      </w:r>
    </w:p>
    <w:p w14:paraId="6FE4BF7C">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28D6B38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47E32952">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（1）科学公正。绩效评价应当运用科学合理的方法，按照规范的程序，对项目绩效进行客观、公正的反映。</w:t>
      </w:r>
    </w:p>
    <w:p w14:paraId="620BE22A">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4F524F9">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（3）激励约束。绩效评价结果应与预算安排、政策调整、改进管理实质性挂钩，体现奖优罚劣和激励相容导向，有效要安排、低效要压减、无效要问责。</w:t>
      </w:r>
    </w:p>
    <w:p w14:paraId="3F98BD84">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（4）公开透明。绩效评价结果应依法依规公开，并自觉接受社会监督。</w:t>
      </w:r>
    </w:p>
    <w:p w14:paraId="7C26F620">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4F6137E6">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14:paraId="6E97E570">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对和田地区洛浦县维吾尔医医院发热门诊建设项目的深入调研基础上，按照《项目支出绩效评价管理办法》（财预〔2020〕10号）对于指标体系的要求和规范，建立一套适合评价中央疫情防控财力补助项目的指标体系，从项目决策、项目过程、项目产出和项目绩效四个维度全面考察和田地区洛浦县维吾尔医医院发热门诊建设项目资金的效益，并重点对于项目的产出和绩效进行总体分析，以达到通过指标体系的科学评价反思管理及决策问题的目标。</w:t>
      </w:r>
    </w:p>
    <w:p w14:paraId="074E83AB">
      <w:pPr>
        <w:pageBreakBefore w:val="0"/>
        <w:widowControl w:val="0"/>
        <w:numPr>
          <w:ilvl w:val="0"/>
          <w:numId w:val="4"/>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sz w:val="24"/>
          <w:szCs w:val="24"/>
        </w:rPr>
        <w:t>绩效评价方法</w:t>
      </w:r>
    </w:p>
    <w:p w14:paraId="3ECFBCA5">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绩效评价方法主要包括成本效益分析法、比较法、因素分析法、最低成本法、公众评判法、标杆管理法等。根据评价对象的具体情况，采用因素分析法评价本项目。      </w:t>
      </w:r>
    </w:p>
    <w:p w14:paraId="3A9FE003">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（1）成本效益分析法。是指将投入与产出、效益进行关联性分析的方法。</w:t>
      </w:r>
    </w:p>
    <w:p w14:paraId="175C05FF">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（2）比较法。是指将实施情况与绩效目标、历史情况、不同部门和地区同类支出情况进行比较的方法。</w:t>
      </w:r>
    </w:p>
    <w:p w14:paraId="0FF9A924">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（3）因素分析法。是指综合分析影响绩效目标实现、实施效果的内外部因素的方法。（4）最低成本法。是指在绩效目标确定的前提下，成本最小者为优的方法。</w:t>
      </w:r>
    </w:p>
    <w:p w14:paraId="33AA083A">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color w:val="auto"/>
          <w:kern w:val="2"/>
          <w:sz w:val="24"/>
          <w:szCs w:val="24"/>
          <w:lang w:val="en-US" w:eastAsia="zh-CN" w:bidi="ar-SA"/>
        </w:rPr>
        <w:t>（5）公众评判法。是指通过专家评估、公众问卷及抽样调查等方式进行评判的方法。（6）标杆管理法。是指以国内外同行业中较高的绩效水平为标杆进行评判的方法。</w:t>
      </w:r>
    </w:p>
    <w:p w14:paraId="37BE667D">
      <w:pPr>
        <w:pageBreakBefore w:val="0"/>
        <w:widowControl w:val="0"/>
        <w:numPr>
          <w:ilvl w:val="0"/>
          <w:numId w:val="0"/>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 绩效评价标准</w:t>
      </w:r>
      <w:bookmarkStart w:id="6" w:name="_Toc68364663"/>
    </w:p>
    <w:p w14:paraId="01F8372B">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bookmarkStart w:id="7" w:name="_Toc31464"/>
      <w:bookmarkStart w:id="8" w:name="_Toc17882"/>
      <w:r>
        <w:rPr>
          <w:rFonts w:hint="eastAsia" w:ascii="宋体" w:hAnsi="宋体" w:eastAsia="宋体" w:cs="宋体"/>
          <w:color w:val="auto"/>
          <w:kern w:val="2"/>
          <w:sz w:val="24"/>
          <w:szCs w:val="24"/>
          <w:lang w:val="en-US" w:eastAsia="zh-CN" w:bidi="ar-SA"/>
        </w:rPr>
        <w:t>绩效评价标准通常包括计划标准、行业标准、历史标准等，用于对绩效指标完成情况进行比较。</w:t>
      </w:r>
    </w:p>
    <w:p w14:paraId="79472C8B">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（1）计划标准。指以预先制定的目标、计划、预算、定额等作为评价标准。</w:t>
      </w:r>
    </w:p>
    <w:p w14:paraId="738489C5">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（2）行业标准。指参照国家公布的行业指标数据制定的评价标准。</w:t>
      </w:r>
    </w:p>
    <w:p w14:paraId="2E651605">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（3）历史标准。指参照历史数据制定的评价标准，为体现绩效改进的原则，在可实现的条件下应当确定相对较高的评价标准。</w:t>
      </w:r>
    </w:p>
    <w:p w14:paraId="706E56E3">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（4）财政部门和预算部门确认或认可的其他标准。</w:t>
      </w:r>
    </w:p>
    <w:p w14:paraId="55BA1946">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color w:val="auto"/>
          <w:kern w:val="2"/>
          <w:sz w:val="24"/>
          <w:szCs w:val="24"/>
          <w:lang w:val="en-US" w:eastAsia="zh-CN" w:bidi="ar-SA"/>
        </w:rPr>
        <w:t>中央疫情防控财力补助项目属于延续项目，有相应的行业标准和历史标准，故采用计划标准评价该项目。</w:t>
      </w:r>
    </w:p>
    <w:p w14:paraId="411C16E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1FA12281">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rPr>
        <w:t>（三）绩效评价工作过程</w:t>
      </w:r>
      <w:bookmarkEnd w:id="6"/>
    </w:p>
    <w:p w14:paraId="5673B8C1">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9" w:name="_Toc68364664"/>
      <w:r>
        <w:rPr>
          <w:rFonts w:hint="eastAsia" w:ascii="宋体" w:hAnsi="宋体" w:eastAsia="宋体" w:cs="宋体"/>
          <w:sz w:val="24"/>
          <w:szCs w:val="24"/>
          <w:highlight w:val="none"/>
        </w:rPr>
        <w:t>1.前期准备</w:t>
      </w:r>
    </w:p>
    <w:p w14:paraId="69E50C18">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202</w:t>
      </w:r>
      <w:r>
        <w:rPr>
          <w:rFonts w:hint="eastAsia" w:ascii="宋体" w:hAnsi="宋体" w:eastAsia="宋体" w:cs="宋体"/>
          <w:color w:val="auto"/>
          <w:sz w:val="24"/>
          <w:szCs w:val="24"/>
          <w:highlight w:val="none"/>
          <w:lang w:val="en-US" w:eastAsia="zh-CN" w:bidi="ar-SA"/>
        </w:rPr>
        <w:t>5年1月1日开始前</w:t>
      </w:r>
      <w:r>
        <w:rPr>
          <w:rFonts w:hint="eastAsia" w:ascii="宋体" w:hAnsi="宋体" w:eastAsia="宋体" w:cs="宋体"/>
          <w:sz w:val="24"/>
          <w:szCs w:val="24"/>
          <w:highlight w:val="none"/>
          <w:lang w:val="en-US" w:eastAsia="zh-CN" w:bidi="ar-SA"/>
        </w:rPr>
        <w:t>期准备工作。评价组通过对评价对象前期调研，确定了评价的目的、方法以及评价的原则，</w:t>
      </w:r>
      <w:r>
        <w:rPr>
          <w:rFonts w:hint="eastAsia" w:ascii="宋体" w:hAnsi="宋体" w:eastAsia="宋体" w:cs="宋体"/>
          <w:color w:val="auto"/>
          <w:sz w:val="24"/>
          <w:szCs w:val="24"/>
          <w:highlight w:val="none"/>
          <w:lang w:val="en-US" w:eastAsia="zh-CN" w:bidi="ar-SA"/>
        </w:rPr>
        <w:t>根据中央疫情防控财力补助项目的内容和特征制定了评价指标体系及评价标准</w:t>
      </w:r>
      <w:r>
        <w:rPr>
          <w:rFonts w:hint="eastAsia" w:ascii="宋体" w:hAnsi="宋体" w:eastAsia="宋体" w:cs="宋体"/>
          <w:sz w:val="24"/>
          <w:szCs w:val="24"/>
          <w:highlight w:val="none"/>
          <w:lang w:val="en-US" w:eastAsia="zh-CN" w:bidi="ar-SA"/>
        </w:rPr>
        <w:t>以及评价实施方案，修正并确定所需资料清单，最终确定实施方案。</w:t>
      </w:r>
    </w:p>
    <w:p w14:paraId="6ED124B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绩效评价工作小组人员名单及分工如下：</w:t>
      </w:r>
    </w:p>
    <w:p w14:paraId="70AA687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奥布力喀斯木</w:t>
      </w:r>
      <w:r>
        <w:rPr>
          <w:rFonts w:hint="eastAsia" w:ascii="宋体" w:hAnsi="宋体" w:eastAsia="宋体" w:cs="宋体"/>
          <w:sz w:val="24"/>
          <w:szCs w:val="24"/>
          <w:highlight w:val="none"/>
        </w:rPr>
        <w:t>（评价小组组长）：主要负责</w:t>
      </w:r>
      <w:r>
        <w:rPr>
          <w:rFonts w:hint="eastAsia" w:ascii="宋体" w:hAnsi="宋体" w:eastAsia="宋体" w:cs="宋体"/>
          <w:sz w:val="24"/>
          <w:szCs w:val="24"/>
          <w:highlight w:val="none"/>
          <w:lang w:val="en-US" w:eastAsia="zh-CN"/>
        </w:rPr>
        <w:t>全盘工作</w:t>
      </w:r>
      <w:r>
        <w:rPr>
          <w:rFonts w:hint="eastAsia" w:ascii="宋体" w:hAnsi="宋体" w:eastAsia="宋体" w:cs="宋体"/>
          <w:sz w:val="24"/>
          <w:szCs w:val="24"/>
          <w:highlight w:val="none"/>
        </w:rPr>
        <w:t>;</w:t>
      </w:r>
    </w:p>
    <w:p w14:paraId="0172F76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奥布力喀斯木</w:t>
      </w:r>
      <w:r>
        <w:rPr>
          <w:rFonts w:hint="eastAsia" w:ascii="宋体" w:hAnsi="宋体" w:eastAsia="宋体" w:cs="宋体"/>
          <w:sz w:val="24"/>
          <w:szCs w:val="24"/>
          <w:highlight w:val="none"/>
        </w:rPr>
        <w:t>（评价小组组员）：主要负责</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lang w:val="en-US" w:eastAsia="zh-CN"/>
        </w:rPr>
        <w:t>的管控监督和</w:t>
      </w:r>
      <w:r>
        <w:rPr>
          <w:rFonts w:hint="eastAsia" w:ascii="宋体" w:hAnsi="宋体" w:eastAsia="宋体" w:cs="宋体"/>
          <w:sz w:val="24"/>
          <w:szCs w:val="24"/>
          <w:highlight w:val="none"/>
          <w:lang w:eastAsia="zh-CN"/>
        </w:rPr>
        <w:t>达标</w:t>
      </w:r>
      <w:r>
        <w:rPr>
          <w:rFonts w:hint="eastAsia" w:ascii="宋体" w:hAnsi="宋体" w:eastAsia="宋体" w:cs="宋体"/>
          <w:sz w:val="24"/>
          <w:szCs w:val="24"/>
          <w:highlight w:val="none"/>
          <w:lang w:val="en-US" w:eastAsia="zh-CN"/>
        </w:rPr>
        <w:t>率</w:t>
      </w:r>
      <w:r>
        <w:rPr>
          <w:rFonts w:hint="eastAsia" w:ascii="宋体" w:hAnsi="宋体" w:eastAsia="宋体" w:cs="宋体"/>
          <w:sz w:val="24"/>
          <w:szCs w:val="24"/>
          <w:highlight w:val="none"/>
        </w:rPr>
        <w:t>;</w:t>
      </w:r>
    </w:p>
    <w:p w14:paraId="4E8ACB4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美合日妮萨</w:t>
      </w:r>
      <w:r>
        <w:rPr>
          <w:rFonts w:hint="eastAsia" w:ascii="宋体" w:hAnsi="宋体" w:eastAsia="宋体" w:cs="宋体"/>
          <w:sz w:val="24"/>
          <w:szCs w:val="24"/>
          <w:highlight w:val="none"/>
        </w:rPr>
        <w:t>（评价小组组员）：主要负责</w:t>
      </w:r>
      <w:r>
        <w:rPr>
          <w:rFonts w:hint="eastAsia" w:ascii="宋体" w:hAnsi="宋体" w:eastAsia="宋体" w:cs="宋体"/>
          <w:sz w:val="24"/>
          <w:szCs w:val="24"/>
          <w:highlight w:val="none"/>
          <w:lang w:val="en-US" w:eastAsia="zh-CN"/>
        </w:rPr>
        <w:t>执行此项目</w:t>
      </w:r>
      <w:r>
        <w:rPr>
          <w:rFonts w:hint="eastAsia" w:ascii="宋体" w:hAnsi="宋体" w:eastAsia="宋体" w:cs="宋体"/>
          <w:sz w:val="24"/>
          <w:szCs w:val="24"/>
          <w:highlight w:val="none"/>
        </w:rPr>
        <w:t>。</w:t>
      </w:r>
    </w:p>
    <w:p w14:paraId="7BAEC90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2.组织实施</w:t>
      </w:r>
    </w:p>
    <w:p w14:paraId="4E29CEFA">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2025</w:t>
      </w:r>
      <w:r>
        <w:rPr>
          <w:rFonts w:hint="eastAsia" w:ascii="宋体" w:hAnsi="宋体" w:eastAsia="宋体" w:cs="宋体"/>
          <w:color w:val="auto"/>
          <w:sz w:val="24"/>
          <w:szCs w:val="24"/>
          <w:highlight w:val="none"/>
          <w:lang w:val="en-US" w:eastAsia="zh-CN" w:bidi="ar-SA"/>
        </w:rPr>
        <w:t>年1月15日-1月31日，</w:t>
      </w:r>
      <w:r>
        <w:rPr>
          <w:rFonts w:hint="eastAsia" w:ascii="宋体" w:hAnsi="宋体" w:eastAsia="宋体" w:cs="宋体"/>
          <w:sz w:val="24"/>
          <w:szCs w:val="24"/>
          <w:highlight w:val="none"/>
          <w:lang w:val="en-US" w:eastAsia="zh-CN" w:bidi="ar-SA"/>
        </w:rPr>
        <w:t>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w:t>
      </w:r>
    </w:p>
    <w:p w14:paraId="2735A89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p>
    <w:p w14:paraId="27C47A3E">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3.分析评价</w:t>
      </w:r>
    </w:p>
    <w:p w14:paraId="14716BBF">
      <w:pPr>
        <w:pStyle w:val="60"/>
        <w:pageBreakBefore w:val="0"/>
        <w:widowControl w:val="0"/>
        <w:tabs>
          <w:tab w:val="left" w:pos="1123"/>
        </w:tabs>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2025年2月1日-2月15日，</w:t>
      </w:r>
      <w:r>
        <w:rPr>
          <w:rFonts w:hint="eastAsia" w:ascii="宋体" w:hAnsi="宋体" w:eastAsia="宋体" w:cs="宋体"/>
          <w:sz w:val="24"/>
          <w:szCs w:val="24"/>
          <w:highlight w:val="none"/>
          <w:lang w:val="en-US" w:eastAsia="zh-CN" w:bidi="ar-SA"/>
        </w:rPr>
        <w:t>评价组按照绩效评价的原则和规范，对取得的资料进行审查核实，对采集的数据进行分析，按照绩效评价指标评分表逐项进行打分、分析，汇总各方评价结果，综合分析并形成评价结论。</w:t>
      </w:r>
    </w:p>
    <w:p w14:paraId="0472E71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4.撰写与提交评价报告</w:t>
      </w:r>
    </w:p>
    <w:p w14:paraId="7C9D27C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02A6472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5.问题整改</w:t>
      </w:r>
    </w:p>
    <w:p w14:paraId="021E137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1D962D5">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6.档案整理</w:t>
      </w:r>
    </w:p>
    <w:p w14:paraId="56B79A0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建立和落实档案管理制度，将项目相关资料存档，包括但不限于：评价项目基本情况和相关文件、评价实施方案、项目支付资料等相关档案。</w:t>
      </w:r>
    </w:p>
    <w:p w14:paraId="6799593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p>
    <w:p w14:paraId="62CFA29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三、综合评价情况及评价结论</w:t>
      </w:r>
      <w:bookmarkEnd w:id="9"/>
    </w:p>
    <w:p w14:paraId="7918C253">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0" w:name="_Toc68364665"/>
      <w:r>
        <w:rPr>
          <w:rFonts w:hint="eastAsia" w:ascii="宋体" w:hAnsi="宋体" w:eastAsia="宋体" w:cs="宋体"/>
          <w:sz w:val="24"/>
          <w:szCs w:val="24"/>
          <w:highlight w:val="none"/>
        </w:rPr>
        <w:t>（一）综合评价情况</w:t>
      </w:r>
      <w:bookmarkEnd w:id="10"/>
    </w:p>
    <w:p w14:paraId="2912B83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val="en-US" w:eastAsia="zh-CN"/>
        </w:rPr>
        <w:t>本项目</w:t>
      </w:r>
      <w:r>
        <w:rPr>
          <w:rFonts w:hint="eastAsia" w:ascii="宋体" w:hAnsi="宋体" w:eastAsia="宋体" w:cs="宋体"/>
          <w:color w:val="auto"/>
          <w:sz w:val="24"/>
          <w:szCs w:val="24"/>
          <w:highlight w:val="none"/>
        </w:rPr>
        <w:t>可为洛浦县人民群众提供优质、高效、安全、便捷和经济的医疗卫生服务，营造“以人为本，病人为中心”的医疗环境，创造提高医疗服务水平和质量，成为适应社会经济发展的现代化医院，其中：</w:t>
      </w:r>
    </w:p>
    <w:p w14:paraId="3403A39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color w:val="auto"/>
          <w:sz w:val="24"/>
          <w:szCs w:val="24"/>
          <w:highlight w:val="none"/>
          <w:lang w:val="en-US" w:eastAsia="zh-CN"/>
        </w:rPr>
        <w:t>洛财纪字</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3号</w:t>
      </w:r>
      <w:r>
        <w:rPr>
          <w:rFonts w:hint="eastAsia" w:ascii="宋体" w:hAnsi="宋体" w:eastAsia="宋体" w:cs="宋体"/>
          <w:color w:val="auto"/>
          <w:sz w:val="24"/>
          <w:szCs w:val="24"/>
          <w:highlight w:val="none"/>
        </w:rPr>
        <w:t>文件立项，项目实施符合</w:t>
      </w:r>
      <w:r>
        <w:rPr>
          <w:rFonts w:hint="eastAsia" w:ascii="宋体" w:hAnsi="宋体" w:eastAsia="宋体" w:cs="宋体"/>
          <w:color w:val="auto"/>
          <w:sz w:val="24"/>
          <w:szCs w:val="24"/>
          <w:highlight w:val="none"/>
          <w:lang w:eastAsia="zh-CN"/>
        </w:rPr>
        <w:t>通知</w:t>
      </w:r>
      <w:r>
        <w:rPr>
          <w:rFonts w:hint="eastAsia" w:ascii="宋体" w:hAnsi="宋体" w:eastAsia="宋体" w:cs="宋体"/>
          <w:color w:val="auto"/>
          <w:sz w:val="24"/>
          <w:szCs w:val="24"/>
          <w:highlight w:val="none"/>
        </w:rPr>
        <w:t xml:space="preserve">要求，项目立项依据充分，立项程序规范。 </w:t>
      </w:r>
    </w:p>
    <w:p w14:paraId="53D1B43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项目过程：和田地区洛浦县维吾尔医医院发热门诊建设项目预算安排</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04620EA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项目效益：通过实施本项目，通过项目的实施，有效提高医疗服务水平和质量。</w:t>
      </w:r>
    </w:p>
    <w:p w14:paraId="14DEC2CF">
      <w:pPr>
        <w:pStyle w:val="5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6B49B7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和田地区洛浦县维吾尔医医院发热门诊建设项目</w:t>
      </w:r>
      <w:r>
        <w:rPr>
          <w:rFonts w:hint="eastAsia" w:ascii="宋体" w:hAnsi="宋体" w:eastAsia="宋体" w:cs="宋体"/>
          <w:color w:val="auto"/>
          <w:sz w:val="24"/>
          <w:szCs w:val="24"/>
          <w:highlight w:val="none"/>
        </w:rPr>
        <w:t>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1"/>
      <w:bookmarkStart w:id="12" w:name="_Toc68364667"/>
    </w:p>
    <w:p w14:paraId="3EB8659F">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p>
    <w:p w14:paraId="3AD17FB7">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四、绩效评价指标分析</w:t>
      </w:r>
      <w:bookmarkEnd w:id="12"/>
    </w:p>
    <w:p w14:paraId="428EECC9">
      <w:pPr>
        <w:pStyle w:val="5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8"/>
      <w:r>
        <w:rPr>
          <w:rFonts w:hint="eastAsia" w:ascii="宋体" w:hAnsi="宋体" w:eastAsia="宋体" w:cs="宋体"/>
          <w:color w:val="auto"/>
          <w:sz w:val="24"/>
          <w:szCs w:val="24"/>
          <w:highlight w:val="none"/>
        </w:rPr>
        <w:t>（一）项目决策情况</w:t>
      </w:r>
    </w:p>
    <w:p w14:paraId="614E3ADA">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88FFB59">
      <w:pPr>
        <w:keepNext w:val="0"/>
        <w:keepLines w:val="0"/>
        <w:pageBreakBefore w:val="0"/>
        <w:widowControl w:val="0"/>
        <w:numPr>
          <w:ilvl w:val="0"/>
          <w:numId w:val="5"/>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16819721">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洛财纪字【2024】3号</w:t>
      </w:r>
      <w:r>
        <w:rPr>
          <w:rFonts w:hint="eastAsia" w:ascii="宋体" w:hAnsi="宋体" w:eastAsia="宋体" w:cs="宋体"/>
          <w:color w:val="auto"/>
          <w:sz w:val="24"/>
          <w:szCs w:val="24"/>
          <w:highlight w:val="none"/>
        </w:rPr>
        <w:t>中：和田地区洛浦县维吾尔医医院发热门诊建设项目；本项目立项符合《</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配置内设机构和人员编制规定》中职责范围中的“</w:t>
      </w:r>
      <w:r>
        <w:rPr>
          <w:rFonts w:hint="eastAsia" w:ascii="宋体" w:hAnsi="宋体" w:eastAsia="宋体" w:cs="宋体"/>
          <w:color w:val="auto"/>
          <w:sz w:val="24"/>
          <w:szCs w:val="24"/>
          <w:highlight w:val="none"/>
          <w:lang w:eastAsia="zh-CN"/>
        </w:rPr>
        <w:t>公用经费，营养改善</w:t>
      </w:r>
      <w:r>
        <w:rPr>
          <w:rFonts w:hint="eastAsia" w:ascii="宋体" w:hAnsi="宋体" w:eastAsia="宋体" w:cs="宋体"/>
          <w:color w:val="auto"/>
          <w:sz w:val="24"/>
          <w:szCs w:val="24"/>
          <w:highlight w:val="none"/>
        </w:rPr>
        <w:t>”，属于我单位履职所需；根据《财政资金直接支付申请书》，本项目资金性质为“公共财政预算”功能分类为“[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2120803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城市建设支出</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50602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资本性支出（基本建设）</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28495570">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0107F0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0B64154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该项目</w:t>
      </w:r>
      <w:r>
        <w:rPr>
          <w:rFonts w:hint="eastAsia" w:ascii="宋体" w:hAnsi="宋体" w:eastAsia="宋体" w:cs="宋体"/>
          <w:color w:val="auto"/>
          <w:sz w:val="24"/>
          <w:szCs w:val="24"/>
          <w:highlight w:val="none"/>
          <w:lang w:val="en-US" w:eastAsia="zh-CN"/>
        </w:rPr>
        <w:t>按照规定的程序申请设立</w:t>
      </w:r>
      <w:r>
        <w:rPr>
          <w:rFonts w:hint="eastAsia" w:ascii="宋体" w:hAnsi="宋体" w:eastAsia="宋体" w:cs="宋体"/>
          <w:color w:val="auto"/>
          <w:sz w:val="24"/>
          <w:szCs w:val="24"/>
          <w:highlight w:val="none"/>
        </w:rPr>
        <w:t>，具体内容为“</w:t>
      </w:r>
      <w:r>
        <w:rPr>
          <w:rFonts w:hint="eastAsia" w:ascii="宋体" w:hAnsi="宋体" w:eastAsia="宋体" w:cs="宋体"/>
          <w:color w:val="auto"/>
          <w:sz w:val="24"/>
          <w:szCs w:val="24"/>
          <w:highlight w:val="none"/>
          <w:lang w:val="en-US" w:eastAsia="zh-CN"/>
        </w:rPr>
        <w:t xml:space="preserve"> 1.新建发热门诊2921.27平方米，新建留观病房36间，配套附属设施，购置医疗设备等。 2.项目建成后可为洛浦县人民群众提供优质、高效、安全、便捷和经济的医疗卫生服务，营造“以人为本，病人为中心”的医疗环境，创造提高医疗服务水平和质量，成为适应社会经济发展的现代化医院。</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lang w:val="en-US" w:eastAsia="zh-CN"/>
        </w:rPr>
        <w:t>审批文件、材料符合相关要求，均按照</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eastAsia="zh-CN"/>
        </w:rPr>
        <w:t>洛财纪字【2024】3号</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eastAsia="zh-CN"/>
        </w:rPr>
        <w:t>文件精神，制定本单位《资金使用方案》、做好绩效目标</w:t>
      </w:r>
      <w:r>
        <w:rPr>
          <w:rFonts w:hint="eastAsia" w:ascii="宋体" w:hAnsi="宋体" w:eastAsia="宋体" w:cs="宋体"/>
          <w:color w:val="auto"/>
          <w:sz w:val="24"/>
          <w:szCs w:val="24"/>
          <w:highlight w:val="none"/>
          <w:lang w:val="en-US" w:eastAsia="zh-CN"/>
        </w:rPr>
        <w:t>；该项目</w:t>
      </w:r>
      <w:r>
        <w:rPr>
          <w:rFonts w:hint="eastAsia" w:ascii="宋体" w:hAnsi="宋体" w:eastAsia="宋体" w:cs="宋体"/>
          <w:color w:val="auto"/>
          <w:sz w:val="24"/>
          <w:szCs w:val="24"/>
          <w:highlight w:val="none"/>
        </w:rPr>
        <w:t>不涉及事前绩效评估和风险评估</w:t>
      </w:r>
      <w:r>
        <w:rPr>
          <w:rFonts w:hint="eastAsia" w:ascii="宋体" w:hAnsi="宋体" w:eastAsia="宋体" w:cs="宋体"/>
          <w:color w:val="auto"/>
          <w:sz w:val="24"/>
          <w:szCs w:val="24"/>
          <w:highlight w:val="none"/>
          <w:lang w:val="en-US" w:eastAsia="zh-CN"/>
        </w:rPr>
        <w:t>，但经过单位集体决策。</w:t>
      </w:r>
    </w:p>
    <w:p w14:paraId="19DB069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289A190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0A2F890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 1.新建发热门诊2921.27平方米，新建留观病房36间，配套附属设施，购置医疗设备等。 2.项目建成后可为洛浦县人民群众提供优质、高效、安全、便捷和经济的医疗卫生服务，营造“以人为本，病人为中心”的医疗环境，创造提高医疗服务水平和质量，成为适应社会经济发展的现代化医院。”</w:t>
      </w:r>
    </w:p>
    <w:p w14:paraId="114FACF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②该项目实际工作内容为：截止到自评节点，我单位已完成 1.新建发热门诊2921.27平方米，新建留观病房36间，配套附属设施，购置医疗设备等。 2.项目建成后可为洛浦县人民群众提供优质、高效、安全、便捷和经济的医疗卫生服务，营造“以人为本，病人为中心”的医疗环境，创造提高医疗服务水平和质量，成为适应社会经济发展的现代化医院。</w:t>
      </w:r>
    </w:p>
    <w:p w14:paraId="776FB8E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③该项目按照绩效保障提高医疗服务水平和质量，通过项目的实施，有效提高医疗服务水平和质量。预期产出效益和效果符合正常的业绩水平。</w:t>
      </w:r>
    </w:p>
    <w:p w14:paraId="097C313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万元，预算确定的项目资金与预算确定的项目投资额相匹配。</w:t>
      </w:r>
    </w:p>
    <w:p w14:paraId="7B17AAE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EA86363">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72861BB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90.91</w:t>
      </w:r>
      <w:r>
        <w:rPr>
          <w:rFonts w:hint="eastAsia" w:ascii="宋体" w:hAnsi="宋体" w:eastAsia="宋体" w:cs="宋体"/>
          <w:color w:val="auto"/>
          <w:sz w:val="24"/>
          <w:szCs w:val="24"/>
          <w:highlight w:val="none"/>
        </w:rPr>
        <w:t>%，量化率达7</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rPr>
        <w:t>%以上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1BB9F56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”。已设置的绩效目标具备明确性、可衡量性、可实现性、相关性、时限性。</w:t>
      </w:r>
    </w:p>
    <w:p w14:paraId="70CCF1F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920143E">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7E7E9E2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和田地区洛浦县维吾尔医医院发热门诊建设项目，即预算编制较科学且经过论证；预算申请内容为和田地区洛浦县维吾尔医医院发热门诊建设项目，项目实际内容为和田地区洛浦县维吾尔医医院发热门诊建设项目，预算申请与《和田地区洛浦县维吾尔医医院发热门诊建设项目实施方案》中涉及的项目内容匹配；</w:t>
      </w:r>
    </w:p>
    <w:p w14:paraId="606FFC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房屋改造费40.24万元。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6A5FC3D5">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）资金分配合理性：</w:t>
      </w:r>
    </w:p>
    <w:p w14:paraId="75904F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颁发的洛财纪字【2024】3号中：“和田地区洛浦县维吾尔医医院发热门诊建设项目”符合行业发展规划和政策要求；本项目立项符合《</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配置内设机构和人员编制规定》中职责范围中的“</w:t>
      </w:r>
      <w:r>
        <w:rPr>
          <w:rFonts w:hint="eastAsia" w:ascii="宋体" w:hAnsi="宋体" w:eastAsia="宋体" w:cs="宋体"/>
          <w:color w:val="auto"/>
          <w:sz w:val="24"/>
          <w:szCs w:val="24"/>
          <w:highlight w:val="none"/>
          <w:lang w:val="en-US" w:eastAsia="zh-CN"/>
        </w:rPr>
        <w:t>财政资金使用规范</w:t>
      </w:r>
      <w:r>
        <w:rPr>
          <w:rFonts w:hint="eastAsia" w:ascii="宋体" w:hAnsi="宋体" w:eastAsia="宋体" w:cs="宋体"/>
          <w:color w:val="auto"/>
          <w:sz w:val="24"/>
          <w:szCs w:val="24"/>
          <w:highlight w:val="none"/>
        </w:rPr>
        <w:t>”，属于我单位履职所需；</w:t>
      </w:r>
    </w:p>
    <w:p w14:paraId="0EE64A5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73D8B55">
      <w:pPr>
        <w:pStyle w:val="5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148C6F4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71F1534">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2D859B1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2B6C1B8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分。   </w:t>
      </w:r>
    </w:p>
    <w:p w14:paraId="24552BA8">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）预算执行率：</w:t>
      </w:r>
    </w:p>
    <w:p w14:paraId="3F35AE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40.24</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4F49137A">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3FFD76C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A9ACF44">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）管理制度健全性：</w:t>
      </w:r>
    </w:p>
    <w:p w14:paraId="098CE9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我</w:t>
      </w:r>
      <w:r>
        <w:rPr>
          <w:rFonts w:hint="eastAsia" w:ascii="宋体" w:hAnsi="宋体" w:eastAsia="宋体" w:cs="宋体"/>
          <w:color w:val="auto"/>
          <w:sz w:val="24"/>
          <w:szCs w:val="24"/>
          <w:highlight w:val="none"/>
        </w:rPr>
        <w:t>单位已制定《</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4DB730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99AD02D">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制度执行有效性</w:t>
      </w:r>
      <w:r>
        <w:rPr>
          <w:rFonts w:hint="eastAsia" w:ascii="宋体" w:hAnsi="宋体" w:eastAsia="宋体" w:cs="宋体"/>
          <w:color w:val="auto"/>
          <w:sz w:val="24"/>
          <w:szCs w:val="24"/>
          <w:highlight w:val="none"/>
        </w:rPr>
        <w:t>：</w:t>
      </w:r>
    </w:p>
    <w:p w14:paraId="4FB310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洛浦县维吾尔医医院</w:t>
      </w:r>
      <w:r>
        <w:rPr>
          <w:rFonts w:hint="eastAsia" w:ascii="宋体" w:hAnsi="宋体" w:eastAsia="宋体" w:cs="宋体"/>
          <w:b w:val="0"/>
          <w:bCs w:val="0"/>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CDDE6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②经现场查证项目合同书、验收评审表、财务支付凭证等资料齐全并及时归档。</w:t>
      </w:r>
    </w:p>
    <w:p w14:paraId="6B6F77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③该项目实施过程中不存在调整事项。</w:t>
      </w:r>
    </w:p>
    <w:p w14:paraId="1391F4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和田地区洛浦县维吾尔医医院发热门诊建设项目工作领导小组，由</w:t>
      </w:r>
      <w:r>
        <w:rPr>
          <w:rFonts w:hint="eastAsia" w:ascii="宋体" w:hAnsi="宋体" w:eastAsia="宋体" w:cs="宋体"/>
          <w:b w:val="0"/>
          <w:bCs w:val="0"/>
          <w:color w:val="auto"/>
          <w:sz w:val="24"/>
          <w:szCs w:val="24"/>
          <w:highlight w:val="none"/>
          <w:lang w:val="en-US" w:eastAsia="zh-CN"/>
        </w:rPr>
        <w:t>阿卜来提</w:t>
      </w:r>
      <w:r>
        <w:rPr>
          <w:rFonts w:hint="eastAsia" w:ascii="宋体" w:hAnsi="宋体" w:eastAsia="宋体" w:cs="宋体"/>
          <w:b w:val="0"/>
          <w:bCs w:val="0"/>
          <w:color w:val="auto"/>
          <w:sz w:val="24"/>
          <w:szCs w:val="24"/>
          <w:highlight w:val="none"/>
        </w:rPr>
        <w:t>组长，负责项目的组织工作；</w:t>
      </w:r>
      <w:r>
        <w:rPr>
          <w:rFonts w:hint="eastAsia" w:ascii="宋体" w:hAnsi="宋体" w:eastAsia="宋体" w:cs="宋体"/>
          <w:b w:val="0"/>
          <w:bCs w:val="0"/>
          <w:color w:val="auto"/>
          <w:sz w:val="24"/>
          <w:szCs w:val="24"/>
          <w:highlight w:val="none"/>
          <w:lang w:val="en-US" w:eastAsia="zh-CN"/>
        </w:rPr>
        <w:t>奥布力喀斯木</w:t>
      </w:r>
      <w:r>
        <w:rPr>
          <w:rFonts w:hint="eastAsia" w:ascii="宋体" w:hAnsi="宋体" w:eastAsia="宋体" w:cs="宋体"/>
          <w:b w:val="0"/>
          <w:bCs w:val="0"/>
          <w:color w:val="auto"/>
          <w:sz w:val="24"/>
          <w:szCs w:val="24"/>
          <w:highlight w:val="none"/>
        </w:rPr>
        <w:t>任副组长，负责项目的实施工作；组员包括：</w:t>
      </w:r>
      <w:r>
        <w:rPr>
          <w:rFonts w:hint="eastAsia" w:ascii="宋体" w:hAnsi="宋体" w:eastAsia="宋体" w:cs="宋体"/>
          <w:b w:val="0"/>
          <w:bCs w:val="0"/>
          <w:color w:val="auto"/>
          <w:sz w:val="24"/>
          <w:szCs w:val="24"/>
          <w:highlight w:val="none"/>
          <w:lang w:val="en-US" w:eastAsia="zh-CN"/>
        </w:rPr>
        <w:t>美合日妮萨，阿依布拉克</w:t>
      </w:r>
      <w:r>
        <w:rPr>
          <w:rFonts w:hint="eastAsia" w:ascii="宋体" w:hAnsi="宋体" w:eastAsia="宋体" w:cs="宋体"/>
          <w:b w:val="0"/>
          <w:bCs w:val="0"/>
          <w:color w:val="auto"/>
          <w:sz w:val="24"/>
          <w:szCs w:val="24"/>
          <w:highlight w:val="none"/>
        </w:rPr>
        <w:t>，主要负责项目监督管理、验收以及资金核拨等工作。根据评分标准，该指标不扣分，得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7DB86BAF">
      <w:pPr>
        <w:pStyle w:val="5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25C146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产出成本等四</w:t>
      </w:r>
      <w:r>
        <w:rPr>
          <w:rFonts w:hint="eastAsia" w:ascii="宋体" w:hAnsi="宋体" w:eastAsia="宋体" w:cs="宋体"/>
          <w:color w:val="auto"/>
          <w:sz w:val="24"/>
          <w:szCs w:val="24"/>
          <w:highlight w:val="none"/>
        </w:rPr>
        <w:t>方面的内容，由</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C25CFB5">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对于“产出数量”：</w:t>
      </w:r>
    </w:p>
    <w:p w14:paraId="39E273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支付往年欠款项目个数指标，预期指标值为</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≥1个，实际完成值为1个。指标完成率为100%，与预期目标一致，根据评分标准，该指标不扣分，得10分。</w:t>
      </w:r>
    </w:p>
    <w:p w14:paraId="71CCF722">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对于“产出质量”：</w:t>
      </w:r>
    </w:p>
    <w:p w14:paraId="5936C4D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资金使用合规性，预期指标值为=100%，实际完成值为100%，指标完成率为100%，与预期目标一致，根据评分标准，该指标不扣分，得10分。</w:t>
      </w:r>
    </w:p>
    <w:p w14:paraId="3FAFCBA2">
      <w:pPr>
        <w:pStyle w:val="10"/>
        <w:pageBreakBefore w:val="0"/>
        <w:widowControl w:val="0"/>
        <w:numPr>
          <w:ilvl w:val="0"/>
          <w:numId w:val="0"/>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对于“产出时效”：</w:t>
      </w:r>
    </w:p>
    <w:p w14:paraId="494D55F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资金拨付及时率指标，预期指标值为=100%，实际完成值为=100%，指标完成率为100%，与预期目标一致，根据评分标准，该指标不扣分，得10分。</w:t>
      </w:r>
    </w:p>
    <w:p w14:paraId="2F30AFC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color w:val="auto"/>
          <w:kern w:val="2"/>
          <w:sz w:val="24"/>
          <w:szCs w:val="24"/>
          <w:highlight w:val="none"/>
          <w:lang w:val="en-US" w:eastAsia="zh-CN" w:bidi="ar-SA"/>
        </w:rPr>
        <w:t>项目结束时间指标，预期指标值为2024年3月，实际完成值为2024年3月，指标完成率为100%，与预期目标一致，根据评分标准，该指标不扣分，得10分。</w:t>
      </w:r>
    </w:p>
    <w:p w14:paraId="1AB4CD1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0ED3441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支付往年欠款指标，预期指标值为=40.24万元，实际完成值为=40.24万元，指标完成率为100%，与预期目标一致，根据评分标准，该指标不扣分，得10分。</w:t>
      </w:r>
    </w:p>
    <w:p w14:paraId="114F3222">
      <w:pPr>
        <w:pStyle w:val="5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3BB414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529F5D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提高医疗服务水平和质量指标，实际完成值为</w:t>
      </w:r>
      <w:r>
        <w:rPr>
          <w:rFonts w:hint="eastAsia" w:ascii="宋体" w:hAnsi="宋体" w:eastAsia="宋体" w:cs="宋体"/>
          <w:color w:val="auto"/>
          <w:sz w:val="24"/>
          <w:szCs w:val="24"/>
          <w:highlight w:val="none"/>
          <w:lang w:val="en-US" w:eastAsia="zh-CN"/>
        </w:rPr>
        <w:t>有效提高</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39B50BD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（4）满意度指标分析</w:t>
      </w:r>
      <w:bookmarkEnd w:id="13"/>
    </w:p>
    <w:p w14:paraId="5CDFB252">
      <w:pPr>
        <w:pageBreakBefore w:val="0"/>
        <w:widowControl w:val="0"/>
        <w:kinsoku/>
        <w:wordWrap/>
        <w:topLinePunct w:val="0"/>
        <w:autoSpaceDE/>
        <w:bidi w:val="0"/>
        <w:adjustRightInd/>
        <w:snapToGrid/>
        <w:spacing w:line="360" w:lineRule="auto"/>
        <w:ind w:left="0" w:leftChars="0" w:firstLine="480" w:firstLineChars="200"/>
        <w:jc w:val="left"/>
        <w:textAlignment w:val="auto"/>
        <w:rPr>
          <w:rFonts w:hint="eastAsia"/>
          <w:highlight w:val="none"/>
          <w:lang w:val="en-US" w:eastAsia="zh-CN"/>
        </w:rPr>
      </w:pPr>
      <w:r>
        <w:rPr>
          <w:rFonts w:hint="eastAsia" w:ascii="宋体" w:hAnsi="宋体" w:eastAsia="宋体" w:cs="宋体"/>
          <w:kern w:val="2"/>
          <w:sz w:val="24"/>
          <w:szCs w:val="24"/>
          <w:highlight w:val="none"/>
          <w:lang w:val="en-US" w:eastAsia="zh-CN" w:bidi="ar-SA"/>
        </w:rPr>
        <w:t>满意度指标为受益对象满意度，预期指标值为</w:t>
      </w:r>
      <w:r>
        <w:rPr>
          <w:rFonts w:hint="eastAsia" w:ascii="宋体" w:hAnsi="宋体" w:eastAsia="宋体" w:cs="宋体"/>
          <w:kern w:val="2"/>
          <w:sz w:val="24"/>
          <w:szCs w:val="24"/>
          <w:highlight w:val="none"/>
          <w:lang w:val="en-US" w:eastAsia="zh-CN" w:bidi="ar-SA"/>
        </w:rPr>
        <w:tab/>
      </w:r>
      <w:r>
        <w:rPr>
          <w:rFonts w:hint="eastAsia" w:ascii="宋体" w:hAnsi="宋体" w:eastAsia="宋体" w:cs="宋体"/>
          <w:kern w:val="2"/>
          <w:sz w:val="24"/>
          <w:szCs w:val="24"/>
          <w:highlight w:val="none"/>
          <w:lang w:val="en-US" w:eastAsia="zh-CN" w:bidi="ar-SA"/>
        </w:rPr>
        <w:t>≥95%，经问卷调查实际完成值为100%，达到了预期目标。</w:t>
      </w: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AE1D1B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6A0808C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141EA2F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bidi="ar-SA"/>
        </w:rPr>
        <w:t>本项目全年预算数40.24万元，执行数40.24万元，执行率100%，绩效指标完成率100%，偏差率0%。</w:t>
      </w: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无偏差</w:t>
      </w:r>
      <w:r>
        <w:rPr>
          <w:rFonts w:hint="eastAsia" w:ascii="宋体" w:hAnsi="宋体" w:eastAsia="宋体" w:cs="宋体"/>
          <w:sz w:val="24"/>
          <w:szCs w:val="24"/>
        </w:rPr>
        <w:t>。</w:t>
      </w:r>
      <w:bookmarkStart w:id="14" w:name="_Toc68364673"/>
    </w:p>
    <w:p w14:paraId="51A125CC">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29444A6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1358E797">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60D97E62">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i w:val="0"/>
          <w:iCs w:val="0"/>
          <w:sz w:val="24"/>
          <w:szCs w:val="24"/>
        </w:rPr>
      </w:pPr>
      <w:bookmarkStart w:id="15" w:name="_Toc68364674"/>
      <w:r>
        <w:rPr>
          <w:rFonts w:hint="eastAsia" w:ascii="宋体" w:hAnsi="宋体" w:eastAsia="宋体" w:cs="宋体"/>
          <w:b w:val="0"/>
          <w:i w:val="0"/>
          <w:iCs w:val="0"/>
          <w:sz w:val="24"/>
          <w:szCs w:val="24"/>
        </w:rPr>
        <w:t>本项目通过绩效目标评价管理，总结了工作中的较好的经验。项目实施过程中，洛浦县维吾尔医院根据相关实施方案等要求保障了项目的顺利实施。项目的实施遵守相关法律法规和业务管理规定，不定期对项目进度情况进行督导检查，对检查过程中发现的问题及时督促整改，确保了项目按时保质完成；资金的拨付有完整的审批程序和手续，不存在截留、挤占、挪用等情况。</w:t>
      </w:r>
    </w:p>
    <w:p w14:paraId="6138264A">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i w:val="0"/>
          <w:iCs w:val="0"/>
          <w:sz w:val="24"/>
          <w:szCs w:val="24"/>
          <w:lang w:eastAsia="zh-CN"/>
        </w:rPr>
      </w:pPr>
      <w:r>
        <w:rPr>
          <w:rFonts w:hint="eastAsia" w:ascii="宋体" w:hAnsi="宋体" w:eastAsia="宋体" w:cs="宋体"/>
          <w:b w:val="0"/>
          <w:i w:val="0"/>
          <w:iCs w:val="0"/>
          <w:sz w:val="24"/>
          <w:szCs w:val="24"/>
        </w:rPr>
        <w:t>实施本项目过程中，采取积极有效的措施，在用好、管好项目资金的同时，制定切实可行的资金使用方案，保证项目能够如期完成。为保证项目的顺利实施，洛浦县维吾尔医院按照有关条款实施该项目，保证项</w:t>
      </w:r>
      <w:r>
        <w:rPr>
          <w:rFonts w:hint="eastAsia" w:ascii="宋体" w:hAnsi="宋体" w:eastAsia="宋体" w:cs="宋体"/>
          <w:b w:val="0"/>
          <w:i w:val="0"/>
          <w:iCs w:val="0"/>
          <w:color w:val="auto"/>
          <w:sz w:val="24"/>
          <w:szCs w:val="24"/>
        </w:rPr>
        <w:t>目顺利进行</w:t>
      </w:r>
      <w:r>
        <w:rPr>
          <w:rFonts w:hint="eastAsia" w:ascii="宋体" w:hAnsi="宋体" w:eastAsia="宋体" w:cs="宋体"/>
          <w:b w:val="0"/>
          <w:i w:val="0"/>
          <w:iCs w:val="0"/>
          <w:color w:val="auto"/>
          <w:sz w:val="24"/>
          <w:szCs w:val="24"/>
          <w:lang w:eastAsia="zh-CN"/>
        </w:rPr>
        <w:t>。</w:t>
      </w:r>
    </w:p>
    <w:p w14:paraId="29554FDC">
      <w:pPr>
        <w:pStyle w:val="48"/>
        <w:pageBreakBefore w:val="0"/>
        <w:widowControl w:val="0"/>
        <w:numPr>
          <w:ilvl w:val="0"/>
          <w:numId w:val="6"/>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存在问题及原因分析</w:t>
      </w:r>
      <w:bookmarkEnd w:id="15"/>
      <w:bookmarkStart w:id="16" w:name="_Toc68364675"/>
    </w:p>
    <w:p w14:paraId="00653B4A">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i w:val="0"/>
          <w:iCs w:val="0"/>
          <w:sz w:val="24"/>
          <w:szCs w:val="24"/>
        </w:rPr>
      </w:pPr>
      <w:r>
        <w:rPr>
          <w:rFonts w:hint="eastAsia" w:ascii="宋体" w:hAnsi="宋体" w:eastAsia="宋体" w:cs="宋体"/>
          <w:b w:val="0"/>
          <w:bCs w:val="0"/>
          <w:i w:val="0"/>
          <w:iCs w:val="0"/>
          <w:sz w:val="24"/>
          <w:szCs w:val="24"/>
        </w:rPr>
        <w:t>通过绩效评价管理，发现了工作的中的不足，如：对项目绩效管理工作不够重视。对项目自评工作欠积极性，包资料不及时，敷衍了事。下一步加强单位绩效培训贡献过，提高绩效管理工作整体质量。</w:t>
      </w:r>
    </w:p>
    <w:p w14:paraId="08507D85">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sz w:val="24"/>
          <w:szCs w:val="24"/>
          <w:lang w:val="en-US" w:eastAsia="zh-CN"/>
        </w:rPr>
      </w:pPr>
    </w:p>
    <w:p w14:paraId="02D16DC6">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七、</w:t>
      </w:r>
      <w:r>
        <w:rPr>
          <w:rFonts w:hint="eastAsia" w:ascii="黑体" w:hAnsi="黑体" w:eastAsia="黑体" w:cs="黑体"/>
          <w:sz w:val="24"/>
          <w:szCs w:val="24"/>
        </w:rPr>
        <w:t>有关建议</w:t>
      </w:r>
      <w:bookmarkEnd w:id="16"/>
      <w:bookmarkStart w:id="17" w:name="_Toc68364676"/>
    </w:p>
    <w:p w14:paraId="2623B8DA">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color w:val="000000"/>
          <w:kern w:val="2"/>
          <w:sz w:val="24"/>
          <w:szCs w:val="24"/>
        </w:rPr>
      </w:pPr>
      <w:r>
        <w:rPr>
          <w:rFonts w:hint="eastAsia" w:ascii="宋体" w:hAnsi="宋体" w:eastAsia="宋体" w:cs="宋体"/>
          <w:b w:val="0"/>
          <w:color w:val="000000"/>
          <w:kern w:val="2"/>
          <w:sz w:val="24"/>
          <w:szCs w:val="24"/>
          <w:lang w:val="en-US" w:eastAsia="zh-CN"/>
        </w:rPr>
        <w:t>1.</w:t>
      </w:r>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352DBE85">
      <w:pPr>
        <w:pStyle w:val="6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开展进度的跟踪，确保项目绩效目标的完成。规范程序，严格把关。进一步完善项目申报、审核、公示、审批等程序，严格审核切实做好项目信息公开，公开内容要及时、完整、真实，确保项目公平、公开、公正。</w:t>
      </w:r>
    </w:p>
    <w:p w14:paraId="33B9CA74">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3.健全制度，加强督促。针对项目实施中存在的问题，进一步完善相关制度，加强督促检查，确保质量安全和建设进度；同时及时完善资料。</w:t>
      </w:r>
    </w:p>
    <w:p w14:paraId="75DD6EBE">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黑体" w:hAnsi="黑体" w:eastAsia="黑体" w:cs="黑体"/>
          <w:b/>
          <w:bCs/>
          <w:sz w:val="24"/>
          <w:szCs w:val="24"/>
        </w:rPr>
      </w:pPr>
    </w:p>
    <w:p w14:paraId="1129FF07">
      <w:pPr>
        <w:pStyle w:val="61"/>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17"/>
    </w:p>
    <w:p w14:paraId="0432FDA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1493C8FC">
      <w:pPr>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p>
    <w:p w14:paraId="5C85B52A">
      <w:pPr>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附件1：和田地区洛浦县维吾尔医医院发热门诊建设项目绩效评价指标体系</w:t>
      </w:r>
    </w:p>
    <w:p w14:paraId="3DA7FE5E">
      <w:pPr>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附件2：和田地区洛浦县维吾尔医医院发热门诊建设项目综合得分表</w:t>
      </w:r>
    </w:p>
    <w:p w14:paraId="25F5C7C4">
      <w:pPr>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2F900A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0DC06AE0">
      <w:pPr>
        <w:pStyle w:val="10"/>
        <w:ind w:left="0" w:leftChars="0" w:firstLine="0" w:firstLineChars="0"/>
        <w:jc w:val="both"/>
        <w:rPr>
          <w:rFonts w:hint="eastAsia" w:ascii="宋体" w:hAnsi="宋体" w:eastAsia="宋体" w:cs="宋体"/>
          <w:sz w:val="24"/>
          <w:szCs w:val="24"/>
        </w:rPr>
      </w:pPr>
    </w:p>
    <w:p w14:paraId="2527E9F4">
      <w:pPr>
        <w:pStyle w:val="10"/>
        <w:ind w:left="0" w:leftChars="0" w:firstLine="0" w:firstLineChars="0"/>
        <w:jc w:val="both"/>
        <w:rPr>
          <w:rFonts w:hint="eastAsia" w:ascii="宋体" w:hAnsi="宋体" w:eastAsia="宋体" w:cs="宋体"/>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7"/>
        <w:gridCol w:w="584"/>
        <w:gridCol w:w="507"/>
        <w:gridCol w:w="584"/>
        <w:gridCol w:w="1239"/>
        <w:gridCol w:w="650"/>
        <w:gridCol w:w="2884"/>
        <w:gridCol w:w="842"/>
        <w:gridCol w:w="3788"/>
        <w:gridCol w:w="861"/>
        <w:gridCol w:w="826"/>
      </w:tblGrid>
      <w:tr w14:paraId="44337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91" w:type="dxa"/>
            <w:gridSpan w:val="2"/>
            <w:tcBorders>
              <w:top w:val="nil"/>
              <w:left w:val="nil"/>
              <w:bottom w:val="nil"/>
              <w:right w:val="nil"/>
            </w:tcBorders>
            <w:noWrap w:val="0"/>
            <w:vAlign w:val="center"/>
          </w:tcPr>
          <w:p w14:paraId="4A1CE7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附件1：</w:t>
            </w:r>
          </w:p>
        </w:tc>
        <w:tc>
          <w:tcPr>
            <w:tcW w:w="507" w:type="dxa"/>
            <w:tcBorders>
              <w:top w:val="nil"/>
              <w:left w:val="nil"/>
              <w:bottom w:val="nil"/>
              <w:right w:val="nil"/>
            </w:tcBorders>
            <w:noWrap w:val="0"/>
            <w:vAlign w:val="center"/>
          </w:tcPr>
          <w:p w14:paraId="5375BF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584" w:type="dxa"/>
            <w:tcBorders>
              <w:top w:val="nil"/>
              <w:left w:val="nil"/>
              <w:bottom w:val="nil"/>
              <w:right w:val="nil"/>
            </w:tcBorders>
            <w:noWrap w:val="0"/>
            <w:vAlign w:val="center"/>
          </w:tcPr>
          <w:p w14:paraId="4A34AD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1239" w:type="dxa"/>
            <w:tcBorders>
              <w:top w:val="nil"/>
              <w:left w:val="nil"/>
              <w:bottom w:val="nil"/>
              <w:right w:val="nil"/>
            </w:tcBorders>
            <w:noWrap w:val="0"/>
            <w:vAlign w:val="center"/>
          </w:tcPr>
          <w:p w14:paraId="3C2F0F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650" w:type="dxa"/>
            <w:tcBorders>
              <w:top w:val="nil"/>
              <w:left w:val="nil"/>
              <w:bottom w:val="nil"/>
              <w:right w:val="nil"/>
            </w:tcBorders>
            <w:noWrap w:val="0"/>
            <w:vAlign w:val="center"/>
          </w:tcPr>
          <w:p w14:paraId="5C67EB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2884" w:type="dxa"/>
            <w:tcBorders>
              <w:top w:val="nil"/>
              <w:left w:val="nil"/>
              <w:bottom w:val="nil"/>
              <w:right w:val="nil"/>
            </w:tcBorders>
            <w:noWrap w:val="0"/>
            <w:vAlign w:val="center"/>
          </w:tcPr>
          <w:p w14:paraId="14DE6B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842" w:type="dxa"/>
            <w:tcBorders>
              <w:top w:val="nil"/>
              <w:left w:val="nil"/>
              <w:bottom w:val="nil"/>
              <w:right w:val="nil"/>
            </w:tcBorders>
            <w:noWrap w:val="0"/>
            <w:vAlign w:val="center"/>
          </w:tcPr>
          <w:p w14:paraId="1DC8B8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3788" w:type="dxa"/>
            <w:tcBorders>
              <w:top w:val="nil"/>
              <w:left w:val="nil"/>
              <w:bottom w:val="nil"/>
              <w:right w:val="nil"/>
            </w:tcBorders>
            <w:noWrap w:val="0"/>
            <w:vAlign w:val="center"/>
          </w:tcPr>
          <w:p w14:paraId="463BBF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861" w:type="dxa"/>
            <w:tcBorders>
              <w:top w:val="nil"/>
              <w:left w:val="nil"/>
              <w:bottom w:val="nil"/>
              <w:right w:val="nil"/>
            </w:tcBorders>
            <w:noWrap w:val="0"/>
            <w:vAlign w:val="center"/>
          </w:tcPr>
          <w:p w14:paraId="6D823B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c>
          <w:tcPr>
            <w:tcW w:w="826" w:type="dxa"/>
            <w:tcBorders>
              <w:top w:val="nil"/>
              <w:left w:val="nil"/>
              <w:bottom w:val="nil"/>
              <w:right w:val="nil"/>
            </w:tcBorders>
            <w:noWrap w:val="0"/>
            <w:vAlign w:val="center"/>
          </w:tcPr>
          <w:p w14:paraId="2DA3ED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000000"/>
                <w:sz w:val="24"/>
                <w:szCs w:val="24"/>
                <w:u w:val="none"/>
              </w:rPr>
            </w:pPr>
          </w:p>
        </w:tc>
      </w:tr>
      <w:tr w14:paraId="0DA32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272" w:type="dxa"/>
            <w:gridSpan w:val="11"/>
            <w:tcBorders>
              <w:top w:val="nil"/>
              <w:left w:val="single" w:color="auto" w:sz="8" w:space="0"/>
              <w:bottom w:val="single" w:color="auto" w:sz="8" w:space="0"/>
              <w:right w:val="single" w:color="auto" w:sz="8" w:space="0"/>
            </w:tcBorders>
            <w:noWrap w:val="0"/>
            <w:vAlign w:val="center"/>
          </w:tcPr>
          <w:p w14:paraId="096AAD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和田地区洛浦县维吾尔医医院发热门诊建设项目绩效评价指标体系综合评分表</w:t>
            </w:r>
          </w:p>
        </w:tc>
      </w:tr>
      <w:tr w14:paraId="3419D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7" w:type="dxa"/>
            <w:tcBorders>
              <w:top w:val="nil"/>
              <w:left w:val="single" w:color="auto" w:sz="8" w:space="0"/>
              <w:bottom w:val="single" w:color="auto" w:sz="8" w:space="0"/>
              <w:right w:val="single" w:color="auto" w:sz="8" w:space="0"/>
            </w:tcBorders>
            <w:noWrap w:val="0"/>
            <w:vAlign w:val="center"/>
          </w:tcPr>
          <w:p w14:paraId="0EA320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一级指标</w:t>
            </w:r>
          </w:p>
        </w:tc>
        <w:tc>
          <w:tcPr>
            <w:tcW w:w="584" w:type="dxa"/>
            <w:tcBorders>
              <w:top w:val="single" w:color="auto" w:sz="8" w:space="0"/>
              <w:left w:val="single" w:color="auto" w:sz="8" w:space="0"/>
              <w:bottom w:val="single" w:color="auto" w:sz="8" w:space="0"/>
              <w:right w:val="single" w:color="auto" w:sz="8" w:space="0"/>
            </w:tcBorders>
            <w:noWrap w:val="0"/>
            <w:vAlign w:val="center"/>
          </w:tcPr>
          <w:p w14:paraId="7E5D75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507" w:type="dxa"/>
            <w:tcBorders>
              <w:top w:val="single" w:color="auto" w:sz="8" w:space="0"/>
              <w:left w:val="single" w:color="auto" w:sz="8" w:space="0"/>
              <w:bottom w:val="single" w:color="auto" w:sz="8" w:space="0"/>
              <w:right w:val="single" w:color="auto" w:sz="8" w:space="0"/>
            </w:tcBorders>
            <w:noWrap w:val="0"/>
            <w:vAlign w:val="center"/>
          </w:tcPr>
          <w:p w14:paraId="1AEE5A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二级指标</w:t>
            </w:r>
          </w:p>
        </w:tc>
        <w:tc>
          <w:tcPr>
            <w:tcW w:w="584" w:type="dxa"/>
            <w:tcBorders>
              <w:top w:val="single" w:color="auto" w:sz="8" w:space="0"/>
              <w:left w:val="single" w:color="auto" w:sz="8" w:space="0"/>
              <w:bottom w:val="single" w:color="auto" w:sz="8" w:space="0"/>
              <w:right w:val="single" w:color="auto" w:sz="8" w:space="0"/>
            </w:tcBorders>
            <w:noWrap w:val="0"/>
            <w:vAlign w:val="center"/>
          </w:tcPr>
          <w:p w14:paraId="48A1E6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1239" w:type="dxa"/>
            <w:tcBorders>
              <w:top w:val="single" w:color="auto" w:sz="8" w:space="0"/>
              <w:left w:val="single" w:color="auto" w:sz="8" w:space="0"/>
              <w:bottom w:val="single" w:color="auto" w:sz="8" w:space="0"/>
              <w:right w:val="single" w:color="auto" w:sz="8" w:space="0"/>
            </w:tcBorders>
            <w:noWrap w:val="0"/>
            <w:vAlign w:val="center"/>
          </w:tcPr>
          <w:p w14:paraId="08AF27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三级指标</w:t>
            </w:r>
          </w:p>
        </w:tc>
        <w:tc>
          <w:tcPr>
            <w:tcW w:w="650" w:type="dxa"/>
            <w:tcBorders>
              <w:top w:val="single" w:color="auto" w:sz="8" w:space="0"/>
              <w:left w:val="single" w:color="auto" w:sz="8" w:space="0"/>
              <w:bottom w:val="single" w:color="auto" w:sz="8" w:space="0"/>
              <w:right w:val="single" w:color="auto" w:sz="8" w:space="0"/>
            </w:tcBorders>
            <w:noWrap w:val="0"/>
            <w:vAlign w:val="center"/>
          </w:tcPr>
          <w:p w14:paraId="794754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2884" w:type="dxa"/>
            <w:tcBorders>
              <w:top w:val="single" w:color="auto" w:sz="8" w:space="0"/>
              <w:left w:val="single" w:color="auto" w:sz="8" w:space="0"/>
              <w:bottom w:val="single" w:color="auto" w:sz="8" w:space="0"/>
              <w:right w:val="single" w:color="auto" w:sz="8" w:space="0"/>
            </w:tcBorders>
            <w:noWrap w:val="0"/>
            <w:vAlign w:val="center"/>
          </w:tcPr>
          <w:p w14:paraId="40744A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指标解释</w:t>
            </w:r>
          </w:p>
        </w:tc>
        <w:tc>
          <w:tcPr>
            <w:tcW w:w="842" w:type="dxa"/>
            <w:tcBorders>
              <w:top w:val="single" w:color="auto" w:sz="8" w:space="0"/>
              <w:left w:val="single" w:color="auto" w:sz="8" w:space="0"/>
              <w:bottom w:val="single" w:color="auto" w:sz="8" w:space="0"/>
              <w:right w:val="single" w:color="auto" w:sz="8" w:space="0"/>
            </w:tcBorders>
            <w:noWrap w:val="0"/>
            <w:vAlign w:val="center"/>
          </w:tcPr>
          <w:p w14:paraId="5E6A5A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标杆值</w:t>
            </w:r>
          </w:p>
        </w:tc>
        <w:tc>
          <w:tcPr>
            <w:tcW w:w="3788" w:type="dxa"/>
            <w:tcBorders>
              <w:top w:val="single" w:color="auto" w:sz="8" w:space="0"/>
              <w:left w:val="single" w:color="auto" w:sz="8" w:space="0"/>
              <w:bottom w:val="single" w:color="auto" w:sz="8" w:space="0"/>
              <w:right w:val="single" w:color="auto" w:sz="8" w:space="0"/>
            </w:tcBorders>
            <w:noWrap w:val="0"/>
            <w:vAlign w:val="center"/>
          </w:tcPr>
          <w:p w14:paraId="51DE9F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评分标准</w:t>
            </w:r>
          </w:p>
        </w:tc>
        <w:tc>
          <w:tcPr>
            <w:tcW w:w="861" w:type="dxa"/>
            <w:tcBorders>
              <w:top w:val="single" w:color="auto" w:sz="8" w:space="0"/>
              <w:left w:val="single" w:color="auto" w:sz="8" w:space="0"/>
              <w:bottom w:val="single" w:color="auto" w:sz="8" w:space="0"/>
              <w:right w:val="single" w:color="auto" w:sz="8" w:space="0"/>
            </w:tcBorders>
            <w:noWrap w:val="0"/>
            <w:vAlign w:val="center"/>
          </w:tcPr>
          <w:p w14:paraId="70F1B3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完成值</w:t>
            </w:r>
          </w:p>
        </w:tc>
        <w:tc>
          <w:tcPr>
            <w:tcW w:w="826" w:type="dxa"/>
            <w:tcBorders>
              <w:top w:val="single" w:color="auto" w:sz="8" w:space="0"/>
              <w:left w:val="single" w:color="auto" w:sz="8" w:space="0"/>
              <w:bottom w:val="single" w:color="auto" w:sz="8" w:space="0"/>
              <w:right w:val="single" w:color="auto" w:sz="8" w:space="0"/>
            </w:tcBorders>
            <w:noWrap w:val="0"/>
            <w:vAlign w:val="center"/>
          </w:tcPr>
          <w:p w14:paraId="583A94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r>
      <w:tr w14:paraId="66C56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8" w:hRule="atLeast"/>
        </w:trPr>
        <w:tc>
          <w:tcPr>
            <w:tcW w:w="507" w:type="dxa"/>
            <w:vMerge w:val="restart"/>
            <w:tcBorders>
              <w:top w:val="nil"/>
              <w:left w:val="single" w:color="auto" w:sz="8" w:space="0"/>
              <w:bottom w:val="single" w:color="auto" w:sz="8" w:space="0"/>
              <w:right w:val="single" w:color="auto" w:sz="8" w:space="0"/>
            </w:tcBorders>
            <w:noWrap w:val="0"/>
            <w:vAlign w:val="center"/>
          </w:tcPr>
          <w:p w14:paraId="707308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项目决策</w:t>
            </w:r>
          </w:p>
        </w:tc>
        <w:tc>
          <w:tcPr>
            <w:tcW w:w="584" w:type="dxa"/>
            <w:vMerge w:val="restart"/>
            <w:tcBorders>
              <w:top w:val="nil"/>
              <w:left w:val="single" w:color="auto" w:sz="8" w:space="0"/>
              <w:bottom w:val="single" w:color="auto" w:sz="8" w:space="0"/>
              <w:right w:val="single" w:color="auto" w:sz="8" w:space="0"/>
            </w:tcBorders>
            <w:noWrap w:val="0"/>
            <w:vAlign w:val="center"/>
          </w:tcPr>
          <w:p w14:paraId="19F4C4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23</w:t>
            </w:r>
          </w:p>
        </w:tc>
        <w:tc>
          <w:tcPr>
            <w:tcW w:w="507" w:type="dxa"/>
            <w:vMerge w:val="restart"/>
            <w:tcBorders>
              <w:top w:val="nil"/>
              <w:left w:val="single" w:color="auto" w:sz="8" w:space="0"/>
              <w:bottom w:val="single" w:color="auto" w:sz="8" w:space="0"/>
              <w:right w:val="single" w:color="auto" w:sz="8" w:space="0"/>
            </w:tcBorders>
            <w:noWrap w:val="0"/>
            <w:vAlign w:val="center"/>
          </w:tcPr>
          <w:p w14:paraId="0FA301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w:t>
            </w:r>
          </w:p>
        </w:tc>
        <w:tc>
          <w:tcPr>
            <w:tcW w:w="584" w:type="dxa"/>
            <w:vMerge w:val="restart"/>
            <w:tcBorders>
              <w:top w:val="nil"/>
              <w:left w:val="single" w:color="auto" w:sz="8" w:space="0"/>
              <w:bottom w:val="single" w:color="auto" w:sz="8" w:space="0"/>
              <w:right w:val="single" w:color="auto" w:sz="8" w:space="0"/>
            </w:tcBorders>
            <w:noWrap w:val="0"/>
            <w:vAlign w:val="center"/>
          </w:tcPr>
          <w:p w14:paraId="6D72E5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1239" w:type="dxa"/>
            <w:tcBorders>
              <w:top w:val="nil"/>
              <w:left w:val="single" w:color="auto" w:sz="8" w:space="0"/>
              <w:bottom w:val="single" w:color="auto" w:sz="8" w:space="0"/>
              <w:right w:val="single" w:color="auto" w:sz="8" w:space="0"/>
            </w:tcBorders>
            <w:noWrap w:val="0"/>
            <w:vAlign w:val="center"/>
          </w:tcPr>
          <w:p w14:paraId="05B273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立项依据充分性</w:t>
            </w:r>
          </w:p>
        </w:tc>
        <w:tc>
          <w:tcPr>
            <w:tcW w:w="650" w:type="dxa"/>
            <w:tcBorders>
              <w:top w:val="nil"/>
              <w:left w:val="single" w:color="auto" w:sz="8" w:space="0"/>
              <w:bottom w:val="single" w:color="auto" w:sz="8" w:space="0"/>
              <w:right w:val="single" w:color="auto" w:sz="8" w:space="0"/>
            </w:tcBorders>
            <w:noWrap w:val="0"/>
            <w:vAlign w:val="center"/>
          </w:tcPr>
          <w:p w14:paraId="0AFCF2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2884" w:type="dxa"/>
            <w:tcBorders>
              <w:top w:val="nil"/>
              <w:left w:val="single" w:color="auto" w:sz="8" w:space="0"/>
              <w:bottom w:val="single" w:color="auto" w:sz="8" w:space="0"/>
              <w:right w:val="single" w:color="auto" w:sz="8" w:space="0"/>
            </w:tcBorders>
            <w:noWrap w:val="0"/>
            <w:vAlign w:val="center"/>
          </w:tcPr>
          <w:p w14:paraId="379DB9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项目立项是否符合法律法规、相关政策、发展规划以及部门职责，用以反映和考核项目立项依据情况。</w:t>
            </w:r>
          </w:p>
        </w:tc>
        <w:tc>
          <w:tcPr>
            <w:tcW w:w="842" w:type="dxa"/>
            <w:tcBorders>
              <w:top w:val="nil"/>
              <w:left w:val="single" w:color="auto" w:sz="8" w:space="0"/>
              <w:bottom w:val="single" w:color="auto" w:sz="8" w:space="0"/>
              <w:right w:val="single" w:color="auto" w:sz="8" w:space="0"/>
            </w:tcBorders>
            <w:noWrap w:val="0"/>
            <w:vAlign w:val="center"/>
          </w:tcPr>
          <w:p w14:paraId="52412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3788" w:type="dxa"/>
            <w:tcBorders>
              <w:top w:val="nil"/>
              <w:left w:val="single" w:color="auto" w:sz="8" w:space="0"/>
              <w:bottom w:val="single" w:color="auto" w:sz="8" w:space="0"/>
              <w:right w:val="single" w:color="auto" w:sz="8" w:space="0"/>
            </w:tcBorders>
            <w:noWrap w:val="0"/>
            <w:vAlign w:val="center"/>
          </w:tcPr>
          <w:p w14:paraId="704BB7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①项目立项是否符合国家法律法规、国民经济发展规划和相关政策；</w:t>
            </w:r>
          </w:p>
          <w:p w14:paraId="406107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②项目立项是否符合行业发展规划和政策要求；</w:t>
            </w:r>
          </w:p>
          <w:p w14:paraId="0F0768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③项目立项是否与部门职责范围相符，属于部门履职所需；</w:t>
            </w:r>
          </w:p>
          <w:p w14:paraId="6D9B0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④项目是否属于公共财政支持范围，是否符合中央、地方事权支出责任划分原则；</w:t>
            </w:r>
          </w:p>
          <w:p w14:paraId="25A747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⑤项目是否与相关部门同类项目或部门内部相关项目重复。</w:t>
            </w:r>
          </w:p>
          <w:p w14:paraId="528FD0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以上每条要素占权重分的20%，每有一条不符合，扣除对应权重分，扣完为止。</w:t>
            </w:r>
          </w:p>
        </w:tc>
        <w:tc>
          <w:tcPr>
            <w:tcW w:w="861" w:type="dxa"/>
            <w:tcBorders>
              <w:top w:val="nil"/>
              <w:left w:val="single" w:color="auto" w:sz="8" w:space="0"/>
              <w:bottom w:val="single" w:color="auto" w:sz="8" w:space="0"/>
              <w:right w:val="single" w:color="auto" w:sz="8" w:space="0"/>
            </w:tcBorders>
            <w:noWrap w:val="0"/>
            <w:vAlign w:val="center"/>
          </w:tcPr>
          <w:p w14:paraId="203A89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826" w:type="dxa"/>
            <w:tcBorders>
              <w:top w:val="nil"/>
              <w:left w:val="single" w:color="auto" w:sz="8" w:space="0"/>
              <w:bottom w:val="single" w:color="auto" w:sz="8" w:space="0"/>
              <w:right w:val="single" w:color="auto" w:sz="8" w:space="0"/>
            </w:tcBorders>
            <w:noWrap w:val="0"/>
            <w:vAlign w:val="center"/>
          </w:tcPr>
          <w:p w14:paraId="1447EC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r>
      <w:tr w14:paraId="164E9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001FEA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4326DA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4AEE65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42AE57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8" w:space="0"/>
              <w:right w:val="single" w:color="auto" w:sz="8" w:space="0"/>
            </w:tcBorders>
            <w:noWrap w:val="0"/>
            <w:vAlign w:val="center"/>
          </w:tcPr>
          <w:p w14:paraId="648834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立项程序规范性</w:t>
            </w:r>
          </w:p>
        </w:tc>
        <w:tc>
          <w:tcPr>
            <w:tcW w:w="650" w:type="dxa"/>
            <w:tcBorders>
              <w:top w:val="nil"/>
              <w:left w:val="single" w:color="auto" w:sz="8" w:space="0"/>
              <w:bottom w:val="single" w:color="auto" w:sz="8" w:space="0"/>
              <w:right w:val="single" w:color="auto" w:sz="8" w:space="0"/>
            </w:tcBorders>
            <w:noWrap w:val="0"/>
            <w:vAlign w:val="center"/>
          </w:tcPr>
          <w:p w14:paraId="3FF317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2884" w:type="dxa"/>
            <w:tcBorders>
              <w:top w:val="nil"/>
              <w:left w:val="single" w:color="auto" w:sz="8" w:space="0"/>
              <w:bottom w:val="single" w:color="auto" w:sz="4" w:space="0"/>
              <w:right w:val="single" w:color="auto" w:sz="8" w:space="0"/>
            </w:tcBorders>
            <w:noWrap w:val="0"/>
            <w:vAlign w:val="center"/>
          </w:tcPr>
          <w:p w14:paraId="1AB1E2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项目申请、设立过程是否符合相关要求，用以反映和考核项目立项的规范情况。</w:t>
            </w:r>
          </w:p>
        </w:tc>
        <w:tc>
          <w:tcPr>
            <w:tcW w:w="842" w:type="dxa"/>
            <w:tcBorders>
              <w:top w:val="nil"/>
              <w:left w:val="single" w:color="auto" w:sz="8" w:space="0"/>
              <w:bottom w:val="single" w:color="auto" w:sz="4" w:space="0"/>
              <w:right w:val="single" w:color="auto" w:sz="8" w:space="0"/>
            </w:tcBorders>
            <w:noWrap w:val="0"/>
            <w:vAlign w:val="center"/>
          </w:tcPr>
          <w:p w14:paraId="45AE3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3788" w:type="dxa"/>
            <w:tcBorders>
              <w:top w:val="nil"/>
              <w:left w:val="single" w:color="auto" w:sz="8" w:space="0"/>
              <w:bottom w:val="single" w:color="auto" w:sz="4" w:space="0"/>
              <w:right w:val="single" w:color="auto" w:sz="8" w:space="0"/>
            </w:tcBorders>
            <w:noWrap w:val="0"/>
            <w:vAlign w:val="center"/>
          </w:tcPr>
          <w:p w14:paraId="181F7D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①项目是否按照规定的程序申请设立；</w:t>
            </w:r>
          </w:p>
          <w:p w14:paraId="76478C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②审批文件、材料是否符合相关要求；</w:t>
            </w:r>
          </w:p>
          <w:p w14:paraId="633407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③事前是否已经过必要的可行性研究、专家论证、风险评估、绩效评估、集体决策。</w:t>
            </w:r>
          </w:p>
          <w:p w14:paraId="72F996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①②③齐全得权重分的100%，缺①扣权重分的40%，缺②扣权重分的30%，缺③扣权重分的30%。</w:t>
            </w:r>
          </w:p>
        </w:tc>
        <w:tc>
          <w:tcPr>
            <w:tcW w:w="861" w:type="dxa"/>
            <w:tcBorders>
              <w:top w:val="nil"/>
              <w:left w:val="single" w:color="auto" w:sz="8" w:space="0"/>
              <w:bottom w:val="single" w:color="auto" w:sz="8" w:space="0"/>
              <w:right w:val="single" w:color="auto" w:sz="8" w:space="0"/>
            </w:tcBorders>
            <w:noWrap w:val="0"/>
            <w:vAlign w:val="center"/>
          </w:tcPr>
          <w:p w14:paraId="2B7BF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826" w:type="dxa"/>
            <w:tcBorders>
              <w:top w:val="nil"/>
              <w:left w:val="single" w:color="auto" w:sz="8" w:space="0"/>
              <w:bottom w:val="single" w:color="auto" w:sz="8" w:space="0"/>
              <w:right w:val="single" w:color="auto" w:sz="8" w:space="0"/>
            </w:tcBorders>
            <w:noWrap w:val="0"/>
            <w:vAlign w:val="center"/>
          </w:tcPr>
          <w:p w14:paraId="1E865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2D92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2E258E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2348B7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restart"/>
            <w:tcBorders>
              <w:top w:val="nil"/>
              <w:left w:val="single" w:color="auto" w:sz="8" w:space="0"/>
              <w:bottom w:val="single" w:color="auto" w:sz="8" w:space="0"/>
              <w:right w:val="single" w:color="auto" w:sz="8" w:space="0"/>
            </w:tcBorders>
            <w:noWrap w:val="0"/>
            <w:vAlign w:val="center"/>
          </w:tcPr>
          <w:p w14:paraId="56DFFC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w:t>
            </w:r>
          </w:p>
        </w:tc>
        <w:tc>
          <w:tcPr>
            <w:tcW w:w="584" w:type="dxa"/>
            <w:vMerge w:val="restart"/>
            <w:tcBorders>
              <w:top w:val="nil"/>
              <w:left w:val="single" w:color="auto" w:sz="8" w:space="0"/>
              <w:bottom w:val="single" w:color="auto" w:sz="8" w:space="0"/>
              <w:right w:val="single" w:color="auto" w:sz="8" w:space="0"/>
            </w:tcBorders>
            <w:noWrap w:val="0"/>
            <w:vAlign w:val="center"/>
          </w:tcPr>
          <w:p w14:paraId="130CB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1239" w:type="dxa"/>
            <w:tcBorders>
              <w:top w:val="nil"/>
              <w:left w:val="single" w:color="auto" w:sz="8" w:space="0"/>
              <w:bottom w:val="single" w:color="auto" w:sz="8" w:space="0"/>
              <w:right w:val="single" w:color="auto" w:sz="8" w:space="0"/>
            </w:tcBorders>
            <w:noWrap w:val="0"/>
            <w:vAlign w:val="center"/>
          </w:tcPr>
          <w:p w14:paraId="128577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绩效目标合理性</w:t>
            </w:r>
          </w:p>
        </w:tc>
        <w:tc>
          <w:tcPr>
            <w:tcW w:w="650" w:type="dxa"/>
            <w:tcBorders>
              <w:top w:val="nil"/>
              <w:left w:val="single" w:color="auto" w:sz="8" w:space="0"/>
              <w:bottom w:val="single" w:color="auto" w:sz="8" w:space="0"/>
              <w:right w:val="single" w:color="auto" w:sz="4" w:space="0"/>
            </w:tcBorders>
            <w:noWrap w:val="0"/>
            <w:vAlign w:val="center"/>
          </w:tcPr>
          <w:p w14:paraId="69E009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2884" w:type="dxa"/>
            <w:tcBorders>
              <w:top w:val="single" w:color="auto" w:sz="4" w:space="0"/>
              <w:left w:val="single" w:color="auto" w:sz="4" w:space="0"/>
              <w:bottom w:val="single" w:color="auto" w:sz="4" w:space="0"/>
              <w:right w:val="single" w:color="auto" w:sz="8" w:space="0"/>
            </w:tcBorders>
            <w:noWrap w:val="0"/>
            <w:vAlign w:val="center"/>
          </w:tcPr>
          <w:p w14:paraId="696986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项目所设定的绩效目标是否依据充分，是否符合客观实际，用以反映和考核项目绩效目标与项目实施的相符情况。</w:t>
            </w:r>
          </w:p>
        </w:tc>
        <w:tc>
          <w:tcPr>
            <w:tcW w:w="842" w:type="dxa"/>
            <w:tcBorders>
              <w:top w:val="single" w:color="auto" w:sz="4" w:space="0"/>
              <w:left w:val="single" w:color="auto" w:sz="8" w:space="0"/>
              <w:bottom w:val="single" w:color="auto" w:sz="4" w:space="0"/>
              <w:right w:val="single" w:color="auto" w:sz="8" w:space="0"/>
            </w:tcBorders>
            <w:noWrap w:val="0"/>
            <w:vAlign w:val="center"/>
          </w:tcPr>
          <w:p w14:paraId="3CB2BB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788" w:type="dxa"/>
            <w:tcBorders>
              <w:top w:val="single" w:color="auto" w:sz="4" w:space="0"/>
              <w:left w:val="single" w:color="auto" w:sz="8" w:space="0"/>
              <w:bottom w:val="single" w:color="auto" w:sz="4" w:space="0"/>
              <w:right w:val="single" w:color="auto" w:sz="4" w:space="0"/>
            </w:tcBorders>
            <w:noWrap w:val="0"/>
            <w:vAlign w:val="center"/>
          </w:tcPr>
          <w:p w14:paraId="57D5B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①项目是否有绩效目标；</w:t>
            </w:r>
          </w:p>
          <w:p w14:paraId="612193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②项目绩效目标与实际工作内容是否具有相关性；</w:t>
            </w:r>
          </w:p>
          <w:p w14:paraId="3F2B4D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③项目预期产出效益和效果是否符合正常的业绩水平；</w:t>
            </w:r>
          </w:p>
          <w:p w14:paraId="086F0A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④是否与预算确定的项目投资额或资金量相匹配。</w:t>
            </w:r>
          </w:p>
          <w:p w14:paraId="57DE4B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861" w:type="dxa"/>
            <w:tcBorders>
              <w:top w:val="nil"/>
              <w:left w:val="single" w:color="auto" w:sz="4" w:space="0"/>
              <w:bottom w:val="single" w:color="auto" w:sz="8" w:space="0"/>
              <w:right w:val="single" w:color="auto" w:sz="8" w:space="0"/>
            </w:tcBorders>
            <w:noWrap w:val="0"/>
            <w:vAlign w:val="center"/>
          </w:tcPr>
          <w:p w14:paraId="1614AC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826" w:type="dxa"/>
            <w:tcBorders>
              <w:top w:val="nil"/>
              <w:left w:val="single" w:color="auto" w:sz="8" w:space="0"/>
              <w:bottom w:val="single" w:color="auto" w:sz="8" w:space="0"/>
              <w:right w:val="single" w:color="auto" w:sz="8" w:space="0"/>
            </w:tcBorders>
            <w:noWrap w:val="0"/>
            <w:vAlign w:val="center"/>
          </w:tcPr>
          <w:p w14:paraId="051DEC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2E293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687DAE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5F9CC0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54CFD4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0E48E0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8" w:space="0"/>
              <w:right w:val="single" w:color="auto" w:sz="8" w:space="0"/>
            </w:tcBorders>
            <w:noWrap w:val="0"/>
            <w:vAlign w:val="center"/>
          </w:tcPr>
          <w:p w14:paraId="5FC073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绩效指标明确性</w:t>
            </w:r>
          </w:p>
        </w:tc>
        <w:tc>
          <w:tcPr>
            <w:tcW w:w="650" w:type="dxa"/>
            <w:tcBorders>
              <w:top w:val="nil"/>
              <w:left w:val="single" w:color="auto" w:sz="8" w:space="0"/>
              <w:bottom w:val="single" w:color="auto" w:sz="8" w:space="0"/>
              <w:right w:val="single" w:color="auto" w:sz="8" w:space="0"/>
            </w:tcBorders>
            <w:noWrap w:val="0"/>
            <w:vAlign w:val="center"/>
          </w:tcPr>
          <w:p w14:paraId="35ED4F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2884" w:type="dxa"/>
            <w:tcBorders>
              <w:top w:val="single" w:color="auto" w:sz="4" w:space="0"/>
              <w:left w:val="single" w:color="auto" w:sz="8" w:space="0"/>
              <w:bottom w:val="single" w:color="auto" w:sz="8" w:space="0"/>
              <w:right w:val="single" w:color="auto" w:sz="8" w:space="0"/>
            </w:tcBorders>
            <w:noWrap w:val="0"/>
            <w:vAlign w:val="center"/>
          </w:tcPr>
          <w:p w14:paraId="5D1B6F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依据绩效目标设定的绩效指标是否清晰、细化、可衡量等，用以反映和考核项目绩效目标的明细化情况。</w:t>
            </w:r>
          </w:p>
        </w:tc>
        <w:tc>
          <w:tcPr>
            <w:tcW w:w="842" w:type="dxa"/>
            <w:tcBorders>
              <w:top w:val="single" w:color="auto" w:sz="4" w:space="0"/>
              <w:left w:val="single" w:color="auto" w:sz="8" w:space="0"/>
              <w:bottom w:val="single" w:color="auto" w:sz="8" w:space="0"/>
              <w:right w:val="single" w:color="auto" w:sz="8" w:space="0"/>
            </w:tcBorders>
            <w:noWrap w:val="0"/>
            <w:vAlign w:val="center"/>
          </w:tcPr>
          <w:p w14:paraId="080036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3788" w:type="dxa"/>
            <w:tcBorders>
              <w:top w:val="single" w:color="auto" w:sz="4" w:space="0"/>
              <w:left w:val="single" w:color="auto" w:sz="8" w:space="0"/>
              <w:bottom w:val="single" w:color="auto" w:sz="8" w:space="0"/>
              <w:right w:val="single" w:color="auto" w:sz="8" w:space="0"/>
            </w:tcBorders>
            <w:noWrap w:val="0"/>
            <w:vAlign w:val="center"/>
          </w:tcPr>
          <w:p w14:paraId="740E7B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①是否将项目绩效目标细化分解为具体的绩效指标；</w:t>
            </w:r>
          </w:p>
          <w:p w14:paraId="50B4BB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②是否通过清晰、可衡量的指标值予以体现；</w:t>
            </w:r>
          </w:p>
          <w:p w14:paraId="4F97C9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③是否与项目目标任务数或计划数相对应。</w:t>
            </w:r>
          </w:p>
          <w:p w14:paraId="0A184D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①②③齐全得权重分的100%，缺①扣权重分的20%，缺②扣权重分的50%，缺③扣权重分的30%。</w:t>
            </w:r>
          </w:p>
        </w:tc>
        <w:tc>
          <w:tcPr>
            <w:tcW w:w="861" w:type="dxa"/>
            <w:tcBorders>
              <w:top w:val="nil"/>
              <w:left w:val="single" w:color="auto" w:sz="8" w:space="0"/>
              <w:bottom w:val="single" w:color="auto" w:sz="8" w:space="0"/>
              <w:right w:val="single" w:color="auto" w:sz="8" w:space="0"/>
            </w:tcBorders>
            <w:noWrap w:val="0"/>
            <w:vAlign w:val="center"/>
          </w:tcPr>
          <w:p w14:paraId="6B85E8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826" w:type="dxa"/>
            <w:tcBorders>
              <w:top w:val="nil"/>
              <w:left w:val="single" w:color="auto" w:sz="8" w:space="0"/>
              <w:bottom w:val="single" w:color="auto" w:sz="8" w:space="0"/>
              <w:right w:val="single" w:color="auto" w:sz="8" w:space="0"/>
            </w:tcBorders>
            <w:noWrap w:val="0"/>
            <w:vAlign w:val="center"/>
          </w:tcPr>
          <w:p w14:paraId="6A83E4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41ED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9"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35CB98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0CE4F4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restart"/>
            <w:tcBorders>
              <w:top w:val="nil"/>
              <w:left w:val="single" w:color="auto" w:sz="8" w:space="0"/>
              <w:bottom w:val="single" w:color="auto" w:sz="8" w:space="0"/>
              <w:right w:val="single" w:color="auto" w:sz="8" w:space="0"/>
            </w:tcBorders>
            <w:noWrap w:val="0"/>
            <w:vAlign w:val="center"/>
          </w:tcPr>
          <w:p w14:paraId="7E84C8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资金投入</w:t>
            </w:r>
          </w:p>
        </w:tc>
        <w:tc>
          <w:tcPr>
            <w:tcW w:w="584" w:type="dxa"/>
            <w:vMerge w:val="restart"/>
            <w:tcBorders>
              <w:top w:val="nil"/>
              <w:left w:val="single" w:color="auto" w:sz="8" w:space="0"/>
              <w:bottom w:val="single" w:color="auto" w:sz="8" w:space="0"/>
              <w:right w:val="single" w:color="auto" w:sz="8" w:space="0"/>
            </w:tcBorders>
            <w:noWrap w:val="0"/>
            <w:vAlign w:val="center"/>
          </w:tcPr>
          <w:p w14:paraId="4A24F6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8</w:t>
            </w:r>
          </w:p>
        </w:tc>
        <w:tc>
          <w:tcPr>
            <w:tcW w:w="1239" w:type="dxa"/>
            <w:tcBorders>
              <w:top w:val="nil"/>
              <w:left w:val="single" w:color="auto" w:sz="8" w:space="0"/>
              <w:bottom w:val="single" w:color="auto" w:sz="8" w:space="0"/>
              <w:right w:val="single" w:color="auto" w:sz="8" w:space="0"/>
            </w:tcBorders>
            <w:noWrap w:val="0"/>
            <w:vAlign w:val="center"/>
          </w:tcPr>
          <w:p w14:paraId="10473B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预算编制科学性</w:t>
            </w:r>
          </w:p>
        </w:tc>
        <w:tc>
          <w:tcPr>
            <w:tcW w:w="650" w:type="dxa"/>
            <w:tcBorders>
              <w:top w:val="nil"/>
              <w:left w:val="single" w:color="auto" w:sz="8" w:space="0"/>
              <w:bottom w:val="single" w:color="auto" w:sz="8" w:space="0"/>
              <w:right w:val="single" w:color="auto" w:sz="8" w:space="0"/>
            </w:tcBorders>
            <w:noWrap w:val="0"/>
            <w:vAlign w:val="center"/>
          </w:tcPr>
          <w:p w14:paraId="6FB98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2884" w:type="dxa"/>
            <w:tcBorders>
              <w:top w:val="nil"/>
              <w:left w:val="single" w:color="auto" w:sz="8" w:space="0"/>
              <w:bottom w:val="single" w:color="auto" w:sz="8" w:space="0"/>
              <w:right w:val="single" w:color="auto" w:sz="8" w:space="0"/>
            </w:tcBorders>
            <w:noWrap w:val="0"/>
            <w:vAlign w:val="center"/>
          </w:tcPr>
          <w:p w14:paraId="70C002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项目预算编制是否经过科学论证、有明确标准，资金额度与年度目标是否相适应，用以反映和考核项目预算编制的科学性、合理性情况。</w:t>
            </w:r>
          </w:p>
        </w:tc>
        <w:tc>
          <w:tcPr>
            <w:tcW w:w="842" w:type="dxa"/>
            <w:tcBorders>
              <w:top w:val="nil"/>
              <w:left w:val="single" w:color="auto" w:sz="8" w:space="0"/>
              <w:bottom w:val="single" w:color="auto" w:sz="8" w:space="0"/>
              <w:right w:val="single" w:color="auto" w:sz="8" w:space="0"/>
            </w:tcBorders>
            <w:noWrap w:val="0"/>
            <w:vAlign w:val="center"/>
          </w:tcPr>
          <w:p w14:paraId="3314DE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3788" w:type="dxa"/>
            <w:tcBorders>
              <w:top w:val="nil"/>
              <w:left w:val="single" w:color="auto" w:sz="8" w:space="0"/>
              <w:bottom w:val="single" w:color="auto" w:sz="8" w:space="0"/>
              <w:right w:val="single" w:color="auto" w:sz="8" w:space="0"/>
            </w:tcBorders>
            <w:noWrap w:val="0"/>
            <w:vAlign w:val="center"/>
          </w:tcPr>
          <w:p w14:paraId="76A779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①预算编制是否经过科学论证；</w:t>
            </w:r>
          </w:p>
          <w:p w14:paraId="6AC80F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②预算内容与项目内容是否匹配；</w:t>
            </w:r>
          </w:p>
          <w:p w14:paraId="59D14F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③预算额度测算依据是否充分，是否按照标准编制；</w:t>
            </w:r>
          </w:p>
          <w:p w14:paraId="33C28D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④预算确定的项目投资额或资金量是否与工作任务相匹配。</w:t>
            </w:r>
          </w:p>
          <w:p w14:paraId="2DA871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861" w:type="dxa"/>
            <w:tcBorders>
              <w:top w:val="nil"/>
              <w:left w:val="single" w:color="auto" w:sz="8" w:space="0"/>
              <w:bottom w:val="single" w:color="auto" w:sz="8" w:space="0"/>
              <w:right w:val="single" w:color="auto" w:sz="8" w:space="0"/>
            </w:tcBorders>
            <w:noWrap w:val="0"/>
            <w:vAlign w:val="center"/>
          </w:tcPr>
          <w:p w14:paraId="1F094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826" w:type="dxa"/>
            <w:tcBorders>
              <w:top w:val="nil"/>
              <w:left w:val="single" w:color="auto" w:sz="8" w:space="0"/>
              <w:bottom w:val="single" w:color="auto" w:sz="8" w:space="0"/>
              <w:right w:val="single" w:color="auto" w:sz="8" w:space="0"/>
            </w:tcBorders>
            <w:noWrap w:val="0"/>
            <w:vAlign w:val="center"/>
          </w:tcPr>
          <w:p w14:paraId="6ADB4C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62E0F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2A2AAC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36BD8E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0F7340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3FDAD8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8" w:space="0"/>
              <w:right w:val="single" w:color="auto" w:sz="8" w:space="0"/>
            </w:tcBorders>
            <w:noWrap w:val="0"/>
            <w:vAlign w:val="center"/>
          </w:tcPr>
          <w:p w14:paraId="0FA636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资金分配合理性</w:t>
            </w:r>
          </w:p>
        </w:tc>
        <w:tc>
          <w:tcPr>
            <w:tcW w:w="650" w:type="dxa"/>
            <w:tcBorders>
              <w:top w:val="nil"/>
              <w:left w:val="single" w:color="auto" w:sz="8" w:space="0"/>
              <w:bottom w:val="single" w:color="auto" w:sz="8" w:space="0"/>
              <w:right w:val="single" w:color="auto" w:sz="8" w:space="0"/>
            </w:tcBorders>
            <w:noWrap w:val="0"/>
            <w:vAlign w:val="center"/>
          </w:tcPr>
          <w:p w14:paraId="4C364D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2884" w:type="dxa"/>
            <w:tcBorders>
              <w:top w:val="nil"/>
              <w:left w:val="single" w:color="auto" w:sz="8" w:space="0"/>
              <w:bottom w:val="single" w:color="auto" w:sz="8" w:space="0"/>
              <w:right w:val="single" w:color="auto" w:sz="8" w:space="0"/>
            </w:tcBorders>
            <w:noWrap w:val="0"/>
            <w:vAlign w:val="center"/>
          </w:tcPr>
          <w:p w14:paraId="07040A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项目预算资金分配是否有测算依据，与补助单位或地方实际是否相适应，用以反映和考核项目预算资金分配的科学性、合理性情况。</w:t>
            </w:r>
          </w:p>
        </w:tc>
        <w:tc>
          <w:tcPr>
            <w:tcW w:w="842" w:type="dxa"/>
            <w:tcBorders>
              <w:top w:val="nil"/>
              <w:left w:val="single" w:color="auto" w:sz="8" w:space="0"/>
              <w:bottom w:val="single" w:color="auto" w:sz="8" w:space="0"/>
              <w:right w:val="single" w:color="auto" w:sz="8" w:space="0"/>
            </w:tcBorders>
            <w:noWrap w:val="0"/>
            <w:vAlign w:val="center"/>
          </w:tcPr>
          <w:p w14:paraId="4456C4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788" w:type="dxa"/>
            <w:tcBorders>
              <w:top w:val="nil"/>
              <w:left w:val="single" w:color="auto" w:sz="8" w:space="0"/>
              <w:bottom w:val="single" w:color="auto" w:sz="8" w:space="0"/>
              <w:right w:val="single" w:color="auto" w:sz="8" w:space="0"/>
            </w:tcBorders>
            <w:noWrap w:val="0"/>
            <w:vAlign w:val="center"/>
          </w:tcPr>
          <w:p w14:paraId="27BD0A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①预算资金分配依据是否充分；</w:t>
            </w:r>
          </w:p>
          <w:p w14:paraId="052572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②资金分配额度是否合理，与项目单位或地方实际是否相适应。</w:t>
            </w:r>
          </w:p>
          <w:p w14:paraId="434C30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861" w:type="dxa"/>
            <w:tcBorders>
              <w:top w:val="nil"/>
              <w:left w:val="single" w:color="auto" w:sz="8" w:space="0"/>
              <w:bottom w:val="single" w:color="auto" w:sz="8" w:space="0"/>
              <w:right w:val="single" w:color="auto" w:sz="8" w:space="0"/>
            </w:tcBorders>
            <w:noWrap w:val="0"/>
            <w:vAlign w:val="center"/>
          </w:tcPr>
          <w:p w14:paraId="00DAC4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826" w:type="dxa"/>
            <w:tcBorders>
              <w:top w:val="nil"/>
              <w:left w:val="single" w:color="auto" w:sz="8" w:space="0"/>
              <w:bottom w:val="single" w:color="auto" w:sz="8" w:space="0"/>
              <w:right w:val="single" w:color="auto" w:sz="8" w:space="0"/>
            </w:tcBorders>
            <w:noWrap w:val="0"/>
            <w:vAlign w:val="center"/>
          </w:tcPr>
          <w:p w14:paraId="6454E4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3BB83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07" w:type="dxa"/>
            <w:vMerge w:val="restart"/>
            <w:tcBorders>
              <w:top w:val="nil"/>
              <w:left w:val="single" w:color="auto" w:sz="8" w:space="0"/>
              <w:bottom w:val="single" w:color="auto" w:sz="8" w:space="0"/>
              <w:right w:val="single" w:color="auto" w:sz="8" w:space="0"/>
            </w:tcBorders>
            <w:noWrap w:val="0"/>
            <w:vAlign w:val="center"/>
          </w:tcPr>
          <w:p w14:paraId="40C081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项目过程</w:t>
            </w:r>
          </w:p>
        </w:tc>
        <w:tc>
          <w:tcPr>
            <w:tcW w:w="584" w:type="dxa"/>
            <w:vMerge w:val="restart"/>
            <w:tcBorders>
              <w:top w:val="nil"/>
              <w:left w:val="single" w:color="auto" w:sz="8" w:space="0"/>
              <w:bottom w:val="single" w:color="auto" w:sz="8" w:space="0"/>
              <w:right w:val="single" w:color="auto" w:sz="8" w:space="0"/>
            </w:tcBorders>
            <w:noWrap w:val="0"/>
            <w:vAlign w:val="center"/>
          </w:tcPr>
          <w:p w14:paraId="62F705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12</w:t>
            </w:r>
          </w:p>
        </w:tc>
        <w:tc>
          <w:tcPr>
            <w:tcW w:w="507" w:type="dxa"/>
            <w:vMerge w:val="restart"/>
            <w:tcBorders>
              <w:top w:val="nil"/>
              <w:left w:val="single" w:color="auto" w:sz="8" w:space="0"/>
              <w:bottom w:val="single" w:color="auto" w:sz="8" w:space="0"/>
              <w:right w:val="single" w:color="auto" w:sz="8" w:space="0"/>
            </w:tcBorders>
            <w:noWrap w:val="0"/>
            <w:vAlign w:val="center"/>
          </w:tcPr>
          <w:p w14:paraId="2467E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资金管理</w:t>
            </w:r>
          </w:p>
        </w:tc>
        <w:tc>
          <w:tcPr>
            <w:tcW w:w="584" w:type="dxa"/>
            <w:vMerge w:val="restart"/>
            <w:tcBorders>
              <w:top w:val="nil"/>
              <w:left w:val="single" w:color="auto" w:sz="8" w:space="0"/>
              <w:bottom w:val="single" w:color="auto" w:sz="8" w:space="0"/>
              <w:right w:val="single" w:color="auto" w:sz="8" w:space="0"/>
            </w:tcBorders>
            <w:noWrap w:val="0"/>
            <w:vAlign w:val="center"/>
          </w:tcPr>
          <w:p w14:paraId="21BA09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1239" w:type="dxa"/>
            <w:tcBorders>
              <w:top w:val="nil"/>
              <w:left w:val="single" w:color="auto" w:sz="8" w:space="0"/>
              <w:bottom w:val="single" w:color="auto" w:sz="4" w:space="0"/>
              <w:right w:val="single" w:color="auto" w:sz="8" w:space="0"/>
            </w:tcBorders>
            <w:noWrap w:val="0"/>
            <w:vAlign w:val="center"/>
          </w:tcPr>
          <w:p w14:paraId="68F307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w:t>
            </w:r>
          </w:p>
        </w:tc>
        <w:tc>
          <w:tcPr>
            <w:tcW w:w="650" w:type="dxa"/>
            <w:tcBorders>
              <w:top w:val="nil"/>
              <w:left w:val="single" w:color="auto" w:sz="8" w:space="0"/>
              <w:bottom w:val="single" w:color="auto" w:sz="4" w:space="0"/>
              <w:right w:val="single" w:color="auto" w:sz="8" w:space="0"/>
            </w:tcBorders>
            <w:noWrap w:val="0"/>
            <w:vAlign w:val="center"/>
          </w:tcPr>
          <w:p w14:paraId="78739E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c>
          <w:tcPr>
            <w:tcW w:w="2884" w:type="dxa"/>
            <w:tcBorders>
              <w:top w:val="nil"/>
              <w:left w:val="single" w:color="auto" w:sz="8" w:space="0"/>
              <w:bottom w:val="single" w:color="auto" w:sz="4" w:space="0"/>
              <w:right w:val="single" w:color="auto" w:sz="8" w:space="0"/>
            </w:tcBorders>
            <w:noWrap w:val="0"/>
            <w:vAlign w:val="center"/>
          </w:tcPr>
          <w:p w14:paraId="0C2B57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实际到位资金与预算资金的比率，用以反映和考核资金落实情况对项目实施的总体保障程度。</w:t>
            </w:r>
          </w:p>
        </w:tc>
        <w:tc>
          <w:tcPr>
            <w:tcW w:w="842" w:type="dxa"/>
            <w:tcBorders>
              <w:top w:val="nil"/>
              <w:left w:val="single" w:color="auto" w:sz="8" w:space="0"/>
              <w:bottom w:val="single" w:color="auto" w:sz="4" w:space="0"/>
              <w:right w:val="single" w:color="auto" w:sz="8" w:space="0"/>
            </w:tcBorders>
            <w:noWrap w:val="0"/>
            <w:vAlign w:val="center"/>
          </w:tcPr>
          <w:p w14:paraId="52F056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788" w:type="dxa"/>
            <w:tcBorders>
              <w:top w:val="nil"/>
              <w:left w:val="single" w:color="auto" w:sz="8" w:space="0"/>
              <w:bottom w:val="single" w:color="auto" w:sz="4" w:space="0"/>
              <w:right w:val="single" w:color="auto" w:sz="8" w:space="0"/>
            </w:tcBorders>
            <w:noWrap w:val="0"/>
            <w:vAlign w:val="center"/>
          </w:tcPr>
          <w:p w14:paraId="57E588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资金到位率=（实际到位资金/预算资金）×100%。</w:t>
            </w:r>
          </w:p>
          <w:p w14:paraId="253D4B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资金到位率=100%，得权重分满分，每降低1%，扣除5%权重分，扣完为止。</w:t>
            </w:r>
          </w:p>
        </w:tc>
        <w:tc>
          <w:tcPr>
            <w:tcW w:w="861" w:type="dxa"/>
            <w:tcBorders>
              <w:top w:val="nil"/>
              <w:left w:val="single" w:color="auto" w:sz="8" w:space="0"/>
              <w:bottom w:val="single" w:color="auto" w:sz="4" w:space="0"/>
              <w:right w:val="single" w:color="auto" w:sz="8" w:space="0"/>
            </w:tcBorders>
            <w:noWrap w:val="0"/>
            <w:vAlign w:val="center"/>
          </w:tcPr>
          <w:p w14:paraId="547DC2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826" w:type="dxa"/>
            <w:tcBorders>
              <w:top w:val="nil"/>
              <w:left w:val="single" w:color="auto" w:sz="8" w:space="0"/>
              <w:bottom w:val="single" w:color="auto" w:sz="4" w:space="0"/>
              <w:right w:val="single" w:color="auto" w:sz="8" w:space="0"/>
            </w:tcBorders>
            <w:noWrap w:val="0"/>
            <w:vAlign w:val="center"/>
          </w:tcPr>
          <w:p w14:paraId="0C2172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r>
      <w:tr w14:paraId="64E58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71B4EA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7C4AEA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0FF4AF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4" w:space="0"/>
            </w:tcBorders>
            <w:noWrap w:val="0"/>
            <w:vAlign w:val="center"/>
          </w:tcPr>
          <w:p w14:paraId="7B61E4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single" w:color="auto" w:sz="4" w:space="0"/>
              <w:left w:val="single" w:color="auto" w:sz="4" w:space="0"/>
              <w:bottom w:val="single" w:color="auto" w:sz="4" w:space="0"/>
              <w:right w:val="single" w:color="auto" w:sz="8" w:space="0"/>
            </w:tcBorders>
            <w:noWrap w:val="0"/>
            <w:vAlign w:val="center"/>
          </w:tcPr>
          <w:p w14:paraId="112324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w:t>
            </w:r>
          </w:p>
        </w:tc>
        <w:tc>
          <w:tcPr>
            <w:tcW w:w="650" w:type="dxa"/>
            <w:tcBorders>
              <w:top w:val="single" w:color="auto" w:sz="4" w:space="0"/>
              <w:left w:val="single" w:color="auto" w:sz="8" w:space="0"/>
              <w:bottom w:val="single" w:color="auto" w:sz="4" w:space="0"/>
              <w:right w:val="single" w:color="auto" w:sz="8" w:space="0"/>
            </w:tcBorders>
            <w:noWrap w:val="0"/>
            <w:vAlign w:val="center"/>
          </w:tcPr>
          <w:p w14:paraId="6C034B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2884" w:type="dxa"/>
            <w:tcBorders>
              <w:top w:val="single" w:color="auto" w:sz="4" w:space="0"/>
              <w:left w:val="single" w:color="auto" w:sz="8" w:space="0"/>
              <w:bottom w:val="single" w:color="auto" w:sz="4" w:space="0"/>
              <w:right w:val="single" w:color="auto" w:sz="8" w:space="0"/>
            </w:tcBorders>
            <w:noWrap w:val="0"/>
            <w:vAlign w:val="center"/>
          </w:tcPr>
          <w:p w14:paraId="0CEB8F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项目预算资金是否按照计划执行，用以反映或考核项目预算执行情况。</w:t>
            </w:r>
          </w:p>
        </w:tc>
        <w:tc>
          <w:tcPr>
            <w:tcW w:w="842" w:type="dxa"/>
            <w:tcBorders>
              <w:top w:val="single" w:color="auto" w:sz="4" w:space="0"/>
              <w:left w:val="single" w:color="auto" w:sz="8" w:space="0"/>
              <w:bottom w:val="single" w:color="auto" w:sz="4" w:space="0"/>
              <w:right w:val="single" w:color="auto" w:sz="8" w:space="0"/>
            </w:tcBorders>
            <w:noWrap w:val="0"/>
            <w:vAlign w:val="center"/>
          </w:tcPr>
          <w:p w14:paraId="3ED5B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788" w:type="dxa"/>
            <w:tcBorders>
              <w:top w:val="single" w:color="auto" w:sz="4" w:space="0"/>
              <w:left w:val="single" w:color="auto" w:sz="8" w:space="0"/>
              <w:bottom w:val="single" w:color="auto" w:sz="8" w:space="0"/>
              <w:right w:val="single" w:color="auto" w:sz="8" w:space="0"/>
            </w:tcBorders>
            <w:noWrap w:val="0"/>
            <w:vAlign w:val="center"/>
          </w:tcPr>
          <w:p w14:paraId="69F1C9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预算执行率=（实际支出资金/实际到位资金）×100%。</w:t>
            </w:r>
          </w:p>
          <w:p w14:paraId="11EC05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预算执行率=100%，得权重分满分；若预算执行率＜100%，得分=预算执行率*分值；若执行率≤60%，则不得分。</w:t>
            </w:r>
          </w:p>
        </w:tc>
        <w:tc>
          <w:tcPr>
            <w:tcW w:w="861" w:type="dxa"/>
            <w:tcBorders>
              <w:top w:val="single" w:color="auto" w:sz="4" w:space="0"/>
              <w:left w:val="single" w:color="auto" w:sz="8" w:space="0"/>
              <w:bottom w:val="single" w:color="auto" w:sz="4" w:space="0"/>
              <w:right w:val="single" w:color="auto" w:sz="8" w:space="0"/>
            </w:tcBorders>
            <w:noWrap w:val="0"/>
            <w:vAlign w:val="center"/>
          </w:tcPr>
          <w:p w14:paraId="066F22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826" w:type="dxa"/>
            <w:tcBorders>
              <w:top w:val="single" w:color="auto" w:sz="4" w:space="0"/>
              <w:left w:val="single" w:color="auto" w:sz="8" w:space="0"/>
              <w:bottom w:val="single" w:color="auto" w:sz="4" w:space="0"/>
              <w:right w:val="single" w:color="auto" w:sz="4" w:space="0"/>
            </w:tcBorders>
            <w:noWrap w:val="0"/>
            <w:vAlign w:val="center"/>
          </w:tcPr>
          <w:p w14:paraId="04B51A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r>
      <w:tr w14:paraId="67DC5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580228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6CC325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3D00D3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218EE2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8" w:space="0"/>
              <w:right w:val="single" w:color="auto" w:sz="8" w:space="0"/>
            </w:tcBorders>
            <w:noWrap w:val="0"/>
            <w:vAlign w:val="center"/>
          </w:tcPr>
          <w:p w14:paraId="13D125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资金使用合规性</w:t>
            </w:r>
          </w:p>
        </w:tc>
        <w:tc>
          <w:tcPr>
            <w:tcW w:w="650" w:type="dxa"/>
            <w:tcBorders>
              <w:top w:val="nil"/>
              <w:left w:val="single" w:color="auto" w:sz="8" w:space="0"/>
              <w:bottom w:val="single" w:color="auto" w:sz="8" w:space="0"/>
              <w:right w:val="single" w:color="auto" w:sz="8" w:space="0"/>
            </w:tcBorders>
            <w:noWrap w:val="0"/>
            <w:vAlign w:val="center"/>
          </w:tcPr>
          <w:p w14:paraId="3F12D8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2884" w:type="dxa"/>
            <w:tcBorders>
              <w:top w:val="nil"/>
              <w:left w:val="single" w:color="auto" w:sz="8" w:space="0"/>
              <w:bottom w:val="single" w:color="auto" w:sz="8" w:space="0"/>
              <w:right w:val="single" w:color="auto" w:sz="8" w:space="0"/>
            </w:tcBorders>
            <w:noWrap w:val="0"/>
            <w:vAlign w:val="center"/>
          </w:tcPr>
          <w:p w14:paraId="58562E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项目资金使用是否符合相关的财务管理制度规定，用以反映和考核项目资金的规范运行情况。</w:t>
            </w:r>
          </w:p>
        </w:tc>
        <w:tc>
          <w:tcPr>
            <w:tcW w:w="842" w:type="dxa"/>
            <w:tcBorders>
              <w:top w:val="nil"/>
              <w:left w:val="single" w:color="auto" w:sz="8" w:space="0"/>
              <w:bottom w:val="single" w:color="auto" w:sz="8" w:space="0"/>
              <w:right w:val="single" w:color="auto" w:sz="8" w:space="0"/>
            </w:tcBorders>
            <w:noWrap w:val="0"/>
            <w:vAlign w:val="center"/>
          </w:tcPr>
          <w:p w14:paraId="330DA3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3788" w:type="dxa"/>
            <w:tcBorders>
              <w:top w:val="nil"/>
              <w:left w:val="single" w:color="auto" w:sz="8" w:space="0"/>
              <w:bottom w:val="single" w:color="auto" w:sz="8" w:space="0"/>
              <w:right w:val="single" w:color="auto" w:sz="8" w:space="0"/>
            </w:tcBorders>
            <w:noWrap w:val="0"/>
            <w:vAlign w:val="center"/>
          </w:tcPr>
          <w:p w14:paraId="4FD25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①否符合国家财经法规和财务管理制度以及有关专项资金管理办法的规定；</w:t>
            </w:r>
          </w:p>
          <w:p w14:paraId="4D948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②资金的拨付是否有完整的审批程序和手续；</w:t>
            </w:r>
          </w:p>
          <w:p w14:paraId="7CF81F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③是否符合项目预算批复或合同规定的用途；</w:t>
            </w:r>
          </w:p>
          <w:p w14:paraId="298948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④是否存在截留、挤占、挪用、虚列支出等情况。</w:t>
            </w:r>
          </w:p>
          <w:p w14:paraId="177A80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以上每条指标各占权重分的25%，要素①②不符合，扣除对应权重分；要素③④不符合属于重大违纪，该指标不得分。</w:t>
            </w:r>
          </w:p>
        </w:tc>
        <w:tc>
          <w:tcPr>
            <w:tcW w:w="861" w:type="dxa"/>
            <w:tcBorders>
              <w:top w:val="nil"/>
              <w:left w:val="single" w:color="auto" w:sz="8" w:space="0"/>
              <w:bottom w:val="single" w:color="auto" w:sz="8" w:space="0"/>
              <w:right w:val="single" w:color="auto" w:sz="8" w:space="0"/>
            </w:tcBorders>
            <w:noWrap w:val="0"/>
            <w:vAlign w:val="center"/>
          </w:tcPr>
          <w:p w14:paraId="05A5C6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826" w:type="dxa"/>
            <w:tcBorders>
              <w:top w:val="nil"/>
              <w:left w:val="single" w:color="auto" w:sz="8" w:space="0"/>
              <w:bottom w:val="single" w:color="auto" w:sz="8" w:space="0"/>
              <w:right w:val="single" w:color="auto" w:sz="8" w:space="0"/>
            </w:tcBorders>
            <w:noWrap w:val="0"/>
            <w:vAlign w:val="center"/>
          </w:tcPr>
          <w:p w14:paraId="35E113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491BB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455E7D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70D602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restart"/>
            <w:tcBorders>
              <w:top w:val="nil"/>
              <w:left w:val="single" w:color="auto" w:sz="8" w:space="0"/>
              <w:bottom w:val="single" w:color="auto" w:sz="8" w:space="0"/>
              <w:right w:val="single" w:color="auto" w:sz="8" w:space="0"/>
            </w:tcBorders>
            <w:noWrap w:val="0"/>
            <w:vAlign w:val="center"/>
          </w:tcPr>
          <w:p w14:paraId="6F916A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组织实施</w:t>
            </w:r>
          </w:p>
        </w:tc>
        <w:tc>
          <w:tcPr>
            <w:tcW w:w="584" w:type="dxa"/>
            <w:vMerge w:val="restart"/>
            <w:tcBorders>
              <w:top w:val="nil"/>
              <w:left w:val="single" w:color="auto" w:sz="8" w:space="0"/>
              <w:bottom w:val="single" w:color="auto" w:sz="8" w:space="0"/>
              <w:right w:val="single" w:color="auto" w:sz="8" w:space="0"/>
            </w:tcBorders>
            <w:noWrap w:val="0"/>
            <w:vAlign w:val="center"/>
          </w:tcPr>
          <w:p w14:paraId="760BD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1239" w:type="dxa"/>
            <w:tcBorders>
              <w:top w:val="nil"/>
              <w:left w:val="single" w:color="auto" w:sz="8" w:space="0"/>
              <w:bottom w:val="single" w:color="auto" w:sz="8" w:space="0"/>
              <w:right w:val="single" w:color="auto" w:sz="8" w:space="0"/>
            </w:tcBorders>
            <w:noWrap w:val="0"/>
            <w:vAlign w:val="center"/>
          </w:tcPr>
          <w:p w14:paraId="07E567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管理制度健全性</w:t>
            </w:r>
          </w:p>
        </w:tc>
        <w:tc>
          <w:tcPr>
            <w:tcW w:w="650" w:type="dxa"/>
            <w:tcBorders>
              <w:top w:val="nil"/>
              <w:left w:val="single" w:color="auto" w:sz="8" w:space="0"/>
              <w:bottom w:val="single" w:color="auto" w:sz="8" w:space="0"/>
              <w:right w:val="single" w:color="auto" w:sz="8" w:space="0"/>
            </w:tcBorders>
            <w:noWrap w:val="0"/>
            <w:vAlign w:val="center"/>
          </w:tcPr>
          <w:p w14:paraId="554935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2884" w:type="dxa"/>
            <w:tcBorders>
              <w:top w:val="nil"/>
              <w:left w:val="single" w:color="auto" w:sz="8" w:space="0"/>
              <w:bottom w:val="single" w:color="auto" w:sz="8" w:space="0"/>
              <w:right w:val="single" w:color="auto" w:sz="8" w:space="0"/>
            </w:tcBorders>
            <w:noWrap w:val="0"/>
            <w:vAlign w:val="center"/>
          </w:tcPr>
          <w:p w14:paraId="6265D4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项目实施单位的财务和业务管理制度是否健全，用以反映和考核财务和业务管理制度对项目顺利实施的保障情况。</w:t>
            </w:r>
          </w:p>
        </w:tc>
        <w:tc>
          <w:tcPr>
            <w:tcW w:w="842" w:type="dxa"/>
            <w:tcBorders>
              <w:top w:val="nil"/>
              <w:left w:val="single" w:color="auto" w:sz="8" w:space="0"/>
              <w:bottom w:val="single" w:color="auto" w:sz="8" w:space="0"/>
              <w:right w:val="single" w:color="auto" w:sz="8" w:space="0"/>
            </w:tcBorders>
            <w:noWrap w:val="0"/>
            <w:vAlign w:val="center"/>
          </w:tcPr>
          <w:p w14:paraId="3B2DE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3788" w:type="dxa"/>
            <w:tcBorders>
              <w:top w:val="nil"/>
              <w:left w:val="single" w:color="auto" w:sz="8" w:space="0"/>
              <w:bottom w:val="single" w:color="auto" w:sz="8" w:space="0"/>
              <w:right w:val="single" w:color="auto" w:sz="8" w:space="0"/>
            </w:tcBorders>
            <w:noWrap w:val="0"/>
            <w:vAlign w:val="center"/>
          </w:tcPr>
          <w:p w14:paraId="7B3AC4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①是否已制定或具有相应的财务和业务管理制度；</w:t>
            </w:r>
          </w:p>
          <w:p w14:paraId="7FE64E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②财务和业务管理制度是否合法、合规、完整。</w:t>
            </w:r>
          </w:p>
          <w:p w14:paraId="1FE5C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861" w:type="dxa"/>
            <w:tcBorders>
              <w:top w:val="nil"/>
              <w:left w:val="single" w:color="auto" w:sz="8" w:space="0"/>
              <w:bottom w:val="single" w:color="auto" w:sz="8" w:space="0"/>
              <w:right w:val="single" w:color="auto" w:sz="8" w:space="0"/>
            </w:tcBorders>
            <w:noWrap w:val="0"/>
            <w:vAlign w:val="center"/>
          </w:tcPr>
          <w:p w14:paraId="060391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826" w:type="dxa"/>
            <w:tcBorders>
              <w:top w:val="nil"/>
              <w:left w:val="single" w:color="auto" w:sz="8" w:space="0"/>
              <w:bottom w:val="single" w:color="auto" w:sz="8" w:space="0"/>
              <w:right w:val="single" w:color="auto" w:sz="8" w:space="0"/>
            </w:tcBorders>
            <w:noWrap w:val="0"/>
            <w:vAlign w:val="center"/>
          </w:tcPr>
          <w:p w14:paraId="2767F0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1BA4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3148A8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156290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4" w:space="0"/>
              <w:right w:val="single" w:color="auto" w:sz="8" w:space="0"/>
            </w:tcBorders>
            <w:noWrap w:val="0"/>
            <w:vAlign w:val="center"/>
          </w:tcPr>
          <w:p w14:paraId="22ECBB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4" w:space="0"/>
              <w:right w:val="single" w:color="auto" w:sz="8" w:space="0"/>
            </w:tcBorders>
            <w:noWrap w:val="0"/>
            <w:vAlign w:val="center"/>
          </w:tcPr>
          <w:p w14:paraId="45A851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4" w:space="0"/>
              <w:right w:val="single" w:color="auto" w:sz="8" w:space="0"/>
            </w:tcBorders>
            <w:noWrap w:val="0"/>
            <w:vAlign w:val="center"/>
          </w:tcPr>
          <w:p w14:paraId="729EB7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制度执行有效性</w:t>
            </w:r>
          </w:p>
        </w:tc>
        <w:tc>
          <w:tcPr>
            <w:tcW w:w="650" w:type="dxa"/>
            <w:tcBorders>
              <w:top w:val="nil"/>
              <w:left w:val="single" w:color="auto" w:sz="8" w:space="0"/>
              <w:bottom w:val="single" w:color="auto" w:sz="4" w:space="0"/>
              <w:right w:val="single" w:color="auto" w:sz="8" w:space="0"/>
            </w:tcBorders>
            <w:noWrap w:val="0"/>
            <w:vAlign w:val="center"/>
          </w:tcPr>
          <w:p w14:paraId="209815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2884" w:type="dxa"/>
            <w:tcBorders>
              <w:top w:val="nil"/>
              <w:left w:val="single" w:color="auto" w:sz="8" w:space="0"/>
              <w:bottom w:val="single" w:color="auto" w:sz="4" w:space="0"/>
              <w:right w:val="single" w:color="auto" w:sz="8" w:space="0"/>
            </w:tcBorders>
            <w:noWrap w:val="0"/>
            <w:vAlign w:val="center"/>
          </w:tcPr>
          <w:p w14:paraId="7244D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项目实施是否符合相关管理规定，用以反映和考核相关管理制度的有效执行情况。</w:t>
            </w:r>
          </w:p>
        </w:tc>
        <w:tc>
          <w:tcPr>
            <w:tcW w:w="842" w:type="dxa"/>
            <w:tcBorders>
              <w:top w:val="nil"/>
              <w:left w:val="single" w:color="auto" w:sz="8" w:space="0"/>
              <w:bottom w:val="single" w:color="auto" w:sz="4" w:space="0"/>
              <w:right w:val="single" w:color="auto" w:sz="8" w:space="0"/>
            </w:tcBorders>
            <w:noWrap w:val="0"/>
            <w:vAlign w:val="center"/>
          </w:tcPr>
          <w:p w14:paraId="780699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3788" w:type="dxa"/>
            <w:tcBorders>
              <w:top w:val="nil"/>
              <w:left w:val="single" w:color="auto" w:sz="8" w:space="0"/>
              <w:bottom w:val="single" w:color="auto" w:sz="4" w:space="0"/>
              <w:right w:val="single" w:color="auto" w:sz="8" w:space="0"/>
            </w:tcBorders>
            <w:noWrap w:val="0"/>
            <w:vAlign w:val="center"/>
          </w:tcPr>
          <w:p w14:paraId="6C0AC5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①否遵守相关法律法规和相关管理规定；</w:t>
            </w:r>
          </w:p>
          <w:p w14:paraId="09220D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②项目调整及支出调整手续是否完备；</w:t>
            </w:r>
          </w:p>
          <w:p w14:paraId="7A42EF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③项目资料是否齐全并及时归档。</w:t>
            </w:r>
          </w:p>
          <w:p w14:paraId="601480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①②③齐全得权重分的100%，缺①扣权重分的30%，缺②扣权重分的40%，缺③扣权重分的30%。</w:t>
            </w:r>
          </w:p>
        </w:tc>
        <w:tc>
          <w:tcPr>
            <w:tcW w:w="861" w:type="dxa"/>
            <w:tcBorders>
              <w:top w:val="nil"/>
              <w:left w:val="single" w:color="auto" w:sz="8" w:space="0"/>
              <w:bottom w:val="single" w:color="auto" w:sz="4" w:space="0"/>
              <w:right w:val="single" w:color="auto" w:sz="8" w:space="0"/>
            </w:tcBorders>
            <w:noWrap w:val="0"/>
            <w:vAlign w:val="center"/>
          </w:tcPr>
          <w:p w14:paraId="752CA7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826" w:type="dxa"/>
            <w:tcBorders>
              <w:top w:val="nil"/>
              <w:left w:val="single" w:color="auto" w:sz="8" w:space="0"/>
              <w:bottom w:val="single" w:color="auto" w:sz="4" w:space="0"/>
              <w:right w:val="single" w:color="auto" w:sz="8" w:space="0"/>
            </w:tcBorders>
            <w:noWrap w:val="0"/>
            <w:vAlign w:val="center"/>
          </w:tcPr>
          <w:p w14:paraId="7F863A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0BE82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0" w:hRule="atLeast"/>
        </w:trPr>
        <w:tc>
          <w:tcPr>
            <w:tcW w:w="507" w:type="dxa"/>
            <w:vMerge w:val="restart"/>
            <w:tcBorders>
              <w:top w:val="nil"/>
              <w:left w:val="single" w:color="auto" w:sz="8" w:space="0"/>
              <w:bottom w:val="single" w:color="auto" w:sz="8" w:space="0"/>
              <w:right w:val="single" w:color="auto" w:sz="8" w:space="0"/>
            </w:tcBorders>
            <w:noWrap w:val="0"/>
            <w:vAlign w:val="center"/>
          </w:tcPr>
          <w:p w14:paraId="2AD40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项目产出</w:t>
            </w:r>
          </w:p>
        </w:tc>
        <w:tc>
          <w:tcPr>
            <w:tcW w:w="584" w:type="dxa"/>
            <w:vMerge w:val="restart"/>
            <w:tcBorders>
              <w:top w:val="nil"/>
              <w:left w:val="single" w:color="auto" w:sz="8" w:space="0"/>
              <w:bottom w:val="single" w:color="auto" w:sz="8" w:space="0"/>
              <w:right w:val="single" w:color="auto" w:sz="4" w:space="0"/>
            </w:tcBorders>
            <w:noWrap w:val="0"/>
            <w:vAlign w:val="center"/>
          </w:tcPr>
          <w:p w14:paraId="2E1723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w:t>
            </w:r>
          </w:p>
        </w:tc>
        <w:tc>
          <w:tcPr>
            <w:tcW w:w="507" w:type="dxa"/>
            <w:tcBorders>
              <w:top w:val="single" w:color="auto" w:sz="4" w:space="0"/>
              <w:left w:val="single" w:color="auto" w:sz="4" w:space="0"/>
              <w:bottom w:val="single" w:color="auto" w:sz="4" w:space="0"/>
              <w:right w:val="single" w:color="auto" w:sz="8" w:space="0"/>
            </w:tcBorders>
            <w:noWrap w:val="0"/>
            <w:vAlign w:val="center"/>
          </w:tcPr>
          <w:p w14:paraId="17CB91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产出数量</w:t>
            </w:r>
          </w:p>
        </w:tc>
        <w:tc>
          <w:tcPr>
            <w:tcW w:w="584" w:type="dxa"/>
            <w:tcBorders>
              <w:top w:val="single" w:color="auto" w:sz="4" w:space="0"/>
              <w:left w:val="single" w:color="auto" w:sz="8" w:space="0"/>
              <w:bottom w:val="single" w:color="auto" w:sz="4" w:space="0"/>
              <w:right w:val="single" w:color="auto" w:sz="8" w:space="0"/>
            </w:tcBorders>
            <w:noWrap w:val="0"/>
            <w:vAlign w:val="center"/>
          </w:tcPr>
          <w:p w14:paraId="538CBA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1239" w:type="dxa"/>
            <w:tcBorders>
              <w:top w:val="single" w:color="auto" w:sz="4" w:space="0"/>
              <w:left w:val="single" w:color="auto" w:sz="8" w:space="0"/>
              <w:bottom w:val="single" w:color="auto" w:sz="4" w:space="0"/>
              <w:right w:val="single" w:color="auto" w:sz="8" w:space="0"/>
            </w:tcBorders>
            <w:noWrap w:val="0"/>
            <w:vAlign w:val="center"/>
          </w:tcPr>
          <w:p w14:paraId="08F075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实际完成率</w:t>
            </w:r>
          </w:p>
        </w:tc>
        <w:tc>
          <w:tcPr>
            <w:tcW w:w="650" w:type="dxa"/>
            <w:tcBorders>
              <w:top w:val="single" w:color="auto" w:sz="4" w:space="0"/>
              <w:left w:val="single" w:color="auto" w:sz="8" w:space="0"/>
              <w:bottom w:val="single" w:color="auto" w:sz="4" w:space="0"/>
              <w:right w:val="single" w:color="auto" w:sz="8" w:space="0"/>
            </w:tcBorders>
            <w:noWrap w:val="0"/>
            <w:vAlign w:val="center"/>
          </w:tcPr>
          <w:p w14:paraId="581CC3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884" w:type="dxa"/>
            <w:tcBorders>
              <w:top w:val="single" w:color="auto" w:sz="4" w:space="0"/>
              <w:left w:val="single" w:color="auto" w:sz="8" w:space="0"/>
              <w:bottom w:val="single" w:color="auto" w:sz="4" w:space="0"/>
              <w:right w:val="single" w:color="auto" w:sz="8" w:space="0"/>
            </w:tcBorders>
            <w:noWrap w:val="0"/>
            <w:vAlign w:val="center"/>
          </w:tcPr>
          <w:p w14:paraId="4DEB57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支付往年欠款项目个数</w:t>
            </w:r>
          </w:p>
        </w:tc>
        <w:tc>
          <w:tcPr>
            <w:tcW w:w="842" w:type="dxa"/>
            <w:tcBorders>
              <w:top w:val="single" w:color="auto" w:sz="4" w:space="0"/>
              <w:left w:val="single" w:color="auto" w:sz="8" w:space="0"/>
              <w:bottom w:val="single" w:color="auto" w:sz="4" w:space="0"/>
              <w:right w:val="single" w:color="auto" w:sz="8" w:space="0"/>
            </w:tcBorders>
            <w:noWrap w:val="0"/>
            <w:vAlign w:val="center"/>
          </w:tcPr>
          <w:p w14:paraId="500DEC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≥1个</w:t>
            </w:r>
          </w:p>
        </w:tc>
        <w:tc>
          <w:tcPr>
            <w:tcW w:w="3788" w:type="dxa"/>
            <w:tcBorders>
              <w:top w:val="single" w:color="auto" w:sz="4" w:space="0"/>
              <w:left w:val="single" w:color="auto" w:sz="8" w:space="0"/>
              <w:bottom w:val="single" w:color="auto" w:sz="8" w:space="0"/>
              <w:right w:val="single" w:color="auto" w:sz="8" w:space="0"/>
            </w:tcBorders>
            <w:noWrap w:val="0"/>
            <w:vAlign w:val="center"/>
          </w:tcPr>
          <w:p w14:paraId="46907A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实际完成率=（实际完成/预期完成）×100%。</w:t>
            </w:r>
          </w:p>
          <w:p w14:paraId="645262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①实际完成率≥100%，且偏离程度＜20%，得满分；</w:t>
            </w:r>
          </w:p>
          <w:p w14:paraId="6CD117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②实际完成率≥100%，偏离程度≥20%，得0分；</w:t>
            </w:r>
          </w:p>
          <w:p w14:paraId="66F499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③实际完成率×100%＜100%，得分=实际完成率×指标分值。</w:t>
            </w:r>
          </w:p>
        </w:tc>
        <w:tc>
          <w:tcPr>
            <w:tcW w:w="861" w:type="dxa"/>
            <w:tcBorders>
              <w:top w:val="single" w:color="auto" w:sz="4" w:space="0"/>
              <w:left w:val="single" w:color="auto" w:sz="8" w:space="0"/>
              <w:bottom w:val="single" w:color="auto" w:sz="4" w:space="0"/>
              <w:right w:val="single" w:color="auto" w:sz="8" w:space="0"/>
            </w:tcBorders>
            <w:noWrap w:val="0"/>
            <w:vAlign w:val="center"/>
          </w:tcPr>
          <w:p w14:paraId="1CBAAA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1个</w:t>
            </w:r>
          </w:p>
        </w:tc>
        <w:tc>
          <w:tcPr>
            <w:tcW w:w="826" w:type="dxa"/>
            <w:tcBorders>
              <w:top w:val="single" w:color="auto" w:sz="4" w:space="0"/>
              <w:left w:val="single" w:color="auto" w:sz="8" w:space="0"/>
              <w:bottom w:val="single" w:color="auto" w:sz="4" w:space="0"/>
              <w:right w:val="single" w:color="auto" w:sz="4" w:space="0"/>
            </w:tcBorders>
            <w:noWrap w:val="0"/>
            <w:vAlign w:val="center"/>
          </w:tcPr>
          <w:p w14:paraId="7AA1E2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60EA1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4"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1DADB3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4C558A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tcBorders>
              <w:top w:val="nil"/>
              <w:left w:val="single" w:color="auto" w:sz="8" w:space="0"/>
              <w:bottom w:val="single" w:color="auto" w:sz="8" w:space="0"/>
              <w:right w:val="single" w:color="auto" w:sz="8" w:space="0"/>
            </w:tcBorders>
            <w:noWrap w:val="0"/>
            <w:vAlign w:val="center"/>
          </w:tcPr>
          <w:p w14:paraId="1652B7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产出质量</w:t>
            </w:r>
          </w:p>
        </w:tc>
        <w:tc>
          <w:tcPr>
            <w:tcW w:w="584" w:type="dxa"/>
            <w:tcBorders>
              <w:top w:val="nil"/>
              <w:left w:val="single" w:color="auto" w:sz="8" w:space="0"/>
              <w:bottom w:val="single" w:color="auto" w:sz="8" w:space="0"/>
              <w:right w:val="single" w:color="auto" w:sz="8" w:space="0"/>
            </w:tcBorders>
            <w:noWrap w:val="0"/>
            <w:vAlign w:val="center"/>
          </w:tcPr>
          <w:p w14:paraId="018E8F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1239" w:type="dxa"/>
            <w:tcBorders>
              <w:top w:val="nil"/>
              <w:left w:val="single" w:color="auto" w:sz="8" w:space="0"/>
              <w:bottom w:val="single" w:color="auto" w:sz="8" w:space="0"/>
              <w:right w:val="single" w:color="auto" w:sz="8" w:space="0"/>
            </w:tcBorders>
            <w:noWrap w:val="0"/>
            <w:vAlign w:val="center"/>
          </w:tcPr>
          <w:p w14:paraId="1283AD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质量达标率</w:t>
            </w:r>
          </w:p>
        </w:tc>
        <w:tc>
          <w:tcPr>
            <w:tcW w:w="650" w:type="dxa"/>
            <w:tcBorders>
              <w:top w:val="nil"/>
              <w:left w:val="single" w:color="auto" w:sz="8" w:space="0"/>
              <w:bottom w:val="single" w:color="auto" w:sz="8" w:space="0"/>
              <w:right w:val="single" w:color="auto" w:sz="8" w:space="0"/>
            </w:tcBorders>
            <w:noWrap w:val="0"/>
            <w:vAlign w:val="center"/>
          </w:tcPr>
          <w:p w14:paraId="398FC9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884" w:type="dxa"/>
            <w:tcBorders>
              <w:top w:val="nil"/>
              <w:left w:val="single" w:color="auto" w:sz="8" w:space="0"/>
              <w:bottom w:val="single" w:color="auto" w:sz="8" w:space="0"/>
              <w:right w:val="single" w:color="auto" w:sz="8" w:space="0"/>
            </w:tcBorders>
            <w:noWrap w:val="0"/>
            <w:vAlign w:val="center"/>
          </w:tcPr>
          <w:p w14:paraId="19411E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资金使用合规性</w:t>
            </w:r>
          </w:p>
        </w:tc>
        <w:tc>
          <w:tcPr>
            <w:tcW w:w="842" w:type="dxa"/>
            <w:tcBorders>
              <w:top w:val="nil"/>
              <w:left w:val="single" w:color="auto" w:sz="8" w:space="0"/>
              <w:bottom w:val="single" w:color="auto" w:sz="8" w:space="0"/>
              <w:right w:val="single" w:color="auto" w:sz="8" w:space="0"/>
            </w:tcBorders>
            <w:noWrap w:val="0"/>
            <w:vAlign w:val="center"/>
          </w:tcPr>
          <w:p w14:paraId="126545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788" w:type="dxa"/>
            <w:tcBorders>
              <w:top w:val="nil"/>
              <w:left w:val="single" w:color="auto" w:sz="8" w:space="0"/>
              <w:bottom w:val="single" w:color="auto" w:sz="8" w:space="0"/>
              <w:right w:val="single" w:color="auto" w:sz="8" w:space="0"/>
            </w:tcBorders>
            <w:noWrap w:val="0"/>
            <w:vAlign w:val="center"/>
          </w:tcPr>
          <w:p w14:paraId="4EF38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若指标达到标杆值，则得100%权重分；否则，得分=（实际完成/预期完成）×100%×指标分值。</w:t>
            </w:r>
          </w:p>
          <w:p w14:paraId="0D94CC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若指标完成值达到标杆值，则得100%权重分；否则，不得分。</w:t>
            </w:r>
          </w:p>
        </w:tc>
        <w:tc>
          <w:tcPr>
            <w:tcW w:w="861" w:type="dxa"/>
            <w:tcBorders>
              <w:top w:val="nil"/>
              <w:left w:val="single" w:color="auto" w:sz="8" w:space="0"/>
              <w:bottom w:val="single" w:color="auto" w:sz="8" w:space="0"/>
              <w:right w:val="single" w:color="auto" w:sz="8" w:space="0"/>
            </w:tcBorders>
            <w:noWrap w:val="0"/>
            <w:vAlign w:val="center"/>
          </w:tcPr>
          <w:p w14:paraId="263DCF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826" w:type="dxa"/>
            <w:tcBorders>
              <w:top w:val="nil"/>
              <w:left w:val="single" w:color="auto" w:sz="8" w:space="0"/>
              <w:bottom w:val="single" w:color="auto" w:sz="8" w:space="0"/>
              <w:right w:val="single" w:color="auto" w:sz="8" w:space="0"/>
            </w:tcBorders>
            <w:noWrap w:val="0"/>
            <w:vAlign w:val="center"/>
          </w:tcPr>
          <w:p w14:paraId="402D68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17CEC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13C346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21052A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restart"/>
            <w:tcBorders>
              <w:top w:val="nil"/>
              <w:left w:val="single" w:color="auto" w:sz="8" w:space="0"/>
              <w:bottom w:val="single" w:color="auto" w:sz="8" w:space="0"/>
              <w:right w:val="single" w:color="auto" w:sz="8" w:space="0"/>
            </w:tcBorders>
            <w:noWrap w:val="0"/>
            <w:vAlign w:val="center"/>
          </w:tcPr>
          <w:p w14:paraId="3B7249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产出时效</w:t>
            </w:r>
          </w:p>
        </w:tc>
        <w:tc>
          <w:tcPr>
            <w:tcW w:w="584" w:type="dxa"/>
            <w:vMerge w:val="restart"/>
            <w:tcBorders>
              <w:top w:val="nil"/>
              <w:left w:val="single" w:color="auto" w:sz="8" w:space="0"/>
              <w:bottom w:val="single" w:color="auto" w:sz="8" w:space="0"/>
              <w:right w:val="single" w:color="auto" w:sz="8" w:space="0"/>
            </w:tcBorders>
            <w:noWrap w:val="0"/>
            <w:vAlign w:val="center"/>
          </w:tcPr>
          <w:p w14:paraId="70434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1239" w:type="dxa"/>
            <w:vMerge w:val="restart"/>
            <w:tcBorders>
              <w:top w:val="nil"/>
              <w:left w:val="single" w:color="auto" w:sz="8" w:space="0"/>
              <w:bottom w:val="single" w:color="auto" w:sz="8" w:space="0"/>
              <w:right w:val="single" w:color="auto" w:sz="8" w:space="0"/>
            </w:tcBorders>
            <w:noWrap w:val="0"/>
            <w:vAlign w:val="center"/>
          </w:tcPr>
          <w:p w14:paraId="44E9F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完成及时率</w:t>
            </w:r>
          </w:p>
        </w:tc>
        <w:tc>
          <w:tcPr>
            <w:tcW w:w="650" w:type="dxa"/>
            <w:vMerge w:val="restart"/>
            <w:tcBorders>
              <w:top w:val="nil"/>
              <w:left w:val="single" w:color="auto" w:sz="8" w:space="0"/>
              <w:bottom w:val="single" w:color="auto" w:sz="8" w:space="0"/>
              <w:right w:val="single" w:color="auto" w:sz="8" w:space="0"/>
            </w:tcBorders>
            <w:noWrap w:val="0"/>
            <w:vAlign w:val="center"/>
          </w:tcPr>
          <w:p w14:paraId="749AA0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884" w:type="dxa"/>
            <w:tcBorders>
              <w:top w:val="nil"/>
              <w:left w:val="single" w:color="auto" w:sz="8" w:space="0"/>
              <w:bottom w:val="single" w:color="auto" w:sz="8" w:space="0"/>
              <w:right w:val="single" w:color="auto" w:sz="8" w:space="0"/>
            </w:tcBorders>
            <w:noWrap w:val="0"/>
            <w:vAlign w:val="center"/>
          </w:tcPr>
          <w:p w14:paraId="6BF11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资金拨付及时率</w:t>
            </w:r>
          </w:p>
        </w:tc>
        <w:tc>
          <w:tcPr>
            <w:tcW w:w="842" w:type="dxa"/>
            <w:tcBorders>
              <w:top w:val="nil"/>
              <w:left w:val="single" w:color="auto" w:sz="8" w:space="0"/>
              <w:bottom w:val="single" w:color="auto" w:sz="8" w:space="0"/>
              <w:right w:val="single" w:color="auto" w:sz="8" w:space="0"/>
            </w:tcBorders>
            <w:noWrap w:val="0"/>
            <w:vAlign w:val="center"/>
          </w:tcPr>
          <w:p w14:paraId="196FDC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788" w:type="dxa"/>
            <w:vMerge w:val="restart"/>
            <w:tcBorders>
              <w:top w:val="nil"/>
              <w:left w:val="single" w:color="auto" w:sz="8" w:space="0"/>
              <w:right w:val="single" w:color="auto" w:sz="8" w:space="0"/>
            </w:tcBorders>
            <w:noWrap w:val="0"/>
            <w:vAlign w:val="center"/>
          </w:tcPr>
          <w:p w14:paraId="158A70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若指标完成值达到标杆值，则得100%权重分；否则，得分=（实际完成/预期完成）×100%×指标分值。</w:t>
            </w:r>
          </w:p>
          <w:p w14:paraId="56D347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若在规定时间内完成，得100%权重分；若未在规定的时间内完成，得分=（1-未在规定时间内完成工作数/实际完成工作总数）×分值。</w:t>
            </w:r>
          </w:p>
        </w:tc>
        <w:tc>
          <w:tcPr>
            <w:tcW w:w="861" w:type="dxa"/>
            <w:tcBorders>
              <w:top w:val="nil"/>
              <w:left w:val="single" w:color="auto" w:sz="8" w:space="0"/>
              <w:bottom w:val="single" w:color="auto" w:sz="8" w:space="0"/>
              <w:right w:val="single" w:color="auto" w:sz="8" w:space="0"/>
            </w:tcBorders>
            <w:noWrap w:val="0"/>
            <w:vAlign w:val="center"/>
          </w:tcPr>
          <w:p w14:paraId="0B180D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826" w:type="dxa"/>
            <w:vMerge w:val="restart"/>
            <w:tcBorders>
              <w:top w:val="nil"/>
              <w:left w:val="single" w:color="auto" w:sz="8" w:space="0"/>
              <w:bottom w:val="single" w:color="auto" w:sz="8" w:space="0"/>
              <w:right w:val="single" w:color="auto" w:sz="8" w:space="0"/>
            </w:tcBorders>
            <w:noWrap w:val="0"/>
            <w:vAlign w:val="center"/>
          </w:tcPr>
          <w:p w14:paraId="7CB021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23A3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6C6BCF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12721C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26C785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77BA0B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vMerge w:val="continue"/>
            <w:tcBorders>
              <w:top w:val="nil"/>
              <w:left w:val="single" w:color="auto" w:sz="8" w:space="0"/>
              <w:bottom w:val="single" w:color="auto" w:sz="8" w:space="0"/>
              <w:right w:val="single" w:color="auto" w:sz="8" w:space="0"/>
            </w:tcBorders>
            <w:noWrap w:val="0"/>
            <w:vAlign w:val="center"/>
          </w:tcPr>
          <w:p w14:paraId="56D2F9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650" w:type="dxa"/>
            <w:vMerge w:val="continue"/>
            <w:tcBorders>
              <w:top w:val="nil"/>
              <w:left w:val="single" w:color="auto" w:sz="8" w:space="0"/>
              <w:bottom w:val="single" w:color="auto" w:sz="8" w:space="0"/>
              <w:right w:val="single" w:color="auto" w:sz="8" w:space="0"/>
            </w:tcBorders>
            <w:noWrap w:val="0"/>
            <w:vAlign w:val="center"/>
          </w:tcPr>
          <w:p w14:paraId="44AC9B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884" w:type="dxa"/>
            <w:tcBorders>
              <w:top w:val="nil"/>
              <w:left w:val="single" w:color="auto" w:sz="8" w:space="0"/>
              <w:bottom w:val="single" w:color="auto" w:sz="8" w:space="0"/>
              <w:right w:val="single" w:color="auto" w:sz="8" w:space="0"/>
            </w:tcBorders>
            <w:noWrap w:val="0"/>
            <w:vAlign w:val="center"/>
          </w:tcPr>
          <w:p w14:paraId="01202B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项目结束时间</w:t>
            </w:r>
          </w:p>
        </w:tc>
        <w:tc>
          <w:tcPr>
            <w:tcW w:w="842" w:type="dxa"/>
            <w:tcBorders>
              <w:top w:val="nil"/>
              <w:left w:val="single" w:color="auto" w:sz="8" w:space="0"/>
              <w:bottom w:val="single" w:color="auto" w:sz="8" w:space="0"/>
              <w:right w:val="single" w:color="auto" w:sz="8" w:space="0"/>
            </w:tcBorders>
            <w:noWrap w:val="0"/>
            <w:vAlign w:val="center"/>
          </w:tcPr>
          <w:p w14:paraId="50D37E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2024年3月</w:t>
            </w:r>
          </w:p>
        </w:tc>
        <w:tc>
          <w:tcPr>
            <w:tcW w:w="3788" w:type="dxa"/>
            <w:vMerge w:val="continue"/>
            <w:tcBorders>
              <w:left w:val="single" w:color="auto" w:sz="8" w:space="0"/>
              <w:bottom w:val="single" w:color="auto" w:sz="8" w:space="0"/>
              <w:right w:val="single" w:color="auto" w:sz="8" w:space="0"/>
            </w:tcBorders>
            <w:noWrap w:val="0"/>
            <w:vAlign w:val="center"/>
          </w:tcPr>
          <w:p w14:paraId="040D51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p>
        </w:tc>
        <w:tc>
          <w:tcPr>
            <w:tcW w:w="861" w:type="dxa"/>
            <w:tcBorders>
              <w:top w:val="nil"/>
              <w:left w:val="single" w:color="auto" w:sz="8" w:space="0"/>
              <w:bottom w:val="single" w:color="auto" w:sz="8" w:space="0"/>
              <w:right w:val="single" w:color="auto" w:sz="8" w:space="0"/>
            </w:tcBorders>
            <w:noWrap w:val="0"/>
            <w:vAlign w:val="center"/>
          </w:tcPr>
          <w:p w14:paraId="1A004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2024年3月</w:t>
            </w:r>
          </w:p>
        </w:tc>
        <w:tc>
          <w:tcPr>
            <w:tcW w:w="826" w:type="dxa"/>
            <w:vMerge w:val="continue"/>
            <w:tcBorders>
              <w:top w:val="nil"/>
              <w:left w:val="single" w:color="auto" w:sz="8" w:space="0"/>
              <w:bottom w:val="single" w:color="auto" w:sz="8" w:space="0"/>
              <w:right w:val="single" w:color="auto" w:sz="8" w:space="0"/>
            </w:tcBorders>
            <w:noWrap w:val="0"/>
            <w:vAlign w:val="center"/>
          </w:tcPr>
          <w:p w14:paraId="01BB3A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1F022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1"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2D66F3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61C744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tcBorders>
              <w:top w:val="nil"/>
              <w:left w:val="single" w:color="auto" w:sz="8" w:space="0"/>
              <w:bottom w:val="single" w:color="auto" w:sz="8" w:space="0"/>
              <w:right w:val="single" w:color="auto" w:sz="8" w:space="0"/>
            </w:tcBorders>
            <w:noWrap w:val="0"/>
            <w:vAlign w:val="center"/>
          </w:tcPr>
          <w:p w14:paraId="403754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产出成本</w:t>
            </w:r>
          </w:p>
        </w:tc>
        <w:tc>
          <w:tcPr>
            <w:tcW w:w="584" w:type="dxa"/>
            <w:tcBorders>
              <w:top w:val="nil"/>
              <w:left w:val="single" w:color="auto" w:sz="8" w:space="0"/>
              <w:bottom w:val="single" w:color="auto" w:sz="8" w:space="0"/>
              <w:right w:val="single" w:color="auto" w:sz="8" w:space="0"/>
            </w:tcBorders>
            <w:noWrap w:val="0"/>
            <w:vAlign w:val="center"/>
          </w:tcPr>
          <w:p w14:paraId="4C90A3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1239" w:type="dxa"/>
            <w:tcBorders>
              <w:top w:val="nil"/>
              <w:left w:val="single" w:color="auto" w:sz="8" w:space="0"/>
              <w:bottom w:val="single" w:color="auto" w:sz="8" w:space="0"/>
              <w:right w:val="single" w:color="auto" w:sz="8" w:space="0"/>
            </w:tcBorders>
            <w:noWrap w:val="0"/>
            <w:vAlign w:val="center"/>
          </w:tcPr>
          <w:p w14:paraId="09DE93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成本节约率</w:t>
            </w:r>
          </w:p>
        </w:tc>
        <w:tc>
          <w:tcPr>
            <w:tcW w:w="650" w:type="dxa"/>
            <w:tcBorders>
              <w:top w:val="nil"/>
              <w:left w:val="single" w:color="auto" w:sz="8" w:space="0"/>
              <w:bottom w:val="single" w:color="auto" w:sz="8" w:space="0"/>
              <w:right w:val="single" w:color="auto" w:sz="8" w:space="0"/>
            </w:tcBorders>
            <w:noWrap w:val="0"/>
            <w:vAlign w:val="center"/>
          </w:tcPr>
          <w:p w14:paraId="1605EA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884" w:type="dxa"/>
            <w:tcBorders>
              <w:top w:val="nil"/>
              <w:left w:val="single" w:color="auto" w:sz="8" w:space="0"/>
              <w:bottom w:val="single" w:color="auto" w:sz="8" w:space="0"/>
              <w:right w:val="single" w:color="auto" w:sz="8" w:space="0"/>
            </w:tcBorders>
            <w:noWrap w:val="0"/>
            <w:vAlign w:val="center"/>
          </w:tcPr>
          <w:p w14:paraId="1CCFC0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公用经费支付往年欠款  </w:t>
            </w:r>
          </w:p>
        </w:tc>
        <w:tc>
          <w:tcPr>
            <w:tcW w:w="842" w:type="dxa"/>
            <w:tcBorders>
              <w:top w:val="nil"/>
              <w:left w:val="single" w:color="auto" w:sz="8" w:space="0"/>
              <w:bottom w:val="single" w:color="auto" w:sz="8" w:space="0"/>
              <w:right w:val="single" w:color="auto" w:sz="8" w:space="0"/>
            </w:tcBorders>
            <w:noWrap w:val="0"/>
            <w:vAlign w:val="center"/>
          </w:tcPr>
          <w:p w14:paraId="581E25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=40.24万元</w:t>
            </w:r>
          </w:p>
        </w:tc>
        <w:tc>
          <w:tcPr>
            <w:tcW w:w="3788" w:type="dxa"/>
            <w:tcBorders>
              <w:top w:val="nil"/>
              <w:left w:val="single" w:color="auto" w:sz="8" w:space="0"/>
              <w:bottom w:val="single" w:color="auto" w:sz="8" w:space="0"/>
              <w:right w:val="single" w:color="auto" w:sz="8" w:space="0"/>
            </w:tcBorders>
            <w:noWrap w:val="0"/>
            <w:vAlign w:val="center"/>
          </w:tcPr>
          <w:p w14:paraId="55201C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实际完成率=（实际支付资金数/计划应支付资金数）×100%。</w:t>
            </w:r>
          </w:p>
          <w:p w14:paraId="29E725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①实际完成率＞年度指标值，得0得分；</w:t>
            </w:r>
          </w:p>
          <w:p w14:paraId="034B0A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②实际完成率≤年度指标值，且偏离程度＜20%，得满分；</w:t>
            </w:r>
          </w:p>
          <w:p w14:paraId="3456A0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③实际完成率＜年度指标值，且偏离程度≥20%，得分=实际完成率×分值。</w:t>
            </w:r>
          </w:p>
        </w:tc>
        <w:tc>
          <w:tcPr>
            <w:tcW w:w="861" w:type="dxa"/>
            <w:tcBorders>
              <w:top w:val="nil"/>
              <w:left w:val="single" w:color="auto" w:sz="8" w:space="0"/>
              <w:bottom w:val="single" w:color="auto" w:sz="8" w:space="0"/>
              <w:right w:val="single" w:color="auto" w:sz="8" w:space="0"/>
            </w:tcBorders>
            <w:noWrap w:val="0"/>
            <w:vAlign w:val="center"/>
          </w:tcPr>
          <w:p w14:paraId="70097A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40.24万元</w:t>
            </w:r>
          </w:p>
        </w:tc>
        <w:tc>
          <w:tcPr>
            <w:tcW w:w="826" w:type="dxa"/>
            <w:tcBorders>
              <w:top w:val="nil"/>
              <w:left w:val="single" w:color="auto" w:sz="8" w:space="0"/>
              <w:bottom w:val="single" w:color="auto" w:sz="8" w:space="0"/>
              <w:right w:val="single" w:color="auto" w:sz="8" w:space="0"/>
            </w:tcBorders>
            <w:noWrap w:val="0"/>
            <w:vAlign w:val="center"/>
          </w:tcPr>
          <w:p w14:paraId="5925D2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23BC0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507" w:type="dxa"/>
            <w:vMerge w:val="restart"/>
            <w:tcBorders>
              <w:top w:val="nil"/>
              <w:left w:val="single" w:color="auto" w:sz="8" w:space="0"/>
              <w:bottom w:val="single" w:color="auto" w:sz="8" w:space="0"/>
              <w:right w:val="single" w:color="auto" w:sz="8" w:space="0"/>
            </w:tcBorders>
            <w:noWrap w:val="0"/>
            <w:vAlign w:val="center"/>
          </w:tcPr>
          <w:p w14:paraId="364E20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584" w:type="dxa"/>
            <w:vMerge w:val="restart"/>
            <w:tcBorders>
              <w:top w:val="nil"/>
              <w:left w:val="single" w:color="auto" w:sz="8" w:space="0"/>
              <w:bottom w:val="single" w:color="auto" w:sz="8" w:space="0"/>
              <w:right w:val="single" w:color="auto" w:sz="8" w:space="0"/>
            </w:tcBorders>
            <w:noWrap w:val="0"/>
            <w:vAlign w:val="center"/>
          </w:tcPr>
          <w:p w14:paraId="5DD383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507" w:type="dxa"/>
            <w:vMerge w:val="restart"/>
            <w:tcBorders>
              <w:top w:val="nil"/>
              <w:left w:val="single" w:color="auto" w:sz="8" w:space="0"/>
              <w:bottom w:val="single" w:color="auto" w:sz="8" w:space="0"/>
              <w:right w:val="single" w:color="auto" w:sz="8" w:space="0"/>
            </w:tcBorders>
            <w:noWrap w:val="0"/>
            <w:vAlign w:val="center"/>
          </w:tcPr>
          <w:p w14:paraId="00B94D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584" w:type="dxa"/>
            <w:vMerge w:val="restart"/>
            <w:tcBorders>
              <w:top w:val="nil"/>
              <w:left w:val="single" w:color="auto" w:sz="8" w:space="0"/>
              <w:bottom w:val="single" w:color="auto" w:sz="8" w:space="0"/>
              <w:right w:val="single" w:color="auto" w:sz="8" w:space="0"/>
            </w:tcBorders>
            <w:noWrap w:val="0"/>
            <w:vAlign w:val="center"/>
          </w:tcPr>
          <w:p w14:paraId="4B0176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1239" w:type="dxa"/>
            <w:tcBorders>
              <w:top w:val="nil"/>
              <w:left w:val="single" w:color="auto" w:sz="8" w:space="0"/>
              <w:bottom w:val="single" w:color="auto" w:sz="8" w:space="0"/>
              <w:right w:val="single" w:color="auto" w:sz="8" w:space="0"/>
            </w:tcBorders>
            <w:noWrap w:val="0"/>
            <w:vAlign w:val="center"/>
          </w:tcPr>
          <w:p w14:paraId="46CCF2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社会效益</w:t>
            </w:r>
          </w:p>
        </w:tc>
        <w:tc>
          <w:tcPr>
            <w:tcW w:w="650" w:type="dxa"/>
            <w:tcBorders>
              <w:top w:val="nil"/>
              <w:left w:val="single" w:color="auto" w:sz="8" w:space="0"/>
              <w:bottom w:val="single" w:color="auto" w:sz="8" w:space="0"/>
              <w:right w:val="single" w:color="auto" w:sz="8" w:space="0"/>
            </w:tcBorders>
            <w:noWrap w:val="0"/>
            <w:vAlign w:val="center"/>
          </w:tcPr>
          <w:p w14:paraId="597EBD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15</w:t>
            </w:r>
          </w:p>
        </w:tc>
        <w:tc>
          <w:tcPr>
            <w:tcW w:w="2884" w:type="dxa"/>
            <w:tcBorders>
              <w:top w:val="nil"/>
              <w:left w:val="single" w:color="auto" w:sz="8" w:space="0"/>
              <w:bottom w:val="single" w:color="auto" w:sz="8" w:space="0"/>
              <w:right w:val="single" w:color="auto" w:sz="8" w:space="0"/>
            </w:tcBorders>
            <w:noWrap w:val="0"/>
            <w:vAlign w:val="center"/>
          </w:tcPr>
          <w:p w14:paraId="7E2B54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提高医疗服务水平和质量</w:t>
            </w:r>
          </w:p>
        </w:tc>
        <w:tc>
          <w:tcPr>
            <w:tcW w:w="842" w:type="dxa"/>
            <w:tcBorders>
              <w:top w:val="nil"/>
              <w:left w:val="single" w:color="auto" w:sz="8" w:space="0"/>
              <w:bottom w:val="single" w:color="auto" w:sz="8" w:space="0"/>
              <w:right w:val="single" w:color="auto" w:sz="8" w:space="0"/>
            </w:tcBorders>
            <w:noWrap w:val="0"/>
            <w:vAlign w:val="center"/>
          </w:tcPr>
          <w:p w14:paraId="0E0321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有效提高</w:t>
            </w:r>
          </w:p>
        </w:tc>
        <w:tc>
          <w:tcPr>
            <w:tcW w:w="3788" w:type="dxa"/>
            <w:tcBorders>
              <w:top w:val="nil"/>
              <w:left w:val="single" w:color="auto" w:sz="8" w:space="0"/>
              <w:bottom w:val="single" w:color="auto" w:sz="8" w:space="0"/>
              <w:right w:val="single" w:color="auto" w:sz="8" w:space="0"/>
            </w:tcBorders>
            <w:noWrap w:val="0"/>
            <w:vAlign w:val="center"/>
          </w:tcPr>
          <w:p w14:paraId="4B6B12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按评判等级赋分。分为基本达成目标、部分实现目标、实现目标程度较低三个档次，并分别按照该指标对应分值区间100%-80%（含）、80%-60%（含）、60%-0%合理确定分值。</w:t>
            </w:r>
          </w:p>
        </w:tc>
        <w:tc>
          <w:tcPr>
            <w:tcW w:w="861" w:type="dxa"/>
            <w:tcBorders>
              <w:top w:val="nil"/>
              <w:left w:val="single" w:color="auto" w:sz="8" w:space="0"/>
              <w:bottom w:val="single" w:color="auto" w:sz="8" w:space="0"/>
              <w:right w:val="single" w:color="auto" w:sz="8" w:space="0"/>
            </w:tcBorders>
            <w:noWrap w:val="0"/>
            <w:vAlign w:val="center"/>
          </w:tcPr>
          <w:p w14:paraId="423237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有效提高</w:t>
            </w:r>
          </w:p>
        </w:tc>
        <w:tc>
          <w:tcPr>
            <w:tcW w:w="826" w:type="dxa"/>
            <w:tcBorders>
              <w:top w:val="nil"/>
              <w:left w:val="single" w:color="auto" w:sz="8" w:space="0"/>
              <w:bottom w:val="single" w:color="auto" w:sz="8" w:space="0"/>
              <w:right w:val="single" w:color="auto" w:sz="8" w:space="0"/>
            </w:tcBorders>
            <w:noWrap w:val="0"/>
            <w:vAlign w:val="center"/>
          </w:tcPr>
          <w:p w14:paraId="1EBC4C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15</w:t>
            </w:r>
          </w:p>
        </w:tc>
      </w:tr>
      <w:tr w14:paraId="25109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7" w:type="dxa"/>
            <w:vMerge w:val="continue"/>
            <w:tcBorders>
              <w:top w:val="nil"/>
              <w:left w:val="single" w:color="auto" w:sz="8" w:space="0"/>
              <w:bottom w:val="single" w:color="auto" w:sz="8" w:space="0"/>
              <w:right w:val="single" w:color="auto" w:sz="8" w:space="0"/>
            </w:tcBorders>
            <w:noWrap w:val="0"/>
            <w:vAlign w:val="center"/>
          </w:tcPr>
          <w:p w14:paraId="77D513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2B139F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07" w:type="dxa"/>
            <w:vMerge w:val="continue"/>
            <w:tcBorders>
              <w:top w:val="nil"/>
              <w:left w:val="single" w:color="auto" w:sz="8" w:space="0"/>
              <w:bottom w:val="single" w:color="auto" w:sz="8" w:space="0"/>
              <w:right w:val="single" w:color="auto" w:sz="8" w:space="0"/>
            </w:tcBorders>
            <w:noWrap w:val="0"/>
            <w:vAlign w:val="center"/>
          </w:tcPr>
          <w:p w14:paraId="5BD274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vMerge w:val="continue"/>
            <w:tcBorders>
              <w:top w:val="nil"/>
              <w:left w:val="single" w:color="auto" w:sz="8" w:space="0"/>
              <w:bottom w:val="single" w:color="auto" w:sz="8" w:space="0"/>
              <w:right w:val="single" w:color="auto" w:sz="8" w:space="0"/>
            </w:tcBorders>
            <w:noWrap w:val="0"/>
            <w:vAlign w:val="center"/>
          </w:tcPr>
          <w:p w14:paraId="4FB8D4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239" w:type="dxa"/>
            <w:tcBorders>
              <w:top w:val="nil"/>
              <w:left w:val="single" w:color="auto" w:sz="8" w:space="0"/>
              <w:bottom w:val="single" w:color="auto" w:sz="8" w:space="0"/>
              <w:right w:val="single" w:color="auto" w:sz="8" w:space="0"/>
            </w:tcBorders>
            <w:noWrap w:val="0"/>
            <w:vAlign w:val="center"/>
          </w:tcPr>
          <w:p w14:paraId="458714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服务对象满意度</w:t>
            </w:r>
          </w:p>
        </w:tc>
        <w:tc>
          <w:tcPr>
            <w:tcW w:w="650" w:type="dxa"/>
            <w:tcBorders>
              <w:top w:val="nil"/>
              <w:left w:val="single" w:color="auto" w:sz="8" w:space="0"/>
              <w:bottom w:val="single" w:color="auto" w:sz="8" w:space="0"/>
              <w:right w:val="single" w:color="auto" w:sz="8" w:space="0"/>
            </w:tcBorders>
            <w:noWrap w:val="0"/>
            <w:vAlign w:val="center"/>
          </w:tcPr>
          <w:p w14:paraId="0BA17F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884" w:type="dxa"/>
            <w:tcBorders>
              <w:top w:val="nil"/>
              <w:left w:val="single" w:color="auto" w:sz="8" w:space="0"/>
              <w:bottom w:val="single" w:color="auto" w:sz="8" w:space="0"/>
              <w:right w:val="single" w:color="auto" w:sz="8" w:space="0"/>
            </w:tcBorders>
            <w:noWrap w:val="0"/>
            <w:vAlign w:val="center"/>
          </w:tcPr>
          <w:p w14:paraId="0C92CE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受益对象满意度</w:t>
            </w:r>
          </w:p>
        </w:tc>
        <w:tc>
          <w:tcPr>
            <w:tcW w:w="842" w:type="dxa"/>
            <w:tcBorders>
              <w:top w:val="nil"/>
              <w:left w:val="single" w:color="auto" w:sz="8" w:space="0"/>
              <w:bottom w:val="single" w:color="auto" w:sz="8" w:space="0"/>
              <w:right w:val="single" w:color="auto" w:sz="8" w:space="0"/>
            </w:tcBorders>
            <w:noWrap w:val="0"/>
            <w:vAlign w:val="center"/>
          </w:tcPr>
          <w:p w14:paraId="7BDE7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≥95%</w:t>
            </w:r>
          </w:p>
        </w:tc>
        <w:tc>
          <w:tcPr>
            <w:tcW w:w="3788" w:type="dxa"/>
            <w:tcBorders>
              <w:top w:val="nil"/>
              <w:left w:val="single" w:color="auto" w:sz="8" w:space="0"/>
              <w:bottom w:val="single" w:color="auto" w:sz="8" w:space="0"/>
              <w:right w:val="single" w:color="auto" w:sz="8" w:space="0"/>
            </w:tcBorders>
            <w:noWrap w:val="0"/>
            <w:vAlign w:val="center"/>
          </w:tcPr>
          <w:p w14:paraId="164764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根据问卷调查，满意度达到标杆值，得权重分的100%；否则低于95%，得分=实际满意度*指标分值。</w:t>
            </w:r>
          </w:p>
        </w:tc>
        <w:tc>
          <w:tcPr>
            <w:tcW w:w="861" w:type="dxa"/>
            <w:tcBorders>
              <w:top w:val="nil"/>
              <w:left w:val="single" w:color="auto" w:sz="8" w:space="0"/>
              <w:bottom w:val="single" w:color="auto" w:sz="8" w:space="0"/>
              <w:right w:val="single" w:color="auto" w:sz="8" w:space="0"/>
            </w:tcBorders>
            <w:noWrap w:val="0"/>
            <w:vAlign w:val="center"/>
          </w:tcPr>
          <w:p w14:paraId="79B88D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95%</w:t>
            </w:r>
          </w:p>
        </w:tc>
        <w:tc>
          <w:tcPr>
            <w:tcW w:w="826" w:type="dxa"/>
            <w:tcBorders>
              <w:top w:val="nil"/>
              <w:left w:val="single" w:color="auto" w:sz="8" w:space="0"/>
              <w:bottom w:val="single" w:color="auto" w:sz="8" w:space="0"/>
              <w:right w:val="single" w:color="auto" w:sz="8" w:space="0"/>
            </w:tcBorders>
            <w:noWrap w:val="0"/>
            <w:vAlign w:val="center"/>
          </w:tcPr>
          <w:p w14:paraId="4C65E0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7E45B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7" w:type="dxa"/>
            <w:tcBorders>
              <w:top w:val="nil"/>
              <w:left w:val="single" w:color="auto" w:sz="8" w:space="0"/>
              <w:bottom w:val="single" w:color="auto" w:sz="8" w:space="0"/>
              <w:right w:val="single" w:color="auto" w:sz="8" w:space="0"/>
            </w:tcBorders>
            <w:noWrap w:val="0"/>
            <w:vAlign w:val="center"/>
          </w:tcPr>
          <w:p w14:paraId="586ADF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总分</w:t>
            </w:r>
          </w:p>
        </w:tc>
        <w:tc>
          <w:tcPr>
            <w:tcW w:w="584" w:type="dxa"/>
            <w:tcBorders>
              <w:top w:val="nil"/>
              <w:left w:val="single" w:color="auto" w:sz="8" w:space="0"/>
              <w:bottom w:val="single" w:color="auto" w:sz="8" w:space="0"/>
              <w:right w:val="single" w:color="auto" w:sz="8" w:space="0"/>
            </w:tcBorders>
            <w:noWrap w:val="0"/>
            <w:vAlign w:val="center"/>
          </w:tcPr>
          <w:p w14:paraId="6BDE1F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507" w:type="dxa"/>
            <w:tcBorders>
              <w:top w:val="nil"/>
              <w:left w:val="single" w:color="auto" w:sz="8" w:space="0"/>
              <w:bottom w:val="single" w:color="auto" w:sz="8" w:space="0"/>
              <w:right w:val="single" w:color="auto" w:sz="8" w:space="0"/>
            </w:tcBorders>
            <w:noWrap w:val="0"/>
            <w:vAlign w:val="center"/>
          </w:tcPr>
          <w:p w14:paraId="7D7263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84" w:type="dxa"/>
            <w:tcBorders>
              <w:top w:val="nil"/>
              <w:left w:val="single" w:color="auto" w:sz="8" w:space="0"/>
              <w:bottom w:val="single" w:color="auto" w:sz="8" w:space="0"/>
              <w:right w:val="single" w:color="auto" w:sz="8" w:space="0"/>
            </w:tcBorders>
            <w:noWrap w:val="0"/>
            <w:vAlign w:val="center"/>
          </w:tcPr>
          <w:p w14:paraId="1DFA7E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239" w:type="dxa"/>
            <w:tcBorders>
              <w:top w:val="nil"/>
              <w:left w:val="single" w:color="auto" w:sz="8" w:space="0"/>
              <w:bottom w:val="single" w:color="auto" w:sz="8" w:space="0"/>
              <w:right w:val="single" w:color="auto" w:sz="8" w:space="0"/>
            </w:tcBorders>
            <w:noWrap w:val="0"/>
            <w:vAlign w:val="center"/>
          </w:tcPr>
          <w:p w14:paraId="3A4C05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650" w:type="dxa"/>
            <w:tcBorders>
              <w:top w:val="nil"/>
              <w:left w:val="single" w:color="auto" w:sz="8" w:space="0"/>
              <w:bottom w:val="single" w:color="auto" w:sz="8" w:space="0"/>
              <w:right w:val="single" w:color="auto" w:sz="8" w:space="0"/>
            </w:tcBorders>
            <w:noWrap w:val="0"/>
            <w:vAlign w:val="center"/>
          </w:tcPr>
          <w:p w14:paraId="696711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884" w:type="dxa"/>
            <w:tcBorders>
              <w:top w:val="nil"/>
              <w:left w:val="single" w:color="auto" w:sz="8" w:space="0"/>
              <w:bottom w:val="single" w:color="auto" w:sz="8" w:space="0"/>
              <w:right w:val="single" w:color="auto" w:sz="8" w:space="0"/>
            </w:tcBorders>
            <w:noWrap w:val="0"/>
            <w:vAlign w:val="center"/>
          </w:tcPr>
          <w:p w14:paraId="2347DA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842" w:type="dxa"/>
            <w:tcBorders>
              <w:top w:val="nil"/>
              <w:left w:val="single" w:color="auto" w:sz="8" w:space="0"/>
              <w:bottom w:val="single" w:color="auto" w:sz="8" w:space="0"/>
              <w:right w:val="single" w:color="auto" w:sz="8" w:space="0"/>
            </w:tcBorders>
            <w:noWrap w:val="0"/>
            <w:vAlign w:val="center"/>
          </w:tcPr>
          <w:p w14:paraId="1CE896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w:t>
            </w:r>
          </w:p>
        </w:tc>
        <w:tc>
          <w:tcPr>
            <w:tcW w:w="3788" w:type="dxa"/>
            <w:tcBorders>
              <w:top w:val="nil"/>
              <w:left w:val="single" w:color="auto" w:sz="8" w:space="0"/>
              <w:bottom w:val="single" w:color="auto" w:sz="8" w:space="0"/>
              <w:right w:val="single" w:color="auto" w:sz="8" w:space="0"/>
            </w:tcBorders>
            <w:noWrap w:val="0"/>
            <w:vAlign w:val="center"/>
          </w:tcPr>
          <w:p w14:paraId="0A0FE42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4"/>
                <w:szCs w:val="24"/>
                <w:u w:val="none"/>
              </w:rPr>
            </w:pPr>
          </w:p>
        </w:tc>
        <w:tc>
          <w:tcPr>
            <w:tcW w:w="861" w:type="dxa"/>
            <w:tcBorders>
              <w:top w:val="nil"/>
              <w:left w:val="single" w:color="auto" w:sz="8" w:space="0"/>
              <w:bottom w:val="single" w:color="auto" w:sz="8" w:space="0"/>
              <w:right w:val="single" w:color="auto" w:sz="8" w:space="0"/>
            </w:tcBorders>
            <w:noWrap w:val="0"/>
            <w:vAlign w:val="center"/>
          </w:tcPr>
          <w:p w14:paraId="2ECA97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826" w:type="dxa"/>
            <w:tcBorders>
              <w:top w:val="nil"/>
              <w:left w:val="single" w:color="auto" w:sz="8" w:space="0"/>
              <w:bottom w:val="single" w:color="auto" w:sz="8" w:space="0"/>
              <w:right w:val="single" w:color="auto" w:sz="8" w:space="0"/>
            </w:tcBorders>
            <w:noWrap w:val="0"/>
            <w:vAlign w:val="center"/>
          </w:tcPr>
          <w:p w14:paraId="4DFE0A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bl>
    <w:p w14:paraId="0F1E9CF2">
      <w:pPr>
        <w:pStyle w:val="10"/>
        <w:ind w:left="0" w:leftChars="0" w:firstLine="0" w:firstLineChars="0"/>
        <w:jc w:val="both"/>
        <w:rPr>
          <w:rFonts w:hint="eastAsia" w:ascii="宋体" w:hAnsi="宋体" w:eastAsia="宋体" w:cs="宋体"/>
          <w:color w:val="auto"/>
          <w:sz w:val="24"/>
          <w:szCs w:val="24"/>
          <w:lang w:val="en-US" w:eastAsia="zh-CN"/>
        </w:rPr>
      </w:pPr>
    </w:p>
    <w:p w14:paraId="454AD9E8">
      <w:pPr>
        <w:pStyle w:val="10"/>
        <w:ind w:left="0" w:leftChars="0" w:firstLine="0" w:firstLineChars="0"/>
        <w:jc w:val="both"/>
        <w:rPr>
          <w:rFonts w:hint="eastAsia" w:ascii="宋体" w:hAnsi="宋体" w:eastAsia="宋体" w:cs="宋体"/>
          <w:color w:val="auto"/>
          <w:sz w:val="24"/>
          <w:szCs w:val="24"/>
          <w:lang w:val="en-US" w:eastAsia="zh-CN"/>
        </w:rPr>
      </w:pPr>
    </w:p>
    <w:p w14:paraId="662FE5A4">
      <w:pPr>
        <w:pStyle w:val="10"/>
        <w:ind w:left="0" w:leftChars="0" w:firstLine="0" w:firstLineChars="0"/>
        <w:jc w:val="both"/>
        <w:rPr>
          <w:rFonts w:hint="eastAsia" w:ascii="宋体" w:hAnsi="宋体" w:eastAsia="宋体" w:cs="宋体"/>
          <w:color w:val="auto"/>
          <w:sz w:val="24"/>
          <w:szCs w:val="24"/>
          <w:lang w:val="en-US" w:eastAsia="zh-CN"/>
        </w:rPr>
      </w:pPr>
    </w:p>
    <w:p w14:paraId="79780066">
      <w:pPr>
        <w:pStyle w:val="10"/>
        <w:ind w:left="0" w:leftChars="0" w:firstLine="0" w:firstLineChars="0"/>
        <w:jc w:val="both"/>
        <w:rPr>
          <w:rFonts w:hint="eastAsia" w:ascii="宋体" w:hAnsi="宋体" w:eastAsia="宋体" w:cs="宋体"/>
          <w:color w:val="auto"/>
          <w:sz w:val="24"/>
          <w:szCs w:val="24"/>
          <w:lang w:val="en-US" w:eastAsia="zh-CN"/>
        </w:rPr>
      </w:pPr>
    </w:p>
    <w:p w14:paraId="468FC80F">
      <w:pPr>
        <w:pStyle w:val="10"/>
        <w:ind w:left="0" w:leftChars="0" w:firstLine="0" w:firstLineChars="0"/>
        <w:jc w:val="both"/>
        <w:rPr>
          <w:rFonts w:hint="eastAsia" w:ascii="宋体" w:hAnsi="宋体" w:eastAsia="宋体" w:cs="宋体"/>
          <w:color w:val="auto"/>
          <w:sz w:val="24"/>
          <w:szCs w:val="24"/>
          <w:lang w:val="en-US" w:eastAsia="zh-CN"/>
        </w:rPr>
      </w:pPr>
    </w:p>
    <w:p w14:paraId="015548BF">
      <w:pPr>
        <w:pStyle w:val="10"/>
        <w:ind w:left="0" w:leftChars="0" w:firstLine="0" w:firstLineChars="0"/>
        <w:jc w:val="both"/>
        <w:rPr>
          <w:rFonts w:hint="eastAsia" w:ascii="宋体" w:hAnsi="宋体" w:eastAsia="宋体" w:cs="宋体"/>
          <w:color w:val="auto"/>
          <w:sz w:val="24"/>
          <w:szCs w:val="24"/>
          <w:lang w:val="en-US" w:eastAsia="zh-CN"/>
        </w:rPr>
      </w:pPr>
    </w:p>
    <w:p w14:paraId="75302FE5">
      <w:pPr>
        <w:pStyle w:val="10"/>
        <w:ind w:left="0" w:leftChars="0" w:firstLine="0" w:firstLineChars="0"/>
        <w:jc w:val="both"/>
        <w:rPr>
          <w:rFonts w:hint="eastAsia" w:ascii="宋体" w:hAnsi="宋体" w:eastAsia="宋体" w:cs="宋体"/>
          <w:color w:val="auto"/>
          <w:sz w:val="24"/>
          <w:szCs w:val="24"/>
          <w:lang w:val="en-US" w:eastAsia="zh-CN"/>
        </w:rPr>
      </w:pPr>
    </w:p>
    <w:p w14:paraId="5067B1EC">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48984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1F83D92">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16F16209">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0B782F27">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37EC9760">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5B7B5BF0">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5870C6D3">
            <w:pPr>
              <w:rPr>
                <w:rFonts w:hint="eastAsia" w:ascii="宋体" w:hAnsi="宋体" w:eastAsia="宋体" w:cs="宋体"/>
                <w:i w:val="0"/>
                <w:iCs w:val="0"/>
                <w:color w:val="000000"/>
                <w:sz w:val="22"/>
                <w:szCs w:val="22"/>
                <w:highlight w:val="none"/>
                <w:u w:val="none"/>
              </w:rPr>
            </w:pPr>
          </w:p>
        </w:tc>
      </w:tr>
      <w:tr w14:paraId="262AD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3F24092">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28"/>
                <w:szCs w:val="28"/>
                <w:u w:val="none"/>
                <w:lang w:val="en-US" w:eastAsia="zh-CN"/>
              </w:rPr>
              <w:t>和田地区洛浦县维吾尔医医院发热门诊建设项目综合得分表</w:t>
            </w:r>
          </w:p>
        </w:tc>
      </w:tr>
      <w:tr w14:paraId="293B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41E02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A97D0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B1F3D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87956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02419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55705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3E2D7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D2045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0AB24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22614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805AA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FAA10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C80DB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3CA23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D1E50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81FE3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00B33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71886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6BC90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73687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08216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645A4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AA32B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D7069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C0A9A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9A603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C1D3A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bl>
    <w:p w14:paraId="4BB31064">
      <w:pPr>
        <w:pStyle w:val="10"/>
        <w:ind w:left="0" w:leftChars="0" w:firstLine="0" w:firstLineChars="0"/>
        <w:jc w:val="both"/>
        <w:rPr>
          <w:rFonts w:hint="default" w:ascii="宋体" w:hAnsi="宋体" w:eastAsia="宋体" w:cs="宋体"/>
          <w:sz w:val="24"/>
          <w:szCs w:val="24"/>
          <w:lang w:val="en-US" w:eastAsia="zh-CN"/>
        </w:rPr>
      </w:pPr>
    </w:p>
    <w:p w14:paraId="3C3A6500">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3291DF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052643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和田地区洛浦县维吾尔医医院发热门诊建设项目满意度调查问卷分析报告</w:t>
      </w:r>
    </w:p>
    <w:p w14:paraId="37B67D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38390F5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一、该问卷调查从2025年2月1日开始至2025年2月28日结束，调查问卷共设置2道题目。</w:t>
      </w:r>
    </w:p>
    <w:p w14:paraId="4B130D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1.调查对象</w:t>
      </w:r>
    </w:p>
    <w:p w14:paraId="31B4CC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本次调查的受益对象为本校学生与家长。</w:t>
      </w:r>
    </w:p>
    <w:p w14:paraId="45264BE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2.调查内容</w:t>
      </w:r>
    </w:p>
    <w:p w14:paraId="65D13D1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①您认为项目实施过后对于提高学生的校园生活质量的程度怎么样？</w:t>
      </w:r>
    </w:p>
    <w:p w14:paraId="3BC6A2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50C629E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②总的来说，您对目前和田地区洛浦县维吾尔医医院发热门诊建设项目实施后的整体满意程度如何？</w:t>
      </w:r>
    </w:p>
    <w:p w14:paraId="4AC747B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787A536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07E2C981">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2F4DF4C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7478D070">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为确保问卷调查的全面性和代表性，本次调查问卷调查采取随机抽样和分层抽样相结合方式进行。</w:t>
      </w:r>
    </w:p>
    <w:p w14:paraId="42653F7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628664D4">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11E80654">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042FBC65">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本次调查过程中，评价小组实际发放问卷50份，回收问卷50份，问卷回收率为100.00%，有效问卷50份，有效回收率100.00%，本次调查的整体情况如下：</w:t>
      </w:r>
    </w:p>
    <w:p w14:paraId="5B8B2EA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第一个问题：该项统计有效问卷数量50份，选择有效提高的人数为47人。选择提高的人数为3人，选择无效果的人数0人。</w:t>
      </w:r>
    </w:p>
    <w:p w14:paraId="10A8CE65">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第二个问题：该项统计有效问卷数量50份，选择有效提高 的人数为50人。选择提高的人数为0人，选择无效果的人数0人。</w:t>
      </w:r>
    </w:p>
    <w:p w14:paraId="083FE34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11B4D4D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和田地区洛浦县维吾尔医医院发热门诊建设项目针对受益人员发放50份调查问卷，最终统计受益人群满意度为100%。</w:t>
      </w:r>
    </w:p>
    <w:p w14:paraId="1BAE6E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01A767A6">
      <w:pPr>
        <w:pStyle w:val="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sz w:val="24"/>
          <w:szCs w:val="24"/>
          <w:lang w:val="en-US" w:eastAsia="zh-CN"/>
        </w:rPr>
      </w:pPr>
    </w:p>
    <w:p w14:paraId="6619E15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洛浦县维吾尔医医院</w:t>
      </w:r>
    </w:p>
    <w:p w14:paraId="0CC7C2A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2025年3月24日</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A827E1-F350-4C68-A701-03F905E68B7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9AA4824-D3FC-4659-A080-9ADB978DF4FE}"/>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DB0EC663-5467-4331-8234-C3C2F02B9AE5}"/>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0B2C1">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565B8">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00558503">
                <w:pPr>
                  <w:pStyle w:val="15"/>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lang w:val="en-US" w:eastAsia="zh-CN"/>
                  </w:rPr>
                  <w:t>25</w:t>
                </w:r>
                <w:r>
                  <w:rPr>
                    <w:rFonts w:hint="eastAsia" w:ascii="宋体" w:hAnsi="宋体" w:eastAsia="宋体" w:cs="宋体"/>
                    <w:sz w:val="21"/>
                    <w:szCs w:val="21"/>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9B9E5">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3"/>
      <w:numFmt w:val="decimal"/>
      <w:suff w:val="space"/>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multilevel"/>
    <w:tmpl w:val="0053208E"/>
    <w:lvl w:ilvl="0" w:tentative="0">
      <w:start w:val="1"/>
      <w:numFmt w:val="chineseCountingThousand"/>
      <w:pStyle w:val="6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WY0NmEzMjk1NGJjYzA1NjczMzY0MDZjNTgzYmZjNDcifQ=="/>
  </w:docVars>
  <w:rsids>
    <w:rsidRoot w:val="00000000"/>
    <w:rsid w:val="21054354"/>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6"/>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2"/>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5"/>
    <w:unhideWhenUsed/>
    <w:qFormat/>
    <w:uiPriority w:val="0"/>
    <w:pPr>
      <w:ind w:firstLine="420"/>
    </w:pPr>
  </w:style>
  <w:style w:type="paragraph" w:styleId="5">
    <w:name w:val="Body Text Indent"/>
    <w:basedOn w:val="1"/>
    <w:link w:val="34"/>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8"/>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40"/>
    <w:unhideWhenUsed/>
    <w:qFormat/>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qFormat/>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qFormat/>
    <w:uiPriority w:val="99"/>
    <w:rPr>
      <w:b/>
      <w:bCs/>
    </w:rPr>
  </w:style>
  <w:style w:type="character" w:customStyle="1" w:styleId="31">
    <w:name w:val="Comment Reference"/>
    <w:unhideWhenUsed/>
    <w:qFormat/>
    <w:uiPriority w:val="99"/>
    <w:rPr>
      <w:sz w:val="16"/>
      <w:szCs w:val="16"/>
    </w:rPr>
  </w:style>
  <w:style w:type="character" w:customStyle="1" w:styleId="32">
    <w:name w:val="标题 3 Char"/>
    <w:link w:val="2"/>
    <w:qFormat/>
    <w:uiPriority w:val="9"/>
    <w:rPr>
      <w:rFonts w:ascii="Calibri" w:hAnsi="Calibri" w:eastAsia="仿宋_GB2312" w:cs="黑体"/>
      <w:bCs/>
      <w:sz w:val="28"/>
      <w:szCs w:val="32"/>
    </w:rPr>
  </w:style>
  <w:style w:type="character" w:customStyle="1" w:styleId="33">
    <w:name w:val="标题 1 Char"/>
    <w:link w:val="3"/>
    <w:qFormat/>
    <w:uiPriority w:val="9"/>
    <w:rPr>
      <w:rFonts w:ascii="Times New Roman" w:hAnsi="Times New Roman" w:eastAsia="仿宋_GB2312" w:cs="Times New Roman"/>
      <w:b/>
      <w:bCs/>
      <w:kern w:val="44"/>
      <w:sz w:val="32"/>
      <w:szCs w:val="44"/>
    </w:rPr>
  </w:style>
  <w:style w:type="character" w:customStyle="1" w:styleId="34">
    <w:name w:val="正文文本缩进 Char"/>
    <w:link w:val="5"/>
    <w:semiHidden/>
    <w:qFormat/>
    <w:uiPriority w:val="99"/>
    <w:rPr>
      <w:rFonts w:ascii="Calibri" w:hAnsi="Calibri" w:eastAsia="仿宋_GB2312" w:cs="黑体"/>
      <w:sz w:val="28"/>
    </w:rPr>
  </w:style>
  <w:style w:type="character" w:customStyle="1" w:styleId="35">
    <w:name w:val="正文首行缩进 2 Char"/>
    <w:link w:val="4"/>
    <w:qFormat/>
    <w:uiPriority w:val="0"/>
    <w:rPr>
      <w:rFonts w:ascii="Calibri" w:hAnsi="Calibri" w:eastAsia="仿宋_GB2312" w:cs="黑体"/>
      <w:sz w:val="28"/>
    </w:rPr>
  </w:style>
  <w:style w:type="character" w:customStyle="1" w:styleId="36">
    <w:name w:val="标题 2 Char"/>
    <w:link w:val="6"/>
    <w:qFormat/>
    <w:uiPriority w:val="0"/>
    <w:rPr>
      <w:rFonts w:ascii="Cambria" w:hAnsi="Cambria" w:eastAsia="仿宋_GB2312" w:cs="Times New Roman"/>
      <w:b/>
      <w:bCs/>
      <w:kern w:val="0"/>
      <w:sz w:val="30"/>
      <w:szCs w:val="32"/>
    </w:rPr>
  </w:style>
  <w:style w:type="character" w:customStyle="1" w:styleId="37">
    <w:name w:val="标题 4 Char"/>
    <w:link w:val="7"/>
    <w:semiHidden/>
    <w:qFormat/>
    <w:uiPriority w:val="9"/>
    <w:rPr>
      <w:rFonts w:ascii="Cambria" w:hAnsi="Cambria" w:eastAsia="宋体" w:cs="Times New Roman"/>
      <w:b/>
      <w:bCs/>
      <w:sz w:val="28"/>
      <w:szCs w:val="28"/>
    </w:rPr>
  </w:style>
  <w:style w:type="character" w:customStyle="1" w:styleId="38">
    <w:name w:val="文档结构图 Char"/>
    <w:link w:val="9"/>
    <w:semiHidden/>
    <w:qFormat/>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4"/>
    <w:semiHidden/>
    <w:qFormat/>
    <w:uiPriority w:val="99"/>
    <w:rPr>
      <w:rFonts w:ascii="Calibri" w:hAnsi="Calibri" w:eastAsia="仿宋_GB2312" w:cs="黑体"/>
      <w:sz w:val="18"/>
      <w:szCs w:val="18"/>
    </w:rPr>
  </w:style>
  <w:style w:type="character" w:customStyle="1" w:styleId="41">
    <w:name w:val="页脚 Char"/>
    <w:link w:val="15"/>
    <w:qFormat/>
    <w:uiPriority w:val="99"/>
    <w:rPr>
      <w:rFonts w:ascii="Calibri" w:hAnsi="Calibri" w:eastAsia="仿宋_GB2312" w:cs="黑体"/>
      <w:sz w:val="18"/>
      <w:szCs w:val="18"/>
    </w:rPr>
  </w:style>
  <w:style w:type="character" w:customStyle="1" w:styleId="42">
    <w:name w:val="页眉 Char"/>
    <w:link w:val="16"/>
    <w:qFormat/>
    <w:uiPriority w:val="99"/>
    <w:rPr>
      <w:rFonts w:ascii="Calibri" w:hAnsi="Calibri" w:eastAsia="仿宋_GB2312" w:cs="黑体"/>
      <w:sz w:val="18"/>
      <w:szCs w:val="18"/>
    </w:rPr>
  </w:style>
  <w:style w:type="character" w:customStyle="1" w:styleId="43">
    <w:name w:val="标题 Char"/>
    <w:link w:val="23"/>
    <w:qFormat/>
    <w:uiPriority w:val="10"/>
    <w:rPr>
      <w:rFonts w:ascii="Cambria" w:hAnsi="Cambria"/>
      <w:b/>
      <w:bCs/>
      <w:kern w:val="2"/>
      <w:sz w:val="32"/>
      <w:szCs w:val="32"/>
    </w:rPr>
  </w:style>
  <w:style w:type="character" w:customStyle="1" w:styleId="44">
    <w:name w:val="批注主题 Char"/>
    <w:link w:val="30"/>
    <w:semiHidden/>
    <w:qFormat/>
    <w:uiPriority w:val="99"/>
    <w:rPr>
      <w:rFonts w:ascii="Calibri" w:hAnsi="Calibri" w:eastAsia="仿宋_GB2312" w:cs="黑体"/>
      <w:b/>
      <w:bCs/>
      <w:sz w:val="20"/>
      <w:szCs w:val="20"/>
    </w:rPr>
  </w:style>
  <w:style w:type="character" w:customStyle="1" w:styleId="45">
    <w:name w:val="font11"/>
    <w:qFormat/>
    <w:uiPriority w:val="0"/>
    <w:rPr>
      <w:rFonts w:hint="eastAsia" w:ascii="方正仿宋_GBK" w:hAnsi="方正仿宋_GBK" w:eastAsia="方正仿宋_GBK" w:cs="方正仿宋_GBK"/>
      <w:color w:val="000000"/>
      <w:sz w:val="24"/>
      <w:szCs w:val="24"/>
      <w:u w:val="none"/>
    </w:rPr>
  </w:style>
  <w:style w:type="character" w:customStyle="1" w:styleId="46">
    <w:name w:val="闻政-正文一级标题 Char"/>
    <w:link w:val="47"/>
    <w:qFormat/>
    <w:uiPriority w:val="3"/>
    <w:rPr>
      <w:rFonts w:ascii="黑体" w:hAnsi="黑体" w:eastAsia="黑体"/>
      <w:bCs/>
      <w:sz w:val="32"/>
      <w:szCs w:val="32"/>
    </w:rPr>
  </w:style>
  <w:style w:type="paragraph" w:customStyle="1" w:styleId="47">
    <w:name w:val="闻政-正文一级标题"/>
    <w:basedOn w:val="2"/>
    <w:next w:val="48"/>
    <w:link w:val="46"/>
    <w:qFormat/>
    <w:uiPriority w:val="3"/>
    <w:pPr>
      <w:spacing w:before="120" w:after="60" w:line="500" w:lineRule="exact"/>
      <w:ind w:firstLine="0" w:firstLineChars="0"/>
      <w:outlineLvl w:val="0"/>
    </w:pPr>
    <w:rPr>
      <w:rFonts w:ascii="黑体" w:hAnsi="黑体" w:eastAsia="黑体"/>
      <w:sz w:val="32"/>
    </w:rPr>
  </w:style>
  <w:style w:type="paragraph" w:customStyle="1" w:styleId="48">
    <w:name w:val="闻政-正文段落文字"/>
    <w:basedOn w:val="1"/>
    <w:link w:val="49"/>
    <w:qFormat/>
    <w:uiPriority w:val="3"/>
    <w:pPr>
      <w:spacing w:line="500" w:lineRule="exact"/>
      <w:ind w:firstLine="200"/>
    </w:pPr>
    <w:rPr>
      <w:rFonts w:ascii="Times New Roman" w:hAnsi="Times New Roman" w:cs="Times New Roman"/>
      <w:kern w:val="0"/>
      <w:szCs w:val="28"/>
    </w:rPr>
  </w:style>
  <w:style w:type="character" w:customStyle="1" w:styleId="49">
    <w:name w:val="闻政-正文段落文字 Char"/>
    <w:link w:val="48"/>
    <w:qFormat/>
    <w:uiPriority w:val="3"/>
    <w:rPr>
      <w:rFonts w:ascii="Times New Roman" w:hAnsi="Times New Roman" w:eastAsia="仿宋_GB2312"/>
      <w:sz w:val="28"/>
      <w:szCs w:val="28"/>
    </w:rPr>
  </w:style>
  <w:style w:type="character" w:customStyle="1" w:styleId="50">
    <w:name w:val="font71"/>
    <w:basedOn w:val="26"/>
    <w:qFormat/>
    <w:uiPriority w:val="0"/>
    <w:rPr>
      <w:rFonts w:hint="eastAsia" w:ascii="微软雅黑" w:hAnsi="微软雅黑" w:eastAsia="微软雅黑" w:cs="微软雅黑"/>
      <w:b/>
      <w:bCs/>
      <w:color w:val="000000"/>
      <w:sz w:val="32"/>
      <w:szCs w:val="32"/>
      <w:u w:val="none"/>
    </w:rPr>
  </w:style>
  <w:style w:type="character" w:customStyle="1" w:styleId="51">
    <w:name w:val="font21"/>
    <w:qFormat/>
    <w:uiPriority w:val="0"/>
    <w:rPr>
      <w:rFonts w:hint="default" w:ascii="Times New Roman" w:hAnsi="Times New Roman" w:cs="Times New Roman"/>
      <w:color w:val="000000"/>
      <w:sz w:val="24"/>
      <w:szCs w:val="24"/>
      <w:u w:val="none"/>
    </w:rPr>
  </w:style>
  <w:style w:type="character" w:customStyle="1" w:styleId="52">
    <w:name w:val="闻政-正文二级标题 Char"/>
    <w:link w:val="53"/>
    <w:qFormat/>
    <w:uiPriority w:val="3"/>
    <w:rPr>
      <w:rFonts w:ascii="Times New Roman" w:hAnsi="Times New Roman" w:eastAsia="仿宋_GB2312"/>
      <w:b/>
      <w:bCs/>
      <w:sz w:val="28"/>
      <w:szCs w:val="32"/>
    </w:rPr>
  </w:style>
  <w:style w:type="paragraph" w:customStyle="1" w:styleId="53">
    <w:name w:val="闻政-正文二级标题"/>
    <w:basedOn w:val="6"/>
    <w:next w:val="48"/>
    <w:link w:val="52"/>
    <w:qFormat/>
    <w:uiPriority w:val="3"/>
    <w:pPr>
      <w:spacing w:before="120" w:after="60" w:line="500" w:lineRule="exact"/>
      <w:ind w:left="200" w:leftChars="200" w:firstLine="0" w:firstLineChars="0"/>
    </w:pPr>
    <w:rPr>
      <w:rFonts w:ascii="Times New Roman" w:hAnsi="Times New Roman"/>
      <w:sz w:val="28"/>
    </w:rPr>
  </w:style>
  <w:style w:type="character" w:customStyle="1" w:styleId="54">
    <w:name w:val="无间隔 Char"/>
    <w:link w:val="55"/>
    <w:qFormat/>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6">
    <w:name w:val="闻政-正文三级标题 Char"/>
    <w:link w:val="57"/>
    <w:qFormat/>
    <w:uiPriority w:val="3"/>
    <w:rPr>
      <w:rFonts w:ascii="Times New Roman" w:hAnsi="Times New Roman" w:eastAsia="仿宋_GB2312"/>
      <w:b/>
      <w:snapToGrid w:val="0"/>
      <w:sz w:val="28"/>
      <w:szCs w:val="28"/>
    </w:rPr>
  </w:style>
  <w:style w:type="paragraph" w:customStyle="1" w:styleId="57">
    <w:name w:val="闻政-正文三级标题"/>
    <w:basedOn w:val="1"/>
    <w:next w:val="48"/>
    <w:link w:val="56"/>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8">
    <w:name w:val="58"/>
    <w:qFormat/>
    <w:uiPriority w:val="0"/>
    <w:rPr>
      <w:b/>
      <w:bCs/>
      <w:smallCaps/>
      <w:color w:val="C0504D"/>
      <w:spacing w:val="5"/>
      <w:u w:val="single"/>
    </w:rPr>
  </w:style>
  <w:style w:type="paragraph" w:styleId="59">
    <w:name w:val="List Paragraph"/>
    <w:basedOn w:val="1"/>
    <w:qFormat/>
    <w:uiPriority w:val="34"/>
    <w:pPr>
      <w:ind w:firstLine="420"/>
    </w:pPr>
  </w:style>
  <w:style w:type="paragraph" w:customStyle="1" w:styleId="60">
    <w:name w:val="Body text|1"/>
    <w:basedOn w:val="1"/>
    <w:qFormat/>
    <w:uiPriority w:val="0"/>
    <w:pPr>
      <w:spacing w:line="420" w:lineRule="auto"/>
      <w:ind w:firstLine="400"/>
    </w:pPr>
    <w:rPr>
      <w:rFonts w:ascii="宋体" w:hAnsi="宋体" w:eastAsia="宋体" w:cs="宋体"/>
      <w:szCs w:val="30"/>
      <w:lang w:val="zh-TW" w:eastAsia="zh-TW" w:bidi="zh-TW"/>
    </w:rPr>
  </w:style>
  <w:style w:type="paragraph" w:customStyle="1" w:styleId="61">
    <w:name w:val="标题2"/>
    <w:basedOn w:val="6"/>
    <w:qFormat/>
    <w:uiPriority w:val="0"/>
    <w:pPr>
      <w:numPr>
        <w:ilvl w:val="0"/>
        <w:numId w:val="1"/>
      </w:numPr>
      <w:spacing w:before="120" w:after="120" w:line="500" w:lineRule="exact"/>
    </w:pPr>
    <w:rPr>
      <w:rFonts w:ascii="仿宋_GB2312" w:eastAsia="仿宋_GB2312" w:cs="Times New Roman"/>
    </w:rPr>
  </w:style>
  <w:style w:type="paragraph" w:customStyle="1" w:styleId="62">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customStyle="1" w:styleId="63">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660FE4526B5347B3A15C9F6820C5AA7D_13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21ec9-b09f-4aba-b635-44a21a0e57c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12104</Words>
  <Characters>12840</Characters>
  <Lines>44</Lines>
  <Paragraphs>12</Paragraphs>
  <TotalTime>0</TotalTime>
  <ScaleCrop>false</ScaleCrop>
  <LinksUpToDate>false</LinksUpToDate>
  <CharactersWithSpaces>12899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2025-10-10T11:00:00Z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660FE4526B5347B3A15C9F6820C5AA7D_13</vt:lpwstr>
  </property>
  <property fmtid="{D5CDD505-2E9C-101B-9397-08002B2CF9AE}" pid="4" name="KSOTemplateDocerSaveRecord">
    <vt:lpwstr>eyJoZGlkIjoiZDE5MGZhMTJhZDM2OTQwYzkzYWVjM2FhZDUxN2Q0M2IiLCJ1c2VySWQiOiI2NTE5NDIwMjYifQ_x003D__x003D_</vt:lpwstr>
  </property>
</Properties>
</file>