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E70E45">
      <w:bookmarkStart w:id="29" w:name="_GoBack"/>
      <w:bookmarkEnd w:id="29"/>
    </w:p>
    <w:p w14:paraId="52FDEFCF">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684BA456">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和田地区洛浦县结核病区人工作人员工资、患者</w:t>
      </w:r>
    </w:p>
    <w:p w14:paraId="347221A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伙食补助项目支出绩效评价报告</w:t>
      </w:r>
    </w:p>
    <w:p w14:paraId="6C8EC6C2">
      <w:pPr>
        <w:pStyle w:val="6"/>
        <w:ind w:left="0" w:leftChars="0" w:firstLine="0" w:firstLineChars="0"/>
        <w:jc w:val="center"/>
        <w:rPr>
          <w:rFonts w:hint="eastAsia" w:ascii="黑体" w:hAnsi="黑体" w:eastAsia="黑体" w:cs="黑体"/>
          <w:b/>
          <w:bCs w:val="0"/>
          <w:color w:val="auto"/>
          <w:sz w:val="28"/>
          <w:szCs w:val="28"/>
          <w:highlight w:val="none"/>
          <w:lang w:eastAsia="zh-CN"/>
        </w:rPr>
      </w:pPr>
      <w:r>
        <w:rPr>
          <w:rFonts w:hint="eastAsia" w:ascii="黑体" w:hAnsi="黑体" w:eastAsia="黑体" w:cs="黑体"/>
          <w:b/>
          <w:bCs w:val="0"/>
          <w:color w:val="auto"/>
          <w:sz w:val="28"/>
          <w:szCs w:val="28"/>
          <w:highlight w:val="none"/>
          <w:lang w:eastAsia="zh-CN"/>
        </w:rPr>
        <w:t>（</w:t>
      </w:r>
      <w:r>
        <w:rPr>
          <w:rFonts w:hint="eastAsia" w:ascii="黑体" w:hAnsi="黑体" w:eastAsia="黑体" w:cs="黑体"/>
          <w:b/>
          <w:bCs w:val="0"/>
          <w:color w:val="auto"/>
          <w:sz w:val="28"/>
          <w:szCs w:val="28"/>
          <w:highlight w:val="none"/>
          <w:lang w:val="en-US" w:eastAsia="zh-CN"/>
        </w:rPr>
        <w:t>2024年度</w:t>
      </w:r>
      <w:r>
        <w:rPr>
          <w:rFonts w:hint="eastAsia" w:ascii="黑体" w:hAnsi="黑体" w:eastAsia="黑体" w:cs="黑体"/>
          <w:b/>
          <w:bCs w:val="0"/>
          <w:color w:val="auto"/>
          <w:sz w:val="28"/>
          <w:szCs w:val="28"/>
          <w:highlight w:val="none"/>
          <w:lang w:eastAsia="zh-CN"/>
        </w:rPr>
        <w:t>）</w:t>
      </w:r>
    </w:p>
    <w:p w14:paraId="00B6FA15">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5B2AB84E">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004983BC">
      <w:pPr>
        <w:pStyle w:val="6"/>
        <w:rPr>
          <w:rFonts w:hint="eastAsia" w:eastAsia="方正仿宋_GBK" w:cs="方正仿宋_GBK"/>
          <w:b/>
          <w:color w:val="auto"/>
          <w:kern w:val="0"/>
          <w:sz w:val="32"/>
          <w:szCs w:val="32"/>
          <w:lang w:bidi="en-US"/>
        </w:rPr>
      </w:pPr>
    </w:p>
    <w:p w14:paraId="1F8FB09E">
      <w:pPr>
        <w:rPr>
          <w:rFonts w:hint="eastAsia" w:eastAsia="方正仿宋_GBK" w:cs="方正仿宋_GBK"/>
          <w:b/>
          <w:color w:val="auto"/>
          <w:kern w:val="0"/>
          <w:sz w:val="32"/>
          <w:szCs w:val="32"/>
          <w:lang w:bidi="en-US"/>
        </w:rPr>
      </w:pPr>
    </w:p>
    <w:p w14:paraId="4D9C02DE">
      <w:pPr>
        <w:pStyle w:val="6"/>
        <w:rPr>
          <w:rFonts w:hint="eastAsia"/>
          <w:color w:val="auto"/>
        </w:rPr>
      </w:pPr>
    </w:p>
    <w:p w14:paraId="7E822862">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423EE849">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45A3DF0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6CB448C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项目名称：</w:t>
      </w:r>
      <w:r>
        <w:rPr>
          <w:rFonts w:hint="eastAsia" w:ascii="宋体" w:hAnsi="宋体" w:eastAsia="宋体" w:cs="宋体"/>
          <w:b/>
          <w:bCs/>
          <w:color w:val="auto"/>
          <w:kern w:val="0"/>
          <w:sz w:val="28"/>
          <w:szCs w:val="28"/>
          <w:highlight w:val="none"/>
          <w:lang w:val="en-US" w:eastAsia="zh-CN" w:bidi="en-US"/>
        </w:rPr>
        <w:t>结核病区人工作人员工资、患者伙食补助项目</w:t>
      </w:r>
    </w:p>
    <w:p w14:paraId="43EA227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eastAsia="zh-CN" w:bidi="en-US"/>
        </w:rPr>
      </w:pPr>
      <w:r>
        <w:rPr>
          <w:rFonts w:hint="eastAsia" w:ascii="宋体" w:hAnsi="宋体" w:eastAsia="宋体" w:cs="宋体"/>
          <w:b/>
          <w:bCs/>
          <w:color w:val="auto"/>
          <w:kern w:val="0"/>
          <w:sz w:val="28"/>
          <w:szCs w:val="28"/>
          <w:highlight w:val="none"/>
          <w:lang w:bidi="en-US"/>
        </w:rPr>
        <w:t>项目单位：</w:t>
      </w:r>
      <w:r>
        <w:rPr>
          <w:rFonts w:hint="eastAsia" w:ascii="宋体" w:hAnsi="宋体" w:eastAsia="宋体" w:cs="宋体"/>
          <w:b/>
          <w:bCs/>
          <w:color w:val="auto"/>
          <w:kern w:val="0"/>
          <w:sz w:val="28"/>
          <w:szCs w:val="28"/>
          <w:highlight w:val="none"/>
          <w:lang w:val="en-US" w:eastAsia="zh-CN" w:bidi="en-US"/>
        </w:rPr>
        <w:t>洛浦县人民医院</w:t>
      </w:r>
    </w:p>
    <w:p w14:paraId="572A696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主管部门：</w:t>
      </w:r>
      <w:r>
        <w:rPr>
          <w:rFonts w:hint="eastAsia" w:ascii="宋体" w:hAnsi="宋体" w:eastAsia="宋体" w:cs="宋体"/>
          <w:b/>
          <w:bCs/>
          <w:color w:val="auto"/>
          <w:kern w:val="0"/>
          <w:sz w:val="28"/>
          <w:szCs w:val="28"/>
          <w:highlight w:val="none"/>
          <w:lang w:val="en-US" w:eastAsia="zh-CN" w:bidi="en-US"/>
        </w:rPr>
        <w:t>洛浦县卫生健康委员会</w:t>
      </w:r>
      <w:r>
        <w:rPr>
          <w:rFonts w:hint="eastAsia" w:ascii="宋体" w:hAnsi="宋体" w:eastAsia="宋体" w:cs="宋体"/>
          <w:b/>
          <w:bCs/>
          <w:color w:val="auto"/>
          <w:kern w:val="0"/>
          <w:sz w:val="28"/>
          <w:szCs w:val="28"/>
          <w:highlight w:val="none"/>
          <w:lang w:bidi="en-US"/>
        </w:rPr>
        <w:t>（本级）</w:t>
      </w:r>
    </w:p>
    <w:p w14:paraId="5FF51610">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auto"/>
          <w:kern w:val="0"/>
          <w:sz w:val="28"/>
          <w:szCs w:val="28"/>
          <w:highlight w:val="none"/>
          <w:lang w:val="en-US" w:eastAsia="zh-CN" w:bidi="en-US"/>
        </w:rPr>
      </w:pPr>
      <w:r>
        <w:rPr>
          <w:rFonts w:hint="eastAsia" w:ascii="宋体" w:hAnsi="宋体" w:eastAsia="宋体" w:cs="宋体"/>
          <w:b/>
          <w:bCs/>
          <w:color w:val="auto"/>
          <w:kern w:val="0"/>
          <w:sz w:val="28"/>
          <w:szCs w:val="28"/>
          <w:highlight w:val="none"/>
          <w:lang w:bidi="en-US"/>
        </w:rPr>
        <w:t>项目负责人：</w:t>
      </w:r>
      <w:r>
        <w:rPr>
          <w:rFonts w:hint="eastAsia" w:ascii="宋体" w:hAnsi="宋体" w:eastAsia="宋体" w:cs="宋体"/>
          <w:b/>
          <w:bCs/>
          <w:color w:val="auto"/>
          <w:kern w:val="0"/>
          <w:sz w:val="28"/>
          <w:szCs w:val="28"/>
          <w:highlight w:val="none"/>
          <w:lang w:val="en-US" w:eastAsia="zh-CN" w:bidi="en-US"/>
        </w:rPr>
        <w:t>李浩</w:t>
      </w:r>
    </w:p>
    <w:p w14:paraId="705C315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auto"/>
          <w:kern w:val="0"/>
          <w:sz w:val="28"/>
          <w:szCs w:val="28"/>
          <w:highlight w:val="none"/>
          <w:lang w:bidi="en-US"/>
        </w:rPr>
      </w:pPr>
      <w:r>
        <w:rPr>
          <w:rFonts w:hint="eastAsia" w:ascii="宋体" w:hAnsi="宋体" w:eastAsia="宋体" w:cs="宋体"/>
          <w:b/>
          <w:bCs/>
          <w:color w:val="auto"/>
          <w:kern w:val="0"/>
          <w:sz w:val="28"/>
          <w:szCs w:val="28"/>
          <w:highlight w:val="none"/>
          <w:lang w:bidi="en-US"/>
        </w:rPr>
        <w:t>填报时间：</w:t>
      </w:r>
      <w:r>
        <w:rPr>
          <w:rFonts w:hint="eastAsia" w:ascii="宋体" w:hAnsi="宋体" w:eastAsia="宋体" w:cs="宋体"/>
          <w:b/>
          <w:bCs/>
          <w:color w:val="auto"/>
          <w:kern w:val="0"/>
          <w:sz w:val="28"/>
          <w:szCs w:val="28"/>
          <w:highlight w:val="none"/>
          <w:lang w:val="en-US" w:eastAsia="zh-CN" w:bidi="en-US"/>
        </w:rPr>
        <w:t>2025</w:t>
      </w:r>
      <w:r>
        <w:rPr>
          <w:rFonts w:hint="eastAsia" w:ascii="宋体" w:hAnsi="宋体" w:eastAsia="宋体" w:cs="宋体"/>
          <w:b/>
          <w:bCs/>
          <w:color w:val="auto"/>
          <w:kern w:val="0"/>
          <w:sz w:val="28"/>
          <w:szCs w:val="28"/>
          <w:highlight w:val="none"/>
          <w:lang w:bidi="en-US"/>
        </w:rPr>
        <w:t>年</w:t>
      </w:r>
      <w:r>
        <w:rPr>
          <w:rFonts w:hint="eastAsia" w:ascii="宋体" w:hAnsi="宋体" w:eastAsia="宋体" w:cs="宋体"/>
          <w:b/>
          <w:bCs/>
          <w:color w:val="auto"/>
          <w:kern w:val="0"/>
          <w:sz w:val="28"/>
          <w:szCs w:val="28"/>
          <w:highlight w:val="none"/>
          <w:lang w:val="en-US" w:eastAsia="zh-CN" w:bidi="en-US"/>
        </w:rPr>
        <w:t>3</w:t>
      </w:r>
      <w:r>
        <w:rPr>
          <w:rFonts w:hint="eastAsia" w:ascii="宋体" w:hAnsi="宋体" w:eastAsia="宋体" w:cs="宋体"/>
          <w:b/>
          <w:bCs/>
          <w:color w:val="auto"/>
          <w:kern w:val="0"/>
          <w:sz w:val="28"/>
          <w:szCs w:val="28"/>
          <w:highlight w:val="none"/>
          <w:lang w:bidi="en-US"/>
        </w:rPr>
        <w:t>月</w:t>
      </w:r>
      <w:r>
        <w:rPr>
          <w:rFonts w:hint="eastAsia" w:ascii="宋体" w:hAnsi="宋体" w:eastAsia="宋体" w:cs="宋体"/>
          <w:b/>
          <w:bCs/>
          <w:color w:val="auto"/>
          <w:kern w:val="0"/>
          <w:sz w:val="28"/>
          <w:szCs w:val="28"/>
          <w:highlight w:val="none"/>
          <w:lang w:val="en-US" w:eastAsia="zh-CN" w:bidi="en-US"/>
        </w:rPr>
        <w:t>31</w:t>
      </w:r>
      <w:r>
        <w:rPr>
          <w:rFonts w:hint="eastAsia" w:ascii="宋体" w:hAnsi="宋体" w:eastAsia="宋体" w:cs="宋体"/>
          <w:b/>
          <w:bCs/>
          <w:color w:val="auto"/>
          <w:kern w:val="0"/>
          <w:sz w:val="28"/>
          <w:szCs w:val="28"/>
          <w:highlight w:val="none"/>
          <w:lang w:bidi="en-US"/>
        </w:rPr>
        <w:t>日</w:t>
      </w:r>
    </w:p>
    <w:p w14:paraId="72FFE4BC">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lang w:bidi="en-US"/>
        </w:rPr>
      </w:pPr>
    </w:p>
    <w:p w14:paraId="5D0EA63F">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rPr>
      </w:pPr>
      <w:bookmarkStart w:id="0" w:name="_Toc68364657"/>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6E2F7DC8">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314504D3">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1.项目背景</w:t>
      </w:r>
    </w:p>
    <w:p w14:paraId="0FAA80C9">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项目主要内容为：通过项目实施，保障结核病区人工作人员工作积极性，保障结核病区患者伙食水平,争取项目单位满意度达到95%以上。</w:t>
      </w:r>
    </w:p>
    <w:p w14:paraId="08B7571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3217B2B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1）主要内容</w:t>
      </w:r>
    </w:p>
    <w:p w14:paraId="3F552136">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洛浦县2023年财经委员会会议纪要》（洛财纪字【2024】5号,洛财纪字【2023】16号,洛财纪字【2024】3号）文件实施此项目，项目主要内容为：结核病区15名工作人员工资，结核病区患者伙食补助，补助1703人次。通过项目实施，保障结核病区人工作人员工作积极性，保障结核病区患者伙食水平,争取项目单位满意度达到95%以上。</w:t>
      </w:r>
    </w:p>
    <w:p w14:paraId="7CC621F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3E5A1FDF">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2586E959">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本项目主管部门为洛浦县卫生健康委员会，实施单位为洛浦县洛浦县人民医院。</w:t>
      </w:r>
    </w:p>
    <w:p w14:paraId="0A293565">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7DD3DE03">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val="0"/>
          <w:bCs w:val="0"/>
          <w:color w:val="auto"/>
          <w:sz w:val="24"/>
          <w:szCs w:val="24"/>
          <w:lang w:val="en-US" w:eastAsia="zh-CN"/>
        </w:rPr>
        <w:t>2024年1月-2024年12月</w:t>
      </w:r>
    </w:p>
    <w:p w14:paraId="5512570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1C562E62">
      <w:pPr>
        <w:pStyle w:val="46"/>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本</w:t>
      </w:r>
      <w:r>
        <w:rPr>
          <w:rFonts w:hint="eastAsia" w:ascii="宋体" w:hAnsi="宋体" w:eastAsia="宋体" w:cs="宋体"/>
          <w:b w:val="0"/>
          <w:bCs w:val="0"/>
          <w:color w:val="auto"/>
          <w:sz w:val="24"/>
          <w:szCs w:val="24"/>
          <w:lang w:val="en-US" w:eastAsia="zh-CN"/>
        </w:rPr>
        <w:t>项目</w:t>
      </w:r>
      <w:r>
        <w:rPr>
          <w:rFonts w:hint="default" w:ascii="宋体" w:hAnsi="宋体" w:eastAsia="宋体" w:cs="宋体"/>
          <w:b w:val="0"/>
          <w:bCs w:val="0"/>
          <w:color w:val="auto"/>
          <w:sz w:val="24"/>
          <w:szCs w:val="24"/>
          <w:lang w:val="en-US" w:eastAsia="zh-CN"/>
        </w:rPr>
        <w:t>于202</w:t>
      </w: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年12月25日前全部</w:t>
      </w:r>
      <w:r>
        <w:rPr>
          <w:rFonts w:hint="eastAsia" w:ascii="宋体" w:hAnsi="宋体" w:eastAsia="宋体" w:cs="宋体"/>
          <w:b w:val="0"/>
          <w:bCs w:val="0"/>
          <w:color w:val="auto"/>
          <w:sz w:val="24"/>
          <w:szCs w:val="24"/>
          <w:lang w:val="en-US" w:eastAsia="zh-CN"/>
        </w:rPr>
        <w:t>落实完毕</w:t>
      </w:r>
      <w:r>
        <w:rPr>
          <w:rFonts w:hint="default" w:ascii="宋体" w:hAnsi="宋体" w:eastAsia="宋体" w:cs="宋体"/>
          <w:b w:val="0"/>
          <w:bCs w:val="0"/>
          <w:color w:val="auto"/>
          <w:sz w:val="24"/>
          <w:szCs w:val="24"/>
          <w:lang w:val="en-US" w:eastAsia="zh-CN"/>
        </w:rPr>
        <w:t>。</w:t>
      </w:r>
    </w:p>
    <w:p w14:paraId="72253F4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70DEF26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16D8EE2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179.46</w:t>
      </w:r>
      <w:r>
        <w:rPr>
          <w:rFonts w:hint="eastAsia" w:ascii="宋体" w:hAnsi="宋体" w:eastAsia="宋体" w:cs="宋体"/>
          <w:color w:val="auto"/>
          <w:sz w:val="24"/>
          <w:szCs w:val="24"/>
        </w:rPr>
        <w:t>万元，资金来源为部门预算自治区专项资金，其中：财政资金</w:t>
      </w:r>
      <w:r>
        <w:rPr>
          <w:rFonts w:hint="eastAsia" w:ascii="宋体" w:hAnsi="宋体" w:eastAsia="宋体" w:cs="宋体"/>
          <w:color w:val="auto"/>
          <w:sz w:val="24"/>
          <w:szCs w:val="24"/>
          <w:lang w:val="en-US" w:eastAsia="zh-CN"/>
        </w:rPr>
        <w:t>179.46</w:t>
      </w:r>
      <w:r>
        <w:rPr>
          <w:rFonts w:hint="eastAsia" w:ascii="宋体" w:hAnsi="宋体" w:eastAsia="宋体" w:cs="宋体"/>
          <w:color w:val="auto"/>
          <w:sz w:val="24"/>
          <w:szCs w:val="24"/>
        </w:rPr>
        <w:t>万元，其他资金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含自有资金、社会资金及以前年度结转结余资金）0.00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179.46</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A6429D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bookmarkStart w:id="2" w:name="_Toc68364659"/>
      <w:r>
        <w:rPr>
          <w:rFonts w:hint="eastAsia" w:ascii="宋体" w:hAnsi="宋体" w:eastAsia="宋体" w:cs="宋体"/>
          <w:b w:val="0"/>
          <w:bCs w:val="0"/>
          <w:color w:val="000000"/>
          <w:sz w:val="24"/>
          <w:szCs w:val="24"/>
          <w:highlight w:val="none"/>
        </w:rPr>
        <w:t>（2）项目资金实际使用情况分析</w:t>
      </w:r>
    </w:p>
    <w:p w14:paraId="4413F09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179.46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eastAsia="zh-CN"/>
        </w:rPr>
        <w:t>结核患者伙食</w:t>
      </w:r>
      <w:r>
        <w:rPr>
          <w:rFonts w:hint="eastAsia" w:ascii="宋体" w:hAnsi="宋体" w:eastAsia="宋体" w:cs="宋体"/>
          <w:color w:val="auto"/>
          <w:sz w:val="24"/>
          <w:szCs w:val="24"/>
          <w:lang w:val="en-US" w:eastAsia="zh-CN"/>
        </w:rPr>
        <w:t>122.09万元，结核病区工作人员工资（后勤人员）3.62</w:t>
      </w:r>
      <w:r>
        <w:rPr>
          <w:rFonts w:hint="eastAsia" w:ascii="宋体" w:hAnsi="宋体" w:eastAsia="宋体" w:cs="宋体"/>
          <w:color w:val="auto"/>
          <w:sz w:val="24"/>
          <w:szCs w:val="24"/>
        </w:rPr>
        <w:t>万元</w:t>
      </w:r>
      <w:r>
        <w:rPr>
          <w:rFonts w:hint="eastAsia" w:ascii="宋体" w:hAnsi="宋体" w:eastAsia="宋体" w:cs="宋体"/>
          <w:color w:val="auto"/>
          <w:sz w:val="24"/>
          <w:szCs w:val="24"/>
          <w:lang w:val="en-US" w:eastAsia="zh-CN"/>
        </w:rPr>
        <w:t>等</w:t>
      </w:r>
      <w:r>
        <w:rPr>
          <w:rFonts w:hint="eastAsia" w:ascii="宋体" w:hAnsi="宋体" w:eastAsia="宋体" w:cs="宋体"/>
          <w:color w:val="auto"/>
          <w:sz w:val="24"/>
          <w:szCs w:val="24"/>
        </w:rPr>
        <w:t>。</w:t>
      </w:r>
    </w:p>
    <w:p w14:paraId="1A42B3AE">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（二）项目绩效目标</w:t>
      </w:r>
      <w:bookmarkEnd w:id="2"/>
    </w:p>
    <w:p w14:paraId="63F3583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项目绩效目标包括项目总</w:t>
      </w:r>
      <w:r>
        <w:rPr>
          <w:rFonts w:hint="eastAsia" w:ascii="宋体" w:hAnsi="宋体" w:eastAsia="宋体" w:cs="宋体"/>
          <w:color w:val="auto"/>
          <w:sz w:val="24"/>
          <w:szCs w:val="24"/>
          <w:lang w:val="en-US" w:eastAsia="zh-CN"/>
        </w:rPr>
        <w:t>体</w:t>
      </w:r>
      <w:r>
        <w:rPr>
          <w:rFonts w:hint="eastAsia" w:ascii="宋体" w:hAnsi="宋体" w:eastAsia="宋体" w:cs="宋体"/>
          <w:color w:val="auto"/>
          <w:sz w:val="24"/>
          <w:szCs w:val="24"/>
        </w:rPr>
        <w:t>目标和阶段性目标。</w:t>
      </w:r>
    </w:p>
    <w:p w14:paraId="1FA08E59">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4746555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根据《洛浦县2023年财经委员会会议纪要》（洛财纪字【2024】5号,洛财纪字【2023】16号,洛财纪字【2024】3号）文件实施此项目，项目主要内容为：结核病区15名工作人员工资，结核病区患者伙食补助，补助1703人次。通过项目实施，保障结核病区人工作人员工作积极性，保障结核病区患者伙食水平,争取项目单位满意度达到95%以上。</w:t>
      </w:r>
    </w:p>
    <w:p w14:paraId="3DC71613">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3562061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5B0552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1EBCE350">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342F84A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指标1：结核病区工作人员人数，预期指标值≥15人；</w:t>
      </w:r>
    </w:p>
    <w:p w14:paraId="10992F4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指标2：结核病区患者伙食补助人次，预期指标值≥1703人次；</w:t>
      </w:r>
    </w:p>
    <w:p w14:paraId="635F4B7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3E30B63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指标1：资金使用合规率，预期指标值=100%；</w:t>
      </w:r>
    </w:p>
    <w:p w14:paraId="7B69C0A3">
      <w:pPr>
        <w:pStyle w:val="46"/>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w:t>
      </w:r>
      <w:r>
        <w:rPr>
          <w:rFonts w:hint="eastAsia" w:ascii="宋体" w:hAnsi="宋体" w:eastAsia="宋体" w:cs="宋体"/>
          <w:color w:val="000000"/>
          <w:sz w:val="24"/>
          <w:szCs w:val="24"/>
          <w:highlight w:val="none"/>
          <w:lang w:val="en-US" w:eastAsia="zh-CN"/>
        </w:rPr>
        <w:t>指标</w:t>
      </w:r>
      <w:r>
        <w:rPr>
          <w:rFonts w:hint="eastAsia" w:ascii="宋体" w:hAnsi="宋体" w:eastAsia="宋体" w:cs="宋体"/>
          <w:color w:val="auto"/>
          <w:sz w:val="24"/>
          <w:szCs w:val="24"/>
        </w:rPr>
        <w:t>：</w:t>
      </w:r>
    </w:p>
    <w:p w14:paraId="3FA4809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指标1：项目完成时间，预期指标值2024年12月；</w:t>
      </w:r>
    </w:p>
    <w:p w14:paraId="390C6DB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指标2：资金支付及时率，预期指标值=100%；</w:t>
      </w:r>
    </w:p>
    <w:p w14:paraId="33B5856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216337E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5FF9D93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指标1：结核病区工作人员工资，预期指标值≤3.62万元；</w:t>
      </w:r>
    </w:p>
    <w:p w14:paraId="7064908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指标2：结核病区患者伙食补助费用，用预期指标值≤175.84万元；</w:t>
      </w:r>
    </w:p>
    <w:p w14:paraId="33A460A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33AEFFA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0951CDE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37EE3FD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474ABA9C">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6ED5BD1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66714B8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06DCEE04">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391D0E5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指标1：保障结核病区患者伙食水平，预期指标值为有效保障；</w:t>
      </w:r>
    </w:p>
    <w:p w14:paraId="5AE7C07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5BEBD397">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78D5E3A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7D17027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指标1：受益群众满意度，预期指标值≥95%。</w:t>
      </w:r>
    </w:p>
    <w:p w14:paraId="55989CAC">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59C7D021">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1C8788D8">
      <w:pPr>
        <w:pStyle w:val="46"/>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1.绩效评价目的</w:t>
      </w:r>
    </w:p>
    <w:p w14:paraId="4A1BF14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绩效评价遵循财政部《项目支出绩效评价管理办法》（财预〔2020〕10号）《自治区财政支出绩效评价管理暂行办法》（新财预〔2018〕189号）及自治区财政厅《关于印发〈自治区项目支出绩效目标设置指引〉的通知》（新财预〔2022〕42号）等相关政策文件与规定，对和田地区洛浦县洛浦县人民医院结核病区人工作人员工资、患者伙食补助（一般公共预算）项目开展本次部门项目支出绩效评价工作。全面了解和田地区洛浦县洛浦县人民医院结核病区人工作人员工资、患者伙食补助（一般公共预算）项目预算编制合理性、资金使用合规性、项目管理的规范性、项目目标的实现情况、服务对象的满意度等项目实施前期、过程及实施效果情况。</w:t>
      </w:r>
    </w:p>
    <w:p w14:paraId="314AB3A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5A07F60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E1AECE5">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同时，通过部门项目支出绩效评价，可促进本单位发现预算项目管理中的问题、总结经验、改进工作，以提高财政预算资金使用的效率及效益。</w:t>
      </w:r>
    </w:p>
    <w:p w14:paraId="4191E55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7A84374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此次绩效评价遵循财政部《项目支出绩效评价管理办法》（财预〔2020〕10号）和《自治区财政支出绩效评价管理暂行办法》（新财预〔2018〕189号）等政策文件规定，以和田地区洛浦县洛浦县人民医院结核病区人工作人员工资、患者伙食补助（一般公共预算）项目为评价对象，对该项目决策、项目资金管理、项目实施过程管理，以及项目实施所带来的产出和效果等内容，进行综合评价。</w:t>
      </w:r>
    </w:p>
    <w:p w14:paraId="1AB226FC">
      <w:pPr>
        <w:pStyle w:val="46"/>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3.绩效评价范围</w:t>
      </w:r>
    </w:p>
    <w:p w14:paraId="0EC8DA1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绩效评价主要围绕和田地区洛浦县洛浦县人民医院结核病区人工作人员工资、患者伙食补助（一般公共预算）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000000"/>
          <w:sz w:val="24"/>
          <w:szCs w:val="24"/>
          <w:highlight w:val="none"/>
          <w:lang w:val="en-US" w:eastAsia="zh-CN"/>
        </w:rPr>
        <w:t>，覆盖预算资金支出项目的所有内容进行评价。</w:t>
      </w:r>
    </w:p>
    <w:p w14:paraId="77F11635">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269E18F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1.绩效评价原则</w:t>
      </w:r>
    </w:p>
    <w:p w14:paraId="19F0FA41">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548307B">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（1）科学公正。绩效评价应当运用科学合理的方法，按照规范的程序，对项目绩效进行客观、公正的反映。</w:t>
      </w:r>
    </w:p>
    <w:p w14:paraId="230A260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81029E6">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（3）激励约束。绩效评价结果应与预算安排、政策调整、改进管理实质性挂钩，体现奖优罚劣和激励相容导向，有效要安排、低效要压减、无效要问责。</w:t>
      </w:r>
    </w:p>
    <w:p w14:paraId="58BC790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（4）公开透明。绩效评价结果应依法依规公开，并自觉接受社会监督。</w:t>
      </w:r>
    </w:p>
    <w:p w14:paraId="12C73E23">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根据以上原则，绩效评价应遵循如下要求:</w:t>
      </w:r>
    </w:p>
    <w:p w14:paraId="6AEEF9E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（1）在数据采集时，采取客观数据，主管部门审查、社会中介组织复查，与问卷调查相结合的形式，以保证各项指标的真实性。</w:t>
      </w:r>
    </w:p>
    <w:p w14:paraId="4EE26C1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（2）保证评价结果的真实性、公正性，提高评价报告的公信力。</w:t>
      </w:r>
    </w:p>
    <w:p w14:paraId="37A0B87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8D06F89">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2.绩效评价指标体系</w:t>
      </w:r>
    </w:p>
    <w:p w14:paraId="13FE2E28">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2个二级指标。项目绩效评价体系。详细指标体系见“附件1：项目支出绩效评价体系”。</w:t>
      </w:r>
    </w:p>
    <w:p w14:paraId="64665CAB">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3.绩效评价方法</w:t>
      </w:r>
    </w:p>
    <w:p w14:paraId="55C44B4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0368D38C">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05CC3104">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6E119288">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6624DA4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76C001E1">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0AD79C9E">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2069D21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0D2C735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0CF32B5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0A9E5B53">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3AE05C4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30501586">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28197A55">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785F69A">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7806147B">
      <w:pPr>
        <w:pStyle w:val="46"/>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4.绩效评价标准</w:t>
      </w:r>
    </w:p>
    <w:p w14:paraId="4ECF9AE1">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lang w:val="en-US" w:eastAsia="zh-CN"/>
        </w:rPr>
        <w:t>计划标准</w:t>
      </w:r>
      <w:r>
        <w:rPr>
          <w:rFonts w:hint="eastAsia" w:ascii="宋体" w:hAnsi="宋体" w:eastAsia="宋体" w:cs="宋体"/>
          <w:color w:val="auto"/>
          <w:sz w:val="24"/>
          <w:szCs w:val="24"/>
        </w:rPr>
        <w:t>。</w:t>
      </w:r>
    </w:p>
    <w:p w14:paraId="4114472C">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7" w:name="_Toc31464"/>
      <w:bookmarkStart w:id="8" w:name="_Toc17882"/>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0B43E52F">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9" w:name="_Toc2318"/>
      <w:bookmarkStart w:id="10" w:name="_Toc5633"/>
      <w:r>
        <w:rPr>
          <w:rFonts w:hint="eastAsia" w:ascii="宋体" w:hAnsi="宋体" w:eastAsia="宋体" w:cs="宋体"/>
          <w:b/>
          <w:bCs/>
          <w:color w:val="auto"/>
          <w:sz w:val="24"/>
          <w:szCs w:val="24"/>
        </w:rPr>
        <w:t>行业标准：</w:t>
      </w:r>
      <w:r>
        <w:rPr>
          <w:rFonts w:hint="eastAsia" w:ascii="宋体" w:hAnsi="宋体" w:eastAsia="宋体" w:cs="宋体"/>
          <w:color w:val="auto"/>
          <w:sz w:val="24"/>
          <w:szCs w:val="24"/>
        </w:rPr>
        <w:t>指参照国家公布的行业指标数据制定的评价标准。</w:t>
      </w:r>
      <w:bookmarkEnd w:id="9"/>
      <w:bookmarkEnd w:id="10"/>
    </w:p>
    <w:p w14:paraId="47FCCBEA">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11" w:name="_Toc430"/>
      <w:bookmarkStart w:id="12" w:name="_Toc16028"/>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11"/>
      <w:bookmarkEnd w:id="12"/>
    </w:p>
    <w:p w14:paraId="146D6A5D">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3269254F">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3" w:name="_Toc68364664"/>
      <w:r>
        <w:rPr>
          <w:rFonts w:hint="eastAsia" w:ascii="宋体" w:hAnsi="宋体" w:eastAsia="宋体" w:cs="宋体"/>
          <w:b/>
          <w:bCs/>
          <w:color w:val="000000"/>
          <w:sz w:val="24"/>
          <w:szCs w:val="24"/>
          <w:highlight w:val="none"/>
        </w:rPr>
        <w:t>1.前期准备</w:t>
      </w:r>
    </w:p>
    <w:p w14:paraId="1510302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FD641C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李浩</w:t>
      </w:r>
      <w:r>
        <w:rPr>
          <w:rFonts w:hint="eastAsia" w:ascii="宋体" w:hAnsi="宋体" w:eastAsia="宋体" w:cs="宋体"/>
          <w:color w:val="auto"/>
          <w:sz w:val="24"/>
          <w:szCs w:val="24"/>
        </w:rPr>
        <w:t>（评价小组组长）：主要负责</w:t>
      </w:r>
      <w:r>
        <w:rPr>
          <w:rFonts w:hint="eastAsia" w:ascii="宋体" w:hAnsi="宋体" w:eastAsia="宋体" w:cs="宋体"/>
          <w:color w:val="auto"/>
          <w:sz w:val="24"/>
          <w:szCs w:val="24"/>
          <w:lang w:val="en-US" w:eastAsia="zh-CN"/>
        </w:rPr>
        <w:t>组织安排绩效评价工作</w:t>
      </w:r>
      <w:r>
        <w:rPr>
          <w:rFonts w:hint="eastAsia" w:ascii="宋体" w:hAnsi="宋体" w:eastAsia="宋体" w:cs="宋体"/>
          <w:color w:val="auto"/>
          <w:sz w:val="24"/>
          <w:szCs w:val="24"/>
        </w:rPr>
        <w:t>;</w:t>
      </w:r>
    </w:p>
    <w:p w14:paraId="1E9BCD5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bookmarkStart w:id="14" w:name="OLE_LINK3"/>
      <w:r>
        <w:rPr>
          <w:rFonts w:hint="eastAsia" w:ascii="宋体" w:hAnsi="宋体" w:eastAsia="宋体" w:cs="宋体"/>
          <w:color w:val="auto"/>
          <w:sz w:val="24"/>
          <w:szCs w:val="24"/>
          <w:lang w:eastAsia="zh-CN"/>
        </w:rPr>
        <w:t>阿卜杜赛麦提</w:t>
      </w:r>
      <w:r>
        <w:rPr>
          <w:rFonts w:hint="eastAsia" w:ascii="宋体" w:hAnsi="宋体" w:eastAsia="宋体" w:cs="宋体"/>
          <w:color w:val="auto"/>
          <w:sz w:val="24"/>
          <w:szCs w:val="24"/>
          <w:lang w:val="en-US" w:eastAsia="zh-CN"/>
        </w:rPr>
        <w:t>·艾比卜拉</w:t>
      </w:r>
      <w:bookmarkEnd w:id="14"/>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资料整理及信息汇总工作</w:t>
      </w:r>
      <w:r>
        <w:rPr>
          <w:rFonts w:hint="eastAsia" w:ascii="宋体" w:hAnsi="宋体" w:eastAsia="宋体" w:cs="宋体"/>
          <w:color w:val="auto"/>
          <w:sz w:val="24"/>
          <w:szCs w:val="24"/>
        </w:rPr>
        <w:t>;</w:t>
      </w:r>
    </w:p>
    <w:p w14:paraId="76F0F98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阿卜杜赛麦提</w:t>
      </w:r>
      <w:r>
        <w:rPr>
          <w:rFonts w:hint="eastAsia" w:ascii="宋体" w:hAnsi="宋体" w:eastAsia="宋体" w:cs="宋体"/>
          <w:color w:val="auto"/>
          <w:sz w:val="24"/>
          <w:szCs w:val="24"/>
          <w:lang w:val="en-US" w:eastAsia="zh-CN"/>
        </w:rPr>
        <w:t>·艾比卜拉</w:t>
      </w:r>
      <w:r>
        <w:rPr>
          <w:rFonts w:hint="eastAsia" w:ascii="宋体" w:hAnsi="宋体" w:eastAsia="宋体" w:cs="宋体"/>
          <w:color w:val="auto"/>
          <w:sz w:val="24"/>
          <w:szCs w:val="24"/>
        </w:rPr>
        <w:t>（评价小组组员）：主要负责</w:t>
      </w:r>
      <w:r>
        <w:rPr>
          <w:rFonts w:hint="eastAsia" w:ascii="宋体" w:hAnsi="宋体" w:eastAsia="宋体" w:cs="宋体"/>
          <w:color w:val="auto"/>
          <w:sz w:val="24"/>
          <w:szCs w:val="24"/>
          <w:lang w:val="en-US" w:eastAsia="zh-CN"/>
        </w:rPr>
        <w:t>出具项目绩效评价报告</w:t>
      </w:r>
      <w:r>
        <w:rPr>
          <w:rFonts w:hint="eastAsia" w:ascii="宋体" w:hAnsi="宋体" w:eastAsia="宋体" w:cs="宋体"/>
          <w:color w:val="auto"/>
          <w:sz w:val="24"/>
          <w:szCs w:val="24"/>
        </w:rPr>
        <w:t>。</w:t>
      </w:r>
    </w:p>
    <w:p w14:paraId="0547D1A3">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0FC5CDF3">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3076170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1E57EC1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16</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3606186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39B4AD2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1FC1C9CB">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43083EB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27FEBE5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50B9531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5948A24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3"/>
    </w:p>
    <w:p w14:paraId="50907290">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5" w:name="_Toc68364665"/>
      <w:r>
        <w:rPr>
          <w:rFonts w:hint="eastAsia" w:ascii="宋体" w:hAnsi="宋体" w:eastAsia="宋体" w:cs="宋体"/>
          <w:color w:val="auto"/>
          <w:sz w:val="24"/>
          <w:szCs w:val="24"/>
        </w:rPr>
        <w:t>（一）综合评价情况</w:t>
      </w:r>
      <w:bookmarkEnd w:id="15"/>
    </w:p>
    <w:p w14:paraId="6042EF9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bookmarkStart w:id="16" w:name="_Toc68364666"/>
      <w:r>
        <w:rPr>
          <w:rFonts w:hint="eastAsia" w:ascii="宋体" w:hAnsi="宋体" w:eastAsia="宋体" w:cs="宋体"/>
          <w:color w:val="auto"/>
          <w:sz w:val="24"/>
          <w:szCs w:val="24"/>
        </w:rPr>
        <w:t>通过实施</w:t>
      </w:r>
      <w:r>
        <w:rPr>
          <w:rFonts w:hint="eastAsia" w:ascii="宋体" w:hAnsi="宋体" w:eastAsia="宋体" w:cs="宋体"/>
          <w:color w:val="auto"/>
          <w:sz w:val="24"/>
          <w:szCs w:val="24"/>
          <w:lang w:val="en-US" w:eastAsia="zh-CN"/>
        </w:rPr>
        <w:t>和结核病区人工作人员工资、患者伙食补助项目保障结核病区人工作人员工作积极性，保障结核病区患者伙食水平</w:t>
      </w:r>
      <w:r>
        <w:rPr>
          <w:rFonts w:hint="eastAsia" w:ascii="宋体" w:hAnsi="宋体" w:eastAsia="宋体" w:cs="宋体"/>
          <w:color w:val="auto"/>
          <w:sz w:val="24"/>
          <w:szCs w:val="24"/>
        </w:rPr>
        <w:t>。项目实施主要通过项目决策、项目过程、项目产出以及项目效益等方面进行评价，其中：</w:t>
      </w:r>
    </w:p>
    <w:p w14:paraId="4C4FC40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项目决策：根据《洛浦县2023年财经委员会会议纪要》（洛财纪字【2024】5号,洛财纪字【2023】16号,洛财纪字【2024】3号）文件实施此项目，</w:t>
      </w:r>
      <w:r>
        <w:rPr>
          <w:rFonts w:hint="eastAsia" w:ascii="宋体" w:hAnsi="宋体" w:eastAsia="宋体" w:cs="宋体"/>
          <w:color w:val="auto"/>
          <w:sz w:val="24"/>
          <w:szCs w:val="24"/>
          <w:highlight w:val="none"/>
        </w:rPr>
        <w:t>项目实施符合</w:t>
      </w:r>
      <w:r>
        <w:rPr>
          <w:rFonts w:hint="eastAsia" w:ascii="宋体" w:hAnsi="宋体" w:eastAsia="宋体" w:cs="宋体"/>
          <w:color w:val="auto"/>
          <w:sz w:val="24"/>
          <w:szCs w:val="24"/>
          <w:highlight w:val="none"/>
          <w:lang w:val="en-US" w:eastAsia="zh-CN"/>
        </w:rPr>
        <w:t>实施方案的</w:t>
      </w:r>
      <w:r>
        <w:rPr>
          <w:rFonts w:hint="eastAsia" w:ascii="宋体" w:hAnsi="宋体" w:eastAsia="宋体" w:cs="宋体"/>
          <w:color w:val="auto"/>
          <w:sz w:val="24"/>
          <w:szCs w:val="24"/>
          <w:highlight w:val="none"/>
        </w:rPr>
        <w:t>要求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rPr>
        <w:t>项目立项依据充分，立项程序规范。</w:t>
      </w:r>
    </w:p>
    <w:p w14:paraId="7001A792">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项目过程：</w:t>
      </w:r>
      <w:r>
        <w:rPr>
          <w:rFonts w:hint="eastAsia" w:ascii="宋体" w:hAnsi="宋体" w:eastAsia="宋体" w:cs="宋体"/>
          <w:color w:val="auto"/>
          <w:sz w:val="24"/>
          <w:szCs w:val="24"/>
          <w:lang w:val="en-US" w:eastAsia="zh-CN"/>
        </w:rPr>
        <w:t>和田地区洛浦县洛浦县人民医院结核病区人工作人员工资、患者伙食补助（一般公共预算）</w:t>
      </w:r>
      <w:r>
        <w:rPr>
          <w:rFonts w:hint="eastAsia" w:ascii="宋体" w:hAnsi="宋体" w:eastAsia="宋体" w:cs="宋体"/>
          <w:color w:val="auto"/>
          <w:sz w:val="24"/>
          <w:szCs w:val="24"/>
          <w:lang w:eastAsia="zh-CN"/>
        </w:rPr>
        <w:t>预</w:t>
      </w:r>
      <w:r>
        <w:rPr>
          <w:rFonts w:hint="eastAsia" w:ascii="宋体" w:hAnsi="宋体" w:eastAsia="宋体" w:cs="宋体"/>
          <w:color w:val="auto"/>
          <w:sz w:val="24"/>
          <w:szCs w:val="24"/>
        </w:rPr>
        <w:t>算安排</w:t>
      </w:r>
      <w:bookmarkStart w:id="17" w:name="OLE_LINK5"/>
      <w:r>
        <w:rPr>
          <w:rFonts w:hint="eastAsia" w:ascii="宋体" w:hAnsi="宋体" w:eastAsia="宋体" w:cs="宋体"/>
          <w:color w:val="auto"/>
          <w:sz w:val="24"/>
          <w:szCs w:val="24"/>
          <w:lang w:val="en-US" w:eastAsia="zh-CN"/>
        </w:rPr>
        <w:t>179.46</w:t>
      </w:r>
      <w:bookmarkEnd w:id="17"/>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179.46</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45F607C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w:t>
      </w:r>
      <w:r>
        <w:rPr>
          <w:rFonts w:hint="eastAsia" w:ascii="宋体" w:hAnsi="宋体" w:eastAsia="宋体" w:cs="宋体"/>
          <w:color w:val="auto"/>
          <w:sz w:val="24"/>
          <w:szCs w:val="24"/>
          <w:highlight w:val="none"/>
          <w:lang w:eastAsia="zh-CN"/>
        </w:rPr>
        <w:t>该项目实际</w:t>
      </w:r>
      <w:r>
        <w:rPr>
          <w:rFonts w:hint="eastAsia" w:ascii="宋体" w:hAnsi="宋体" w:eastAsia="宋体" w:cs="宋体"/>
          <w:color w:val="auto"/>
          <w:sz w:val="24"/>
          <w:szCs w:val="24"/>
          <w:highlight w:val="none"/>
          <w:lang w:val="en-US" w:eastAsia="zh-CN"/>
        </w:rPr>
        <w:t>完成发放</w:t>
      </w:r>
      <w:r>
        <w:rPr>
          <w:rFonts w:hint="eastAsia" w:ascii="宋体" w:hAnsi="宋体" w:eastAsia="宋体" w:cs="宋体"/>
          <w:color w:val="auto"/>
          <w:sz w:val="24"/>
          <w:szCs w:val="24"/>
          <w:highlight w:val="none"/>
          <w:lang w:eastAsia="zh-CN"/>
        </w:rPr>
        <w:t>结核病区工作人员</w:t>
      </w:r>
      <w:r>
        <w:rPr>
          <w:rFonts w:hint="eastAsia" w:ascii="宋体" w:hAnsi="宋体" w:eastAsia="宋体" w:cs="宋体"/>
          <w:color w:val="auto"/>
          <w:sz w:val="24"/>
          <w:szCs w:val="24"/>
          <w:highlight w:val="none"/>
          <w:lang w:val="en-US" w:eastAsia="zh-CN"/>
        </w:rPr>
        <w:t>工资人数15人，共发放3.62万元；结核病区患者伙食补助1703人次，共发放175.84万元</w:t>
      </w:r>
      <w:r>
        <w:rPr>
          <w:rFonts w:hint="eastAsia" w:ascii="宋体" w:hAnsi="宋体" w:eastAsia="宋体" w:cs="宋体"/>
          <w:color w:val="auto"/>
          <w:sz w:val="24"/>
          <w:szCs w:val="24"/>
          <w:lang w:val="en-US" w:eastAsia="zh-CN"/>
        </w:rPr>
        <w:t>。</w:t>
      </w:r>
    </w:p>
    <w:p w14:paraId="1869FAD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项目效益：通过实施此项目</w:t>
      </w:r>
      <w:bookmarkStart w:id="18" w:name="OLE_LINK8"/>
      <w:r>
        <w:rPr>
          <w:rFonts w:hint="eastAsia" w:ascii="宋体" w:hAnsi="宋体" w:eastAsia="宋体" w:cs="宋体"/>
          <w:color w:val="auto"/>
          <w:sz w:val="24"/>
          <w:szCs w:val="24"/>
        </w:rPr>
        <w:t>保障结核病区人工作人员工作积极性，保障结核病区患者伙食水平</w:t>
      </w:r>
      <w:r>
        <w:rPr>
          <w:rFonts w:hint="eastAsia" w:ascii="宋体" w:hAnsi="宋体" w:eastAsia="宋体" w:cs="宋体"/>
          <w:color w:val="auto"/>
          <w:sz w:val="24"/>
          <w:szCs w:val="24"/>
          <w:lang w:val="en-US" w:eastAsia="zh-CN"/>
        </w:rPr>
        <w:t>。</w:t>
      </w:r>
      <w:bookmarkEnd w:id="18"/>
    </w:p>
    <w:p w14:paraId="4F7DB554">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5CE4DF9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黑体" w:hAnsi="黑体" w:eastAsia="黑体" w:cs="黑体"/>
          <w:color w:val="auto"/>
          <w:sz w:val="24"/>
          <w:szCs w:val="24"/>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lang w:val="en-US" w:eastAsia="zh-CN"/>
        </w:rPr>
        <w:t>和田地区洛浦县洛浦县人民医院结核病区人工作人员工资、患者伙食补助（一般公共预算）进行</w:t>
      </w:r>
      <w:r>
        <w:rPr>
          <w:rFonts w:hint="eastAsia" w:ascii="宋体" w:hAnsi="宋体" w:eastAsia="宋体" w:cs="宋体"/>
          <w:color w:val="auto"/>
          <w:sz w:val="24"/>
          <w:szCs w:val="24"/>
        </w:rPr>
        <w:t>客观评价，最终评分结果：评价总分</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分，绩效等级为“</w:t>
      </w:r>
      <w:r>
        <w:rPr>
          <w:rFonts w:hint="eastAsia" w:ascii="宋体" w:hAnsi="宋体" w:eastAsia="宋体" w:cs="宋体"/>
          <w:color w:val="auto"/>
          <w:sz w:val="24"/>
          <w:szCs w:val="24"/>
          <w:lang w:eastAsia="zh-CN"/>
        </w:rPr>
        <w:t>优</w:t>
      </w:r>
      <w:r>
        <w:rPr>
          <w:rFonts w:hint="eastAsia" w:ascii="宋体" w:hAnsi="宋体" w:eastAsia="宋体" w:cs="宋体"/>
          <w:color w:val="auto"/>
          <w:sz w:val="24"/>
          <w:szCs w:val="24"/>
        </w:rPr>
        <w:t>”。</w:t>
      </w:r>
      <w:bookmarkEnd w:id="16"/>
      <w:bookmarkStart w:id="19" w:name="_Toc68364667"/>
    </w:p>
    <w:p w14:paraId="3563B977">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四、绩效评价指标分析</w:t>
      </w:r>
      <w:bookmarkEnd w:id="19"/>
    </w:p>
    <w:p w14:paraId="2AC7A88E">
      <w:pPr>
        <w:pStyle w:val="5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0" w:name="_Toc68364668"/>
      <w:r>
        <w:rPr>
          <w:rFonts w:hint="eastAsia" w:ascii="宋体" w:hAnsi="宋体" w:eastAsia="宋体" w:cs="宋体"/>
          <w:color w:val="auto"/>
          <w:sz w:val="24"/>
          <w:szCs w:val="24"/>
        </w:rPr>
        <w:t>（一）项目决策情况</w:t>
      </w:r>
    </w:p>
    <w:p w14:paraId="4A826D95">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项目决策类指标包括项目立项、绩效目标和资金投入三方面的内容，由6个三级指标构成，权重分</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w:t>
      </w:r>
      <w:r>
        <w:rPr>
          <w:rFonts w:hint="eastAsia" w:ascii="宋体" w:hAnsi="宋体" w:eastAsia="宋体" w:cs="宋体"/>
          <w:color w:val="auto"/>
          <w:sz w:val="24"/>
          <w:szCs w:val="24"/>
        </w:rPr>
        <w:t>，实际得分</w:t>
      </w:r>
      <w:r>
        <w:rPr>
          <w:rFonts w:hint="eastAsia" w:ascii="宋体" w:hAnsi="宋体" w:eastAsia="宋体" w:cs="宋体"/>
          <w:color w:val="auto"/>
          <w:sz w:val="24"/>
          <w:szCs w:val="24"/>
          <w:lang w:val="en-US" w:eastAsia="zh-CN"/>
        </w:rPr>
        <w:t>23</w:t>
      </w:r>
      <w:r>
        <w:rPr>
          <w:rFonts w:hint="eastAsia" w:ascii="宋体" w:hAnsi="宋体" w:eastAsia="宋体" w:cs="宋体"/>
          <w:color w:val="auto"/>
          <w:sz w:val="24"/>
          <w:szCs w:val="24"/>
        </w:rPr>
        <w:t>分，得分率为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2C3A91F">
      <w:pPr>
        <w:keepNext w:val="0"/>
        <w:keepLines w:val="0"/>
        <w:pageBreakBefore w:val="0"/>
        <w:widowControl w:val="0"/>
        <w:numPr>
          <w:ilvl w:val="0"/>
          <w:numId w:val="2"/>
        </w:numPr>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立项依据充分性：</w:t>
      </w:r>
    </w:p>
    <w:p w14:paraId="5971AAF0">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本项目立项符合根据《洛浦县2023年财经委员会会议纪要》（洛财纪字【2024】5号,洛财纪字【2023】16号,洛财纪字【2024】3号）文件中：本项目立项符合《洛浦县2023年财经委员会会议纪要中：“</w:t>
      </w:r>
      <w:r>
        <w:rPr>
          <w:rFonts w:hint="eastAsia" w:ascii="宋体" w:hAnsi="宋体" w:eastAsia="宋体" w:cs="宋体"/>
          <w:color w:val="auto"/>
          <w:sz w:val="24"/>
          <w:szCs w:val="24"/>
          <w:lang w:eastAsia="zh-CN"/>
        </w:rPr>
        <w:t>结核病区患者伙食补助</w:t>
      </w:r>
      <w:r>
        <w:rPr>
          <w:rFonts w:hint="eastAsia" w:ascii="宋体" w:hAnsi="宋体" w:eastAsia="宋体" w:cs="宋体"/>
          <w:color w:val="auto"/>
          <w:sz w:val="24"/>
          <w:szCs w:val="24"/>
        </w:rPr>
        <w:t>”内容，符合行业发展规划和政策要求；本项目立项符合《</w:t>
      </w:r>
      <w:r>
        <w:rPr>
          <w:rFonts w:hint="eastAsia" w:ascii="宋体" w:hAnsi="宋体" w:eastAsia="宋体" w:cs="宋体"/>
          <w:color w:val="auto"/>
          <w:sz w:val="24"/>
          <w:szCs w:val="24"/>
          <w:lang w:eastAsia="zh-CN"/>
        </w:rPr>
        <w:t>洛浦县人民医院</w:t>
      </w:r>
      <w:r>
        <w:rPr>
          <w:rFonts w:hint="eastAsia" w:ascii="宋体" w:hAnsi="宋体" w:eastAsia="宋体" w:cs="宋体"/>
          <w:color w:val="auto"/>
          <w:sz w:val="24"/>
          <w:szCs w:val="24"/>
        </w:rPr>
        <w:t>单位配置内设机构和人员编制规定》中职责范围中的“</w:t>
      </w:r>
      <w:r>
        <w:rPr>
          <w:rFonts w:hint="eastAsia" w:ascii="宋体" w:hAnsi="宋体" w:eastAsia="宋体" w:cs="宋体"/>
          <w:color w:val="auto"/>
          <w:sz w:val="24"/>
          <w:szCs w:val="24"/>
          <w:lang w:eastAsia="zh-CN"/>
        </w:rPr>
        <w:t>结核病区患者伙食补助</w:t>
      </w:r>
      <w:r>
        <w:rPr>
          <w:rFonts w:hint="eastAsia" w:ascii="宋体" w:hAnsi="宋体" w:eastAsia="宋体" w:cs="宋体"/>
          <w:color w:val="auto"/>
          <w:sz w:val="24"/>
          <w:szCs w:val="24"/>
        </w:rPr>
        <w:t>”，属于我单位履职所需；根据《财政资金直接支付申请书》，本项目资金性质为“公共财政预算”功能分类为“[2100201]综合医院”经济分类为“[30106]伙食补助费”属于公共财政支持范围，符合中央、地方事权支出责任划分原则；经检查我单位财政应用平台指标，本项目不存在重复。</w:t>
      </w:r>
    </w:p>
    <w:p w14:paraId="4BE3FBA7">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综上所述，本指标满分为</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分，根据评分标准得</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分，本项目立项依据充分。</w:t>
      </w:r>
    </w:p>
    <w:p w14:paraId="53313B1B">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12A36DDB">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w:t>
      </w:r>
      <w:bookmarkStart w:id="21" w:name="OLE_LINK15"/>
      <w:r>
        <w:rPr>
          <w:rFonts w:hint="eastAsia" w:ascii="宋体" w:hAnsi="宋体" w:eastAsia="宋体" w:cs="宋体"/>
          <w:color w:val="auto"/>
          <w:sz w:val="24"/>
          <w:szCs w:val="24"/>
          <w:lang w:eastAsia="zh-CN"/>
        </w:rPr>
        <w:t>洛浦县人民医院结核病区患者伙食补助</w:t>
      </w:r>
      <w:bookmarkEnd w:id="21"/>
      <w:r>
        <w:rPr>
          <w:rFonts w:hint="eastAsia" w:ascii="宋体" w:hAnsi="宋体" w:eastAsia="宋体" w:cs="宋体"/>
          <w:color w:val="auto"/>
          <w:sz w:val="24"/>
          <w:szCs w:val="24"/>
        </w:rPr>
        <w:t>项目立项过程中产生的文件均符合相关要求。本项目为</w:t>
      </w:r>
      <w:r>
        <w:rPr>
          <w:rFonts w:hint="eastAsia" w:ascii="宋体" w:hAnsi="宋体" w:eastAsia="宋体" w:cs="宋体"/>
          <w:color w:val="auto"/>
          <w:sz w:val="24"/>
          <w:szCs w:val="24"/>
          <w:lang w:eastAsia="zh-CN"/>
        </w:rPr>
        <w:t>人员</w:t>
      </w:r>
      <w:r>
        <w:rPr>
          <w:rFonts w:hint="eastAsia" w:ascii="宋体" w:hAnsi="宋体" w:eastAsia="宋体" w:cs="宋体"/>
          <w:color w:val="auto"/>
          <w:sz w:val="24"/>
          <w:szCs w:val="24"/>
        </w:rPr>
        <w:t>类项目，属于经常性项目，项目预算金额为</w:t>
      </w:r>
      <w:r>
        <w:rPr>
          <w:rFonts w:hint="eastAsia" w:ascii="宋体" w:hAnsi="宋体" w:eastAsia="宋体" w:cs="宋体"/>
          <w:color w:val="auto"/>
          <w:sz w:val="24"/>
          <w:szCs w:val="24"/>
          <w:lang w:val="en-US" w:eastAsia="zh-CN"/>
        </w:rPr>
        <w:t>179.46</w:t>
      </w:r>
      <w:r>
        <w:rPr>
          <w:rFonts w:hint="eastAsia" w:ascii="宋体" w:hAnsi="宋体" w:eastAsia="宋体" w:cs="宋体"/>
          <w:color w:val="auto"/>
          <w:sz w:val="24"/>
          <w:szCs w:val="24"/>
        </w:rPr>
        <w:t>万元，不涉及事前绩效评估和风险评估，已委托</w:t>
      </w:r>
      <w:r>
        <w:rPr>
          <w:rFonts w:hint="eastAsia" w:ascii="宋体" w:hAnsi="宋体" w:eastAsia="宋体" w:cs="宋体"/>
          <w:color w:val="auto"/>
          <w:sz w:val="24"/>
          <w:szCs w:val="24"/>
          <w:lang w:eastAsia="zh-CN"/>
        </w:rPr>
        <w:t>洛浦县人民医院</w:t>
      </w:r>
      <w:r>
        <w:rPr>
          <w:rFonts w:hint="eastAsia" w:ascii="宋体" w:hAnsi="宋体" w:eastAsia="宋体" w:cs="宋体"/>
          <w:color w:val="auto"/>
          <w:sz w:val="24"/>
          <w:szCs w:val="24"/>
        </w:rPr>
        <w:t>单位完成本项目可行性研究报告的编制，并经过专家论证。</w:t>
      </w:r>
    </w:p>
    <w:p w14:paraId="7134CB96">
      <w:pPr>
        <w:keepNext w:val="0"/>
        <w:keepLines w:val="0"/>
        <w:pageBreakBefore w:val="0"/>
        <w:widowControl w:val="0"/>
        <w:kinsoku/>
        <w:wordWrap/>
        <w:overflowPunct w:val="0"/>
        <w:topLinePunct w:val="0"/>
        <w:autoSpaceDE/>
        <w:autoSpaceDN/>
        <w:bidi w:val="0"/>
        <w:adjustRightInd/>
        <w:snapToGrid/>
        <w:spacing w:line="360" w:lineRule="auto"/>
        <w:ind w:left="476" w:leftChars="170" w:firstLine="0" w:firstLineChars="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综上所述，本指标满分为3分，根据评分标准得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color w:val="auto"/>
          <w:sz w:val="24"/>
          <w:szCs w:val="24"/>
          <w:highlight w:val="none"/>
        </w:rPr>
        <w:t>（3）绩效目标合理性：</w:t>
      </w:r>
    </w:p>
    <w:p w14:paraId="741271FC">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lang w:val="en-US" w:eastAsia="zh-CN"/>
        </w:rPr>
        <w:t>该项目年初设定绩效目标主要内容为：根据《洛浦县2023年财经委员会会议纪要》（洛财纪字【2024】5号,洛财纪字【2023】16号,洛财纪字【2024】3号）文件实施此项目，项目主要内容为：结核病区15名工作人员工资，结核病区患者伙食补助，补助1703人次。通过项目实施，保障结核病区人工作人员工作积极性，保障结核病区患者伙食水平,争取项目单位满意度达到95%以上</w:t>
      </w:r>
      <w:r>
        <w:rPr>
          <w:rFonts w:hint="eastAsia" w:ascii="宋体" w:hAnsi="宋体" w:eastAsia="宋体" w:cs="宋体"/>
          <w:color w:val="auto"/>
          <w:sz w:val="24"/>
          <w:szCs w:val="24"/>
        </w:rPr>
        <w:t>。</w:t>
      </w:r>
    </w:p>
    <w:p w14:paraId="67D0042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618984E2">
      <w:pPr>
        <w:pageBreakBefore w:val="0"/>
        <w:widowControl w:val="0"/>
        <w:numPr>
          <w:ilvl w:val="0"/>
          <w:numId w:val="3"/>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p>
    <w:p w14:paraId="2C8C3E07">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结核病区人工作人员工资、患者伙食补助项目支出绩效目标表》，得出如下结论：本项目已将年度绩效目标进行细化为绩效指标体系，共设置一级指标4个，二级指标6个，三级指标9个，定量指标8个，定性指标1个，指标量化率为88.89%，量化率达70.0%以上，将项目绩效目标细化分解为具体的绩效指标。</w:t>
      </w:r>
    </w:p>
    <w:p w14:paraId="10A2ED73">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该《结核病区人工作人员工资、患者伙食补助项目绩效目标申报表》中，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“结核病区工作人员人数、结核病区患者伙食补助人次”</w:t>
      </w:r>
      <w:r>
        <w:rPr>
          <w:rFonts w:hint="eastAsia" w:ascii="宋体" w:hAnsi="宋体" w:eastAsia="宋体" w:cs="宋体"/>
          <w:color w:val="auto"/>
          <w:sz w:val="24"/>
          <w:szCs w:val="24"/>
          <w:highlight w:val="none"/>
          <w:lang w:val="en-US" w:eastAsia="zh-CN"/>
        </w:rPr>
        <w:t>，三级指标的年度指标值与年度绩效目标中任务数一致，已设置时效指标“项目完成时间、资金支付及时率”。已设置的绩效目标具备明确性、可衡量性、可实现性、相关性、时限性。</w:t>
      </w:r>
    </w:p>
    <w:p w14:paraId="7C7C6C5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61BB2137">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预算编制科学性：</w:t>
      </w:r>
    </w:p>
    <w:p w14:paraId="3965F6C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：根据《洛浦县2023年财经委员会会议纪要》（洛财纪字【2024】5号,洛财纪字【2023】16号,洛财纪字【2024】3号）文件实施此项目，项目主要内容为：结核病区15名工作人员工资，结核病区患者伙食补助1703人次</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rPr>
        <w:t>预算申请与《</w:t>
      </w:r>
      <w:r>
        <w:rPr>
          <w:rFonts w:hint="eastAsia" w:ascii="宋体" w:hAnsi="宋体" w:eastAsia="宋体" w:cs="宋体"/>
          <w:color w:val="000000"/>
          <w:sz w:val="24"/>
          <w:szCs w:val="24"/>
          <w:highlight w:val="none"/>
          <w:lang w:val="en-US" w:eastAsia="zh-CN"/>
        </w:rPr>
        <w:t>结核病区人工作人员工资、患者伙食补助项目实施</w:t>
      </w:r>
      <w:r>
        <w:rPr>
          <w:rFonts w:hint="eastAsia" w:ascii="宋体" w:hAnsi="宋体" w:eastAsia="宋体" w:cs="宋体"/>
          <w:color w:val="000000"/>
          <w:sz w:val="24"/>
          <w:szCs w:val="24"/>
          <w:highlight w:val="none"/>
        </w:rPr>
        <w:t>方案》中涉及的项目内容匹配；</w:t>
      </w:r>
    </w:p>
    <w:p w14:paraId="2C304DE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179.46</w:t>
      </w:r>
      <w:r>
        <w:rPr>
          <w:rFonts w:hint="eastAsia" w:ascii="宋体" w:hAnsi="宋体" w:eastAsia="宋体" w:cs="宋体"/>
          <w:color w:val="000000"/>
          <w:sz w:val="24"/>
          <w:szCs w:val="24"/>
          <w:highlight w:val="none"/>
        </w:rPr>
        <w:t>万元，我单位在预算申请中严格按照项目实施内容及测算标准进行核算，其中：结核病区患者伙食补助费用费用</w:t>
      </w:r>
      <w:r>
        <w:rPr>
          <w:rFonts w:hint="eastAsia" w:ascii="宋体" w:hAnsi="宋体" w:eastAsia="宋体" w:cs="宋体"/>
          <w:color w:val="000000"/>
          <w:sz w:val="24"/>
          <w:szCs w:val="24"/>
          <w:highlight w:val="none"/>
          <w:lang w:val="en-US" w:eastAsia="zh-CN"/>
        </w:rPr>
        <w:t>175.84</w:t>
      </w:r>
      <w:r>
        <w:rPr>
          <w:rFonts w:hint="eastAsia" w:ascii="宋体" w:hAnsi="宋体" w:eastAsia="宋体" w:cs="宋体"/>
          <w:color w:val="000000"/>
          <w:sz w:val="24"/>
          <w:szCs w:val="24"/>
          <w:highlight w:val="none"/>
        </w:rPr>
        <w:t>万元元、结核病区工作人员工资费用3.62万元、。预算确定资金量与实际工作任务相匹配。本项目预算额度测算依据充分，严格按照标准编制，预算确定资金量与实际工作任务相匹配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3E5DE2E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66E07C13">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资金分配合理性：</w:t>
      </w:r>
    </w:p>
    <w:p w14:paraId="379059FF">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w:t>
      </w:r>
      <w:r>
        <w:rPr>
          <w:rFonts w:hint="eastAsia" w:ascii="宋体" w:hAnsi="宋体" w:eastAsia="宋体" w:cs="宋体"/>
          <w:color w:val="000000"/>
          <w:sz w:val="24"/>
          <w:szCs w:val="24"/>
          <w:highlight w:val="none"/>
          <w:lang w:val="en-US" w:eastAsia="zh-CN"/>
        </w:rPr>
        <w:t>和田地区洛浦县洛浦县人民医院结核病区人工作人员工资、患者伙食补助（一般公共预算）</w:t>
      </w:r>
      <w:r>
        <w:rPr>
          <w:rFonts w:hint="eastAsia" w:ascii="宋体" w:hAnsi="宋体" w:eastAsia="宋体" w:cs="宋体"/>
          <w:color w:val="000000"/>
          <w:sz w:val="24"/>
          <w:szCs w:val="24"/>
          <w:highlight w:val="none"/>
        </w:rPr>
        <w:t>》和《XX项目实施方案》为依据进行资金分配，预算资金分配依据充分。根据《洛浦县2023年财经委员会会议纪要文件》（洛财纪字【2024】5号,洛财纪字【2023】16号,洛财纪字【2024】3号），本项目实际到位资金</w:t>
      </w:r>
      <w:r>
        <w:rPr>
          <w:rFonts w:hint="eastAsia" w:ascii="宋体" w:hAnsi="宋体" w:eastAsia="宋体" w:cs="宋体"/>
          <w:color w:val="000000"/>
          <w:sz w:val="24"/>
          <w:szCs w:val="24"/>
          <w:highlight w:val="none"/>
          <w:lang w:val="en-US" w:eastAsia="zh-CN"/>
        </w:rPr>
        <w:t>179.46</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4FC8D29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232EBB36">
      <w:pPr>
        <w:pStyle w:val="5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6FA6869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AF2091B">
      <w:pPr>
        <w:pageBreakBefore w:val="0"/>
        <w:widowControl w:val="0"/>
        <w:numPr>
          <w:ilvl w:val="0"/>
          <w:numId w:val="4"/>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资金到位率：</w:t>
      </w:r>
    </w:p>
    <w:p w14:paraId="709EAAFF">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本项目预算资金为</w:t>
      </w:r>
      <w:bookmarkStart w:id="22" w:name="OLE_LINK13"/>
      <w:r>
        <w:rPr>
          <w:rFonts w:hint="eastAsia" w:ascii="宋体" w:hAnsi="宋体" w:eastAsia="宋体" w:cs="宋体"/>
          <w:color w:val="auto"/>
          <w:sz w:val="24"/>
          <w:szCs w:val="24"/>
          <w:highlight w:val="none"/>
          <w:lang w:val="en-US" w:eastAsia="zh-CN"/>
        </w:rPr>
        <w:t>179.46</w:t>
      </w:r>
      <w:bookmarkEnd w:id="22"/>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179.46</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0.00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179.46</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p>
    <w:p w14:paraId="294ADBD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分。</w:t>
      </w:r>
    </w:p>
    <w:p w14:paraId="5ADE6AE5">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预算执行率：</w:t>
      </w:r>
    </w:p>
    <w:p w14:paraId="318570B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179.46</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w:t>
      </w:r>
      <w:r>
        <w:rPr>
          <w:rFonts w:hint="eastAsia" w:ascii="宋体" w:hAnsi="宋体" w:eastAsia="宋体" w:cs="宋体"/>
          <w:color w:val="auto"/>
          <w:sz w:val="24"/>
          <w:szCs w:val="24"/>
          <w:highlight w:val="none"/>
          <w:lang w:eastAsia="zh-CN"/>
        </w:rPr>
        <w:t>。</w:t>
      </w:r>
    </w:p>
    <w:p w14:paraId="792F4DF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2A01BEC1">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资金使用合规性：</w:t>
      </w:r>
    </w:p>
    <w:p w14:paraId="0FBD861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bookmarkStart w:id="23" w:name="OLE_LINK14"/>
      <w:r>
        <w:rPr>
          <w:rFonts w:hint="eastAsia" w:ascii="宋体" w:hAnsi="宋体" w:eastAsia="宋体" w:cs="宋体"/>
          <w:color w:val="auto"/>
          <w:sz w:val="24"/>
          <w:szCs w:val="24"/>
          <w:highlight w:val="none"/>
          <w:lang w:eastAsia="zh-CN"/>
        </w:rPr>
        <w:t>洛浦县人民医院</w:t>
      </w:r>
      <w:bookmarkEnd w:id="23"/>
      <w:r>
        <w:rPr>
          <w:rFonts w:hint="eastAsia" w:ascii="宋体" w:hAnsi="宋体" w:eastAsia="宋体" w:cs="宋体"/>
          <w:color w:val="auto"/>
          <w:sz w:val="24"/>
          <w:szCs w:val="24"/>
          <w:highlight w:val="none"/>
        </w:rPr>
        <w:t>单位资金管理办法》《</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w:t>
      </w:r>
      <w:r>
        <w:rPr>
          <w:rFonts w:hint="eastAsia" w:ascii="宋体" w:hAnsi="宋体" w:eastAsia="宋体" w:cs="宋体"/>
          <w:color w:val="auto"/>
          <w:sz w:val="24"/>
          <w:szCs w:val="24"/>
          <w:highlight w:val="none"/>
          <w:lang w:eastAsia="zh-CN"/>
        </w:rPr>
        <w:t>。</w:t>
      </w:r>
    </w:p>
    <w:p w14:paraId="6E03130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1F0D3D0">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管理制度健全性：</w:t>
      </w:r>
    </w:p>
    <w:p w14:paraId="14632F69">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我单位已制定《</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收支业务管理制度》《</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政府采购业务管理制度》《</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合同管理制度》，</w:t>
      </w:r>
      <w:r>
        <w:rPr>
          <w:rFonts w:hint="eastAsia" w:ascii="宋体" w:hAnsi="宋体" w:eastAsia="宋体" w:cs="宋体"/>
          <w:color w:val="auto"/>
          <w:sz w:val="24"/>
          <w:szCs w:val="24"/>
          <w:highlight w:val="none"/>
          <w:lang w:val="en-US" w:eastAsia="zh-CN"/>
        </w:rPr>
        <w:t>相关</w:t>
      </w:r>
      <w:r>
        <w:rPr>
          <w:rFonts w:hint="eastAsia" w:ascii="宋体" w:hAnsi="宋体" w:eastAsia="宋体" w:cs="宋体"/>
          <w:color w:val="auto"/>
          <w:sz w:val="24"/>
          <w:szCs w:val="24"/>
          <w:highlight w:val="none"/>
        </w:rPr>
        <w:t>制度均符合行政事业单位内控管理要求，财务和业务管理制度合法、合规、完整，本项目执行符合上述制度规定。</w:t>
      </w:r>
    </w:p>
    <w:p w14:paraId="36F64A8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6F66CE8">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制度执行有效性：</w:t>
      </w:r>
    </w:p>
    <w:p w14:paraId="7B609D5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办法》《</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eastAsia="zh-CN"/>
        </w:rPr>
        <w:t>洛浦县人民医院</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7591D94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25B7C04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5994FF2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洛浦县人民医院结核病区患者伙食补助</w:t>
      </w:r>
      <w:r>
        <w:rPr>
          <w:rFonts w:hint="eastAsia" w:ascii="宋体" w:hAnsi="宋体" w:eastAsia="宋体" w:cs="宋体"/>
          <w:color w:val="auto"/>
          <w:sz w:val="24"/>
          <w:szCs w:val="24"/>
          <w:highlight w:val="none"/>
        </w:rPr>
        <w:t>项目工作领导小组，由</w:t>
      </w:r>
      <w:r>
        <w:rPr>
          <w:rFonts w:hint="eastAsia" w:ascii="宋体" w:hAnsi="宋体" w:eastAsia="宋体" w:cs="宋体"/>
          <w:color w:val="auto"/>
          <w:sz w:val="24"/>
          <w:szCs w:val="24"/>
          <w:highlight w:val="none"/>
          <w:lang w:eastAsia="zh-CN"/>
        </w:rPr>
        <w:t>张远申</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eastAsia="zh-CN"/>
        </w:rPr>
        <w:t>李浩</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eastAsia="zh-CN"/>
        </w:rPr>
        <w:t>阿卜杜赛麦提</w:t>
      </w:r>
      <w:r>
        <w:rPr>
          <w:rFonts w:hint="eastAsia" w:ascii="宋体" w:hAnsi="宋体" w:eastAsia="宋体" w:cs="宋体"/>
          <w:color w:val="auto"/>
          <w:sz w:val="24"/>
          <w:szCs w:val="24"/>
          <w:highlight w:val="none"/>
          <w:lang w:val="en-US" w:eastAsia="zh-CN"/>
        </w:rPr>
        <w:t>·艾比卜拉</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eastAsia="zh-CN"/>
        </w:rPr>
        <w:t>西尔艾力</w:t>
      </w:r>
      <w:r>
        <w:rPr>
          <w:rFonts w:hint="eastAsia" w:ascii="宋体" w:hAnsi="宋体" w:eastAsia="宋体" w:cs="宋体"/>
          <w:color w:val="auto"/>
          <w:sz w:val="24"/>
          <w:szCs w:val="24"/>
          <w:highlight w:val="none"/>
          <w:lang w:val="en-US" w:eastAsia="zh-CN"/>
        </w:rPr>
        <w:t>·艾麦尼亚孜</w:t>
      </w:r>
      <w:r>
        <w:rPr>
          <w:rFonts w:hint="eastAsia" w:ascii="宋体" w:hAnsi="宋体" w:eastAsia="宋体" w:cs="宋体"/>
          <w:color w:val="auto"/>
          <w:sz w:val="24"/>
          <w:szCs w:val="24"/>
          <w:highlight w:val="none"/>
        </w:rPr>
        <w:t>，主要负责项目监督管理、验收以及资金核拨等工作。</w:t>
      </w:r>
    </w:p>
    <w:p w14:paraId="62D8C32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747D83F">
      <w:pPr>
        <w:pStyle w:val="5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5404C87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5FD0368">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17FFB7D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结核病区工作人员人数，预期指标值</w:t>
      </w:r>
      <w:r>
        <w:rPr>
          <w:rFonts w:hint="eastAsia" w:ascii="宋体" w:hAnsi="宋体" w:eastAsia="宋体" w:cs="宋体"/>
          <w:color w:val="000000"/>
          <w:sz w:val="24"/>
          <w:szCs w:val="24"/>
          <w:highlight w:val="none"/>
          <w:lang w:val="en-US" w:eastAsia="zh-CN"/>
        </w:rPr>
        <w:t>大于等于15人</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15人</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5C0F82D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结核病区患者伙食补助人次，预期指标值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1703人次，实际完成值1703人次，指标完成率为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11655EC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合计得10分。</w:t>
      </w:r>
    </w:p>
    <w:p w14:paraId="1BCC7AF1">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1379AB3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58DD8B6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661C4067">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5906D1F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75B1610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资金支付及时率，预期指标值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63403AB0">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34D9D1D5">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0CCAFBE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结核病区工作人员工资，预期指标值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3.62万元，实际完成值3.62万元，指标完成率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565804A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结核病区患者伙食补助费用，预期指标值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175.84万元，实际完成值175.84万元，指标完成率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78F9C664">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color w:val="auto"/>
        </w:rPr>
      </w:pPr>
      <w:r>
        <w:rPr>
          <w:rFonts w:hint="eastAsia" w:ascii="宋体" w:hAnsi="宋体" w:eastAsia="宋体" w:cs="宋体"/>
          <w:b w:val="0"/>
          <w:bCs/>
          <w:color w:val="auto"/>
          <w:sz w:val="24"/>
          <w:szCs w:val="24"/>
          <w:highlight w:val="none"/>
        </w:rPr>
        <w:t>合计得10分。</w:t>
      </w:r>
    </w:p>
    <w:p w14:paraId="21C8BC8D">
      <w:pPr>
        <w:pStyle w:val="55"/>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0BB70A5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项目效益类指标包括项目效益1个方面的内容，由</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分，得分率为100%。</w:t>
      </w:r>
      <w:bookmarkEnd w:id="20"/>
    </w:p>
    <w:p w14:paraId="77F2DC90">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644508D1">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保障结核病区患者伙食水平，预期指标值为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7BA6DB0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21DA72A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6AD5B66A">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202FBCBC">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3062690E">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766072AF">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受益群众满意度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4012DF4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312AD701">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50C89E3C">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bookmarkStart w:id="24" w:name="OLE_LINK16"/>
      <w:r>
        <w:rPr>
          <w:rFonts w:hint="eastAsia" w:ascii="宋体" w:hAnsi="宋体" w:eastAsia="宋体" w:cs="宋体"/>
          <w:color w:val="auto"/>
          <w:sz w:val="24"/>
          <w:szCs w:val="24"/>
          <w:lang w:val="en-US" w:eastAsia="zh-CN"/>
        </w:rPr>
        <w:t>179.46</w:t>
      </w:r>
      <w:bookmarkEnd w:id="24"/>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179.46</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179.46</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A7D2910">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82E6EDC">
      <w:pPr>
        <w:pStyle w:val="46"/>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w:t>
      </w:r>
      <w:r>
        <w:rPr>
          <w:rFonts w:hint="eastAsia" w:ascii="宋体" w:hAnsi="宋体" w:eastAsia="宋体" w:cs="宋体"/>
          <w:color w:val="auto"/>
          <w:sz w:val="24"/>
          <w:szCs w:val="24"/>
          <w:lang w:val="en-US" w:eastAsia="zh-CN"/>
        </w:rPr>
        <w:t>无偏差</w:t>
      </w:r>
      <w:r>
        <w:rPr>
          <w:rFonts w:hint="eastAsia" w:ascii="宋体" w:hAnsi="宋体" w:eastAsia="宋体" w:cs="宋体"/>
          <w:color w:val="auto"/>
          <w:sz w:val="24"/>
          <w:szCs w:val="24"/>
        </w:rPr>
        <w:t>。</w:t>
      </w:r>
    </w:p>
    <w:p w14:paraId="09C42E74">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bookmarkStart w:id="25" w:name="_Toc68364673"/>
      <w:r>
        <w:rPr>
          <w:rFonts w:hint="eastAsia" w:ascii="宋体" w:hAnsi="宋体" w:eastAsia="宋体" w:cs="宋体"/>
          <w:color w:val="auto"/>
          <w:sz w:val="24"/>
          <w:szCs w:val="24"/>
        </w:rPr>
        <w:t>六、主要经验及做法、存在的问题及原因分析</w:t>
      </w:r>
    </w:p>
    <w:p w14:paraId="6EAAE9C1">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rPr>
      </w:pPr>
      <w:r>
        <w:rPr>
          <w:rFonts w:hint="eastAsia" w:ascii="宋体" w:hAnsi="宋体" w:eastAsia="宋体" w:cs="宋体"/>
          <w:color w:val="auto"/>
          <w:sz w:val="24"/>
          <w:szCs w:val="24"/>
        </w:rPr>
        <w:t>（一）主要经验及做法</w:t>
      </w:r>
      <w:bookmarkEnd w:id="25"/>
    </w:p>
    <w:p w14:paraId="712634D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bookmarkStart w:id="26" w:name="_Toc68364674"/>
      <w:r>
        <w:rPr>
          <w:rFonts w:hint="eastAsia" w:ascii="宋体" w:hAnsi="宋体" w:eastAsia="宋体" w:cs="宋体"/>
          <w:color w:val="auto"/>
          <w:sz w:val="24"/>
          <w:szCs w:val="24"/>
        </w:rPr>
        <w:t>一是本项目能够严格按照《项目实施方案》执行，项目执行情况较好。</w:t>
      </w:r>
    </w:p>
    <w:p w14:paraId="7C81C29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5836B2B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p>
    <w:p w14:paraId="52667DD2">
      <w:pPr>
        <w:pStyle w:val="55"/>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二</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存在问题及原因分析</w:t>
      </w:r>
      <w:bookmarkEnd w:id="26"/>
    </w:p>
    <w:p w14:paraId="3EA330DD">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部门沟通协调不足，监督责任不明确。</w:t>
      </w:r>
    </w:p>
    <w:p w14:paraId="087C09E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项目资金监督和管理需进一步完善。</w:t>
      </w:r>
    </w:p>
    <w:p w14:paraId="3F0FCD0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现场评价的工作量少，后续效益评价具体措施和方法较少。</w:t>
      </w:r>
    </w:p>
    <w:p w14:paraId="07F4187F">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bookmarkStart w:id="27" w:name="_Toc68364675"/>
      <w:r>
        <w:rPr>
          <w:rFonts w:hint="eastAsia" w:ascii="黑体" w:hAnsi="黑体" w:eastAsia="黑体" w:cs="黑体"/>
          <w:color w:val="auto"/>
          <w:sz w:val="24"/>
          <w:szCs w:val="24"/>
        </w:rPr>
        <w:t>七、有关建议</w:t>
      </w:r>
      <w:bookmarkEnd w:id="27"/>
    </w:p>
    <w:p w14:paraId="3687932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28" w:name="_Toc68364676"/>
      <w:r>
        <w:rPr>
          <w:rFonts w:hint="eastAsia" w:ascii="宋体" w:hAnsi="宋体" w:eastAsia="宋体" w:cs="宋体"/>
          <w:b w:val="0"/>
          <w:bCs w:val="0"/>
          <w:color w:val="000000"/>
          <w:kern w:val="0"/>
          <w:sz w:val="24"/>
          <w:szCs w:val="24"/>
          <w:highlight w:val="none"/>
          <w:lang w:val="en-US" w:eastAsia="zh-CN" w:bidi="ar-SA"/>
        </w:rPr>
        <w:t>1.项目建设的程序进一步规范。项目前期</w:t>
      </w:r>
      <w:r>
        <w:rPr>
          <w:rFonts w:hint="eastAsia" w:ascii="宋体" w:hAnsi="宋体" w:eastAsia="宋体" w:cs="宋体"/>
          <w:color w:val="000000"/>
          <w:sz w:val="24"/>
          <w:szCs w:val="24"/>
          <w:highlight w:val="none"/>
        </w:rPr>
        <w:t>做好可行性研究报告，更加细化实施方案，严格执行资金管理办法和财政资金管理制度，严格按照项目实施方案、招投标管理办法等稳步推进工作，各部门单位根据自己项目的特点进行总结。</w:t>
      </w:r>
    </w:p>
    <w:p w14:paraId="545AC14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2.项目评价资料有待进一步完善。项目启动时同步做好档案的归纳与整理，及时整理、收集、汇总，健全档案资料。项目后续管理有待进一步加强和跟踪。</w:t>
      </w:r>
    </w:p>
    <w:p w14:paraId="763198A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3.通过绩效管理，发现实施中存在漏洞，以后加强管理，及时掌握与之相关的各类信息，减少成本，使资金效益最大化。</w:t>
      </w:r>
    </w:p>
    <w:p w14:paraId="3E38DC6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4．评价工作应从项目实施方案源头抓起，评价工作和意识应贯穿项目整个过程。</w:t>
      </w:r>
    </w:p>
    <w:p w14:paraId="510CCA8B">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八、其他需要说明的问题</w:t>
      </w:r>
      <w:bookmarkEnd w:id="28"/>
    </w:p>
    <w:p w14:paraId="713B70C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我单位对上述项目支出绩效评价报告内反映内容的真实性、完整性负责，愿接受上级部门及社会公众监督。</w:t>
      </w:r>
    </w:p>
    <w:p w14:paraId="05801A7A">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p>
    <w:p w14:paraId="0512F1DE">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附件1：结核病区人工作人员工资、患者伙食补助项目绩效评价指标体系</w:t>
      </w:r>
    </w:p>
    <w:p w14:paraId="22ED2D49">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附件2：结核病区人工作人员工资、患者伙食补助项目综合得分表</w:t>
      </w:r>
    </w:p>
    <w:p w14:paraId="22D2CF92">
      <w:pPr>
        <w:pStyle w:val="46"/>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附件3：满意度调查问分析情况</w:t>
      </w:r>
    </w:p>
    <w:p w14:paraId="0AD6D00A">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79D80D4A">
      <w:pPr>
        <w:pStyle w:val="10"/>
        <w:ind w:left="0" w:leftChars="0" w:firstLine="0" w:firstLineChars="0"/>
        <w:jc w:val="both"/>
        <w:rPr>
          <w:rFonts w:hint="eastAsia" w:ascii="宋体" w:hAnsi="宋体" w:eastAsia="宋体" w:cs="宋体"/>
          <w:color w:val="auto"/>
          <w:sz w:val="24"/>
          <w:szCs w:val="24"/>
        </w:rPr>
      </w:pPr>
    </w:p>
    <w:p w14:paraId="7F3D2A86">
      <w:pPr>
        <w:pStyle w:val="10"/>
        <w:ind w:left="0" w:leftChars="0" w:firstLine="0" w:firstLineChars="0"/>
        <w:jc w:val="both"/>
        <w:rPr>
          <w:rFonts w:hint="eastAsia" w:ascii="宋体" w:hAnsi="宋体" w:eastAsia="宋体" w:cs="宋体"/>
          <w:color w:val="auto"/>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24"/>
        <w:gridCol w:w="495"/>
        <w:gridCol w:w="600"/>
        <w:gridCol w:w="465"/>
        <w:gridCol w:w="600"/>
        <w:gridCol w:w="540"/>
        <w:gridCol w:w="2235"/>
        <w:gridCol w:w="1155"/>
        <w:gridCol w:w="5010"/>
        <w:gridCol w:w="1020"/>
        <w:gridCol w:w="537"/>
      </w:tblGrid>
      <w:tr w14:paraId="37CF2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24" w:type="dxa"/>
            <w:tcBorders>
              <w:top w:val="nil"/>
              <w:left w:val="nil"/>
              <w:bottom w:val="nil"/>
              <w:right w:val="nil"/>
            </w:tcBorders>
            <w:noWrap/>
            <w:vAlign w:val="center"/>
          </w:tcPr>
          <w:p w14:paraId="36621D8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附件1：</w:t>
            </w:r>
          </w:p>
        </w:tc>
        <w:tc>
          <w:tcPr>
            <w:tcW w:w="495" w:type="dxa"/>
            <w:tcBorders>
              <w:top w:val="nil"/>
              <w:left w:val="nil"/>
              <w:bottom w:val="nil"/>
              <w:right w:val="nil"/>
            </w:tcBorders>
            <w:noWrap/>
            <w:vAlign w:val="center"/>
          </w:tcPr>
          <w:p w14:paraId="66488877">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600" w:type="dxa"/>
            <w:tcBorders>
              <w:top w:val="nil"/>
              <w:left w:val="nil"/>
              <w:bottom w:val="nil"/>
              <w:right w:val="nil"/>
            </w:tcBorders>
            <w:noWrap/>
            <w:vAlign w:val="center"/>
          </w:tcPr>
          <w:p w14:paraId="77174270">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465" w:type="dxa"/>
            <w:tcBorders>
              <w:top w:val="nil"/>
              <w:left w:val="nil"/>
              <w:bottom w:val="nil"/>
              <w:right w:val="nil"/>
            </w:tcBorders>
            <w:noWrap/>
            <w:vAlign w:val="center"/>
          </w:tcPr>
          <w:p w14:paraId="5B603BE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600" w:type="dxa"/>
            <w:tcBorders>
              <w:top w:val="nil"/>
              <w:left w:val="nil"/>
              <w:bottom w:val="nil"/>
              <w:right w:val="nil"/>
            </w:tcBorders>
            <w:noWrap/>
            <w:vAlign w:val="center"/>
          </w:tcPr>
          <w:p w14:paraId="038CF30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40" w:type="dxa"/>
            <w:tcBorders>
              <w:top w:val="nil"/>
              <w:left w:val="nil"/>
              <w:bottom w:val="nil"/>
              <w:right w:val="nil"/>
            </w:tcBorders>
            <w:noWrap/>
            <w:vAlign w:val="center"/>
          </w:tcPr>
          <w:p w14:paraId="7D101104">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2235" w:type="dxa"/>
            <w:tcBorders>
              <w:top w:val="nil"/>
              <w:left w:val="nil"/>
              <w:bottom w:val="nil"/>
              <w:right w:val="nil"/>
            </w:tcBorders>
            <w:noWrap/>
            <w:vAlign w:val="center"/>
          </w:tcPr>
          <w:p w14:paraId="59B795CA">
            <w:pPr>
              <w:keepNext w:val="0"/>
              <w:keepLines w:val="0"/>
              <w:pageBreakBefore w:val="0"/>
              <w:widowControl/>
              <w:kinsoku/>
              <w:wordWrap/>
              <w:overflowPunct/>
              <w:topLinePunct w:val="0"/>
              <w:autoSpaceDE/>
              <w:autoSpaceDN/>
              <w:bidi w:val="0"/>
              <w:adjustRightInd/>
              <w:snapToGrid/>
              <w:ind w:firstLine="0" w:firstLineChars="0"/>
              <w:jc w:val="left"/>
              <w:rPr>
                <w:rFonts w:hint="eastAsia" w:ascii="宋体" w:hAnsi="宋体" w:eastAsia="宋体" w:cs="宋体"/>
                <w:i w:val="0"/>
                <w:iCs w:val="0"/>
                <w:color w:val="auto"/>
                <w:sz w:val="21"/>
                <w:szCs w:val="21"/>
                <w:u w:val="none"/>
              </w:rPr>
            </w:pPr>
          </w:p>
        </w:tc>
        <w:tc>
          <w:tcPr>
            <w:tcW w:w="1155" w:type="dxa"/>
            <w:tcBorders>
              <w:top w:val="nil"/>
              <w:left w:val="nil"/>
              <w:bottom w:val="nil"/>
              <w:right w:val="nil"/>
            </w:tcBorders>
            <w:noWrap/>
            <w:vAlign w:val="center"/>
          </w:tcPr>
          <w:p w14:paraId="37A0589F">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010" w:type="dxa"/>
            <w:tcBorders>
              <w:top w:val="nil"/>
              <w:left w:val="nil"/>
              <w:bottom w:val="nil"/>
              <w:right w:val="nil"/>
            </w:tcBorders>
            <w:noWrap/>
            <w:vAlign w:val="center"/>
          </w:tcPr>
          <w:p w14:paraId="48B4B5E7">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1020" w:type="dxa"/>
            <w:tcBorders>
              <w:top w:val="nil"/>
              <w:left w:val="nil"/>
              <w:bottom w:val="nil"/>
              <w:right w:val="nil"/>
            </w:tcBorders>
            <w:noWrap/>
            <w:vAlign w:val="center"/>
          </w:tcPr>
          <w:p w14:paraId="0381588E">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c>
          <w:tcPr>
            <w:tcW w:w="537" w:type="dxa"/>
            <w:tcBorders>
              <w:top w:val="nil"/>
              <w:left w:val="nil"/>
              <w:bottom w:val="nil"/>
              <w:right w:val="nil"/>
            </w:tcBorders>
            <w:noWrap/>
            <w:vAlign w:val="center"/>
          </w:tcPr>
          <w:p w14:paraId="53128C0F">
            <w:pPr>
              <w:keepNext w:val="0"/>
              <w:keepLines w:val="0"/>
              <w:pageBreakBefore w:val="0"/>
              <w:widowControl/>
              <w:kinsoku/>
              <w:wordWrap/>
              <w:overflowPunct/>
              <w:topLinePunct w:val="0"/>
              <w:autoSpaceDE/>
              <w:autoSpaceDN/>
              <w:bidi w:val="0"/>
              <w:adjustRightInd/>
              <w:snapToGrid/>
              <w:ind w:firstLine="0" w:firstLineChars="0"/>
              <w:rPr>
                <w:rFonts w:hint="eastAsia" w:ascii="宋体" w:hAnsi="宋体" w:eastAsia="宋体" w:cs="宋体"/>
                <w:i w:val="0"/>
                <w:iCs w:val="0"/>
                <w:color w:val="auto"/>
                <w:sz w:val="21"/>
                <w:szCs w:val="21"/>
                <w:u w:val="none"/>
              </w:rPr>
            </w:pPr>
          </w:p>
        </w:tc>
      </w:tr>
      <w:tr w14:paraId="43ADE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281" w:type="dxa"/>
            <w:gridSpan w:val="11"/>
            <w:tcBorders>
              <w:top w:val="nil"/>
              <w:left w:val="nil"/>
              <w:bottom w:val="nil"/>
              <w:right w:val="nil"/>
            </w:tcBorders>
            <w:noWrap w:val="0"/>
            <w:vAlign w:val="center"/>
          </w:tcPr>
          <w:p w14:paraId="2CEF962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Style w:val="51"/>
                <w:rFonts w:hint="eastAsia" w:ascii="宋体" w:hAnsi="宋体" w:eastAsia="宋体" w:cs="宋体"/>
                <w:i w:val="0"/>
                <w:iCs w:val="0"/>
                <w:color w:val="auto"/>
                <w:sz w:val="21"/>
                <w:szCs w:val="21"/>
                <w:lang w:val="en-US" w:eastAsia="zh-CN"/>
              </w:rPr>
            </w:pPr>
            <w:r>
              <w:rPr>
                <w:rFonts w:hint="eastAsia" w:ascii="宋体" w:hAnsi="宋体" w:eastAsia="宋体" w:cs="宋体"/>
                <w:b/>
                <w:bCs/>
                <w:i w:val="0"/>
                <w:iCs w:val="0"/>
                <w:color w:val="000000"/>
                <w:kern w:val="0"/>
                <w:sz w:val="24"/>
                <w:szCs w:val="24"/>
                <w:highlight w:val="none"/>
                <w:u w:val="none"/>
                <w:lang w:val="en-US" w:eastAsia="zh-CN"/>
              </w:rPr>
              <w:t>结核病区人工作人员工资、患者伙食补助项目绩效评价指标体系综合评分表</w:t>
            </w:r>
          </w:p>
        </w:tc>
      </w:tr>
      <w:tr w14:paraId="1B968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24" w:type="dxa"/>
            <w:tcBorders>
              <w:top w:val="single" w:color="auto" w:sz="4" w:space="0"/>
              <w:left w:val="single" w:color="auto" w:sz="4" w:space="0"/>
              <w:bottom w:val="single" w:color="auto" w:sz="4" w:space="0"/>
              <w:right w:val="single" w:color="auto" w:sz="4" w:space="0"/>
            </w:tcBorders>
            <w:noWrap w:val="0"/>
            <w:vAlign w:val="center"/>
          </w:tcPr>
          <w:p w14:paraId="784BF2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495" w:type="dxa"/>
            <w:tcBorders>
              <w:top w:val="single" w:color="auto" w:sz="4" w:space="0"/>
              <w:left w:val="single" w:color="auto" w:sz="4" w:space="0"/>
              <w:bottom w:val="single" w:color="auto" w:sz="4" w:space="0"/>
              <w:right w:val="single" w:color="auto" w:sz="4" w:space="0"/>
            </w:tcBorders>
            <w:noWrap w:val="0"/>
            <w:vAlign w:val="center"/>
          </w:tcPr>
          <w:p w14:paraId="114428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C6330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465" w:type="dxa"/>
            <w:tcBorders>
              <w:top w:val="single" w:color="auto" w:sz="4" w:space="0"/>
              <w:left w:val="single" w:color="auto" w:sz="4" w:space="0"/>
              <w:bottom w:val="single" w:color="auto" w:sz="4" w:space="0"/>
              <w:right w:val="single" w:color="auto" w:sz="4" w:space="0"/>
            </w:tcBorders>
            <w:noWrap w:val="0"/>
            <w:vAlign w:val="center"/>
          </w:tcPr>
          <w:p w14:paraId="57D0EF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D3634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08B8B8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26F78D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F71F4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35236D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340F7D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5EBD3C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682F0D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7" w:hRule="atLeast"/>
        </w:trPr>
        <w:tc>
          <w:tcPr>
            <w:tcW w:w="624" w:type="dxa"/>
            <w:vMerge w:val="restart"/>
            <w:tcBorders>
              <w:top w:val="single" w:color="auto" w:sz="4" w:space="0"/>
              <w:left w:val="single" w:color="auto" w:sz="4" w:space="0"/>
              <w:bottom w:val="single" w:color="auto" w:sz="4" w:space="0"/>
              <w:right w:val="single" w:color="auto" w:sz="4" w:space="0"/>
            </w:tcBorders>
            <w:noWrap w:val="0"/>
            <w:vAlign w:val="center"/>
          </w:tcPr>
          <w:p w14:paraId="1B0A49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495" w:type="dxa"/>
            <w:vMerge w:val="restart"/>
            <w:tcBorders>
              <w:top w:val="single" w:color="auto" w:sz="4" w:space="0"/>
              <w:left w:val="single" w:color="auto" w:sz="4" w:space="0"/>
              <w:bottom w:val="single" w:color="auto" w:sz="4" w:space="0"/>
              <w:right w:val="single" w:color="auto" w:sz="4" w:space="0"/>
            </w:tcBorders>
            <w:noWrap w:val="0"/>
            <w:vAlign w:val="center"/>
          </w:tcPr>
          <w:p w14:paraId="7320FB7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0B5F44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465" w:type="dxa"/>
            <w:vMerge w:val="restart"/>
            <w:tcBorders>
              <w:top w:val="single" w:color="auto" w:sz="4" w:space="0"/>
              <w:left w:val="single" w:color="auto" w:sz="4" w:space="0"/>
              <w:bottom w:val="single" w:color="auto" w:sz="4" w:space="0"/>
              <w:right w:val="single" w:color="auto" w:sz="4" w:space="0"/>
            </w:tcBorders>
            <w:noWrap w:val="0"/>
            <w:vAlign w:val="center"/>
          </w:tcPr>
          <w:p w14:paraId="303EAB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4D436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249256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06A7BC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D3EB2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365150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526A4E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0C619D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2F7BC9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4AC44F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05340E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30404F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245774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5018F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66D41C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0F4D35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5E887E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vMerge w:val="continue"/>
            <w:tcBorders>
              <w:top w:val="single" w:color="auto" w:sz="4" w:space="0"/>
              <w:left w:val="single" w:color="auto" w:sz="4" w:space="0"/>
              <w:bottom w:val="single" w:color="auto" w:sz="4" w:space="0"/>
              <w:right w:val="single" w:color="auto" w:sz="4" w:space="0"/>
            </w:tcBorders>
            <w:noWrap w:val="0"/>
            <w:vAlign w:val="center"/>
          </w:tcPr>
          <w:p w14:paraId="5094B7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76954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66D87C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619D8A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4D291C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3D832A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25E4E0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488D60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7F79E3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1A0783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51A3C8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A50B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252982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161D1F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6C10CF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465" w:type="dxa"/>
            <w:vMerge w:val="restart"/>
            <w:tcBorders>
              <w:top w:val="single" w:color="auto" w:sz="4" w:space="0"/>
              <w:left w:val="single" w:color="auto" w:sz="4" w:space="0"/>
              <w:bottom w:val="single" w:color="auto" w:sz="4" w:space="0"/>
              <w:right w:val="single" w:color="auto" w:sz="4" w:space="0"/>
            </w:tcBorders>
            <w:noWrap w:val="0"/>
            <w:vAlign w:val="center"/>
          </w:tcPr>
          <w:p w14:paraId="531495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4CD773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375141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73DB2D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03341D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6245ED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079240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75B0CD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2EA729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79E55D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0A7609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1135DB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C9236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186CB4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4EE2B0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393ADC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vMerge w:val="continue"/>
            <w:tcBorders>
              <w:top w:val="single" w:color="auto" w:sz="4" w:space="0"/>
              <w:left w:val="single" w:color="auto" w:sz="4" w:space="0"/>
              <w:bottom w:val="single" w:color="auto" w:sz="4" w:space="0"/>
              <w:right w:val="single" w:color="auto" w:sz="4" w:space="0"/>
            </w:tcBorders>
            <w:noWrap w:val="0"/>
            <w:vAlign w:val="center"/>
          </w:tcPr>
          <w:p w14:paraId="637563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0CD4C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46453E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3E6D30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7906B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571741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1CC55C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4ACE3A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150171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73A37D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544474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F0C9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4F81E7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796D48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13ADD7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465" w:type="dxa"/>
            <w:vMerge w:val="restart"/>
            <w:tcBorders>
              <w:top w:val="single" w:color="auto" w:sz="4" w:space="0"/>
              <w:left w:val="single" w:color="auto" w:sz="4" w:space="0"/>
              <w:bottom w:val="single" w:color="auto" w:sz="4" w:space="0"/>
              <w:right w:val="single" w:color="auto" w:sz="4" w:space="0"/>
            </w:tcBorders>
            <w:noWrap w:val="0"/>
            <w:vAlign w:val="center"/>
          </w:tcPr>
          <w:p w14:paraId="2DA9D2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2E1B4F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000CA2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2F9FDA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0351D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53AE18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6FAB14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216F91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3C6102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64C807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218F6E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547664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6E329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56EF19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50D8DE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33B342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vMerge w:val="continue"/>
            <w:tcBorders>
              <w:top w:val="single" w:color="auto" w:sz="4" w:space="0"/>
              <w:left w:val="single" w:color="auto" w:sz="4" w:space="0"/>
              <w:bottom w:val="single" w:color="auto" w:sz="4" w:space="0"/>
              <w:right w:val="single" w:color="auto" w:sz="4" w:space="0"/>
            </w:tcBorders>
            <w:noWrap w:val="0"/>
            <w:vAlign w:val="center"/>
          </w:tcPr>
          <w:p w14:paraId="7FAA00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040F3C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32926A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6ADECC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E746C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06045E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337D79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73D907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3D1187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66EC56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20880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restart"/>
            <w:tcBorders>
              <w:top w:val="single" w:color="auto" w:sz="4" w:space="0"/>
              <w:left w:val="single" w:color="auto" w:sz="4" w:space="0"/>
              <w:bottom w:val="single" w:color="auto" w:sz="4" w:space="0"/>
              <w:right w:val="single" w:color="auto" w:sz="4" w:space="0"/>
            </w:tcBorders>
            <w:noWrap w:val="0"/>
            <w:vAlign w:val="center"/>
          </w:tcPr>
          <w:p w14:paraId="294CB2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495" w:type="dxa"/>
            <w:vMerge w:val="restart"/>
            <w:tcBorders>
              <w:top w:val="single" w:color="auto" w:sz="4" w:space="0"/>
              <w:left w:val="single" w:color="auto" w:sz="4" w:space="0"/>
              <w:bottom w:val="single" w:color="auto" w:sz="4" w:space="0"/>
              <w:right w:val="single" w:color="auto" w:sz="4" w:space="0"/>
            </w:tcBorders>
            <w:noWrap w:val="0"/>
            <w:vAlign w:val="center"/>
          </w:tcPr>
          <w:p w14:paraId="24434F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289C87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465" w:type="dxa"/>
            <w:vMerge w:val="restart"/>
            <w:tcBorders>
              <w:top w:val="single" w:color="auto" w:sz="4" w:space="0"/>
              <w:left w:val="single" w:color="auto" w:sz="4" w:space="0"/>
              <w:bottom w:val="single" w:color="auto" w:sz="4" w:space="0"/>
              <w:right w:val="single" w:color="auto" w:sz="4" w:space="0"/>
            </w:tcBorders>
            <w:noWrap w:val="0"/>
            <w:vAlign w:val="center"/>
          </w:tcPr>
          <w:p w14:paraId="630562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08A514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6D676C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51E7AC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B3B82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2E1FB4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02B58F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687794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733C9B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67524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50D89F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782C43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2B138B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vMerge w:val="continue"/>
            <w:tcBorders>
              <w:top w:val="single" w:color="auto" w:sz="4" w:space="0"/>
              <w:left w:val="single" w:color="auto" w:sz="4" w:space="0"/>
              <w:bottom w:val="single" w:color="auto" w:sz="4" w:space="0"/>
              <w:right w:val="single" w:color="auto" w:sz="4" w:space="0"/>
            </w:tcBorders>
            <w:noWrap w:val="0"/>
            <w:vAlign w:val="center"/>
          </w:tcPr>
          <w:p w14:paraId="56498F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3649FE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509FE0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436967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48FBD2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32BDA3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6C98E4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7274C4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643D37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50A5A8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7131AB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20B262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14C5A4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vMerge w:val="continue"/>
            <w:tcBorders>
              <w:top w:val="single" w:color="auto" w:sz="4" w:space="0"/>
              <w:left w:val="single" w:color="auto" w:sz="4" w:space="0"/>
              <w:bottom w:val="single" w:color="auto" w:sz="4" w:space="0"/>
              <w:right w:val="single" w:color="auto" w:sz="4" w:space="0"/>
            </w:tcBorders>
            <w:noWrap w:val="0"/>
            <w:vAlign w:val="center"/>
          </w:tcPr>
          <w:p w14:paraId="1E9181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B4165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6AAF4F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177412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B84C4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08E9B4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5C1AB2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645DFB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4F9292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5940BE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358714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14404D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8D58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1D7C20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7D8813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7B942F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465" w:type="dxa"/>
            <w:vMerge w:val="restart"/>
            <w:tcBorders>
              <w:top w:val="single" w:color="auto" w:sz="4" w:space="0"/>
              <w:left w:val="single" w:color="auto" w:sz="4" w:space="0"/>
              <w:bottom w:val="single" w:color="auto" w:sz="4" w:space="0"/>
              <w:right w:val="single" w:color="auto" w:sz="4" w:space="0"/>
            </w:tcBorders>
            <w:noWrap w:val="0"/>
            <w:vAlign w:val="center"/>
          </w:tcPr>
          <w:p w14:paraId="3EDE5D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978E9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3C3467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79A127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43B3F4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6658DC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7F1C02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04FD68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76E019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12862D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11DA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6084A5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4B087C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0D2161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vMerge w:val="continue"/>
            <w:tcBorders>
              <w:top w:val="single" w:color="auto" w:sz="4" w:space="0"/>
              <w:left w:val="single" w:color="auto" w:sz="4" w:space="0"/>
              <w:bottom w:val="single" w:color="auto" w:sz="4" w:space="0"/>
              <w:right w:val="single" w:color="auto" w:sz="4" w:space="0"/>
            </w:tcBorders>
            <w:noWrap w:val="0"/>
            <w:vAlign w:val="center"/>
          </w:tcPr>
          <w:p w14:paraId="6FCD74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675E1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7470A2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30E759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34F1A6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1FB27B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68EA3E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74002F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6DE940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6291CC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44E371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33</w:t>
            </w:r>
          </w:p>
        </w:tc>
      </w:tr>
      <w:tr w14:paraId="6F1DE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624" w:type="dxa"/>
            <w:vMerge w:val="restart"/>
            <w:tcBorders>
              <w:top w:val="single" w:color="auto" w:sz="4" w:space="0"/>
              <w:left w:val="single" w:color="auto" w:sz="4" w:space="0"/>
              <w:right w:val="single" w:color="auto" w:sz="4" w:space="0"/>
            </w:tcBorders>
            <w:noWrap w:val="0"/>
            <w:vAlign w:val="center"/>
          </w:tcPr>
          <w:p w14:paraId="5C9625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495" w:type="dxa"/>
            <w:vMerge w:val="restart"/>
            <w:tcBorders>
              <w:top w:val="single" w:color="auto" w:sz="4" w:space="0"/>
              <w:left w:val="single" w:color="auto" w:sz="4" w:space="0"/>
              <w:right w:val="single" w:color="auto" w:sz="4" w:space="0"/>
            </w:tcBorders>
            <w:noWrap w:val="0"/>
            <w:vAlign w:val="center"/>
          </w:tcPr>
          <w:p w14:paraId="211DB7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600" w:type="dxa"/>
            <w:vMerge w:val="restart"/>
            <w:tcBorders>
              <w:top w:val="single" w:color="auto" w:sz="4" w:space="0"/>
              <w:left w:val="single" w:color="auto" w:sz="4" w:space="0"/>
              <w:right w:val="single" w:color="auto" w:sz="4" w:space="0"/>
            </w:tcBorders>
            <w:noWrap w:val="0"/>
            <w:vAlign w:val="center"/>
          </w:tcPr>
          <w:p w14:paraId="4A2DD6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465" w:type="dxa"/>
            <w:vMerge w:val="restart"/>
            <w:tcBorders>
              <w:top w:val="single" w:color="auto" w:sz="4" w:space="0"/>
              <w:left w:val="single" w:color="auto" w:sz="4" w:space="0"/>
              <w:right w:val="single" w:color="auto" w:sz="4" w:space="0"/>
            </w:tcBorders>
            <w:noWrap w:val="0"/>
            <w:vAlign w:val="center"/>
          </w:tcPr>
          <w:p w14:paraId="1A37E3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00" w:type="dxa"/>
            <w:vMerge w:val="restart"/>
            <w:tcBorders>
              <w:top w:val="single" w:color="auto" w:sz="4" w:space="0"/>
              <w:left w:val="single" w:color="auto" w:sz="4" w:space="0"/>
              <w:right w:val="single" w:color="auto" w:sz="4" w:space="0"/>
            </w:tcBorders>
            <w:noWrap w:val="0"/>
            <w:vAlign w:val="center"/>
          </w:tcPr>
          <w:p w14:paraId="53109B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19F00F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324076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结核病区工作人员人数</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31990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&gt;=400人</w:t>
            </w:r>
          </w:p>
        </w:tc>
        <w:tc>
          <w:tcPr>
            <w:tcW w:w="5010" w:type="dxa"/>
            <w:vMerge w:val="restart"/>
            <w:tcBorders>
              <w:top w:val="single" w:color="auto" w:sz="4" w:space="0"/>
              <w:left w:val="single" w:color="auto" w:sz="4" w:space="0"/>
              <w:bottom w:val="single" w:color="auto" w:sz="4" w:space="0"/>
              <w:right w:val="single" w:color="auto" w:sz="4" w:space="0"/>
            </w:tcBorders>
            <w:noWrap w:val="0"/>
            <w:vAlign w:val="center"/>
          </w:tcPr>
          <w:p w14:paraId="575825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259CF4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400人</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57E7AD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7CA79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624" w:type="dxa"/>
            <w:vMerge w:val="continue"/>
            <w:tcBorders>
              <w:left w:val="single" w:color="auto" w:sz="4" w:space="0"/>
              <w:bottom w:val="single" w:color="auto" w:sz="4" w:space="0"/>
              <w:right w:val="single" w:color="auto" w:sz="4" w:space="0"/>
            </w:tcBorders>
            <w:noWrap w:val="0"/>
            <w:vAlign w:val="center"/>
          </w:tcPr>
          <w:p w14:paraId="09CF8E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495" w:type="dxa"/>
            <w:vMerge w:val="continue"/>
            <w:tcBorders>
              <w:left w:val="single" w:color="auto" w:sz="4" w:space="0"/>
              <w:bottom w:val="single" w:color="auto" w:sz="4" w:space="0"/>
              <w:right w:val="single" w:color="auto" w:sz="4" w:space="0"/>
            </w:tcBorders>
            <w:noWrap w:val="0"/>
            <w:vAlign w:val="center"/>
          </w:tcPr>
          <w:p w14:paraId="039349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00" w:type="dxa"/>
            <w:vMerge w:val="continue"/>
            <w:tcBorders>
              <w:left w:val="single" w:color="auto" w:sz="4" w:space="0"/>
              <w:bottom w:val="single" w:color="auto" w:sz="4" w:space="0"/>
              <w:right w:val="single" w:color="auto" w:sz="4" w:space="0"/>
            </w:tcBorders>
            <w:noWrap w:val="0"/>
            <w:vAlign w:val="center"/>
          </w:tcPr>
          <w:p w14:paraId="09B406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465" w:type="dxa"/>
            <w:vMerge w:val="continue"/>
            <w:tcBorders>
              <w:left w:val="single" w:color="auto" w:sz="4" w:space="0"/>
              <w:bottom w:val="single" w:color="auto" w:sz="4" w:space="0"/>
              <w:right w:val="single" w:color="auto" w:sz="4" w:space="0"/>
            </w:tcBorders>
            <w:noWrap w:val="0"/>
            <w:vAlign w:val="center"/>
          </w:tcPr>
          <w:p w14:paraId="6035C6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00" w:type="dxa"/>
            <w:vMerge w:val="continue"/>
            <w:tcBorders>
              <w:left w:val="single" w:color="auto" w:sz="4" w:space="0"/>
              <w:bottom w:val="single" w:color="auto" w:sz="4" w:space="0"/>
              <w:right w:val="single" w:color="auto" w:sz="4" w:space="0"/>
            </w:tcBorders>
            <w:noWrap w:val="0"/>
            <w:vAlign w:val="center"/>
          </w:tcPr>
          <w:p w14:paraId="225214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40" w:type="dxa"/>
            <w:tcBorders>
              <w:top w:val="single" w:color="auto" w:sz="4" w:space="0"/>
              <w:left w:val="single" w:color="auto" w:sz="4" w:space="0"/>
              <w:bottom w:val="single" w:color="auto" w:sz="4" w:space="0"/>
              <w:right w:val="single" w:color="auto" w:sz="4" w:space="0"/>
            </w:tcBorders>
            <w:noWrap w:val="0"/>
            <w:vAlign w:val="center"/>
          </w:tcPr>
          <w:p w14:paraId="4DF8DE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30CE94F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结核病区患者伙食补助人次</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42011F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&gt;=1703人次</w:t>
            </w:r>
          </w:p>
        </w:tc>
        <w:tc>
          <w:tcPr>
            <w:tcW w:w="5010" w:type="dxa"/>
            <w:vMerge w:val="continue"/>
            <w:tcBorders>
              <w:top w:val="single" w:color="auto" w:sz="4" w:space="0"/>
              <w:left w:val="single" w:color="auto" w:sz="4" w:space="0"/>
              <w:bottom w:val="single" w:color="auto" w:sz="4" w:space="0"/>
              <w:right w:val="single" w:color="auto" w:sz="4" w:space="0"/>
            </w:tcBorders>
            <w:noWrap w:val="0"/>
            <w:vAlign w:val="center"/>
          </w:tcPr>
          <w:p w14:paraId="349BF8F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14:paraId="1C47E4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1703人次</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75BD45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2B8FE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64483F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460CC4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34CEA0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465" w:type="dxa"/>
            <w:tcBorders>
              <w:top w:val="single" w:color="auto" w:sz="4" w:space="0"/>
              <w:left w:val="single" w:color="auto" w:sz="4" w:space="0"/>
              <w:bottom w:val="single" w:color="auto" w:sz="4" w:space="0"/>
              <w:right w:val="single" w:color="auto" w:sz="4" w:space="0"/>
            </w:tcBorders>
            <w:noWrap w:val="0"/>
            <w:vAlign w:val="center"/>
          </w:tcPr>
          <w:p w14:paraId="5797B5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084EA6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26EA60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1C0829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DB8AA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010" w:type="dxa"/>
            <w:tcBorders>
              <w:top w:val="single" w:color="auto" w:sz="4" w:space="0"/>
              <w:left w:val="single" w:color="auto" w:sz="4" w:space="0"/>
              <w:right w:val="single" w:color="auto" w:sz="4" w:space="0"/>
            </w:tcBorders>
            <w:noWrap w:val="0"/>
            <w:vAlign w:val="center"/>
          </w:tcPr>
          <w:p w14:paraId="69B109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0BA0FA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17C940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5181E6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1CD66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7E8F06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55CFC3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restart"/>
            <w:tcBorders>
              <w:top w:val="single" w:color="auto" w:sz="4" w:space="0"/>
              <w:left w:val="single" w:color="auto" w:sz="4" w:space="0"/>
              <w:right w:val="single" w:color="auto" w:sz="4" w:space="0"/>
            </w:tcBorders>
            <w:noWrap w:val="0"/>
            <w:vAlign w:val="center"/>
          </w:tcPr>
          <w:p w14:paraId="37FDE4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465" w:type="dxa"/>
            <w:vMerge w:val="restart"/>
            <w:tcBorders>
              <w:top w:val="single" w:color="auto" w:sz="4" w:space="0"/>
              <w:left w:val="single" w:color="auto" w:sz="4" w:space="0"/>
              <w:right w:val="single" w:color="auto" w:sz="4" w:space="0"/>
            </w:tcBorders>
            <w:noWrap w:val="0"/>
            <w:vAlign w:val="center"/>
          </w:tcPr>
          <w:p w14:paraId="0AAB1A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00" w:type="dxa"/>
            <w:vMerge w:val="restart"/>
            <w:tcBorders>
              <w:top w:val="single" w:color="auto" w:sz="4" w:space="0"/>
              <w:left w:val="single" w:color="auto" w:sz="4" w:space="0"/>
              <w:right w:val="single" w:color="auto" w:sz="4" w:space="0"/>
            </w:tcBorders>
            <w:noWrap w:val="0"/>
            <w:vAlign w:val="center"/>
          </w:tcPr>
          <w:p w14:paraId="12EE71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6A11BE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40A39C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B9028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5010" w:type="dxa"/>
            <w:vMerge w:val="restart"/>
            <w:tcBorders>
              <w:top w:val="single" w:color="auto" w:sz="4" w:space="0"/>
              <w:left w:val="single" w:color="auto" w:sz="4" w:space="0"/>
              <w:right w:val="single" w:color="auto" w:sz="4" w:space="0"/>
            </w:tcBorders>
            <w:noWrap w:val="0"/>
            <w:vAlign w:val="center"/>
          </w:tcPr>
          <w:p w14:paraId="4205F48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27661E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7C2A4F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2024年12月</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6A6F93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42BA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24" w:type="dxa"/>
            <w:vMerge w:val="continue"/>
            <w:tcBorders>
              <w:left w:val="single" w:color="auto" w:sz="4" w:space="0"/>
              <w:bottom w:val="single" w:color="auto" w:sz="4" w:space="0"/>
              <w:right w:val="single" w:color="auto" w:sz="4" w:space="0"/>
            </w:tcBorders>
            <w:noWrap w:val="0"/>
            <w:vAlign w:val="center"/>
          </w:tcPr>
          <w:p w14:paraId="40F04E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495" w:type="dxa"/>
            <w:vMerge w:val="continue"/>
            <w:tcBorders>
              <w:left w:val="single" w:color="auto" w:sz="4" w:space="0"/>
              <w:bottom w:val="single" w:color="auto" w:sz="4" w:space="0"/>
              <w:right w:val="single" w:color="auto" w:sz="4" w:space="0"/>
            </w:tcBorders>
            <w:noWrap w:val="0"/>
            <w:vAlign w:val="center"/>
          </w:tcPr>
          <w:p w14:paraId="63A654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00" w:type="dxa"/>
            <w:vMerge w:val="continue"/>
            <w:tcBorders>
              <w:left w:val="single" w:color="auto" w:sz="4" w:space="0"/>
              <w:bottom w:val="single" w:color="auto" w:sz="4" w:space="0"/>
              <w:right w:val="single" w:color="auto" w:sz="4" w:space="0"/>
            </w:tcBorders>
            <w:noWrap w:val="0"/>
            <w:vAlign w:val="center"/>
          </w:tcPr>
          <w:p w14:paraId="210E8E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465" w:type="dxa"/>
            <w:vMerge w:val="continue"/>
            <w:tcBorders>
              <w:left w:val="single" w:color="auto" w:sz="4" w:space="0"/>
              <w:bottom w:val="single" w:color="auto" w:sz="4" w:space="0"/>
              <w:right w:val="single" w:color="auto" w:sz="4" w:space="0"/>
            </w:tcBorders>
            <w:noWrap w:val="0"/>
            <w:vAlign w:val="center"/>
          </w:tcPr>
          <w:p w14:paraId="69C9D8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600" w:type="dxa"/>
            <w:vMerge w:val="continue"/>
            <w:tcBorders>
              <w:left w:val="single" w:color="auto" w:sz="4" w:space="0"/>
              <w:bottom w:val="single" w:color="auto" w:sz="4" w:space="0"/>
              <w:right w:val="single" w:color="auto" w:sz="4" w:space="0"/>
            </w:tcBorders>
            <w:noWrap w:val="0"/>
            <w:vAlign w:val="center"/>
          </w:tcPr>
          <w:p w14:paraId="3B0EC3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pPr>
          </w:p>
        </w:tc>
        <w:tc>
          <w:tcPr>
            <w:tcW w:w="540" w:type="dxa"/>
            <w:tcBorders>
              <w:top w:val="single" w:color="auto" w:sz="4" w:space="0"/>
              <w:left w:val="single" w:color="auto" w:sz="4" w:space="0"/>
              <w:bottom w:val="single" w:color="auto" w:sz="4" w:space="0"/>
              <w:right w:val="single" w:color="auto" w:sz="4" w:space="0"/>
            </w:tcBorders>
            <w:noWrap w:val="0"/>
            <w:vAlign w:val="center"/>
          </w:tcPr>
          <w:p w14:paraId="76B731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0AACA2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资金支付及时率</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4E900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r>
              <w:rPr>
                <w:rFonts w:hint="default" w:ascii="宋体" w:hAnsi="宋体" w:eastAsia="宋体" w:cs="宋体"/>
                <w:i w:val="0"/>
                <w:iCs w:val="0"/>
                <w:color w:val="000000"/>
                <w:kern w:val="0"/>
                <w:sz w:val="18"/>
                <w:szCs w:val="18"/>
                <w:highlight w:val="none"/>
                <w:u w:val="none"/>
                <w:lang w:val="en-US" w:eastAsia="zh-CN"/>
              </w:rPr>
              <w:t>100%</w:t>
            </w:r>
          </w:p>
        </w:tc>
        <w:tc>
          <w:tcPr>
            <w:tcW w:w="5010" w:type="dxa"/>
            <w:vMerge w:val="continue"/>
            <w:tcBorders>
              <w:left w:val="single" w:color="auto" w:sz="4" w:space="0"/>
              <w:right w:val="single" w:color="auto" w:sz="4" w:space="0"/>
            </w:tcBorders>
            <w:noWrap w:val="0"/>
            <w:vAlign w:val="center"/>
          </w:tcPr>
          <w:p w14:paraId="0C95DF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14:paraId="72814C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default" w:ascii="宋体" w:hAnsi="宋体" w:eastAsia="宋体" w:cs="宋体"/>
                <w:i w:val="0"/>
                <w:iCs w:val="0"/>
                <w:color w:val="000000"/>
                <w:kern w:val="0"/>
                <w:sz w:val="18"/>
                <w:szCs w:val="18"/>
                <w:highlight w:val="none"/>
                <w:u w:val="none"/>
                <w:lang w:val="en-US" w:eastAsia="zh-CN"/>
              </w:rPr>
              <w:t>100%</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773A32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2A004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04ECE1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10C74F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restart"/>
            <w:tcBorders>
              <w:top w:val="single" w:color="auto" w:sz="4" w:space="0"/>
              <w:left w:val="single" w:color="auto" w:sz="4" w:space="0"/>
              <w:right w:val="single" w:color="auto" w:sz="4" w:space="0"/>
            </w:tcBorders>
            <w:noWrap w:val="0"/>
            <w:vAlign w:val="center"/>
          </w:tcPr>
          <w:p w14:paraId="5D3D08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465" w:type="dxa"/>
            <w:vMerge w:val="restart"/>
            <w:tcBorders>
              <w:top w:val="single" w:color="auto" w:sz="4" w:space="0"/>
              <w:left w:val="single" w:color="auto" w:sz="4" w:space="0"/>
              <w:right w:val="single" w:color="auto" w:sz="4" w:space="0"/>
            </w:tcBorders>
            <w:noWrap w:val="0"/>
            <w:vAlign w:val="center"/>
          </w:tcPr>
          <w:p w14:paraId="151CF5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600" w:type="dxa"/>
            <w:vMerge w:val="restart"/>
            <w:tcBorders>
              <w:top w:val="single" w:color="auto" w:sz="4" w:space="0"/>
              <w:left w:val="single" w:color="auto" w:sz="4" w:space="0"/>
              <w:right w:val="single" w:color="auto" w:sz="4" w:space="0"/>
            </w:tcBorders>
            <w:noWrap w:val="0"/>
            <w:vAlign w:val="center"/>
          </w:tcPr>
          <w:p w14:paraId="5BE877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47C1B5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792D30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结核病区患者伙食补助费用</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73EAC0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&lt;=175.84万元</w:t>
            </w:r>
          </w:p>
        </w:tc>
        <w:tc>
          <w:tcPr>
            <w:tcW w:w="5010" w:type="dxa"/>
            <w:vMerge w:val="restart"/>
            <w:tcBorders>
              <w:top w:val="single" w:color="auto" w:sz="4" w:space="0"/>
              <w:left w:val="single" w:color="auto" w:sz="4" w:space="0"/>
              <w:right w:val="single" w:color="auto" w:sz="4" w:space="0"/>
            </w:tcBorders>
            <w:noWrap w:val="0"/>
            <w:vAlign w:val="center"/>
          </w:tcPr>
          <w:p w14:paraId="4E0108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40A6DA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175.84万元</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5E0B31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701D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5"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481B51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0BB42B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left w:val="single" w:color="auto" w:sz="4" w:space="0"/>
              <w:bottom w:val="single" w:color="auto" w:sz="4" w:space="0"/>
              <w:right w:val="single" w:color="auto" w:sz="4" w:space="0"/>
            </w:tcBorders>
            <w:noWrap w:val="0"/>
            <w:vAlign w:val="center"/>
          </w:tcPr>
          <w:p w14:paraId="452AE8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vMerge w:val="continue"/>
            <w:tcBorders>
              <w:left w:val="single" w:color="auto" w:sz="4" w:space="0"/>
              <w:bottom w:val="single" w:color="auto" w:sz="4" w:space="0"/>
              <w:right w:val="single" w:color="auto" w:sz="4" w:space="0"/>
            </w:tcBorders>
            <w:noWrap w:val="0"/>
            <w:vAlign w:val="center"/>
          </w:tcPr>
          <w:p w14:paraId="5CEA037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left w:val="single" w:color="auto" w:sz="4" w:space="0"/>
              <w:bottom w:val="single" w:color="auto" w:sz="4" w:space="0"/>
              <w:right w:val="single" w:color="auto" w:sz="4" w:space="0"/>
            </w:tcBorders>
            <w:noWrap w:val="0"/>
            <w:vAlign w:val="center"/>
          </w:tcPr>
          <w:p w14:paraId="36BE9A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0" w:type="dxa"/>
            <w:tcBorders>
              <w:top w:val="single" w:color="auto" w:sz="4" w:space="0"/>
              <w:left w:val="single" w:color="auto" w:sz="4" w:space="0"/>
              <w:bottom w:val="single" w:color="auto" w:sz="4" w:space="0"/>
              <w:right w:val="single" w:color="auto" w:sz="4" w:space="0"/>
            </w:tcBorders>
            <w:noWrap w:val="0"/>
            <w:vAlign w:val="center"/>
          </w:tcPr>
          <w:p w14:paraId="5D3F97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18965C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结核病区工作人员工资</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6DCC4C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-=3.62万元</w:t>
            </w:r>
          </w:p>
        </w:tc>
        <w:tc>
          <w:tcPr>
            <w:tcW w:w="5010" w:type="dxa"/>
            <w:vMerge w:val="continue"/>
            <w:tcBorders>
              <w:left w:val="single" w:color="auto" w:sz="4" w:space="0"/>
              <w:bottom w:val="single" w:color="auto" w:sz="4" w:space="0"/>
              <w:right w:val="single" w:color="auto" w:sz="4" w:space="0"/>
            </w:tcBorders>
            <w:noWrap w:val="0"/>
            <w:vAlign w:val="center"/>
          </w:tcPr>
          <w:p w14:paraId="0C6791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14:paraId="3F604C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3.62万元</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1D0B06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5E2DA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4" w:type="dxa"/>
            <w:vMerge w:val="restart"/>
            <w:tcBorders>
              <w:top w:val="single" w:color="auto" w:sz="4" w:space="0"/>
              <w:left w:val="single" w:color="auto" w:sz="4" w:space="0"/>
              <w:bottom w:val="single" w:color="auto" w:sz="4" w:space="0"/>
              <w:right w:val="single" w:color="auto" w:sz="4" w:space="0"/>
            </w:tcBorders>
            <w:noWrap w:val="0"/>
            <w:vAlign w:val="center"/>
          </w:tcPr>
          <w:p w14:paraId="15FEB2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495" w:type="dxa"/>
            <w:vMerge w:val="restart"/>
            <w:tcBorders>
              <w:top w:val="single" w:color="auto" w:sz="4" w:space="0"/>
              <w:left w:val="single" w:color="auto" w:sz="4" w:space="0"/>
              <w:bottom w:val="single" w:color="auto" w:sz="4" w:space="0"/>
              <w:right w:val="single" w:color="auto" w:sz="4" w:space="0"/>
            </w:tcBorders>
            <w:noWrap w:val="0"/>
            <w:vAlign w:val="center"/>
          </w:tcPr>
          <w:p w14:paraId="4325B6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600" w:type="dxa"/>
            <w:vMerge w:val="restart"/>
            <w:tcBorders>
              <w:top w:val="single" w:color="auto" w:sz="4" w:space="0"/>
              <w:left w:val="single" w:color="auto" w:sz="4" w:space="0"/>
              <w:bottom w:val="single" w:color="auto" w:sz="4" w:space="0"/>
              <w:right w:val="single" w:color="auto" w:sz="4" w:space="0"/>
            </w:tcBorders>
            <w:noWrap w:val="0"/>
            <w:vAlign w:val="center"/>
          </w:tcPr>
          <w:p w14:paraId="001693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465" w:type="dxa"/>
            <w:vMerge w:val="restart"/>
            <w:tcBorders>
              <w:top w:val="single" w:color="auto" w:sz="4" w:space="0"/>
              <w:left w:val="single" w:color="auto" w:sz="4" w:space="0"/>
              <w:bottom w:val="single" w:color="auto" w:sz="4" w:space="0"/>
              <w:right w:val="single" w:color="auto" w:sz="4" w:space="0"/>
            </w:tcBorders>
            <w:noWrap w:val="0"/>
            <w:vAlign w:val="center"/>
          </w:tcPr>
          <w:p w14:paraId="43FF7E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66D0E7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6954D26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23E1A9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保障政府公信力</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23A015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6CE343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3003AC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55ADC4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59B430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24" w:type="dxa"/>
            <w:vMerge w:val="continue"/>
            <w:tcBorders>
              <w:top w:val="single" w:color="auto" w:sz="4" w:space="0"/>
              <w:left w:val="single" w:color="auto" w:sz="4" w:space="0"/>
              <w:bottom w:val="single" w:color="auto" w:sz="4" w:space="0"/>
              <w:right w:val="single" w:color="auto" w:sz="4" w:space="0"/>
            </w:tcBorders>
            <w:noWrap w:val="0"/>
            <w:vAlign w:val="center"/>
          </w:tcPr>
          <w:p w14:paraId="18C996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31A689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vMerge w:val="continue"/>
            <w:tcBorders>
              <w:top w:val="single" w:color="auto" w:sz="4" w:space="0"/>
              <w:left w:val="single" w:color="auto" w:sz="4" w:space="0"/>
              <w:bottom w:val="single" w:color="auto" w:sz="4" w:space="0"/>
              <w:right w:val="single" w:color="auto" w:sz="4" w:space="0"/>
            </w:tcBorders>
            <w:noWrap w:val="0"/>
            <w:vAlign w:val="center"/>
          </w:tcPr>
          <w:p w14:paraId="0C03FB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vMerge w:val="continue"/>
            <w:tcBorders>
              <w:top w:val="single" w:color="auto" w:sz="4" w:space="0"/>
              <w:left w:val="single" w:color="auto" w:sz="4" w:space="0"/>
              <w:bottom w:val="single" w:color="auto" w:sz="4" w:space="0"/>
              <w:right w:val="single" w:color="auto" w:sz="4" w:space="0"/>
            </w:tcBorders>
            <w:noWrap w:val="0"/>
            <w:vAlign w:val="center"/>
          </w:tcPr>
          <w:p w14:paraId="7DAC68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380C4C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540" w:type="dxa"/>
            <w:tcBorders>
              <w:top w:val="single" w:color="auto" w:sz="4" w:space="0"/>
              <w:left w:val="single" w:color="auto" w:sz="4" w:space="0"/>
              <w:bottom w:val="single" w:color="auto" w:sz="4" w:space="0"/>
              <w:right w:val="single" w:color="auto" w:sz="4" w:space="0"/>
            </w:tcBorders>
            <w:noWrap w:val="0"/>
            <w:vAlign w:val="center"/>
          </w:tcPr>
          <w:p w14:paraId="466D70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61D31C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项目单位满意度</w:t>
            </w: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03133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&gt;=95%</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7DFEC4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1020" w:type="dxa"/>
            <w:tcBorders>
              <w:top w:val="single" w:color="auto" w:sz="4" w:space="0"/>
              <w:left w:val="single" w:color="auto" w:sz="4" w:space="0"/>
              <w:bottom w:val="single" w:color="auto" w:sz="4" w:space="0"/>
              <w:right w:val="single" w:color="auto" w:sz="4" w:space="0"/>
            </w:tcBorders>
            <w:noWrap w:val="0"/>
            <w:vAlign w:val="center"/>
          </w:tcPr>
          <w:p w14:paraId="3D4426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537" w:type="dxa"/>
            <w:tcBorders>
              <w:top w:val="single" w:color="auto" w:sz="4" w:space="0"/>
              <w:left w:val="single" w:color="auto" w:sz="4" w:space="0"/>
              <w:bottom w:val="single" w:color="auto" w:sz="4" w:space="0"/>
              <w:right w:val="single" w:color="auto" w:sz="4" w:space="0"/>
            </w:tcBorders>
            <w:noWrap w:val="0"/>
            <w:vAlign w:val="center"/>
          </w:tcPr>
          <w:p w14:paraId="632A3E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4ECB4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624" w:type="dxa"/>
            <w:tcBorders>
              <w:top w:val="single" w:color="auto" w:sz="4" w:space="0"/>
              <w:left w:val="single" w:color="auto" w:sz="4" w:space="0"/>
              <w:bottom w:val="single" w:color="auto" w:sz="4" w:space="0"/>
              <w:right w:val="single" w:color="auto" w:sz="4" w:space="0"/>
            </w:tcBorders>
            <w:noWrap w:val="0"/>
            <w:vAlign w:val="center"/>
          </w:tcPr>
          <w:p w14:paraId="6E64E1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495" w:type="dxa"/>
            <w:tcBorders>
              <w:top w:val="single" w:color="auto" w:sz="4" w:space="0"/>
              <w:left w:val="single" w:color="auto" w:sz="4" w:space="0"/>
              <w:bottom w:val="single" w:color="auto" w:sz="4" w:space="0"/>
              <w:right w:val="single" w:color="auto" w:sz="4" w:space="0"/>
            </w:tcBorders>
            <w:noWrap w:val="0"/>
            <w:vAlign w:val="center"/>
          </w:tcPr>
          <w:p w14:paraId="79CD88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9DFE3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65" w:type="dxa"/>
            <w:tcBorders>
              <w:top w:val="single" w:color="auto" w:sz="4" w:space="0"/>
              <w:left w:val="single" w:color="auto" w:sz="4" w:space="0"/>
              <w:bottom w:val="single" w:color="auto" w:sz="4" w:space="0"/>
              <w:right w:val="single" w:color="auto" w:sz="4" w:space="0"/>
            </w:tcBorders>
            <w:noWrap w:val="0"/>
            <w:vAlign w:val="center"/>
          </w:tcPr>
          <w:p w14:paraId="60D119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12D5D2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40" w:type="dxa"/>
            <w:tcBorders>
              <w:top w:val="single" w:color="auto" w:sz="4" w:space="0"/>
              <w:left w:val="single" w:color="auto" w:sz="4" w:space="0"/>
              <w:bottom w:val="single" w:color="auto" w:sz="4" w:space="0"/>
              <w:right w:val="single" w:color="auto" w:sz="4" w:space="0"/>
            </w:tcBorders>
            <w:noWrap w:val="0"/>
            <w:vAlign w:val="center"/>
          </w:tcPr>
          <w:p w14:paraId="7DF279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235" w:type="dxa"/>
            <w:tcBorders>
              <w:top w:val="single" w:color="auto" w:sz="4" w:space="0"/>
              <w:left w:val="single" w:color="auto" w:sz="4" w:space="0"/>
              <w:bottom w:val="single" w:color="auto" w:sz="4" w:space="0"/>
              <w:right w:val="single" w:color="auto" w:sz="4" w:space="0"/>
            </w:tcBorders>
            <w:noWrap w:val="0"/>
            <w:vAlign w:val="center"/>
          </w:tcPr>
          <w:p w14:paraId="5157DF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14:paraId="589A41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5010" w:type="dxa"/>
            <w:tcBorders>
              <w:top w:val="single" w:color="auto" w:sz="4" w:space="0"/>
              <w:left w:val="single" w:color="auto" w:sz="4" w:space="0"/>
              <w:bottom w:val="single" w:color="auto" w:sz="4" w:space="0"/>
              <w:right w:val="single" w:color="auto" w:sz="4" w:space="0"/>
            </w:tcBorders>
            <w:noWrap w:val="0"/>
            <w:vAlign w:val="center"/>
          </w:tcPr>
          <w:p w14:paraId="3D80043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020" w:type="dxa"/>
            <w:tcBorders>
              <w:top w:val="single" w:color="auto" w:sz="4" w:space="0"/>
              <w:left w:val="single" w:color="auto" w:sz="4" w:space="0"/>
              <w:bottom w:val="single" w:color="auto" w:sz="4" w:space="0"/>
              <w:right w:val="single" w:color="auto" w:sz="4" w:space="0"/>
            </w:tcBorders>
            <w:noWrap w:val="0"/>
            <w:vAlign w:val="center"/>
          </w:tcPr>
          <w:p w14:paraId="3607D3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37" w:type="dxa"/>
            <w:tcBorders>
              <w:top w:val="single" w:color="auto" w:sz="4" w:space="0"/>
              <w:left w:val="single" w:color="auto" w:sz="4" w:space="0"/>
              <w:bottom w:val="single" w:color="auto" w:sz="4" w:space="0"/>
              <w:right w:val="single" w:color="auto" w:sz="4" w:space="0"/>
            </w:tcBorders>
            <w:noWrap w:val="0"/>
            <w:vAlign w:val="center"/>
          </w:tcPr>
          <w:p w14:paraId="5F1EB5B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40AE28F8">
      <w:pPr>
        <w:pStyle w:val="10"/>
        <w:rPr>
          <w:rFonts w:hint="eastAsia" w:ascii="宋体" w:hAnsi="宋体" w:eastAsia="宋体" w:cs="宋体"/>
          <w:color w:val="auto"/>
          <w:sz w:val="24"/>
          <w:szCs w:val="24"/>
          <w:lang w:eastAsia="zh-CN"/>
        </w:rPr>
      </w:pPr>
    </w:p>
    <w:p w14:paraId="6BE8D6A7">
      <w:pPr>
        <w:pStyle w:val="10"/>
        <w:rPr>
          <w:rFonts w:hint="eastAsia" w:ascii="宋体" w:hAnsi="宋体" w:eastAsia="宋体" w:cs="宋体"/>
          <w:color w:val="auto"/>
          <w:sz w:val="24"/>
          <w:szCs w:val="24"/>
          <w:lang w:eastAsia="zh-CN"/>
        </w:rPr>
      </w:pPr>
    </w:p>
    <w:p w14:paraId="00F94919">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400C2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704F20DF">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p>
        </w:tc>
        <w:tc>
          <w:tcPr>
            <w:tcW w:w="1778" w:type="dxa"/>
            <w:tcBorders>
              <w:top w:val="nil"/>
              <w:left w:val="nil"/>
              <w:bottom w:val="nil"/>
              <w:right w:val="nil"/>
            </w:tcBorders>
            <w:noWrap/>
            <w:vAlign w:val="center"/>
          </w:tcPr>
          <w:p w14:paraId="5C5BB73D">
            <w:pPr>
              <w:rPr>
                <w:rFonts w:hint="eastAsia" w:ascii="宋体" w:hAnsi="宋体" w:eastAsia="宋体" w:cs="宋体"/>
                <w:i w:val="0"/>
                <w:iCs w:val="0"/>
                <w:color w:val="auto"/>
                <w:sz w:val="22"/>
                <w:szCs w:val="22"/>
                <w:u w:val="none"/>
              </w:rPr>
            </w:pPr>
          </w:p>
        </w:tc>
        <w:tc>
          <w:tcPr>
            <w:tcW w:w="2786" w:type="dxa"/>
            <w:tcBorders>
              <w:top w:val="nil"/>
              <w:left w:val="nil"/>
              <w:bottom w:val="nil"/>
              <w:right w:val="nil"/>
            </w:tcBorders>
            <w:noWrap/>
            <w:vAlign w:val="center"/>
          </w:tcPr>
          <w:p w14:paraId="6B886F2A">
            <w:pPr>
              <w:rPr>
                <w:rFonts w:hint="eastAsia" w:ascii="宋体" w:hAnsi="宋体" w:eastAsia="宋体" w:cs="宋体"/>
                <w:i w:val="0"/>
                <w:iCs w:val="0"/>
                <w:color w:val="auto"/>
                <w:sz w:val="22"/>
                <w:szCs w:val="22"/>
                <w:u w:val="none"/>
              </w:rPr>
            </w:pPr>
          </w:p>
        </w:tc>
        <w:tc>
          <w:tcPr>
            <w:tcW w:w="2314" w:type="dxa"/>
            <w:tcBorders>
              <w:top w:val="nil"/>
              <w:left w:val="nil"/>
              <w:bottom w:val="nil"/>
              <w:right w:val="nil"/>
            </w:tcBorders>
            <w:noWrap/>
            <w:vAlign w:val="center"/>
          </w:tcPr>
          <w:p w14:paraId="6CDB1257">
            <w:pPr>
              <w:rPr>
                <w:rFonts w:hint="eastAsia" w:ascii="宋体" w:hAnsi="宋体" w:eastAsia="宋体" w:cs="宋体"/>
                <w:i w:val="0"/>
                <w:iCs w:val="0"/>
                <w:color w:val="auto"/>
                <w:sz w:val="22"/>
                <w:szCs w:val="22"/>
                <w:u w:val="none"/>
              </w:rPr>
            </w:pPr>
          </w:p>
        </w:tc>
        <w:tc>
          <w:tcPr>
            <w:tcW w:w="3449" w:type="dxa"/>
            <w:tcBorders>
              <w:top w:val="nil"/>
              <w:left w:val="nil"/>
              <w:bottom w:val="nil"/>
              <w:right w:val="nil"/>
            </w:tcBorders>
            <w:noWrap/>
            <w:vAlign w:val="center"/>
          </w:tcPr>
          <w:p w14:paraId="790BDFE9">
            <w:pPr>
              <w:rPr>
                <w:rFonts w:hint="eastAsia" w:ascii="宋体" w:hAnsi="宋体" w:eastAsia="宋体" w:cs="宋体"/>
                <w:i w:val="0"/>
                <w:iCs w:val="0"/>
                <w:color w:val="auto"/>
                <w:sz w:val="22"/>
                <w:szCs w:val="22"/>
                <w:u w:val="none"/>
              </w:rPr>
            </w:pPr>
          </w:p>
        </w:tc>
        <w:tc>
          <w:tcPr>
            <w:tcW w:w="1331" w:type="dxa"/>
            <w:tcBorders>
              <w:top w:val="nil"/>
              <w:left w:val="nil"/>
              <w:bottom w:val="nil"/>
              <w:right w:val="nil"/>
            </w:tcBorders>
            <w:noWrap/>
            <w:vAlign w:val="center"/>
          </w:tcPr>
          <w:p w14:paraId="4EA2087A">
            <w:pPr>
              <w:rPr>
                <w:rFonts w:hint="eastAsia" w:ascii="宋体" w:hAnsi="宋体" w:eastAsia="宋体" w:cs="宋体"/>
                <w:i w:val="0"/>
                <w:iCs w:val="0"/>
                <w:color w:val="auto"/>
                <w:sz w:val="22"/>
                <w:szCs w:val="22"/>
                <w:u w:val="none"/>
              </w:rPr>
            </w:pPr>
          </w:p>
        </w:tc>
      </w:tr>
      <w:tr w14:paraId="30E2B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46D9B6BC">
            <w:pPr>
              <w:keepNext w:val="0"/>
              <w:keepLines w:val="0"/>
              <w:widowControl/>
              <w:suppressLineNumbers w:val="0"/>
              <w:jc w:val="center"/>
              <w:textAlignment w:val="center"/>
              <w:rPr>
                <w:rFonts w:hint="eastAsia" w:ascii="宋体" w:hAnsi="宋体" w:eastAsia="宋体" w:cs="宋体"/>
                <w:b/>
                <w:bCs/>
                <w:i w:val="0"/>
                <w:iCs w:val="0"/>
                <w:color w:val="auto"/>
                <w:sz w:val="36"/>
                <w:szCs w:val="36"/>
                <w:u w:val="none"/>
              </w:rPr>
            </w:pPr>
            <w:r>
              <w:rPr>
                <w:rFonts w:hint="eastAsia" w:ascii="宋体" w:hAnsi="宋体" w:eastAsia="宋体" w:cs="宋体"/>
                <w:b/>
                <w:bCs/>
                <w:i w:val="0"/>
                <w:iCs w:val="0"/>
                <w:color w:val="auto"/>
                <w:kern w:val="0"/>
                <w:sz w:val="36"/>
                <w:szCs w:val="36"/>
                <w:u w:val="none"/>
                <w:lang w:val="en-US" w:eastAsia="zh-CN"/>
              </w:rPr>
              <w:t>结核病区人工作人员工资、患者伙食补助项目综合得分表</w:t>
            </w:r>
          </w:p>
        </w:tc>
      </w:tr>
      <w:tr w14:paraId="6C30B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F89451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7708DE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8777CE">
            <w:pPr>
              <w:keepNext w:val="0"/>
              <w:keepLines w:val="0"/>
              <w:widowControl/>
              <w:suppressLineNumbers w:val="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D4F3C7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C755C3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940CCE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合计</w:t>
            </w:r>
          </w:p>
        </w:tc>
      </w:tr>
      <w:tr w14:paraId="3E893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7D27D99">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0131C4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7607CE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2E37B0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C8678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D45252D">
            <w:pPr>
              <w:keepNext w:val="0"/>
              <w:keepLines w:val="0"/>
              <w:widowControl/>
              <w:suppressLineNumbers w:val="0"/>
              <w:ind w:left="0" w:leftChars="0" w:firstLine="0" w:firstLineChars="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100.00</w:t>
            </w:r>
          </w:p>
        </w:tc>
      </w:tr>
      <w:tr w14:paraId="5B948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029F2B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47DB528">
            <w:pPr>
              <w:keepNext w:val="0"/>
              <w:keepLines w:val="0"/>
              <w:widowControl/>
              <w:suppressLineNumbers w:val="0"/>
              <w:ind w:firstLine="480" w:firstLineChars="20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2C02294">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72BB06BB">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D0ED55B">
            <w:pPr>
              <w:keepNext w:val="0"/>
              <w:keepLines w:val="0"/>
              <w:widowControl/>
              <w:suppressLineNumbers w:val="0"/>
              <w:ind w:firstLine="480" w:firstLineChars="20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7623E48">
            <w:pPr>
              <w:keepNext w:val="0"/>
              <w:keepLines w:val="0"/>
              <w:widowControl/>
              <w:suppressLineNumbers w:val="0"/>
              <w:ind w:left="0" w:leftChars="0" w:firstLine="0" w:firstLineChars="0"/>
              <w:jc w:val="center"/>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rPr>
              <w:t>100.00</w:t>
            </w:r>
          </w:p>
        </w:tc>
      </w:tr>
      <w:tr w14:paraId="4E29D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E5FBC74">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06C76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61AF26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498D9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B48FA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D3101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r>
    </w:tbl>
    <w:p w14:paraId="50C5F843">
      <w:pPr>
        <w:pStyle w:val="10"/>
        <w:ind w:left="0" w:leftChars="0" w:firstLine="0" w:firstLineChars="0"/>
        <w:jc w:val="both"/>
        <w:rPr>
          <w:rFonts w:hint="default" w:ascii="宋体" w:hAnsi="宋体" w:eastAsia="宋体" w:cs="宋体"/>
          <w:color w:val="auto"/>
          <w:sz w:val="24"/>
          <w:szCs w:val="24"/>
          <w:lang w:val="en-US" w:eastAsia="zh-CN"/>
        </w:rPr>
      </w:pPr>
    </w:p>
    <w:p w14:paraId="204C4231">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2C1C1E0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3BF9FF5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结核病区人工作人员工资、患者伙食补助项目</w:t>
      </w:r>
    </w:p>
    <w:p w14:paraId="0739B6F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308B5D6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7E1B2E7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324866B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一、该问卷调查从2025年1月1日开始至2025年3月1日结束，调查问卷共设置3道题目。</w:t>
      </w:r>
    </w:p>
    <w:p w14:paraId="71F440A9">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208C293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val="en-US" w:eastAsia="zh-CN"/>
        </w:rPr>
        <w:t>结核病区患者及工作人员</w:t>
      </w:r>
      <w:r>
        <w:rPr>
          <w:rFonts w:hint="eastAsia" w:ascii="宋体" w:hAnsi="宋体" w:eastAsia="宋体" w:cs="宋体"/>
          <w:color w:val="000000"/>
          <w:sz w:val="24"/>
          <w:szCs w:val="24"/>
          <w:highlight w:val="none"/>
        </w:rPr>
        <w:t>。</w:t>
      </w:r>
    </w:p>
    <w:p w14:paraId="5C140BE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606BC07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①您对结核病区人工作人员工资、患者伙食补助项目的结核病患者服务水平是否满意?</w:t>
      </w:r>
    </w:p>
    <w:p w14:paraId="73632DB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②您对结核病区人工作人员工资、患者伙食补助项目的实施后的整体满意程度如何？</w:t>
      </w:r>
    </w:p>
    <w:p w14:paraId="4CA5A2B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③您对结核病区人工作人员工资、患者伙食补助项目实施后的整体满意程度如何？</w:t>
      </w:r>
    </w:p>
    <w:p w14:paraId="264C678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40136FA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3888BE13">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7E98F99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5BA663EE">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361F032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3951BB61">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57D1EB2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1CE7A4A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5C4AA0D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16C04DA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56B68DA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66E77A4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结核病区人工作人员工资、患者伙食补助项目针对受益人员发放30份调查问卷，最终统计受益人群满意度为100%。</w:t>
      </w:r>
    </w:p>
    <w:p w14:paraId="70257DD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6BC6E6E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洛浦县人民医院</w:t>
      </w:r>
    </w:p>
    <w:p w14:paraId="0DA3DB2D">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24B21">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645F9070">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E502C">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1"/>
      <w:numFmt w:val="decimal"/>
      <w:suff w:val="nothing"/>
      <w:lvlText w:val="（%1）"/>
      <w:lvlJc w:val="left"/>
    </w:lvl>
  </w:abstractNum>
  <w:abstractNum w:abstractNumId="2">
    <w:nsid w:val="0053208E"/>
    <w:multiLevelType w:val="singleLevel"/>
    <w:tmpl w:val="0053208E"/>
    <w:lvl w:ilvl="0" w:tentative="0">
      <w:start w:val="2"/>
      <w:numFmt w:val="decimal"/>
      <w:lvlText w:val="%1."/>
      <w:lvlJc w:val="left"/>
      <w:pPr>
        <w:tabs>
          <w:tab w:val="left" w:pos="312"/>
        </w:tabs>
      </w:pPr>
    </w:lvl>
  </w:abstractNum>
  <w:abstractNum w:abstractNumId="3">
    <w:nsid w:val="59ADCABA"/>
    <w:multiLevelType w:val="singleLevel"/>
    <w:tmpl w:val="59ADCABA"/>
    <w:lvl w:ilvl="0" w:tentative="0">
      <w:start w:val="4"/>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2MwY2Q1MTkwNDhjZDAxNWZhMTQ1N2ZkY2M2N2MzNWEifQ=="/>
  </w:docVars>
  <w:rsids>
    <w:rsidRoot w:val="00000000"/>
    <w:rsid w:val="04685F4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qFormat/>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qFormat/>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qFormat/>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qFormat/>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qFormat/>
    <w:uiPriority w:val="99"/>
    <w:rPr>
      <w:rFonts w:ascii="宋体" w:hAnsi="Calibri" w:eastAsia="宋体" w:cs="黑体"/>
      <w:sz w:val="18"/>
      <w:szCs w:val="18"/>
    </w:rPr>
  </w:style>
  <w:style w:type="character" w:customStyle="1" w:styleId="37">
    <w:name w:val="批注文字 Char"/>
    <w:link w:val="27"/>
    <w:semiHidden/>
    <w:qFormat/>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font11"/>
    <w:uiPriority w:val="0"/>
    <w:rPr>
      <w:rFonts w:hint="eastAsia" w:ascii="方正仿宋_GBK" w:hAnsi="方正仿宋_GBK" w:eastAsia="方正仿宋_GBK" w:cs="方正仿宋_GBK"/>
      <w:color w:val="000000"/>
      <w:sz w:val="24"/>
      <w:szCs w:val="24"/>
      <w:u w:val="none"/>
    </w:rPr>
  </w:style>
  <w:style w:type="character" w:customStyle="1" w:styleId="44">
    <w:name w:val="闻政-正文三级标题 Char"/>
    <w:link w:val="45"/>
    <w:uiPriority w:val="3"/>
    <w:rPr>
      <w:rFonts w:ascii="Times New Roman" w:hAnsi="Times New Roman" w:eastAsia="仿宋_GB2312"/>
      <w:b/>
      <w:snapToGrid w:val="0"/>
      <w:sz w:val="28"/>
      <w:szCs w:val="28"/>
    </w:rPr>
  </w:style>
  <w:style w:type="paragraph" w:customStyle="1" w:styleId="45">
    <w:name w:val="闻政-正文三级标题"/>
    <w:basedOn w:val="1"/>
    <w:next w:val="46"/>
    <w:link w:val="44"/>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qFormat/>
    <w:uiPriority w:val="3"/>
    <w:rPr>
      <w:rFonts w:ascii="Times New Roman" w:hAnsi="Times New Roman" w:eastAsia="仿宋_GB2312"/>
      <w:sz w:val="28"/>
      <w:szCs w:val="28"/>
    </w:rPr>
  </w:style>
  <w:style w:type="character" w:customStyle="1" w:styleId="48">
    <w:name w:val="font21"/>
    <w:uiPriority w:val="0"/>
    <w:rPr>
      <w:rFonts w:hint="default" w:ascii="Times New Roman" w:hAnsi="Times New Roman" w:cs="Times New Roman"/>
      <w:color w:val="000000"/>
      <w:sz w:val="24"/>
      <w:szCs w:val="24"/>
      <w:u w:val="none"/>
    </w:rPr>
  </w:style>
  <w:style w:type="character" w:customStyle="1" w:styleId="49">
    <w:name w:val="无间隔 Char"/>
    <w:link w:val="50"/>
    <w:uiPriority w:val="1"/>
    <w:rPr>
      <w:rFonts w:eastAsia="仿宋_GB2312" w:cs="黑体"/>
      <w:kern w:val="2"/>
      <w:sz w:val="28"/>
      <w:szCs w:val="22"/>
      <w:lang w:val="en-US" w:eastAsia="zh-CN" w:bidi="ar-SA"/>
    </w:rPr>
  </w:style>
  <w:style w:type="paragraph" w:styleId="50">
    <w:name w:val="No Spacing"/>
    <w:link w:val="49"/>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51">
    <w:name w:val="font71"/>
    <w:basedOn w:val="25"/>
    <w:uiPriority w:val="0"/>
    <w:rPr>
      <w:rFonts w:hint="eastAsia" w:ascii="微软雅黑" w:hAnsi="微软雅黑" w:eastAsia="微软雅黑" w:cs="微软雅黑"/>
      <w:b/>
      <w:bCs/>
      <w:color w:val="000000"/>
      <w:sz w:val="32"/>
      <w:szCs w:val="32"/>
      <w:u w:val="none"/>
    </w:rPr>
  </w:style>
  <w:style w:type="character" w:customStyle="1" w:styleId="52">
    <w:name w:val="闻政-正文一级标题 Char"/>
    <w:link w:val="53"/>
    <w:qFormat/>
    <w:uiPriority w:val="3"/>
    <w:rPr>
      <w:rFonts w:ascii="黑体" w:hAnsi="黑体" w:eastAsia="黑体"/>
      <w:bCs/>
      <w:sz w:val="32"/>
      <w:szCs w:val="32"/>
    </w:rPr>
  </w:style>
  <w:style w:type="paragraph" w:customStyle="1" w:styleId="53">
    <w:name w:val="闻政-正文一级标题"/>
    <w:basedOn w:val="6"/>
    <w:next w:val="46"/>
    <w:link w:val="52"/>
    <w:qFormat/>
    <w:uiPriority w:val="3"/>
    <w:pPr>
      <w:spacing w:before="120" w:after="60" w:line="500" w:lineRule="exact"/>
      <w:ind w:firstLine="0" w:firstLineChars="0"/>
      <w:outlineLvl w:val="0"/>
    </w:pPr>
    <w:rPr>
      <w:rFonts w:ascii="黑体" w:hAnsi="黑体" w:eastAsia="黑体"/>
      <w:sz w:val="32"/>
    </w:rPr>
  </w:style>
  <w:style w:type="character" w:customStyle="1" w:styleId="54">
    <w:name w:val="闻政-正文二级标题 Char"/>
    <w:link w:val="55"/>
    <w:uiPriority w:val="3"/>
    <w:rPr>
      <w:rFonts w:ascii="Times New Roman" w:hAnsi="Times New Roman" w:eastAsia="仿宋_GB2312"/>
      <w:b/>
      <w:bCs/>
      <w:sz w:val="28"/>
      <w:szCs w:val="32"/>
    </w:rPr>
  </w:style>
  <w:style w:type="paragraph" w:customStyle="1" w:styleId="55">
    <w:name w:val="闻政-正文二级标题"/>
    <w:basedOn w:val="5"/>
    <w:next w:val="46"/>
    <w:link w:val="54"/>
    <w:qFormat/>
    <w:uiPriority w:val="3"/>
    <w:pPr>
      <w:spacing w:before="120" w:after="60" w:line="500" w:lineRule="exact"/>
      <w:ind w:left="200" w:leftChars="200" w:firstLine="0" w:firstLineChars="0"/>
    </w:pPr>
    <w:rPr>
      <w:rFonts w:ascii="Times New Roman" w:hAnsi="Times New Roman"/>
      <w:sz w:val="28"/>
    </w:rPr>
  </w:style>
  <w:style w:type="character" w:customStyle="1" w:styleId="56">
    <w:name w:val="56"/>
    <w:qFormat/>
    <w:uiPriority w:val="0"/>
    <w:rPr>
      <w:b/>
      <w:bCs/>
      <w:smallCaps/>
      <w:color w:val="C0504D"/>
      <w:spacing w:val="5"/>
      <w:u w:val="single"/>
    </w:rPr>
  </w:style>
  <w:style w:type="paragraph" w:styleId="57">
    <w:name w:val="List Paragraph"/>
    <w:basedOn w:val="1"/>
    <w:qFormat/>
    <w:uiPriority w:val="34"/>
    <w:pPr>
      <w:ind w:firstLine="420"/>
    </w:pPr>
  </w:style>
  <w:style w:type="paragraph" w:customStyle="1" w:styleId="58">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17B0010B34104F02B50689BC43F8577F_13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fcb82a-4717-4808-829b-56593c7bb18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10787</Words>
  <Characters>11367</Characters>
  <Lines>44</Lines>
  <Paragraphs>12</Paragraphs>
  <TotalTime>1</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2025-10-10T10:53:19Z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17B0010B34104F02B50689BC43F8577F_13</vt:lpwstr>
  </property>
  <property fmtid="{D5CDD505-2E9C-101B-9397-08002B2CF9AE}" pid="4" name="KSOTemplateDocerSaveRecord">
    <vt:lpwstr>eyJoZGlkIjoiZDE5MGZhMTJhZDM2OTQwYzkzYWVjM2FhZDUxN2Q0M2IiLCJ1c2VySWQiOiI2NTE5NDIwMjYifQ_x003D__x003D_</vt:lpwstr>
  </property>
</Properties>
</file>