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D62709">
      <w:bookmarkStart w:id="22" w:name="_GoBack"/>
      <w:bookmarkEnd w:id="22"/>
    </w:p>
    <w:p w14:paraId="2A168969">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color w:val="auto"/>
          <w:kern w:val="0"/>
          <w:sz w:val="32"/>
          <w:szCs w:val="32"/>
          <w:lang w:val="en-US" w:eastAsia="zh-CN" w:bidi="en-US"/>
        </w:rPr>
      </w:pPr>
    </w:p>
    <w:p w14:paraId="7AC7C421">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rFonts w:hint="eastAsia" w:ascii="黑体" w:hAnsi="黑体" w:eastAsia="黑体" w:cs="黑体"/>
          <w:b/>
          <w:color w:val="auto"/>
          <w:sz w:val="36"/>
          <w:szCs w:val="36"/>
          <w:lang w:val="en-US" w:eastAsia="zh-CN"/>
        </w:rPr>
      </w:pPr>
      <w:r>
        <w:rPr>
          <w:rFonts w:hint="eastAsia" w:ascii="黑体" w:hAnsi="黑体" w:eastAsia="黑体" w:cs="黑体"/>
          <w:b/>
          <w:color w:val="auto"/>
          <w:sz w:val="36"/>
          <w:szCs w:val="36"/>
          <w:lang w:val="en-US" w:eastAsia="zh-CN"/>
        </w:rPr>
        <w:t>和田地区洛浦县城乡居民养老保险养老金</w:t>
      </w:r>
    </w:p>
    <w:p w14:paraId="143258A7">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color w:val="auto"/>
        </w:rPr>
      </w:pPr>
      <w:r>
        <w:rPr>
          <w:rFonts w:hint="eastAsia" w:ascii="黑体" w:hAnsi="黑体" w:eastAsia="黑体" w:cs="黑体"/>
          <w:b/>
          <w:color w:val="auto"/>
          <w:sz w:val="36"/>
          <w:szCs w:val="36"/>
          <w:lang w:val="en-US" w:eastAsia="zh-CN"/>
        </w:rPr>
        <w:t>县财政配套</w:t>
      </w:r>
      <w:r>
        <w:rPr>
          <w:rFonts w:hint="eastAsia" w:ascii="黑体" w:hAnsi="黑体" w:eastAsia="黑体" w:cs="黑体"/>
          <w:b/>
          <w:color w:val="auto"/>
          <w:sz w:val="36"/>
          <w:szCs w:val="36"/>
        </w:rPr>
        <w:t>项目支出绩效评价报告</w:t>
      </w:r>
    </w:p>
    <w:p w14:paraId="60EC490E">
      <w:pPr>
        <w:pStyle w:val="6"/>
        <w:jc w:val="center"/>
        <w:rPr>
          <w:rFonts w:hint="eastAsia" w:eastAsia="仿宋_GB2312"/>
          <w:color w:val="auto"/>
          <w:lang w:eastAsia="zh-CN"/>
        </w:rPr>
      </w:pPr>
      <w:r>
        <w:rPr>
          <w:rFonts w:hint="eastAsia"/>
          <w:color w:val="auto"/>
          <w:lang w:eastAsia="zh-CN"/>
        </w:rPr>
        <w:t>（</w:t>
      </w:r>
      <w:r>
        <w:rPr>
          <w:rFonts w:hint="eastAsia"/>
          <w:color w:val="auto"/>
          <w:lang w:val="en-US" w:eastAsia="zh-CN"/>
        </w:rPr>
        <w:t>2024年度</w:t>
      </w:r>
      <w:r>
        <w:rPr>
          <w:rFonts w:hint="eastAsia"/>
          <w:color w:val="auto"/>
          <w:lang w:eastAsia="zh-CN"/>
        </w:rPr>
        <w:t>）</w:t>
      </w:r>
    </w:p>
    <w:p w14:paraId="3B4C92F0">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lang w:bidi="en-US"/>
        </w:rPr>
      </w:pPr>
    </w:p>
    <w:p w14:paraId="760D9512">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lang w:bidi="en-US"/>
        </w:rPr>
      </w:pPr>
    </w:p>
    <w:p w14:paraId="3E9EF09E">
      <w:pPr>
        <w:pStyle w:val="6"/>
        <w:rPr>
          <w:rFonts w:hint="eastAsia" w:eastAsia="方正仿宋_GBK" w:cs="方正仿宋_GBK"/>
          <w:b/>
          <w:color w:val="auto"/>
          <w:kern w:val="0"/>
          <w:sz w:val="32"/>
          <w:szCs w:val="32"/>
          <w:lang w:bidi="en-US"/>
        </w:rPr>
      </w:pPr>
    </w:p>
    <w:p w14:paraId="5B93FE76">
      <w:pPr>
        <w:rPr>
          <w:rFonts w:hint="eastAsia" w:eastAsia="方正仿宋_GBK" w:cs="方正仿宋_GBK"/>
          <w:b/>
          <w:color w:val="auto"/>
          <w:kern w:val="0"/>
          <w:sz w:val="32"/>
          <w:szCs w:val="32"/>
          <w:lang w:bidi="en-US"/>
        </w:rPr>
      </w:pPr>
    </w:p>
    <w:p w14:paraId="0007F58C">
      <w:pPr>
        <w:pStyle w:val="6"/>
        <w:rPr>
          <w:rFonts w:hint="eastAsia"/>
          <w:color w:val="auto"/>
        </w:rPr>
      </w:pPr>
    </w:p>
    <w:p w14:paraId="41610154">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color w:val="auto"/>
          <w:sz w:val="32"/>
          <w:lang w:bidi="en-US"/>
        </w:rPr>
      </w:pPr>
    </w:p>
    <w:p w14:paraId="743B8347">
      <w:pPr>
        <w:pageBreakBefore w:val="0"/>
        <w:widowControl w:val="0"/>
        <w:kinsoku/>
        <w:wordWrap/>
        <w:topLinePunct w:val="0"/>
        <w:autoSpaceDE/>
        <w:autoSpaceDN/>
        <w:bidi w:val="0"/>
        <w:spacing w:line="560" w:lineRule="exact"/>
        <w:ind w:left="0" w:leftChars="0" w:firstLine="560"/>
        <w:textAlignment w:val="auto"/>
        <w:rPr>
          <w:rFonts w:hint="eastAsia"/>
          <w:color w:val="auto"/>
        </w:rPr>
      </w:pPr>
    </w:p>
    <w:p w14:paraId="5CB4EA26">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color w:val="auto"/>
          <w:kern w:val="0"/>
          <w:sz w:val="32"/>
          <w:szCs w:val="32"/>
          <w:lang w:bidi="en-US"/>
        </w:rPr>
      </w:pPr>
    </w:p>
    <w:p w14:paraId="7EF6EBA1">
      <w:pPr>
        <w:pageBreakBefore w:val="0"/>
        <w:widowControl w:val="0"/>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kern w:val="0"/>
          <w:sz w:val="24"/>
          <w:szCs w:val="24"/>
          <w:lang w:bidi="en-US"/>
        </w:rPr>
      </w:pPr>
      <w:r>
        <w:rPr>
          <w:rFonts w:hint="eastAsia" w:ascii="宋体" w:hAnsi="宋体" w:eastAsia="宋体" w:cs="宋体"/>
          <w:color w:val="auto"/>
          <w:kern w:val="0"/>
          <w:sz w:val="24"/>
          <w:szCs w:val="24"/>
          <w:lang w:bidi="en-US"/>
        </w:rPr>
        <w:t>项目名称：城乡居民养老保险县财政配套项目</w:t>
      </w:r>
    </w:p>
    <w:p w14:paraId="35EC3E58">
      <w:pPr>
        <w:pageBreakBefore w:val="0"/>
        <w:widowControl w:val="0"/>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kern w:val="0"/>
          <w:sz w:val="24"/>
          <w:szCs w:val="24"/>
          <w:lang w:bidi="en-US"/>
        </w:rPr>
      </w:pPr>
      <w:r>
        <w:rPr>
          <w:rFonts w:hint="eastAsia" w:ascii="宋体" w:hAnsi="宋体" w:eastAsia="宋体" w:cs="宋体"/>
          <w:color w:val="auto"/>
          <w:kern w:val="0"/>
          <w:sz w:val="24"/>
          <w:szCs w:val="24"/>
          <w:lang w:bidi="en-US"/>
        </w:rPr>
        <w:t>项目单位：</w:t>
      </w:r>
      <w:r>
        <w:rPr>
          <w:rFonts w:hint="eastAsia" w:ascii="宋体" w:hAnsi="宋体" w:eastAsia="宋体" w:cs="宋体"/>
          <w:color w:val="auto"/>
          <w:kern w:val="0"/>
          <w:sz w:val="24"/>
          <w:szCs w:val="24"/>
          <w:lang w:val="en-US" w:eastAsia="zh-CN" w:bidi="en-US"/>
        </w:rPr>
        <w:t>洛浦县社会保险中心</w:t>
      </w:r>
    </w:p>
    <w:p w14:paraId="4EEF6420">
      <w:pPr>
        <w:pageBreakBefore w:val="0"/>
        <w:widowControl w:val="0"/>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kern w:val="0"/>
          <w:sz w:val="24"/>
          <w:szCs w:val="24"/>
          <w:lang w:bidi="en-US"/>
        </w:rPr>
      </w:pPr>
      <w:r>
        <w:rPr>
          <w:rFonts w:hint="eastAsia" w:ascii="宋体" w:hAnsi="宋体" w:eastAsia="宋体" w:cs="宋体"/>
          <w:color w:val="auto"/>
          <w:kern w:val="0"/>
          <w:sz w:val="24"/>
          <w:szCs w:val="24"/>
          <w:lang w:bidi="en-US"/>
        </w:rPr>
        <w:t>主管部门：</w:t>
      </w:r>
      <w:r>
        <w:rPr>
          <w:rFonts w:hint="eastAsia" w:ascii="宋体" w:hAnsi="宋体" w:eastAsia="宋体" w:cs="宋体"/>
          <w:color w:val="auto"/>
          <w:kern w:val="0"/>
          <w:sz w:val="24"/>
          <w:szCs w:val="24"/>
          <w:lang w:val="en-US" w:eastAsia="zh-CN" w:bidi="en-US"/>
        </w:rPr>
        <w:t>洛浦县人力资源和社会保障局</w:t>
      </w:r>
    </w:p>
    <w:p w14:paraId="53EEB0AB">
      <w:pPr>
        <w:pageBreakBefore w:val="0"/>
        <w:widowControl w:val="0"/>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kern w:val="0"/>
          <w:sz w:val="24"/>
          <w:szCs w:val="24"/>
          <w:lang w:val="en-US" w:eastAsia="zh-CN" w:bidi="en-US"/>
        </w:rPr>
      </w:pPr>
      <w:r>
        <w:rPr>
          <w:rFonts w:hint="eastAsia" w:ascii="宋体" w:hAnsi="宋体" w:eastAsia="宋体" w:cs="宋体"/>
          <w:color w:val="auto"/>
          <w:kern w:val="0"/>
          <w:sz w:val="24"/>
          <w:szCs w:val="24"/>
          <w:lang w:bidi="en-US"/>
        </w:rPr>
        <w:t>项目负责人：</w:t>
      </w:r>
      <w:r>
        <w:rPr>
          <w:rFonts w:hint="eastAsia" w:ascii="宋体" w:hAnsi="宋体" w:eastAsia="宋体" w:cs="宋体"/>
          <w:color w:val="auto"/>
          <w:kern w:val="0"/>
          <w:sz w:val="24"/>
          <w:szCs w:val="24"/>
          <w:lang w:val="en-US" w:eastAsia="zh-CN" w:bidi="en-US"/>
        </w:rPr>
        <w:t>张腾龙</w:t>
      </w:r>
    </w:p>
    <w:p w14:paraId="6C73E730">
      <w:pPr>
        <w:pageBreakBefore w:val="0"/>
        <w:widowControl w:val="0"/>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kern w:val="0"/>
          <w:sz w:val="24"/>
          <w:szCs w:val="24"/>
          <w:lang w:bidi="en-US"/>
        </w:rPr>
      </w:pPr>
      <w:r>
        <w:rPr>
          <w:rFonts w:hint="eastAsia" w:ascii="宋体" w:hAnsi="宋体" w:eastAsia="宋体" w:cs="宋体"/>
          <w:color w:val="auto"/>
          <w:kern w:val="0"/>
          <w:sz w:val="24"/>
          <w:szCs w:val="24"/>
          <w:lang w:bidi="en-US"/>
        </w:rPr>
        <w:t>填报时间</w:t>
      </w:r>
      <w:r>
        <w:rPr>
          <w:rFonts w:hint="eastAsia" w:ascii="宋体" w:hAnsi="宋体" w:eastAsia="宋体" w:cs="宋体"/>
          <w:color w:val="auto"/>
          <w:kern w:val="0"/>
          <w:sz w:val="24"/>
          <w:szCs w:val="24"/>
          <w:lang w:eastAsia="zh-CN" w:bidi="en-US"/>
        </w:rPr>
        <w:t>：</w:t>
      </w:r>
      <w:r>
        <w:rPr>
          <w:rFonts w:hint="eastAsia" w:ascii="宋体" w:hAnsi="宋体" w:eastAsia="宋体" w:cs="宋体"/>
          <w:color w:val="auto"/>
          <w:kern w:val="0"/>
          <w:sz w:val="24"/>
          <w:szCs w:val="24"/>
          <w:lang w:val="en-US" w:eastAsia="zh-CN" w:bidi="en-US"/>
        </w:rPr>
        <w:t>2025</w:t>
      </w:r>
      <w:r>
        <w:rPr>
          <w:rFonts w:hint="eastAsia" w:ascii="宋体" w:hAnsi="宋体" w:eastAsia="宋体" w:cs="宋体"/>
          <w:color w:val="auto"/>
          <w:kern w:val="0"/>
          <w:sz w:val="24"/>
          <w:szCs w:val="24"/>
          <w:lang w:bidi="en-US"/>
        </w:rPr>
        <w:t xml:space="preserve"> 年 </w:t>
      </w:r>
      <w:r>
        <w:rPr>
          <w:rFonts w:hint="eastAsia" w:ascii="宋体" w:hAnsi="宋体" w:eastAsia="宋体" w:cs="宋体"/>
          <w:color w:val="auto"/>
          <w:kern w:val="0"/>
          <w:sz w:val="24"/>
          <w:szCs w:val="24"/>
          <w:lang w:val="en-US" w:eastAsia="zh-CN" w:bidi="en-US"/>
        </w:rPr>
        <w:t>3</w:t>
      </w:r>
      <w:r>
        <w:rPr>
          <w:rFonts w:hint="eastAsia" w:ascii="宋体" w:hAnsi="宋体" w:eastAsia="宋体" w:cs="宋体"/>
          <w:color w:val="auto"/>
          <w:kern w:val="0"/>
          <w:sz w:val="24"/>
          <w:szCs w:val="24"/>
          <w:lang w:bidi="en-US"/>
        </w:rPr>
        <w:t xml:space="preserve"> 月 </w:t>
      </w:r>
      <w:r>
        <w:rPr>
          <w:rFonts w:hint="eastAsia" w:ascii="宋体" w:hAnsi="宋体" w:eastAsia="宋体" w:cs="宋体"/>
          <w:color w:val="auto"/>
          <w:kern w:val="0"/>
          <w:sz w:val="24"/>
          <w:szCs w:val="24"/>
          <w:lang w:val="en-US" w:eastAsia="zh-CN" w:bidi="en-US"/>
        </w:rPr>
        <w:t>31</w:t>
      </w:r>
      <w:r>
        <w:rPr>
          <w:rFonts w:hint="eastAsia" w:ascii="宋体" w:hAnsi="宋体" w:eastAsia="宋体" w:cs="宋体"/>
          <w:color w:val="auto"/>
          <w:kern w:val="0"/>
          <w:sz w:val="24"/>
          <w:szCs w:val="24"/>
          <w:lang w:bidi="en-US"/>
        </w:rPr>
        <w:t>日</w:t>
      </w:r>
    </w:p>
    <w:p w14:paraId="65C3AA9C">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lang w:eastAsia="zh-CN" w:bidi="en-US"/>
        </w:rPr>
        <w:sectPr>
          <w:headerReference r:id="rId7" w:type="first"/>
          <w:footerReference r:id="rId10" w:type="first"/>
          <w:headerReference r:id="rId5" w:type="default"/>
          <w:footerReference r:id="rId8" w:type="default"/>
          <w:headerReference r:id="rId6" w:type="even"/>
          <w:footerReference r:id="rId9" w:type="even"/>
          <w:pgSz w:w="11906" w:h="16838"/>
          <w:pgMar w:top="1984" w:right="1531" w:bottom="1701" w:left="1531" w:header="851" w:footer="992" w:gutter="0"/>
          <w:cols w:space="720" w:num="1"/>
          <w:docGrid w:type="lines" w:linePitch="386" w:charSpace="0"/>
        </w:sectPr>
      </w:pPr>
      <w:bookmarkStart w:id="0" w:name="_Toc68364657"/>
    </w:p>
    <w:p w14:paraId="41EA6FD8">
      <w:pPr>
        <w:pStyle w:val="4"/>
        <w:pageBreakBefore w:val="0"/>
        <w:widowControl w:val="0"/>
        <w:numPr>
          <w:ilvl w:val="0"/>
          <w:numId w:val="0"/>
        </w:numPr>
        <w:kinsoku/>
        <w:wordWrap/>
        <w:overflowPunct/>
        <w:topLinePunct w:val="0"/>
        <w:autoSpaceDE/>
        <w:autoSpaceDN/>
        <w:bidi w:val="0"/>
        <w:adjustRightInd/>
        <w:snapToGrid/>
        <w:spacing w:before="0" w:after="0" w:line="360" w:lineRule="auto"/>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lang w:val="en-US" w:eastAsia="zh-CN"/>
        </w:rPr>
        <w:t>一、</w:t>
      </w:r>
      <w:r>
        <w:rPr>
          <w:rFonts w:hint="eastAsia" w:ascii="黑体" w:hAnsi="黑体" w:eastAsia="黑体" w:cs="黑体"/>
          <w:color w:val="auto"/>
          <w:sz w:val="24"/>
          <w:szCs w:val="24"/>
        </w:rPr>
        <w:t>基本情况</w:t>
      </w:r>
      <w:bookmarkEnd w:id="0"/>
    </w:p>
    <w:p w14:paraId="5C6D2D6B">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 w:name="_Toc68364658"/>
      <w:r>
        <w:rPr>
          <w:rFonts w:hint="eastAsia" w:ascii="宋体" w:hAnsi="宋体" w:eastAsia="宋体" w:cs="宋体"/>
          <w:color w:val="auto"/>
          <w:sz w:val="24"/>
          <w:szCs w:val="24"/>
          <w:lang w:eastAsia="zh-CN"/>
        </w:rPr>
        <w:t>（一）</w:t>
      </w:r>
      <w:r>
        <w:rPr>
          <w:rFonts w:hint="eastAsia" w:ascii="宋体" w:hAnsi="宋体" w:eastAsia="宋体" w:cs="宋体"/>
          <w:color w:val="auto"/>
          <w:sz w:val="24"/>
          <w:szCs w:val="24"/>
        </w:rPr>
        <w:t>项目概况</w:t>
      </w:r>
      <w:bookmarkEnd w:id="1"/>
    </w:p>
    <w:p w14:paraId="4EFCAEE4">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 项目背景</w:t>
      </w:r>
    </w:p>
    <w:p w14:paraId="380A5FC5">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val="0"/>
          <w:bCs w:val="0"/>
          <w:color w:val="auto"/>
          <w:sz w:val="24"/>
          <w:szCs w:val="24"/>
          <w:lang w:val="en-US" w:eastAsia="zh-CN"/>
        </w:rPr>
        <w:t>根据《关于提前下达2023年自治区财政城乡居民基本养老保险补助资金预算的通知》（和地财社〔2022〕94号）文件实施本项目，主要内容为：给全县1.8822万人60岁以上老人发放城乡居民基本养老补助资金，资金发放标准18元/人/月。通过项目的实施确保60岁以上符合条件的老人都能享受补助，享受良好的养老待遇，确保老年城乡居民应保尽保，应发尽发，共享经济社会发展成果，提高城乡居民参保率。</w:t>
      </w:r>
    </w:p>
    <w:p w14:paraId="6EE0BE30">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rPr>
        <w:t>主要内容及实施情况</w:t>
      </w:r>
    </w:p>
    <w:p w14:paraId="7C3BC241">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1）主要内容</w:t>
      </w:r>
    </w:p>
    <w:p w14:paraId="447D9CD6">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根据《关于提前下达2023年自治区财政城乡居民基本养老保险补助资金预算的通知》（和地财社〔2022〕94号）文件实施本项目，主要内容为：给全县1.8822万人60岁以上老人发放城乡居民基本养老补助资金，资金发放标准18元/人/月。通过项目的实施确保60岁以上符合条件的老人都能享受补助，享受良好的养老待遇，确保老年城乡居民应保尽保，应发尽发，共享经济社会发展成果，提高城乡居民参保率。</w:t>
      </w:r>
    </w:p>
    <w:p w14:paraId="1301C440">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2.实施情况</w:t>
      </w:r>
    </w:p>
    <w:p w14:paraId="21CD91C3">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1）项目实施主体</w:t>
      </w:r>
    </w:p>
    <w:p w14:paraId="5CAE7369">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本项目主管部门为洛浦县人力资源和社会保障局，实施单位为洛浦县社会保险中心。</w:t>
      </w:r>
    </w:p>
    <w:p w14:paraId="381BEAE7">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val="en-US" w:eastAsia="zh-CN"/>
        </w:rPr>
        <w:t>（2）项目实施时间：</w:t>
      </w:r>
      <w:r>
        <w:rPr>
          <w:rFonts w:hint="eastAsia" w:ascii="宋体" w:hAnsi="宋体" w:eastAsia="宋体" w:cs="宋体"/>
          <w:b w:val="0"/>
          <w:bCs w:val="0"/>
          <w:color w:val="auto"/>
          <w:sz w:val="24"/>
          <w:szCs w:val="24"/>
          <w:lang w:val="en-US" w:eastAsia="zh-CN"/>
        </w:rPr>
        <w:t>2024年1月-2024年12月</w:t>
      </w:r>
    </w:p>
    <w:p w14:paraId="1008B9FE">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val="en-US" w:eastAsia="zh-CN"/>
        </w:rPr>
        <w:t>（3）项目实施情况</w:t>
      </w:r>
    </w:p>
    <w:p w14:paraId="6DE68BA3">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本项目于2024年12月25日前全部完工。</w:t>
      </w:r>
    </w:p>
    <w:p w14:paraId="3FD3A1B5">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val="0"/>
          <w:bCs w:val="0"/>
          <w:color w:val="auto"/>
          <w:sz w:val="24"/>
          <w:szCs w:val="24"/>
          <w:highlight w:val="none"/>
          <w:lang w:val="en-US" w:eastAsia="zh-CN"/>
        </w:rPr>
        <w:t>根据《关于提前下达2023年自治区财政城乡居民基本养老保险补助资金预算的通知》（和地财社〔2022〕94号）文件实施本项目，主要内容为：给全县1.8822万人60岁以上老人发放城乡居民基本养老补助资金，资金发放标准18元/人/月。通过项目的实施确保60岁以上符合条件的老人都能享受补助，享受良好的养老待遇，确保老年城乡居民应保尽保，应发尽发，共享经济社会发展成果，提高城乡居民参保率。</w:t>
      </w:r>
    </w:p>
    <w:p w14:paraId="6A08D3F1">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 资金投入和使用情况</w:t>
      </w:r>
    </w:p>
    <w:p w14:paraId="4C5F8521">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（1）项目资金安排</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投入情况</w:t>
      </w:r>
    </w:p>
    <w:p w14:paraId="707D5801">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本项目预算安排总额为471.09万元，资金来源为部门预算地方政府专项资金，其中：财政资金471.09万元，其他资金</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万元，202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年实际收到预算资金471.09万元，预算资金到位率为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747C24BC">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（2）项目资金实际使用情况分析</w:t>
      </w:r>
    </w:p>
    <w:p w14:paraId="683A9767">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本项目实际支付资金471.09万元，预算执行率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%。本项目资金主要用于支付</w:t>
      </w:r>
      <w:r>
        <w:rPr>
          <w:rFonts w:hint="eastAsia" w:ascii="宋体" w:hAnsi="宋体" w:eastAsia="宋体" w:cs="宋体"/>
          <w:color w:val="auto"/>
          <w:sz w:val="24"/>
          <w:szCs w:val="24"/>
          <w:highlight w:val="none"/>
          <w:lang w:val="en-US" w:eastAsia="zh-CN"/>
        </w:rPr>
        <w:t>养老补助资金</w:t>
      </w:r>
      <w:r>
        <w:rPr>
          <w:rFonts w:hint="eastAsia" w:ascii="宋体" w:hAnsi="宋体" w:eastAsia="宋体" w:cs="宋体"/>
          <w:color w:val="auto"/>
          <w:sz w:val="24"/>
          <w:szCs w:val="24"/>
          <w:highlight w:val="none"/>
        </w:rPr>
        <w:t>费用471.09万元。</w:t>
      </w:r>
    </w:p>
    <w:p w14:paraId="34E7E484">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2" w:name="_Toc68364659"/>
      <w:r>
        <w:rPr>
          <w:rFonts w:hint="eastAsia" w:ascii="宋体" w:hAnsi="宋体" w:eastAsia="宋体" w:cs="宋体"/>
          <w:color w:val="auto"/>
          <w:sz w:val="24"/>
          <w:szCs w:val="24"/>
          <w:highlight w:val="none"/>
        </w:rPr>
        <w:t>（二）项目绩效目标</w:t>
      </w:r>
      <w:bookmarkEnd w:id="2"/>
    </w:p>
    <w:p w14:paraId="333B7668">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项目绩效目标包括项目总</w:t>
      </w:r>
      <w:r>
        <w:rPr>
          <w:rFonts w:hint="eastAsia" w:ascii="宋体" w:hAnsi="宋体" w:eastAsia="宋体" w:cs="宋体"/>
          <w:color w:val="auto"/>
          <w:sz w:val="24"/>
          <w:szCs w:val="24"/>
          <w:highlight w:val="none"/>
          <w:lang w:val="en-US" w:eastAsia="zh-CN"/>
        </w:rPr>
        <w:t>体</w:t>
      </w:r>
      <w:r>
        <w:rPr>
          <w:rFonts w:hint="eastAsia" w:ascii="宋体" w:hAnsi="宋体" w:eastAsia="宋体" w:cs="宋体"/>
          <w:color w:val="auto"/>
          <w:sz w:val="24"/>
          <w:szCs w:val="24"/>
          <w:highlight w:val="none"/>
        </w:rPr>
        <w:t>目标和阶段性目标。</w:t>
      </w:r>
    </w:p>
    <w:p w14:paraId="7807CA37">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1.总</w:t>
      </w:r>
      <w:r>
        <w:rPr>
          <w:rFonts w:hint="eastAsia" w:ascii="宋体" w:hAnsi="宋体" w:eastAsia="宋体" w:cs="宋体"/>
          <w:b/>
          <w:bCs/>
          <w:color w:val="auto"/>
          <w:sz w:val="24"/>
          <w:szCs w:val="24"/>
          <w:highlight w:val="none"/>
          <w:lang w:val="en-US" w:eastAsia="zh-CN"/>
        </w:rPr>
        <w:t>体</w:t>
      </w:r>
      <w:r>
        <w:rPr>
          <w:rFonts w:hint="eastAsia" w:ascii="宋体" w:hAnsi="宋体" w:eastAsia="宋体" w:cs="宋体"/>
          <w:b/>
          <w:bCs/>
          <w:color w:val="auto"/>
          <w:sz w:val="24"/>
          <w:szCs w:val="24"/>
          <w:highlight w:val="none"/>
        </w:rPr>
        <w:t>目标</w:t>
      </w:r>
    </w:p>
    <w:p w14:paraId="5841A4D8">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给全县1.8822万人60岁以上老人发放城乡居民基本养老补助资金，资金发放标准18元/人/月。通过项目的实施确保60岁以上符合条件的老人都能享受补助，享受良好的养老待遇，确保老年城乡居民应保尽保，应发尽发，共享经济社会发展成果，提高城乡居民参保率。。</w:t>
      </w:r>
    </w:p>
    <w:p w14:paraId="212329BC">
      <w:pPr>
        <w:pStyle w:val="45"/>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阶段性目标</w:t>
      </w:r>
    </w:p>
    <w:p w14:paraId="35706D10">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bookmarkStart w:id="3"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28B7E6D6">
      <w:pPr>
        <w:pStyle w:val="45"/>
        <w:pageBreakBefore w:val="0"/>
        <w:widowControl w:val="0"/>
        <w:numPr>
          <w:ilvl w:val="0"/>
          <w:numId w:val="2"/>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27086D26">
      <w:pPr>
        <w:pStyle w:val="45"/>
        <w:pageBreakBefore w:val="0"/>
        <w:widowControl w:val="0"/>
        <w:numPr>
          <w:ilvl w:val="0"/>
          <w:numId w:val="3"/>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数量指标:</w:t>
      </w:r>
    </w:p>
    <w:p w14:paraId="479BF5AC">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养老补助资金发放人数：预期指标值为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1.8822万人；</w:t>
      </w:r>
    </w:p>
    <w:p w14:paraId="4A8B0659">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2）质量指标：</w:t>
      </w:r>
    </w:p>
    <w:p w14:paraId="59F2C22B">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补助资金发放覆盖率：预期指标值为=100%；</w:t>
      </w:r>
    </w:p>
    <w:p w14:paraId="0A8D89C6">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补助资金发放准确率：预期指标值为=100%；</w:t>
      </w:r>
    </w:p>
    <w:p w14:paraId="0D05D19D">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3）时效目标：</w:t>
      </w:r>
    </w:p>
    <w:p w14:paraId="3BF88518">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补助资金发放及时率：预期指标值为=100%；</w:t>
      </w:r>
    </w:p>
    <w:p w14:paraId="5704C112">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项目完成时间：预期指标值为2024年12月；</w:t>
      </w:r>
    </w:p>
    <w:p w14:paraId="107091FA">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（2）成本指标： </w:t>
      </w:r>
    </w:p>
    <w:p w14:paraId="588AB846">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1）经济成本指标</w:t>
      </w:r>
    </w:p>
    <w:p w14:paraId="5194B5F1">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城乡居民养老补助资金发放标准：预期指标值为=18元/人/月；</w:t>
      </w:r>
    </w:p>
    <w:p w14:paraId="7DF44404">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（3）效益指标：</w:t>
      </w:r>
    </w:p>
    <w:p w14:paraId="3F29F9DA">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）社会效益指标：</w:t>
      </w:r>
    </w:p>
    <w:p w14:paraId="1FCF3F52">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保障社会稳定和长治久安：预期指标值为有效保障；</w:t>
      </w:r>
    </w:p>
    <w:p w14:paraId="25FF75F5">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（4）服务对象满意度指标：</w:t>
      </w:r>
    </w:p>
    <w:p w14:paraId="7C0BBCBE">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城乡参保居民满意度：预期指标值为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95%；</w:t>
      </w:r>
    </w:p>
    <w:p w14:paraId="4888623F">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p>
    <w:p w14:paraId="7D188697">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二、绩效评价工作开展情况</w:t>
      </w:r>
      <w:bookmarkEnd w:id="3"/>
    </w:p>
    <w:p w14:paraId="514A5D6D">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4" w:name="_Toc68364661"/>
      <w:r>
        <w:rPr>
          <w:rFonts w:hint="eastAsia" w:ascii="宋体" w:hAnsi="宋体" w:eastAsia="宋体" w:cs="宋体"/>
          <w:color w:val="auto"/>
          <w:sz w:val="24"/>
          <w:szCs w:val="24"/>
        </w:rPr>
        <w:t>（一）绩效评价目的、对象和范围</w:t>
      </w:r>
      <w:bookmarkEnd w:id="4"/>
    </w:p>
    <w:p w14:paraId="70921F49">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 绩效评价目的</w:t>
      </w:r>
    </w:p>
    <w:p w14:paraId="091C15BD">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本次绩效评价遵循财政部《项目支出绩效评价管理办法》（财预〔2020〕10号）《自治区财政支出绩效评价管理暂行办法》（新财预〔2018〕189号）</w:t>
      </w:r>
      <w:r>
        <w:rPr>
          <w:rFonts w:hint="eastAsia" w:ascii="宋体" w:hAnsi="宋体" w:eastAsia="宋体" w:cs="宋体"/>
          <w:color w:val="auto"/>
          <w:sz w:val="24"/>
          <w:szCs w:val="24"/>
          <w:lang w:val="en-US" w:eastAsia="zh-CN"/>
        </w:rPr>
        <w:t>及</w:t>
      </w:r>
      <w:r>
        <w:rPr>
          <w:rFonts w:hint="eastAsia" w:ascii="宋体" w:hAnsi="宋体" w:eastAsia="宋体" w:cs="宋体"/>
          <w:color w:val="auto"/>
          <w:sz w:val="24"/>
          <w:szCs w:val="24"/>
        </w:rPr>
        <w:t>自治区财政厅《关于印发〈自治区项目支出绩效目标设置指引〉的通知》（新财预〔2022〕42号）</w:t>
      </w:r>
      <w:r>
        <w:rPr>
          <w:rFonts w:hint="eastAsia" w:ascii="宋体" w:hAnsi="宋体" w:eastAsia="宋体" w:cs="宋体"/>
          <w:color w:val="auto"/>
          <w:sz w:val="24"/>
          <w:szCs w:val="24"/>
          <w:highlight w:val="none"/>
        </w:rPr>
        <w:t>等相关政策文件与规</w:t>
      </w:r>
      <w:r>
        <w:rPr>
          <w:rFonts w:hint="eastAsia" w:ascii="宋体" w:hAnsi="宋体" w:eastAsia="宋体" w:cs="宋体"/>
          <w:color w:val="auto"/>
          <w:sz w:val="24"/>
          <w:szCs w:val="24"/>
        </w:rPr>
        <w:t>定，对城乡居民养老保险县财政配套项目开展本次部门项目支出绩效评价工作。全面了解城乡居民养老保险县财政配套项目预算编制合理性、资金使用合规性、项目管理的规范性、项目目标的实现情况、服务对象的满意度等项目实施前期、过程及</w:t>
      </w:r>
      <w:r>
        <w:rPr>
          <w:rFonts w:hint="eastAsia" w:ascii="宋体" w:hAnsi="宋体" w:eastAsia="宋体" w:cs="宋体"/>
          <w:color w:val="auto"/>
          <w:sz w:val="24"/>
          <w:szCs w:val="24"/>
          <w:lang w:val="en-US" w:eastAsia="zh-CN"/>
        </w:rPr>
        <w:t>实施</w:t>
      </w:r>
      <w:r>
        <w:rPr>
          <w:rFonts w:hint="eastAsia" w:ascii="宋体" w:hAnsi="宋体" w:eastAsia="宋体" w:cs="宋体"/>
          <w:color w:val="auto"/>
          <w:sz w:val="24"/>
          <w:szCs w:val="24"/>
        </w:rPr>
        <w:t>效果</w:t>
      </w:r>
      <w:r>
        <w:rPr>
          <w:rFonts w:hint="eastAsia" w:ascii="宋体" w:hAnsi="宋体" w:eastAsia="宋体" w:cs="宋体"/>
          <w:color w:val="auto"/>
          <w:sz w:val="24"/>
          <w:szCs w:val="24"/>
          <w:lang w:val="en-US" w:eastAsia="zh-CN"/>
        </w:rPr>
        <w:t>情况。</w:t>
      </w:r>
    </w:p>
    <w:p w14:paraId="1418141A">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17B0BFF5">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4B717666">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lang w:val="en-US" w:eastAsia="zh-CN"/>
        </w:rPr>
        <w:t>同时，通过部门项目支出绩效评价，可促进本单位发现预算项目管理中的问题、总结经验、改进工作，以提高</w:t>
      </w:r>
      <w:r>
        <w:rPr>
          <w:rFonts w:hint="eastAsia" w:ascii="宋体" w:hAnsi="宋体" w:eastAsia="宋体" w:cs="宋体"/>
          <w:color w:val="auto"/>
          <w:sz w:val="24"/>
          <w:szCs w:val="24"/>
        </w:rPr>
        <w:t>财政预算资金使用的效率及效益。</w:t>
      </w:r>
    </w:p>
    <w:p w14:paraId="6AEEE419">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554660F5">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rPr>
        <w:t>城乡居民养老保险县财政配套</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497A1982">
      <w:pPr>
        <w:pStyle w:val="45"/>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3. 绩效评价范围</w:t>
      </w:r>
    </w:p>
    <w:p w14:paraId="6E8459D9">
      <w:pPr>
        <w:pStyle w:val="45"/>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本次绩效评价主要围绕城乡居民养老保险县财政配套</w:t>
      </w:r>
      <w:r>
        <w:rPr>
          <w:rFonts w:hint="eastAsia" w:ascii="宋体" w:hAnsi="宋体" w:eastAsia="宋体" w:cs="宋体"/>
          <w:color w:val="auto"/>
          <w:sz w:val="24"/>
          <w:szCs w:val="24"/>
          <w:lang w:val="en-US" w:eastAsia="zh-CN"/>
        </w:rPr>
        <w:t>项目</w:t>
      </w:r>
      <w:r>
        <w:rPr>
          <w:rFonts w:hint="eastAsia" w:ascii="宋体" w:hAnsi="宋体" w:eastAsia="宋体" w:cs="宋体"/>
          <w:color w:val="auto"/>
          <w:sz w:val="24"/>
          <w:szCs w:val="24"/>
        </w:rPr>
        <w:t>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覆盖预算资金支出项目的所有内容进行评价。</w:t>
      </w:r>
    </w:p>
    <w:p w14:paraId="4686F6ED">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（二）绩效评价原则、评价指标体系、评价方法评价标准</w:t>
      </w:r>
      <w:bookmarkEnd w:id="5"/>
    </w:p>
    <w:p w14:paraId="0E201738">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 绩效评价原则</w:t>
      </w:r>
    </w:p>
    <w:p w14:paraId="4471508C">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1E6288FF">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（1）科学公正。绩效评价应当运用科学合理的方法，按照规范的程序，对项目绩效进行客观、公正的反映。</w:t>
      </w:r>
    </w:p>
    <w:p w14:paraId="2D8C7899">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65602EC0">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（3）激励约束。绩效评价结果应与预算安排、政策调整、改进管理实质性挂钩，体现奖优罚劣和激励相容导向，有效要安排、低效要压减、无效要问责。</w:t>
      </w:r>
    </w:p>
    <w:p w14:paraId="1DBC20C3">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（4）公开透明。绩效评价结果应依法依规公开，并自觉接受社会监督。</w:t>
      </w:r>
    </w:p>
    <w:p w14:paraId="1CE21B8B">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根据以上原则，绩效评价应遵循如下要求:</w:t>
      </w:r>
    </w:p>
    <w:p w14:paraId="641EC7D3">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（1）在数据采集时，采取客观数据，主管部门审查、社会中介组织复查，与问卷调查相结合的形式，以保证各项指标的真实性。</w:t>
      </w:r>
    </w:p>
    <w:p w14:paraId="17646615">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（2）保证评价结果的真实性、公正性，提高评价报告的公信力。</w:t>
      </w:r>
    </w:p>
    <w:p w14:paraId="092D7014">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（3）绩</w:t>
      </w:r>
      <w:r>
        <w:rPr>
          <w:rFonts w:hint="eastAsia" w:ascii="宋体" w:hAnsi="宋体" w:eastAsia="宋体" w:cs="宋体"/>
          <w:color w:val="auto"/>
          <w:sz w:val="24"/>
          <w:szCs w:val="24"/>
          <w:lang w:val="en-US" w:eastAsia="zh-CN"/>
        </w:rPr>
        <w:t>效</w:t>
      </w:r>
      <w:r>
        <w:rPr>
          <w:rFonts w:hint="eastAsia" w:ascii="宋体" w:hAnsi="宋体" w:eastAsia="宋体" w:cs="宋体"/>
          <w:color w:val="auto"/>
          <w:sz w:val="24"/>
          <w:szCs w:val="24"/>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33E62B59">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2. 绩效评价指标体系</w:t>
      </w:r>
    </w:p>
    <w:p w14:paraId="191983B2">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个二级指标。项目绩效评价体系</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详细指标体系见“附件1：项目支出绩效评价体系”。</w:t>
      </w:r>
    </w:p>
    <w:p w14:paraId="7AF32125">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3. 绩效评价方法</w:t>
      </w:r>
    </w:p>
    <w:p w14:paraId="1C2FEFD1">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1EAA24A9">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val="en-US" w:eastAsia="zh-CN"/>
        </w:rPr>
        <w:t>具体</w:t>
      </w:r>
      <w:r>
        <w:rPr>
          <w:rFonts w:hint="eastAsia" w:ascii="宋体" w:hAnsi="宋体" w:eastAsia="宋体" w:cs="宋体"/>
          <w:b w:val="0"/>
          <w:bCs/>
          <w:color w:val="auto"/>
          <w:sz w:val="24"/>
          <w:szCs w:val="24"/>
        </w:rPr>
        <w:t>评价方法的应用如下:</w:t>
      </w:r>
    </w:p>
    <w:p w14:paraId="1FC5D7B8">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立项依据充分性：比较法、文献法，查找法律法规政策以及规划，对比实际执行内容和政策支持内容是否匹配。</w:t>
      </w:r>
    </w:p>
    <w:p w14:paraId="50938743">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立项程序规范性：比较法、文献法，查找相关项目设立的政策和文件要求，对比分析实际执行程序是否按照政策及文件要求执行，分析立项程序的规范性。</w:t>
      </w:r>
    </w:p>
    <w:p w14:paraId="7397343B">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绩效目标合理性：比较法，对比分析年初编制项目支出绩效目标表与项目内容的相关性、资金的匹配性等。</w:t>
      </w:r>
    </w:p>
    <w:p w14:paraId="78AD998E">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绩效指标明确性：比较法，比较分析年初编制项目支出绩效目标表是否符合双七原则，是否可衡量。</w:t>
      </w:r>
    </w:p>
    <w:p w14:paraId="4FE7C54A">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预算编制科学性</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成本效益分析法</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分析在产出一定的情况下，成本取值是否有依据，是否经过询价，是否按照市场最低成本编制。</w:t>
      </w:r>
    </w:p>
    <w:p w14:paraId="02D9ECF9">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资金分配合理性：因素分析法，综合分析资金的分配依据是否充分，分配金额是否与项目实施单位需求金额一致</w:t>
      </w:r>
      <w:r>
        <w:rPr>
          <w:rFonts w:hint="eastAsia" w:ascii="宋体" w:hAnsi="宋体" w:eastAsia="宋体" w:cs="宋体"/>
          <w:b w:val="0"/>
          <w:bCs/>
          <w:color w:val="auto"/>
          <w:sz w:val="24"/>
          <w:szCs w:val="24"/>
          <w:lang w:eastAsia="zh-CN"/>
        </w:rPr>
        <w:t>。</w:t>
      </w:r>
    </w:p>
    <w:p w14:paraId="198645A9">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资金到位率：比较法，资金到位率预期指标值应为100%，通过实际计算，分析实际完成值和预期指标值之间的差距和原因。</w:t>
      </w:r>
    </w:p>
    <w:p w14:paraId="5BB41E3D">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预算执行率：比较法，预算执行率预期指标值应为100%，通过实际计算，分析实际完成值和预期指标值之间的差距和原因。</w:t>
      </w:r>
    </w:p>
    <w:p w14:paraId="34986CB9">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资金使用合规性：文献法、实地勘察法，一是查找资金管理办法，包括专项资金管理办法和单位自有资金管理办法；二是通过查账了解具体开支情况，是否专用专用，是否按照标准支出。</w:t>
      </w:r>
    </w:p>
    <w:p w14:paraId="167DF0A4">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管理制度健全性：文献法、比较法，查阅项目实施人员提供的财务和业务管理制度，将已建立的制度与现行的法律法规和政策要求进行对比，分析项目制度的合法性、合规性、完整性。</w:t>
      </w:r>
    </w:p>
    <w:p w14:paraId="0242C4C0">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制度执行有效性：比较法，结合项目实际实施过程性文件，根据已建设的财务管理制度和项目管理制度综合分析制度执行的有效性。</w:t>
      </w:r>
    </w:p>
    <w:p w14:paraId="735A0316">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6846D6D4">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定性指标：公众评判法，通过问卷及抽样调查等方式评价本项目实施后社会公众对于其实施效果的满意程度。</w:t>
      </w:r>
    </w:p>
    <w:p w14:paraId="396E0D16">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4. 绩效评价标准</w:t>
      </w:r>
    </w:p>
    <w:p w14:paraId="49189913">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bookmarkStart w:id="6" w:name="_Toc68364663"/>
      <w:r>
        <w:rPr>
          <w:rFonts w:hint="eastAsia" w:ascii="宋体" w:hAnsi="宋体" w:eastAsia="宋体" w:cs="宋体"/>
          <w:color w:val="auto"/>
          <w:sz w:val="24"/>
          <w:szCs w:val="24"/>
        </w:rPr>
        <w:t>绩效评价标准通常包括计划标准、行业标准、历史标准等，用于对绩效指标完成情况进行比较、分析、评价。本次评价主要采用了</w:t>
      </w:r>
      <w:r>
        <w:rPr>
          <w:rFonts w:hint="eastAsia" w:ascii="宋体" w:hAnsi="宋体" w:eastAsia="宋体" w:cs="宋体"/>
          <w:b/>
          <w:bCs/>
          <w:color w:val="auto"/>
          <w:sz w:val="24"/>
          <w:szCs w:val="24"/>
        </w:rPr>
        <w:t>计划</w:t>
      </w:r>
      <w:r>
        <w:rPr>
          <w:rFonts w:hint="eastAsia" w:ascii="宋体" w:hAnsi="宋体" w:eastAsia="宋体" w:cs="宋体"/>
          <w:color w:val="auto"/>
          <w:sz w:val="24"/>
          <w:szCs w:val="24"/>
        </w:rPr>
        <w:t>标准。</w:t>
      </w:r>
    </w:p>
    <w:p w14:paraId="005984BC">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bookmarkStart w:id="7" w:name="_Toc31464"/>
      <w:bookmarkStart w:id="8" w:name="_Toc17882"/>
      <w:r>
        <w:rPr>
          <w:rFonts w:hint="eastAsia" w:ascii="宋体" w:hAnsi="宋体" w:eastAsia="宋体" w:cs="宋体"/>
          <w:b/>
          <w:bCs/>
          <w:color w:val="auto"/>
          <w:sz w:val="24"/>
          <w:szCs w:val="24"/>
        </w:rPr>
        <w:t>计划标准：</w:t>
      </w:r>
      <w:r>
        <w:rPr>
          <w:rFonts w:hint="eastAsia" w:ascii="宋体" w:hAnsi="宋体" w:eastAsia="宋体" w:cs="宋体"/>
          <w:color w:val="auto"/>
          <w:sz w:val="24"/>
          <w:szCs w:val="24"/>
        </w:rPr>
        <w:t>指以预先制定的目标、计划、预算、定额等作为评价标准。</w:t>
      </w:r>
      <w:bookmarkEnd w:id="7"/>
      <w:bookmarkEnd w:id="8"/>
    </w:p>
    <w:p w14:paraId="327A0427">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bookmarkStart w:id="9" w:name="_Toc5633"/>
      <w:bookmarkStart w:id="10" w:name="_Toc2318"/>
      <w:r>
        <w:rPr>
          <w:rFonts w:hint="eastAsia" w:ascii="宋体" w:hAnsi="宋体" w:eastAsia="宋体" w:cs="宋体"/>
          <w:b/>
          <w:bCs/>
          <w:color w:val="auto"/>
          <w:sz w:val="24"/>
          <w:szCs w:val="24"/>
        </w:rPr>
        <w:t>行业标准：</w:t>
      </w:r>
      <w:r>
        <w:rPr>
          <w:rFonts w:hint="eastAsia" w:ascii="宋体" w:hAnsi="宋体" w:eastAsia="宋体" w:cs="宋体"/>
          <w:color w:val="auto"/>
          <w:sz w:val="24"/>
          <w:szCs w:val="24"/>
        </w:rPr>
        <w:t>指参照国家公布的行业指标数据制定的评价标准。</w:t>
      </w:r>
      <w:bookmarkEnd w:id="9"/>
      <w:bookmarkEnd w:id="10"/>
    </w:p>
    <w:p w14:paraId="756D6F97">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bookmarkStart w:id="11" w:name="_Toc16028"/>
      <w:bookmarkStart w:id="12" w:name="_Toc430"/>
      <w:r>
        <w:rPr>
          <w:rFonts w:hint="eastAsia" w:ascii="宋体" w:hAnsi="宋体" w:eastAsia="宋体" w:cs="宋体"/>
          <w:b/>
          <w:bCs/>
          <w:color w:val="auto"/>
          <w:sz w:val="24"/>
          <w:szCs w:val="24"/>
        </w:rPr>
        <w:t>历史标准：</w:t>
      </w:r>
      <w:r>
        <w:rPr>
          <w:rFonts w:hint="eastAsia" w:ascii="宋体" w:hAnsi="宋体" w:eastAsia="宋体" w:cs="宋体"/>
          <w:color w:val="auto"/>
          <w:sz w:val="24"/>
          <w:szCs w:val="24"/>
        </w:rPr>
        <w:t>指参照历史数据制定的评价标准，为体现绩效改进的原则，在可实现的条件下应当确定相对较高的评价标准。</w:t>
      </w:r>
      <w:bookmarkEnd w:id="11"/>
      <w:bookmarkEnd w:id="12"/>
    </w:p>
    <w:p w14:paraId="160A72A6">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（三）绩效评价工作过程</w:t>
      </w:r>
      <w:bookmarkEnd w:id="6"/>
    </w:p>
    <w:p w14:paraId="054B33A2">
      <w:pPr>
        <w:pStyle w:val="6"/>
        <w:pageBreakBefore w:val="0"/>
        <w:widowControl w:val="0"/>
        <w:kinsoku/>
        <w:wordWrap/>
        <w:overflowPunct/>
        <w:topLinePunct w:val="0"/>
        <w:autoSpaceDE/>
        <w:autoSpaceDN/>
        <w:bidi w:val="0"/>
        <w:adjustRightInd/>
        <w:snapToGrid/>
        <w:spacing w:before="0" w:after="0" w:line="360" w:lineRule="auto"/>
        <w:ind w:firstLine="480" w:firstLineChars="200"/>
        <w:jc w:val="both"/>
        <w:textAlignment w:val="auto"/>
        <w:rPr>
          <w:rFonts w:hint="eastAsia" w:ascii="宋体" w:hAnsi="宋体" w:eastAsia="宋体" w:cs="宋体"/>
          <w:color w:val="auto"/>
          <w:sz w:val="24"/>
          <w:szCs w:val="24"/>
        </w:rPr>
      </w:pPr>
      <w:bookmarkStart w:id="13" w:name="_Toc68364664"/>
      <w:r>
        <w:rPr>
          <w:rFonts w:hint="eastAsia" w:ascii="宋体" w:hAnsi="宋体" w:eastAsia="宋体" w:cs="宋体"/>
          <w:color w:val="auto"/>
          <w:sz w:val="24"/>
          <w:szCs w:val="24"/>
        </w:rPr>
        <w:t>1.前期准备</w:t>
      </w:r>
    </w:p>
    <w:p w14:paraId="192A3505">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55726A3C">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张腾龙</w:t>
      </w:r>
      <w:r>
        <w:rPr>
          <w:rFonts w:hint="eastAsia" w:ascii="宋体" w:hAnsi="宋体" w:eastAsia="宋体" w:cs="宋体"/>
          <w:color w:val="auto"/>
          <w:sz w:val="24"/>
          <w:szCs w:val="24"/>
        </w:rPr>
        <w:t>（评价小组组长）：主要负责</w:t>
      </w:r>
      <w:r>
        <w:rPr>
          <w:rFonts w:hint="eastAsia" w:ascii="宋体" w:hAnsi="宋体" w:eastAsia="宋体" w:cs="宋体"/>
          <w:color w:val="auto"/>
          <w:sz w:val="24"/>
          <w:szCs w:val="24"/>
          <w:highlight w:val="none"/>
        </w:rPr>
        <w:t>主要负责</w:t>
      </w:r>
      <w:r>
        <w:rPr>
          <w:rFonts w:hint="eastAsia" w:ascii="宋体" w:hAnsi="宋体" w:eastAsia="宋体" w:cs="宋体"/>
          <w:color w:val="auto"/>
          <w:sz w:val="24"/>
          <w:szCs w:val="24"/>
          <w:highlight w:val="none"/>
          <w:lang w:val="en-US" w:eastAsia="zh-CN"/>
        </w:rPr>
        <w:t>组织安排绩效评价工作</w:t>
      </w:r>
      <w:r>
        <w:rPr>
          <w:rFonts w:hint="eastAsia" w:ascii="宋体" w:hAnsi="宋体" w:eastAsia="宋体" w:cs="宋体"/>
          <w:color w:val="auto"/>
          <w:sz w:val="24"/>
          <w:szCs w:val="24"/>
        </w:rPr>
        <w:t>;</w:t>
      </w:r>
    </w:p>
    <w:p w14:paraId="2FC5BCE4">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付巧红</w:t>
      </w:r>
      <w:r>
        <w:rPr>
          <w:rFonts w:hint="eastAsia" w:ascii="宋体" w:hAnsi="宋体" w:eastAsia="宋体" w:cs="宋体"/>
          <w:color w:val="auto"/>
          <w:sz w:val="24"/>
          <w:szCs w:val="24"/>
        </w:rPr>
        <w:t>（评价小组组员）：主要负责</w:t>
      </w:r>
      <w:r>
        <w:rPr>
          <w:rFonts w:hint="eastAsia" w:ascii="宋体" w:hAnsi="宋体" w:eastAsia="宋体" w:cs="宋体"/>
          <w:color w:val="auto"/>
          <w:sz w:val="24"/>
          <w:szCs w:val="24"/>
          <w:highlight w:val="none"/>
        </w:rPr>
        <w:t>主要负责</w:t>
      </w:r>
      <w:r>
        <w:rPr>
          <w:rFonts w:hint="eastAsia" w:ascii="宋体" w:hAnsi="宋体" w:eastAsia="宋体" w:cs="宋体"/>
          <w:color w:val="auto"/>
          <w:sz w:val="24"/>
          <w:szCs w:val="24"/>
          <w:highlight w:val="none"/>
          <w:lang w:val="en-US" w:eastAsia="zh-CN"/>
        </w:rPr>
        <w:t>资料整理及信息汇总工作</w:t>
      </w:r>
      <w:r>
        <w:rPr>
          <w:rFonts w:hint="eastAsia" w:ascii="宋体" w:hAnsi="宋体" w:eastAsia="宋体" w:cs="宋体"/>
          <w:color w:val="auto"/>
          <w:sz w:val="24"/>
          <w:szCs w:val="24"/>
        </w:rPr>
        <w:t>;</w:t>
      </w:r>
    </w:p>
    <w:p w14:paraId="7A558AD5">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美合日妮萨·斯拉吉</w:t>
      </w:r>
      <w:r>
        <w:rPr>
          <w:rFonts w:hint="eastAsia" w:ascii="宋体" w:hAnsi="宋体" w:eastAsia="宋体" w:cs="宋体"/>
          <w:color w:val="auto"/>
          <w:sz w:val="24"/>
          <w:szCs w:val="24"/>
        </w:rPr>
        <w:t>（评价小组组员）：主要负责</w:t>
      </w:r>
      <w:r>
        <w:rPr>
          <w:rFonts w:hint="eastAsia" w:ascii="宋体" w:hAnsi="宋体" w:eastAsia="宋体" w:cs="宋体"/>
          <w:color w:val="auto"/>
          <w:sz w:val="24"/>
          <w:szCs w:val="24"/>
          <w:highlight w:val="none"/>
        </w:rPr>
        <w:t>主要负责</w:t>
      </w:r>
      <w:r>
        <w:rPr>
          <w:rFonts w:hint="eastAsia" w:ascii="宋体" w:hAnsi="宋体" w:eastAsia="宋体" w:cs="宋体"/>
          <w:color w:val="auto"/>
          <w:sz w:val="24"/>
          <w:szCs w:val="24"/>
          <w:highlight w:val="none"/>
          <w:lang w:val="en-US" w:eastAsia="zh-CN"/>
        </w:rPr>
        <w:t>出具项目绩效评价报告</w:t>
      </w:r>
      <w:r>
        <w:rPr>
          <w:rFonts w:hint="eastAsia" w:ascii="宋体" w:hAnsi="宋体" w:eastAsia="宋体" w:cs="宋体"/>
          <w:color w:val="auto"/>
          <w:sz w:val="24"/>
          <w:szCs w:val="24"/>
        </w:rPr>
        <w:t>。</w:t>
      </w:r>
    </w:p>
    <w:p w14:paraId="04E6ED7C">
      <w:pPr>
        <w:pStyle w:val="6"/>
        <w:pageBreakBefore w:val="0"/>
        <w:widowControl w:val="0"/>
        <w:kinsoku/>
        <w:wordWrap/>
        <w:overflowPunct/>
        <w:topLinePunct w:val="0"/>
        <w:autoSpaceDE/>
        <w:autoSpaceDN/>
        <w:bidi w:val="0"/>
        <w:adjustRightInd/>
        <w:snapToGrid/>
        <w:spacing w:before="0" w:after="0" w:line="360" w:lineRule="auto"/>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2.组织实施</w:t>
      </w:r>
    </w:p>
    <w:p w14:paraId="5C3AC922">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25</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5C85FC54">
      <w:pPr>
        <w:pStyle w:val="6"/>
        <w:pageBreakBefore w:val="0"/>
        <w:widowControl w:val="0"/>
        <w:kinsoku/>
        <w:wordWrap/>
        <w:overflowPunct/>
        <w:topLinePunct w:val="0"/>
        <w:autoSpaceDE/>
        <w:autoSpaceDN/>
        <w:bidi w:val="0"/>
        <w:adjustRightInd/>
        <w:snapToGrid/>
        <w:spacing w:before="0" w:after="0" w:line="360" w:lineRule="auto"/>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3.分析评价</w:t>
      </w:r>
    </w:p>
    <w:p w14:paraId="65477CDC">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日，评价小组按照绩效评价的原则和规范，对取得的资料进行审查核实，对采集的数据进行分析，按照绩效评价指标评分表逐项进行打分、分析、汇总各方评价结果。</w:t>
      </w:r>
    </w:p>
    <w:p w14:paraId="529C8A0A">
      <w:pPr>
        <w:pStyle w:val="6"/>
        <w:pageBreakBefore w:val="0"/>
        <w:widowControl w:val="0"/>
        <w:kinsoku/>
        <w:wordWrap/>
        <w:overflowPunct/>
        <w:topLinePunct w:val="0"/>
        <w:autoSpaceDE/>
        <w:autoSpaceDN/>
        <w:bidi w:val="0"/>
        <w:adjustRightInd/>
        <w:snapToGrid/>
        <w:spacing w:before="0" w:after="0" w:line="360" w:lineRule="auto"/>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4.撰写与提交评价报告</w:t>
      </w:r>
    </w:p>
    <w:p w14:paraId="713288C2">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color w:val="auto"/>
          <w:sz w:val="24"/>
          <w:szCs w:val="24"/>
          <w:highlight w:val="none"/>
        </w:rPr>
        <w:t>撰写绩效评价报告，按照新疆</w:t>
      </w:r>
      <w:r>
        <w:rPr>
          <w:rFonts w:hint="eastAsia" w:ascii="宋体" w:hAnsi="宋体" w:eastAsia="宋体" w:cs="宋体"/>
          <w:color w:val="auto"/>
          <w:sz w:val="24"/>
          <w:szCs w:val="24"/>
          <w:highlight w:val="none"/>
          <w:lang w:eastAsia="zh-CN"/>
        </w:rPr>
        <w:t>维吾尔自治区财政绩效管理信息系统</w:t>
      </w:r>
      <w:r>
        <w:rPr>
          <w:rFonts w:hint="eastAsia" w:ascii="宋体" w:hAnsi="宋体" w:eastAsia="宋体" w:cs="宋体"/>
          <w:color w:val="auto"/>
          <w:sz w:val="24"/>
          <w:szCs w:val="24"/>
          <w:highlight w:val="none"/>
        </w:rPr>
        <w:t>绩效评价模块中统一格式和文本框架撰写绩效评价报告并提交审核。</w:t>
      </w:r>
    </w:p>
    <w:p w14:paraId="50B0F327">
      <w:pPr>
        <w:pStyle w:val="6"/>
        <w:pageBreakBefore w:val="0"/>
        <w:widowControl w:val="0"/>
        <w:kinsoku/>
        <w:wordWrap/>
        <w:overflowPunct/>
        <w:topLinePunct w:val="0"/>
        <w:autoSpaceDE/>
        <w:autoSpaceDN/>
        <w:bidi w:val="0"/>
        <w:adjustRightInd/>
        <w:snapToGrid/>
        <w:spacing w:before="0" w:after="0" w:line="360" w:lineRule="auto"/>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5.问题整改</w:t>
      </w:r>
    </w:p>
    <w:p w14:paraId="3DD4C40B">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5EE66D94">
      <w:pPr>
        <w:pStyle w:val="6"/>
        <w:pageBreakBefore w:val="0"/>
        <w:widowControl w:val="0"/>
        <w:kinsoku/>
        <w:wordWrap/>
        <w:overflowPunct/>
        <w:topLinePunct w:val="0"/>
        <w:autoSpaceDE/>
        <w:autoSpaceDN/>
        <w:bidi w:val="0"/>
        <w:adjustRightInd/>
        <w:snapToGrid/>
        <w:spacing w:before="0" w:after="0" w:line="360" w:lineRule="auto"/>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6.档案整理</w:t>
      </w:r>
    </w:p>
    <w:p w14:paraId="3C061638">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建立和落实档案管理制度，将项目相关资料存档，包括但不限于：评价项目基本情况和相关文件、评价实施方案、项目支付资料等相关档案。</w:t>
      </w:r>
    </w:p>
    <w:p w14:paraId="458E0E52">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p>
    <w:p w14:paraId="623FB4AE">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三、综合评价情况及评价结论</w:t>
      </w:r>
      <w:bookmarkEnd w:id="13"/>
    </w:p>
    <w:p w14:paraId="68AE06AF">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4" w:name="_Toc68364665"/>
      <w:r>
        <w:rPr>
          <w:rFonts w:hint="eastAsia" w:ascii="宋体" w:hAnsi="宋体" w:eastAsia="宋体" w:cs="宋体"/>
          <w:color w:val="auto"/>
          <w:sz w:val="24"/>
          <w:szCs w:val="24"/>
        </w:rPr>
        <w:t>（一）综合评价情况</w:t>
      </w:r>
      <w:bookmarkEnd w:id="14"/>
    </w:p>
    <w:p w14:paraId="20C25125">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bookmarkStart w:id="15" w:name="_Toc68364666"/>
      <w:r>
        <w:rPr>
          <w:rFonts w:hint="eastAsia" w:ascii="宋体" w:hAnsi="宋体" w:eastAsia="宋体" w:cs="宋体"/>
          <w:color w:val="auto"/>
          <w:sz w:val="24"/>
          <w:szCs w:val="24"/>
        </w:rPr>
        <w:t>通过实施城乡居民养老保险县财政配套项目产生通过项目的实施确保60岁以上符合条件的老人都能享受补助，享受良好的养老待遇，确保老年城乡居民应保尽保，应发尽发，共享经济社会发展成果，提高城乡居民参保率。项目实施主要通过项目决策、项目过程、项目产出以及项目效益等方面进行评价，其中：</w:t>
      </w:r>
    </w:p>
    <w:p w14:paraId="1258D12A">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项目决策：该项目主要通过《关于印发洛浦县建立统一的城乡居民基本养老保险制度的实施方案》（洛政办发〔2015]42号）文件立项，项目实施符合《关于印发洛浦县建立统一的城乡居民基本养老保险制度的实施方案》（洛政办发〔2015]42号）要求，项目立项依据充分，立项程序规范。 </w:t>
      </w:r>
    </w:p>
    <w:p w14:paraId="39E97194">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项目过程：城乡居民养老保险县财政配套项目预算安排 </w:t>
      </w:r>
      <w:r>
        <w:rPr>
          <w:rFonts w:hint="eastAsia" w:ascii="宋体" w:hAnsi="宋体" w:eastAsia="宋体" w:cs="宋体"/>
          <w:color w:val="auto"/>
          <w:sz w:val="24"/>
          <w:szCs w:val="24"/>
          <w:lang w:val="en-US" w:eastAsia="zh-CN"/>
        </w:rPr>
        <w:t>471.09</w:t>
      </w:r>
      <w:r>
        <w:rPr>
          <w:rFonts w:hint="eastAsia" w:ascii="宋体" w:hAnsi="宋体" w:eastAsia="宋体" w:cs="宋体"/>
          <w:color w:val="auto"/>
          <w:sz w:val="24"/>
          <w:szCs w:val="24"/>
        </w:rPr>
        <w:t>万元，实际支出</w:t>
      </w:r>
      <w:r>
        <w:rPr>
          <w:rFonts w:hint="eastAsia" w:ascii="宋体" w:hAnsi="宋体" w:eastAsia="宋体" w:cs="宋体"/>
          <w:color w:val="auto"/>
          <w:sz w:val="24"/>
          <w:szCs w:val="24"/>
          <w:lang w:val="en-US" w:eastAsia="zh-CN"/>
        </w:rPr>
        <w:t>471.09</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。项目资金使用合规，项目财务管理制度健全，财务监控到位，所有资金支付均按照国库集中支付制度严格执行，现有项目管理制度执行情况良好。</w:t>
      </w:r>
    </w:p>
    <w:p w14:paraId="0EC18754">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项目产出：养老补助资金发放人数</w:t>
      </w:r>
      <w:r>
        <w:rPr>
          <w:rFonts w:hint="eastAsia" w:ascii="宋体" w:hAnsi="宋体" w:eastAsia="宋体" w:cs="宋体"/>
          <w:color w:val="auto"/>
          <w:sz w:val="24"/>
          <w:szCs w:val="24"/>
          <w:lang w:val="en-US" w:eastAsia="zh-CN"/>
        </w:rPr>
        <w:t>1.9647万人，总拨付471.09万元。</w:t>
      </w:r>
    </w:p>
    <w:p w14:paraId="312858C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项目效益：通过实施此项目产生确保60岁以上符合条件的老人都能享受补助，享受良好的养老待遇，确保老年城乡居民应保尽保，应发尽发，共享经济社会发展成果，提高城乡居民参保率效益</w:t>
      </w:r>
      <w:r>
        <w:rPr>
          <w:rFonts w:hint="eastAsia" w:ascii="宋体" w:hAnsi="宋体" w:eastAsia="宋体" w:cs="宋体"/>
          <w:color w:val="auto"/>
          <w:sz w:val="24"/>
          <w:szCs w:val="24"/>
          <w:lang w:val="en-US" w:eastAsia="zh-CN"/>
        </w:rPr>
        <w:t>情况。</w:t>
      </w:r>
    </w:p>
    <w:p w14:paraId="05A4D03C">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（二）综合评价结论</w:t>
      </w:r>
    </w:p>
    <w:p w14:paraId="39C48E10">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依据《中共中央国务院关于全面实施预算绩效管理的意见》《项目支出绩效评价管理办法》（财预〔2020〕10号）文件，绩效评价总分设置为100分，划分为四档：90（含）-100分为“优”、80（含）-90分为“良”、70（含）-80分为“中”、70分以下为“差”。经对城乡居民养老保险县财政配套项目进行客观评价，最终评分结果：评价总分</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分，绩效等级为“</w:t>
      </w:r>
      <w:r>
        <w:rPr>
          <w:rFonts w:hint="eastAsia" w:ascii="宋体" w:hAnsi="宋体" w:eastAsia="宋体" w:cs="宋体"/>
          <w:color w:val="auto"/>
          <w:sz w:val="24"/>
          <w:szCs w:val="24"/>
          <w:lang w:val="en-US" w:eastAsia="zh-CN"/>
        </w:rPr>
        <w:t>优</w:t>
      </w:r>
      <w:r>
        <w:rPr>
          <w:rFonts w:hint="eastAsia" w:ascii="宋体" w:hAnsi="宋体" w:eastAsia="宋体" w:cs="宋体"/>
          <w:color w:val="auto"/>
          <w:sz w:val="24"/>
          <w:szCs w:val="24"/>
        </w:rPr>
        <w:t>”。</w:t>
      </w:r>
      <w:bookmarkEnd w:id="15"/>
    </w:p>
    <w:p w14:paraId="3D5FCE01">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6" w:name="_Toc68364667"/>
    </w:p>
    <w:p w14:paraId="70CEB9FD">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四、绩效评价指标分析</w:t>
      </w:r>
      <w:bookmarkEnd w:id="16"/>
    </w:p>
    <w:p w14:paraId="27E3EA22">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7" w:name="_Toc68364668"/>
      <w:r>
        <w:rPr>
          <w:rFonts w:hint="eastAsia" w:ascii="宋体" w:hAnsi="宋体" w:eastAsia="宋体" w:cs="宋体"/>
          <w:color w:val="auto"/>
          <w:sz w:val="24"/>
          <w:szCs w:val="24"/>
          <w:highlight w:val="none"/>
        </w:rPr>
        <w:t>（一）项目决策情况</w:t>
      </w:r>
    </w:p>
    <w:p w14:paraId="679EB34E">
      <w:pPr>
        <w:keepNext w:val="0"/>
        <w:keepLines w:val="0"/>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项目决策类指标包括项目立项、绩效目标和资金投入三方面的内容，由</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49BE87F6">
      <w:pPr>
        <w:keepNext w:val="0"/>
        <w:keepLines w:val="0"/>
        <w:pageBreakBefore w:val="0"/>
        <w:widowControl w:val="0"/>
        <w:numPr>
          <w:ilvl w:val="0"/>
          <w:numId w:val="4"/>
        </w:numPr>
        <w:kinsoku/>
        <w:wordWrap/>
        <w:topLinePunct w:val="0"/>
        <w:autoSpaceDE/>
        <w:autoSpaceDN/>
        <w:bidi w:val="0"/>
        <w:adjustRightInd/>
        <w:snapToGrid/>
        <w:spacing w:line="360" w:lineRule="auto"/>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立项依据充分性：</w:t>
      </w:r>
    </w:p>
    <w:p w14:paraId="28587B60">
      <w:pPr>
        <w:keepNext w:val="0"/>
        <w:keepLines w:val="0"/>
        <w:pageBreakBefore w:val="0"/>
        <w:widowControl w:val="0"/>
        <w:numPr>
          <w:ilvl w:val="0"/>
          <w:numId w:val="0"/>
        </w:numPr>
        <w:kinsoku/>
        <w:wordWrap/>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本项目立项符合《关于印发洛浦县建立统一的城乡居民基本养老保险制度的实施方案》（洛政办发〔2015]42号）中：“</w:t>
      </w:r>
      <w:r>
        <w:rPr>
          <w:rFonts w:hint="eastAsia" w:ascii="宋体" w:hAnsi="宋体" w:eastAsia="宋体" w:cs="宋体"/>
          <w:color w:val="auto"/>
          <w:sz w:val="24"/>
          <w:szCs w:val="24"/>
          <w:highlight w:val="none"/>
          <w:lang w:val="en-US" w:eastAsia="zh-CN"/>
        </w:rPr>
        <w:t>县财政对城乡居民养老金领取待遇人员每人每月补贴养老金18元</w:t>
      </w:r>
      <w:r>
        <w:rPr>
          <w:rFonts w:hint="eastAsia" w:ascii="宋体" w:hAnsi="宋体" w:eastAsia="宋体" w:cs="宋体"/>
          <w:color w:val="auto"/>
          <w:sz w:val="24"/>
          <w:szCs w:val="24"/>
          <w:highlight w:val="none"/>
        </w:rPr>
        <w:t>”；本项目立项符合新人社发〔2018〕43号）的文件中：“享受待遇人员中满70岁的待遇领取人员每人每月增加5元；满80岁的待遇领取人员每人每月增加10元的标准”内容，符合行业发展规划和政策要求；</w:t>
      </w:r>
    </w:p>
    <w:p w14:paraId="6311A29D">
      <w:pPr>
        <w:keepNext w:val="0"/>
        <w:keepLines w:val="0"/>
        <w:pageBreakBefore w:val="0"/>
        <w:widowControl w:val="0"/>
        <w:kinsoku/>
        <w:wordWrap/>
        <w:topLinePunct w:val="0"/>
        <w:autoSpaceDE/>
        <w:autoSpaceDN/>
        <w:bidi w:val="0"/>
        <w:adjustRightInd/>
        <w:snapToGrid/>
        <w:spacing w:line="360" w:lineRule="auto"/>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249F28E0">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（2）立项程序规范性：</w:t>
      </w:r>
    </w:p>
    <w:p w14:paraId="28853C6C">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本项目城乡居民养老保险县财政配套项目，项目立项过程中产生的文件均符合相关要求。本项目为</w:t>
      </w:r>
      <w:r>
        <w:rPr>
          <w:rFonts w:hint="eastAsia" w:ascii="宋体" w:hAnsi="宋体" w:eastAsia="宋体" w:cs="宋体"/>
          <w:color w:val="auto"/>
          <w:sz w:val="24"/>
          <w:szCs w:val="24"/>
          <w:highlight w:val="none"/>
          <w:lang w:val="en-US" w:eastAsia="zh-CN"/>
        </w:rPr>
        <w:t>特定目标</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471.09</w:t>
      </w:r>
      <w:r>
        <w:rPr>
          <w:rFonts w:hint="eastAsia" w:ascii="宋体" w:hAnsi="宋体" w:eastAsia="宋体" w:cs="宋体"/>
          <w:color w:val="auto"/>
          <w:sz w:val="24"/>
          <w:szCs w:val="24"/>
          <w:highlight w:val="none"/>
        </w:rPr>
        <w:t>万元，不涉及事前绩效评估和风险评估，已委托</w:t>
      </w:r>
      <w:r>
        <w:rPr>
          <w:rFonts w:hint="eastAsia" w:ascii="宋体" w:hAnsi="宋体" w:eastAsia="宋体" w:cs="宋体"/>
          <w:color w:val="auto"/>
          <w:sz w:val="24"/>
          <w:szCs w:val="24"/>
          <w:highlight w:val="none"/>
          <w:lang w:val="en-US" w:eastAsia="zh-CN"/>
        </w:rPr>
        <w:t>洛浦县社保中心</w:t>
      </w:r>
      <w:r>
        <w:rPr>
          <w:rFonts w:hint="eastAsia" w:ascii="宋体" w:hAnsi="宋体" w:eastAsia="宋体" w:cs="宋体"/>
          <w:color w:val="auto"/>
          <w:sz w:val="24"/>
          <w:szCs w:val="24"/>
          <w:highlight w:val="none"/>
        </w:rPr>
        <w:t>完成本项目可行性研究报告的编制，并经过专家论证。</w:t>
      </w:r>
    </w:p>
    <w:p w14:paraId="08C3E419">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综上所述，本指标满分为3分，根据评分标准得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分，本项目立项程序合规。</w:t>
      </w:r>
    </w:p>
    <w:p w14:paraId="3428284B">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（3）绩效目标合理性</w:t>
      </w:r>
      <w:r>
        <w:rPr>
          <w:rFonts w:hint="eastAsia" w:ascii="宋体" w:hAnsi="宋体" w:eastAsia="宋体" w:cs="宋体"/>
          <w:color w:val="auto"/>
          <w:sz w:val="24"/>
          <w:szCs w:val="24"/>
          <w:highlight w:val="none"/>
        </w:rPr>
        <w:t>：</w:t>
      </w:r>
    </w:p>
    <w:p w14:paraId="268FD1C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该项目已设置年度绩效目标，具体内容为“给全县1.8822万人60岁以上老人发放城乡居民基本养老补助资金，资金发放标准18元/人/月。通过项目的实施确保60岁以上符合条件的老人都能享受补助，享受良好的养老待遇，确保老年城乡居民应保尽保，应发尽发，共享经济社会发展成果，提高城乡居民参保率。</w:t>
      </w:r>
    </w:p>
    <w:p w14:paraId="0F7D681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该项目实际工作内容为：给全县1.8822万人60岁以上老人发放城乡居民基本养老补助资金，资金发放标准18元/人/月。通过项目的实施确保60岁以上符合条件的老人都能享受补助，享受良好的养老待遇，确保老年城乡居民应保尽保，应发尽发，共享经济社会发展成果，提高城乡居民参保率。。绩效目标与实际工作内容一致，两者具有相关性。</w:t>
      </w:r>
    </w:p>
    <w:p w14:paraId="22EE349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③该项目按照绩效目标完成数量指标、质量指标、时效指标、成本指标，完成了给全县1.8822万人60岁以上老人发放城乡居民基本养老补助资金</w:t>
      </w:r>
      <w:r>
        <w:rPr>
          <w:rFonts w:hint="eastAsia" w:ascii="宋体" w:hAnsi="宋体" w:eastAsia="宋体" w:cs="宋体"/>
          <w:color w:val="auto"/>
          <w:sz w:val="24"/>
          <w:szCs w:val="24"/>
          <w:highlight w:val="none"/>
          <w:lang w:val="en-US" w:eastAsia="zh-CN"/>
        </w:rPr>
        <w:t>471.09万元</w:t>
      </w:r>
      <w:r>
        <w:rPr>
          <w:rFonts w:hint="eastAsia" w:ascii="宋体" w:hAnsi="宋体" w:eastAsia="宋体" w:cs="宋体"/>
          <w:color w:val="auto"/>
          <w:sz w:val="24"/>
          <w:szCs w:val="24"/>
          <w:highlight w:val="none"/>
        </w:rPr>
        <w:t>，达到</w:t>
      </w:r>
      <w:r>
        <w:rPr>
          <w:rFonts w:hint="eastAsia" w:ascii="宋体" w:hAnsi="宋体" w:eastAsia="宋体" w:cs="宋体"/>
          <w:color w:val="auto"/>
          <w:sz w:val="24"/>
          <w:szCs w:val="24"/>
          <w:highlight w:val="none"/>
          <w:lang w:val="en-US" w:eastAsia="zh-CN"/>
        </w:rPr>
        <w:t>确保60岁以上符合条件的老人都能享受补助，享受良好的养老待遇，确保老年城乡居民应保尽保，应发尽发，共享经济社会发展成果，提高城乡居民参保率</w:t>
      </w:r>
      <w:r>
        <w:rPr>
          <w:rFonts w:hint="eastAsia" w:ascii="宋体" w:hAnsi="宋体" w:eastAsia="宋体" w:cs="宋体"/>
          <w:color w:val="auto"/>
          <w:sz w:val="24"/>
          <w:szCs w:val="24"/>
          <w:highlight w:val="none"/>
        </w:rPr>
        <w:t>效益，预期产出效益和效果是否符合正常的业绩水平。</w:t>
      </w:r>
    </w:p>
    <w:p w14:paraId="2FF16C0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④该项目批复的预算金额为</w:t>
      </w:r>
      <w:r>
        <w:rPr>
          <w:rFonts w:hint="eastAsia" w:ascii="宋体" w:hAnsi="宋体" w:eastAsia="宋体" w:cs="宋体"/>
          <w:color w:val="auto"/>
          <w:sz w:val="24"/>
          <w:szCs w:val="24"/>
          <w:highlight w:val="none"/>
          <w:lang w:val="en-US" w:eastAsia="zh-CN"/>
        </w:rPr>
        <w:t>471.09</w:t>
      </w:r>
      <w:r>
        <w:rPr>
          <w:rFonts w:hint="eastAsia" w:ascii="宋体" w:hAnsi="宋体" w:eastAsia="宋体" w:cs="宋体"/>
          <w:color w:val="auto"/>
          <w:sz w:val="24"/>
          <w:szCs w:val="24"/>
          <w:highlight w:val="none"/>
        </w:rPr>
        <w:t>万元，《项目支出绩效目标表》中预算金额为</w:t>
      </w:r>
      <w:r>
        <w:rPr>
          <w:rFonts w:hint="eastAsia" w:ascii="宋体" w:hAnsi="宋体" w:eastAsia="宋体" w:cs="宋体"/>
          <w:color w:val="auto"/>
          <w:sz w:val="24"/>
          <w:szCs w:val="24"/>
          <w:highlight w:val="none"/>
          <w:lang w:val="en-US" w:eastAsia="zh-CN"/>
        </w:rPr>
        <w:t>471.09</w:t>
      </w:r>
      <w:r>
        <w:rPr>
          <w:rFonts w:hint="eastAsia" w:ascii="宋体" w:hAnsi="宋体" w:eastAsia="宋体" w:cs="宋体"/>
          <w:color w:val="auto"/>
          <w:sz w:val="24"/>
          <w:szCs w:val="24"/>
          <w:highlight w:val="none"/>
        </w:rPr>
        <w:t>万元，预算确定的项目资金与预算确定的项目投资额相匹配。</w:t>
      </w:r>
    </w:p>
    <w:p w14:paraId="15AF158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23E10B35">
      <w:pPr>
        <w:pageBreakBefore w:val="0"/>
        <w:widowControl w:val="0"/>
        <w:numPr>
          <w:ilvl w:val="0"/>
          <w:numId w:val="0"/>
        </w:numPr>
        <w:kinsoku/>
        <w:wordWrap/>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szCs w:val="24"/>
          <w:highlight w:val="none"/>
        </w:rPr>
        <w:t>经检查我单位年初设置的《项目支出绩效目标表》，得出如下结论：本项目已将年度绩效目标进行细化为绩效指标</w:t>
      </w:r>
      <w:r>
        <w:rPr>
          <w:rFonts w:hint="eastAsia" w:ascii="宋体" w:hAnsi="宋体" w:eastAsia="宋体" w:cs="宋体"/>
          <w:color w:val="auto"/>
          <w:sz w:val="24"/>
          <w:szCs w:val="24"/>
          <w:highlight w:val="none"/>
          <w:lang w:val="en-US" w:eastAsia="zh-CN"/>
        </w:rPr>
        <w:t>体系</w:t>
      </w:r>
      <w:r>
        <w:rPr>
          <w:rFonts w:hint="eastAsia" w:ascii="宋体" w:hAnsi="宋体" w:eastAsia="宋体" w:cs="宋体"/>
          <w:color w:val="auto"/>
          <w:sz w:val="24"/>
          <w:szCs w:val="24"/>
          <w:highlight w:val="none"/>
        </w:rPr>
        <w:t>，共设置一级指标</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个，二级指标</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个，三级指标</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个，定量指标</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个，定性指标</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个，指标量化率为</w:t>
      </w:r>
      <w:r>
        <w:rPr>
          <w:rFonts w:hint="eastAsia" w:ascii="宋体" w:hAnsi="宋体" w:eastAsia="宋体" w:cs="宋体"/>
          <w:color w:val="auto"/>
          <w:sz w:val="24"/>
          <w:szCs w:val="24"/>
          <w:highlight w:val="none"/>
          <w:lang w:val="en-US" w:eastAsia="zh-CN"/>
        </w:rPr>
        <w:t>75</w:t>
      </w:r>
      <w:r>
        <w:rPr>
          <w:rFonts w:hint="eastAsia" w:ascii="宋体" w:hAnsi="宋体" w:eastAsia="宋体" w:cs="宋体"/>
          <w:color w:val="auto"/>
          <w:sz w:val="24"/>
          <w:szCs w:val="24"/>
          <w:highlight w:val="none"/>
        </w:rPr>
        <w:t>%，量化率达70.0%以上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将项目绩效目标细化分解为具体的绩效指标</w:t>
      </w:r>
      <w:r>
        <w:rPr>
          <w:rFonts w:hint="eastAsia" w:ascii="宋体" w:hAnsi="宋体" w:eastAsia="宋体" w:cs="宋体"/>
          <w:color w:val="auto"/>
          <w:sz w:val="24"/>
          <w:szCs w:val="24"/>
          <w:highlight w:val="none"/>
          <w:lang w:eastAsia="zh-CN"/>
        </w:rPr>
        <w:t>。</w:t>
      </w:r>
    </w:p>
    <w:p w14:paraId="62DCB31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该《项目绩效目标申报表》中，数量指标指标值为养老补助资金发放人数，三级指标的年度指标值与年度绩效目标中任务数一致，已设置时效指标“</w:t>
      </w:r>
      <w:r>
        <w:rPr>
          <w:rFonts w:hint="eastAsia" w:ascii="宋体" w:hAnsi="宋体" w:eastAsia="宋体" w:cs="宋体"/>
          <w:color w:val="auto"/>
          <w:sz w:val="24"/>
          <w:szCs w:val="24"/>
          <w:highlight w:val="none"/>
          <w:lang w:val="en-US" w:eastAsia="zh-CN"/>
        </w:rPr>
        <w:t>养老补助资金发放人数</w:t>
      </w:r>
      <w:r>
        <w:rPr>
          <w:rFonts w:hint="eastAsia" w:ascii="宋体" w:hAnsi="宋体" w:eastAsia="宋体" w:cs="宋体"/>
          <w:color w:val="auto"/>
          <w:sz w:val="24"/>
          <w:szCs w:val="24"/>
          <w:highlight w:val="none"/>
        </w:rPr>
        <w:t>”。已设置的绩效目标具备明确性、可衡量性、可实现性、相关性、时限性。根据评分标准，该指标不扣分，得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4809A3B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（5）预算编制科学性：</w:t>
      </w:r>
      <w:r>
        <w:rPr>
          <w:rFonts w:hint="eastAsia" w:ascii="宋体" w:hAnsi="宋体" w:eastAsia="宋体" w:cs="宋体"/>
          <w:color w:val="auto"/>
          <w:sz w:val="24"/>
          <w:szCs w:val="24"/>
          <w:highlight w:val="none"/>
        </w:rPr>
        <w:t>本项目城乡居民养老保险县财政配套</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，即预算编制较科学且经过论证；</w:t>
      </w:r>
    </w:p>
    <w:p w14:paraId="7E0DBAA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预算申请内容为城乡居民养老保险县财政配套</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，项目实际内容为城乡居民养老保险县财政配套</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，预算申请与《城乡居民养老保险县财政配套项目实施方案》中涉及的项目内容匹配；</w:t>
      </w:r>
    </w:p>
    <w:p w14:paraId="641826C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本项目预算申请资金</w:t>
      </w:r>
      <w:r>
        <w:rPr>
          <w:rFonts w:hint="eastAsia" w:ascii="宋体" w:hAnsi="宋体" w:eastAsia="宋体" w:cs="宋体"/>
          <w:color w:val="auto"/>
          <w:sz w:val="24"/>
          <w:szCs w:val="24"/>
          <w:highlight w:val="none"/>
          <w:lang w:val="en-US" w:eastAsia="zh-CN"/>
        </w:rPr>
        <w:t>471.09</w:t>
      </w:r>
      <w:r>
        <w:rPr>
          <w:rFonts w:hint="eastAsia" w:ascii="宋体" w:hAnsi="宋体" w:eastAsia="宋体" w:cs="宋体"/>
          <w:color w:val="auto"/>
          <w:sz w:val="24"/>
          <w:szCs w:val="24"/>
          <w:highlight w:val="none"/>
        </w:rPr>
        <w:t>万元，我单位在预算申请中严格按照项目实施内容及测算标准进行核算，其中：</w:t>
      </w:r>
      <w:r>
        <w:rPr>
          <w:rFonts w:hint="eastAsia" w:ascii="宋体" w:hAnsi="宋体" w:eastAsia="宋体" w:cs="宋体"/>
          <w:color w:val="auto"/>
          <w:sz w:val="24"/>
          <w:szCs w:val="24"/>
          <w:highlight w:val="none"/>
          <w:lang w:val="en-US" w:eastAsia="zh-CN"/>
        </w:rPr>
        <w:t>养老补助县配套</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471.09</w:t>
      </w:r>
      <w:r>
        <w:rPr>
          <w:rFonts w:hint="eastAsia" w:ascii="宋体" w:hAnsi="宋体" w:eastAsia="宋体" w:cs="宋体"/>
          <w:color w:val="auto"/>
          <w:sz w:val="24"/>
          <w:szCs w:val="24"/>
          <w:highlight w:val="none"/>
        </w:rPr>
        <w:t>万元。预算确定资金量与实际工作任务相匹配。本项目预算额度测算依据充分，严格按照标准编制，预算确定资金量与实际工作任务相匹配；根据评分标准，该指标不扣分，得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20F5F8A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（6）资金分配合理性：</w:t>
      </w:r>
      <w:r>
        <w:rPr>
          <w:rFonts w:hint="eastAsia" w:ascii="宋体" w:hAnsi="宋体" w:eastAsia="宋体" w:cs="宋体"/>
          <w:color w:val="auto"/>
          <w:sz w:val="24"/>
          <w:szCs w:val="24"/>
          <w:highlight w:val="none"/>
        </w:rPr>
        <w:t>本项目实际分配资金以《关于申请城乡居民养老保险县财政配套项目资金的请示》和《城乡居民养老保险县财政配套项目实施方案》为依据进行资金分配，预算资金分配依据充分。根据《</w:t>
      </w:r>
      <w:r>
        <w:rPr>
          <w:rFonts w:hint="eastAsia" w:ascii="宋体" w:hAnsi="宋体" w:eastAsia="宋体" w:cs="宋体"/>
          <w:color w:val="auto"/>
          <w:sz w:val="24"/>
          <w:szCs w:val="24"/>
          <w:highlight w:val="none"/>
          <w:lang w:val="en-US" w:eastAsia="zh-CN"/>
        </w:rPr>
        <w:t>洛浦县会议纪要</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洛财纪字</w:t>
      </w: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lang w:val="en-US" w:eastAsia="zh-CN"/>
        </w:rPr>
        <w:t>24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号），本项目实际到位资金</w:t>
      </w:r>
      <w:r>
        <w:rPr>
          <w:rFonts w:hint="eastAsia" w:ascii="宋体" w:hAnsi="宋体" w:eastAsia="宋体" w:cs="宋体"/>
          <w:color w:val="auto"/>
          <w:sz w:val="24"/>
          <w:szCs w:val="24"/>
          <w:highlight w:val="none"/>
          <w:lang w:val="en-US" w:eastAsia="zh-CN"/>
        </w:rPr>
        <w:t>471.09</w:t>
      </w:r>
      <w:r>
        <w:rPr>
          <w:rFonts w:hint="eastAsia" w:ascii="宋体" w:hAnsi="宋体" w:eastAsia="宋体" w:cs="宋体"/>
          <w:color w:val="auto"/>
          <w:sz w:val="24"/>
          <w:szCs w:val="24"/>
          <w:highlight w:val="none"/>
        </w:rPr>
        <w:t>万元，资金分配额度合理，与我单位实际需求相适应。资金分配与实际相适应，根据评分标准，该指标不扣分，得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49EA52FC">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（二）项目过程情况</w:t>
      </w:r>
    </w:p>
    <w:p w14:paraId="2F013B7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项目过程类指标包括资金管理和组织实施两方面的内容，由 5个三级指标构成，权重分为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56B1519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bCs/>
          <w:color w:val="auto"/>
          <w:sz w:val="24"/>
          <w:szCs w:val="24"/>
          <w:highlight w:val="none"/>
        </w:rPr>
        <w:t>（1）资金到位率：</w:t>
      </w:r>
      <w:r>
        <w:rPr>
          <w:rFonts w:hint="eastAsia" w:ascii="宋体" w:hAnsi="宋体" w:eastAsia="宋体" w:cs="宋体"/>
          <w:b w:val="0"/>
          <w:bCs w:val="0"/>
          <w:color w:val="auto"/>
          <w:sz w:val="24"/>
          <w:szCs w:val="24"/>
          <w:highlight w:val="none"/>
        </w:rPr>
        <w:t>本项目预算资金为</w:t>
      </w:r>
      <w:r>
        <w:rPr>
          <w:rFonts w:hint="eastAsia" w:ascii="宋体" w:hAnsi="宋体" w:eastAsia="宋体" w:cs="宋体"/>
          <w:b w:val="0"/>
          <w:bCs w:val="0"/>
          <w:color w:val="auto"/>
          <w:sz w:val="24"/>
          <w:szCs w:val="24"/>
          <w:highlight w:val="none"/>
          <w:lang w:val="en-US" w:eastAsia="zh-CN"/>
        </w:rPr>
        <w:t>471.09</w:t>
      </w:r>
      <w:r>
        <w:rPr>
          <w:rFonts w:hint="eastAsia" w:ascii="宋体" w:hAnsi="宋体" w:eastAsia="宋体" w:cs="宋体"/>
          <w:b w:val="0"/>
          <w:bCs w:val="0"/>
          <w:color w:val="auto"/>
          <w:sz w:val="24"/>
          <w:szCs w:val="24"/>
          <w:highlight w:val="none"/>
        </w:rPr>
        <w:t>万元，其中：财政安排资金</w:t>
      </w:r>
      <w:r>
        <w:rPr>
          <w:rFonts w:hint="eastAsia" w:ascii="宋体" w:hAnsi="宋体" w:eastAsia="宋体" w:cs="宋体"/>
          <w:b w:val="0"/>
          <w:bCs w:val="0"/>
          <w:color w:val="auto"/>
          <w:sz w:val="24"/>
          <w:szCs w:val="24"/>
          <w:highlight w:val="none"/>
          <w:lang w:val="en-US" w:eastAsia="zh-CN"/>
        </w:rPr>
        <w:t>471.09</w:t>
      </w:r>
      <w:r>
        <w:rPr>
          <w:rFonts w:hint="eastAsia" w:ascii="宋体" w:hAnsi="宋体" w:eastAsia="宋体" w:cs="宋体"/>
          <w:b w:val="0"/>
          <w:bCs w:val="0"/>
          <w:color w:val="auto"/>
          <w:sz w:val="24"/>
          <w:szCs w:val="24"/>
          <w:highlight w:val="none"/>
        </w:rPr>
        <w:t>万元，其他资金</w:t>
      </w:r>
      <w:r>
        <w:rPr>
          <w:rFonts w:hint="eastAsia" w:ascii="宋体" w:hAnsi="宋体" w:eastAsia="宋体" w:cs="宋体"/>
          <w:b w:val="0"/>
          <w:bCs w:val="0"/>
          <w:color w:val="auto"/>
          <w:sz w:val="24"/>
          <w:szCs w:val="24"/>
          <w:highlight w:val="none"/>
          <w:lang w:val="en-US" w:eastAsia="zh-CN"/>
        </w:rPr>
        <w:t>0</w:t>
      </w:r>
      <w:r>
        <w:rPr>
          <w:rFonts w:hint="eastAsia" w:ascii="宋体" w:hAnsi="宋体" w:eastAsia="宋体" w:cs="宋体"/>
          <w:b w:val="0"/>
          <w:bCs w:val="0"/>
          <w:color w:val="auto"/>
          <w:sz w:val="24"/>
          <w:szCs w:val="24"/>
          <w:highlight w:val="none"/>
        </w:rPr>
        <w:t>万元，实际到位资金</w:t>
      </w:r>
      <w:r>
        <w:rPr>
          <w:rFonts w:hint="eastAsia" w:ascii="宋体" w:hAnsi="宋体" w:eastAsia="宋体" w:cs="宋体"/>
          <w:b w:val="0"/>
          <w:bCs w:val="0"/>
          <w:color w:val="auto"/>
          <w:sz w:val="24"/>
          <w:szCs w:val="24"/>
          <w:highlight w:val="none"/>
          <w:lang w:val="en-US" w:eastAsia="zh-CN"/>
        </w:rPr>
        <w:t>471.09</w:t>
      </w:r>
      <w:r>
        <w:rPr>
          <w:rFonts w:hint="eastAsia" w:ascii="宋体" w:hAnsi="宋体" w:eastAsia="宋体" w:cs="宋体"/>
          <w:b w:val="0"/>
          <w:bCs w:val="0"/>
          <w:color w:val="auto"/>
          <w:sz w:val="24"/>
          <w:szCs w:val="24"/>
          <w:highlight w:val="none"/>
        </w:rPr>
        <w:t>万元，资金到位率=</w:t>
      </w:r>
      <w:r>
        <w:rPr>
          <w:rFonts w:hint="eastAsia" w:ascii="宋体" w:hAnsi="宋体" w:eastAsia="宋体" w:cs="宋体"/>
          <w:b w:val="0"/>
          <w:bCs w:val="0"/>
          <w:color w:val="auto"/>
          <w:sz w:val="24"/>
          <w:szCs w:val="24"/>
          <w:highlight w:val="none"/>
          <w:lang w:val="en-US" w:eastAsia="zh-CN"/>
        </w:rPr>
        <w:t>100%；通过分析可知，该项目</w:t>
      </w:r>
      <w:r>
        <w:rPr>
          <w:rFonts w:hint="eastAsia" w:ascii="宋体" w:hAnsi="宋体" w:eastAsia="宋体" w:cs="宋体"/>
          <w:b w:val="0"/>
          <w:bCs w:val="0"/>
          <w:color w:val="auto"/>
          <w:sz w:val="24"/>
          <w:szCs w:val="24"/>
          <w:highlight w:val="none"/>
        </w:rPr>
        <w:t>财政资金足额拨付到位，能够及时足额</w:t>
      </w:r>
      <w:r>
        <w:rPr>
          <w:rFonts w:hint="eastAsia" w:ascii="宋体" w:hAnsi="宋体" w:eastAsia="宋体" w:cs="宋体"/>
          <w:b w:val="0"/>
          <w:bCs w:val="0"/>
          <w:color w:val="auto"/>
          <w:sz w:val="24"/>
          <w:szCs w:val="24"/>
          <w:highlight w:val="none"/>
          <w:lang w:val="en-US" w:eastAsia="zh-CN"/>
        </w:rPr>
        <w:t>支付</w:t>
      </w:r>
      <w:r>
        <w:rPr>
          <w:rFonts w:hint="eastAsia" w:ascii="宋体" w:hAnsi="宋体" w:eastAsia="宋体" w:cs="宋体"/>
          <w:b w:val="0"/>
          <w:bCs w:val="0"/>
          <w:color w:val="auto"/>
          <w:sz w:val="24"/>
          <w:szCs w:val="24"/>
          <w:highlight w:val="none"/>
        </w:rPr>
        <w:t>给</w:t>
      </w:r>
      <w:r>
        <w:rPr>
          <w:rFonts w:hint="eastAsia" w:ascii="宋体" w:hAnsi="宋体" w:eastAsia="宋体" w:cs="宋体"/>
          <w:b w:val="0"/>
          <w:bCs w:val="0"/>
          <w:color w:val="auto"/>
          <w:sz w:val="24"/>
          <w:szCs w:val="24"/>
          <w:highlight w:val="none"/>
          <w:lang w:val="en-US" w:eastAsia="zh-CN"/>
        </w:rPr>
        <w:t>实施</w:t>
      </w:r>
      <w:r>
        <w:rPr>
          <w:rFonts w:hint="eastAsia" w:ascii="宋体" w:hAnsi="宋体" w:eastAsia="宋体" w:cs="宋体"/>
          <w:b w:val="0"/>
          <w:bCs w:val="0"/>
          <w:color w:val="auto"/>
          <w:sz w:val="24"/>
          <w:szCs w:val="24"/>
          <w:highlight w:val="none"/>
        </w:rPr>
        <w:t>单位</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根据评分标准，该指标不扣分，得</w:t>
      </w: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 xml:space="preserve">分。   </w:t>
      </w:r>
    </w:p>
    <w:p w14:paraId="691E984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（2）预算执行率：</w:t>
      </w: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highlight w:val="none"/>
          <w:lang w:val="en-US" w:eastAsia="zh-CN"/>
        </w:rPr>
        <w:t>471.09</w:t>
      </w:r>
      <w:r>
        <w:rPr>
          <w:rFonts w:hint="eastAsia" w:ascii="宋体" w:hAnsi="宋体" w:eastAsia="宋体" w:cs="宋体"/>
          <w:color w:val="auto"/>
          <w:sz w:val="24"/>
          <w:szCs w:val="24"/>
          <w:highlight w:val="none"/>
        </w:rPr>
        <w:t>万元，预算执行率=（实际支出资金/实际到位资金）×100.0%=</w:t>
      </w:r>
      <w:r>
        <w:rPr>
          <w:rFonts w:hint="eastAsia" w:ascii="宋体" w:hAnsi="宋体" w:eastAsia="宋体" w:cs="宋体"/>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00</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通过分析可知，该项目</w:t>
      </w:r>
      <w:r>
        <w:rPr>
          <w:rFonts w:hint="eastAsia" w:ascii="宋体" w:hAnsi="宋体" w:eastAsia="宋体" w:cs="宋体"/>
          <w:b w:val="0"/>
          <w:bCs w:val="0"/>
          <w:color w:val="auto"/>
          <w:sz w:val="24"/>
          <w:szCs w:val="24"/>
          <w:highlight w:val="none"/>
        </w:rPr>
        <w:t>预算编制较为详</w:t>
      </w:r>
      <w:r>
        <w:rPr>
          <w:rFonts w:hint="eastAsia" w:ascii="宋体" w:hAnsi="宋体" w:eastAsia="宋体" w:cs="宋体"/>
          <w:color w:val="auto"/>
          <w:sz w:val="24"/>
          <w:szCs w:val="24"/>
          <w:highlight w:val="none"/>
        </w:rPr>
        <w:t>细，项目资金支出总体能够按照预算执行，根据评分标准，该指标不扣分，得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02B9CC4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（3）资金使用合规性：</w:t>
      </w: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b w:val="0"/>
          <w:bCs w:val="0"/>
          <w:color w:val="auto"/>
          <w:sz w:val="24"/>
          <w:szCs w:val="24"/>
          <w:highlight w:val="none"/>
          <w:lang w:val="en-US" w:eastAsia="zh-CN"/>
        </w:rPr>
        <w:t>洛浦县社会保险中心</w:t>
      </w:r>
      <w:r>
        <w:rPr>
          <w:rFonts w:hint="eastAsia" w:ascii="宋体" w:hAnsi="宋体" w:eastAsia="宋体" w:cs="宋体"/>
          <w:color w:val="auto"/>
          <w:sz w:val="24"/>
          <w:szCs w:val="24"/>
          <w:highlight w:val="none"/>
        </w:rPr>
        <w:t>单位资金管理办法》《</w:t>
      </w:r>
      <w:r>
        <w:rPr>
          <w:rFonts w:hint="eastAsia" w:ascii="宋体" w:hAnsi="宋体" w:eastAsia="宋体" w:cs="宋体"/>
          <w:b w:val="0"/>
          <w:bCs w:val="0"/>
          <w:color w:val="auto"/>
          <w:sz w:val="24"/>
          <w:szCs w:val="24"/>
          <w:highlight w:val="none"/>
          <w:lang w:val="en-US" w:eastAsia="zh-CN"/>
        </w:rPr>
        <w:t>洛浦县社会保险中心</w:t>
      </w:r>
      <w:r>
        <w:rPr>
          <w:rFonts w:hint="eastAsia" w:ascii="宋体" w:hAnsi="宋体" w:eastAsia="宋体" w:cs="宋体"/>
          <w:color w:val="auto"/>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348959C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b/>
          <w:bCs/>
          <w:color w:val="auto"/>
          <w:sz w:val="24"/>
          <w:szCs w:val="24"/>
          <w:highlight w:val="none"/>
        </w:rPr>
        <w:t>4）管理制度健全性：</w:t>
      </w:r>
      <w:r>
        <w:rPr>
          <w:rFonts w:hint="eastAsia" w:ascii="宋体" w:hAnsi="宋体" w:eastAsia="宋体" w:cs="宋体"/>
          <w:b w:val="0"/>
          <w:bCs w:val="0"/>
          <w:color w:val="auto"/>
          <w:sz w:val="24"/>
          <w:szCs w:val="24"/>
          <w:highlight w:val="none"/>
        </w:rPr>
        <w:t>我单位已制定《</w:t>
      </w:r>
      <w:r>
        <w:rPr>
          <w:rFonts w:hint="eastAsia" w:ascii="宋体" w:hAnsi="宋体" w:eastAsia="宋体" w:cs="宋体"/>
          <w:b w:val="0"/>
          <w:bCs w:val="0"/>
          <w:color w:val="auto"/>
          <w:sz w:val="24"/>
          <w:szCs w:val="24"/>
          <w:highlight w:val="none"/>
          <w:lang w:val="en-US" w:eastAsia="zh-CN"/>
        </w:rPr>
        <w:t>洛浦县社会保险中心</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b w:val="0"/>
          <w:bCs w:val="0"/>
          <w:color w:val="auto"/>
          <w:sz w:val="24"/>
          <w:szCs w:val="24"/>
          <w:highlight w:val="none"/>
          <w:lang w:val="en-US" w:eastAsia="zh-CN"/>
        </w:rPr>
        <w:t>洛浦县社会保险中心</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b w:val="0"/>
          <w:bCs w:val="0"/>
          <w:color w:val="auto"/>
          <w:sz w:val="24"/>
          <w:szCs w:val="24"/>
          <w:highlight w:val="none"/>
          <w:lang w:val="en-US" w:eastAsia="zh-CN"/>
        </w:rPr>
        <w:t>洛浦县社会保险中心</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b w:val="0"/>
          <w:bCs w:val="0"/>
          <w:color w:val="auto"/>
          <w:sz w:val="24"/>
          <w:szCs w:val="24"/>
          <w:highlight w:val="none"/>
          <w:lang w:val="en-US" w:eastAsia="zh-CN"/>
        </w:rPr>
        <w:t>洛浦县社会保险中心</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b w:val="0"/>
          <w:bCs w:val="0"/>
          <w:color w:val="auto"/>
          <w:sz w:val="24"/>
          <w:szCs w:val="24"/>
          <w:highlight w:val="none"/>
          <w:lang w:val="en-US" w:eastAsia="zh-CN"/>
        </w:rPr>
        <w:t>相关</w:t>
      </w:r>
      <w:r>
        <w:rPr>
          <w:rFonts w:hint="eastAsia" w:ascii="宋体" w:hAnsi="宋体" w:eastAsia="宋体" w:cs="宋体"/>
          <w:b w:val="0"/>
          <w:bCs w:val="0"/>
          <w:color w:val="auto"/>
          <w:sz w:val="24"/>
          <w:szCs w:val="24"/>
          <w:highlight w:val="none"/>
        </w:rPr>
        <w:t>制度均符合行政事业单位内控管理要求，财务和业务管理制度合法、合规、完整，本项目执行符合上述制度规定。根据评分标准，该指标不扣分，得</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分。</w:t>
      </w:r>
    </w:p>
    <w:p w14:paraId="5DFC9BB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（5）制度执行有效性</w:t>
      </w:r>
      <w:r>
        <w:rPr>
          <w:rFonts w:hint="eastAsia" w:ascii="宋体" w:hAnsi="宋体" w:eastAsia="宋体" w:cs="宋体"/>
          <w:color w:val="auto"/>
          <w:sz w:val="24"/>
          <w:szCs w:val="24"/>
          <w:highlight w:val="none"/>
        </w:rPr>
        <w:t>：①该项目的实施符合《</w:t>
      </w:r>
      <w:r>
        <w:rPr>
          <w:rFonts w:hint="eastAsia" w:ascii="宋体" w:hAnsi="宋体" w:eastAsia="宋体" w:cs="宋体"/>
          <w:b w:val="0"/>
          <w:bCs w:val="0"/>
          <w:color w:val="auto"/>
          <w:sz w:val="24"/>
          <w:szCs w:val="24"/>
          <w:highlight w:val="none"/>
          <w:lang w:val="en-US" w:eastAsia="zh-CN"/>
        </w:rPr>
        <w:t>洛浦县社会保险中心</w:t>
      </w:r>
      <w:r>
        <w:rPr>
          <w:rFonts w:hint="eastAsia" w:ascii="宋体" w:hAnsi="宋体" w:eastAsia="宋体" w:cs="宋体"/>
          <w:color w:val="auto"/>
          <w:sz w:val="24"/>
          <w:szCs w:val="24"/>
          <w:highlight w:val="none"/>
        </w:rPr>
        <w:t>办法》《</w:t>
      </w:r>
      <w:r>
        <w:rPr>
          <w:rFonts w:hint="eastAsia" w:ascii="宋体" w:hAnsi="宋体" w:eastAsia="宋体" w:cs="宋体"/>
          <w:b w:val="0"/>
          <w:bCs w:val="0"/>
          <w:color w:val="auto"/>
          <w:sz w:val="24"/>
          <w:szCs w:val="24"/>
          <w:highlight w:val="none"/>
          <w:lang w:val="en-US" w:eastAsia="zh-CN"/>
        </w:rPr>
        <w:t>洛浦县社会保险中心</w:t>
      </w:r>
      <w:r>
        <w:rPr>
          <w:rFonts w:hint="eastAsia" w:ascii="宋体" w:hAnsi="宋体" w:eastAsia="宋体" w:cs="宋体"/>
          <w:color w:val="auto"/>
          <w:sz w:val="24"/>
          <w:szCs w:val="24"/>
          <w:highlight w:val="none"/>
        </w:rPr>
        <w:t>管理制度》《</w:t>
      </w:r>
      <w:r>
        <w:rPr>
          <w:rFonts w:hint="eastAsia" w:ascii="宋体" w:hAnsi="宋体" w:eastAsia="宋体" w:cs="宋体"/>
          <w:b w:val="0"/>
          <w:bCs w:val="0"/>
          <w:color w:val="auto"/>
          <w:sz w:val="24"/>
          <w:szCs w:val="24"/>
          <w:highlight w:val="none"/>
          <w:lang w:val="en-US" w:eastAsia="zh-CN"/>
        </w:rPr>
        <w:t>洛浦县社会保险中心</w:t>
      </w:r>
      <w:r>
        <w:rPr>
          <w:rFonts w:hint="eastAsia" w:ascii="宋体" w:hAnsi="宋体" w:eastAsia="宋体" w:cs="宋体"/>
          <w:color w:val="auto"/>
          <w:sz w:val="24"/>
          <w:szCs w:val="24"/>
          <w:highlight w:val="none"/>
        </w:rPr>
        <w:t>采购业务管理制度》《</w:t>
      </w:r>
      <w:r>
        <w:rPr>
          <w:rFonts w:hint="eastAsia" w:ascii="宋体" w:hAnsi="宋体" w:eastAsia="宋体" w:cs="宋体"/>
          <w:b w:val="0"/>
          <w:bCs w:val="0"/>
          <w:color w:val="auto"/>
          <w:sz w:val="24"/>
          <w:szCs w:val="24"/>
          <w:highlight w:val="none"/>
          <w:lang w:val="en-US" w:eastAsia="zh-CN"/>
        </w:rPr>
        <w:t>洛浦县社会保险中心</w:t>
      </w:r>
      <w:r>
        <w:rPr>
          <w:rFonts w:hint="eastAsia" w:ascii="宋体" w:hAnsi="宋体" w:eastAsia="宋体" w:cs="宋体"/>
          <w:color w:val="auto"/>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64BD0D2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50218DE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③该项目是否存在调整，调整手续是否齐全，如未调整，则填“该项目实施过程中不存在调整事项”。</w:t>
      </w:r>
    </w:p>
    <w:p w14:paraId="7DE24CD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城乡居民养老保险县财政配套项目工作领导小组，由</w:t>
      </w:r>
      <w:r>
        <w:rPr>
          <w:rFonts w:hint="eastAsia" w:ascii="宋体" w:hAnsi="宋体" w:eastAsia="宋体" w:cs="宋体"/>
          <w:color w:val="auto"/>
          <w:sz w:val="24"/>
          <w:szCs w:val="24"/>
          <w:highlight w:val="none"/>
          <w:lang w:val="en-US" w:eastAsia="zh-CN"/>
        </w:rPr>
        <w:t>张腾龙</w:t>
      </w:r>
      <w:r>
        <w:rPr>
          <w:rFonts w:hint="eastAsia" w:ascii="宋体" w:hAnsi="宋体" w:eastAsia="宋体" w:cs="宋体"/>
          <w:color w:val="auto"/>
          <w:sz w:val="24"/>
          <w:szCs w:val="24"/>
          <w:highlight w:val="none"/>
        </w:rPr>
        <w:t>任组长，负责项目的组织工作；</w:t>
      </w:r>
      <w:r>
        <w:rPr>
          <w:rFonts w:hint="eastAsia" w:ascii="宋体" w:hAnsi="宋体" w:eastAsia="宋体" w:cs="宋体"/>
          <w:color w:val="auto"/>
          <w:sz w:val="24"/>
          <w:szCs w:val="24"/>
          <w:highlight w:val="none"/>
          <w:lang w:val="en-US" w:eastAsia="zh-CN"/>
        </w:rPr>
        <w:t>付巧红</w:t>
      </w:r>
      <w:r>
        <w:rPr>
          <w:rFonts w:hint="eastAsia" w:ascii="宋体" w:hAnsi="宋体" w:eastAsia="宋体" w:cs="宋体"/>
          <w:color w:val="auto"/>
          <w:sz w:val="24"/>
          <w:szCs w:val="24"/>
          <w:highlight w:val="none"/>
        </w:rPr>
        <w:t>任副组长，负责项目的实施工作；组员包括：</w:t>
      </w:r>
      <w:r>
        <w:rPr>
          <w:rFonts w:hint="eastAsia" w:ascii="宋体" w:hAnsi="宋体" w:eastAsia="宋体" w:cs="宋体"/>
          <w:color w:val="auto"/>
          <w:sz w:val="24"/>
          <w:szCs w:val="24"/>
          <w:highlight w:val="none"/>
          <w:lang w:val="en-US" w:eastAsia="zh-CN"/>
        </w:rPr>
        <w:t>美合日妮萨·斯拉吉</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val="en-US" w:eastAsia="zh-CN"/>
        </w:rPr>
        <w:t>王建</w:t>
      </w:r>
      <w:r>
        <w:rPr>
          <w:rFonts w:hint="eastAsia" w:ascii="宋体" w:hAnsi="宋体" w:eastAsia="宋体" w:cs="宋体"/>
          <w:color w:val="auto"/>
          <w:sz w:val="24"/>
          <w:szCs w:val="24"/>
          <w:highlight w:val="none"/>
        </w:rPr>
        <w:t>，主要负责项目监督管理、验收以及资金核拨等工作。根据评分标准，该指标不扣分，得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66EB3E87">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7E4DB32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6F72E7C0">
      <w:pPr>
        <w:pageBreakBefore w:val="0"/>
        <w:widowControl w:val="0"/>
        <w:numPr>
          <w:ilvl w:val="0"/>
          <w:numId w:val="5"/>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对于“产出数量”</w:t>
      </w:r>
    </w:p>
    <w:p w14:paraId="7C75DD5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养老补助资金发放人数指标，预期指标值为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1.8822万人，实际完成值为=1.9647万人，指标完成率为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32494E2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5077EC54">
      <w:pPr>
        <w:pageBreakBefore w:val="0"/>
        <w:widowControl w:val="0"/>
        <w:numPr>
          <w:ilvl w:val="0"/>
          <w:numId w:val="5"/>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对于“产出质量”：</w:t>
      </w:r>
    </w:p>
    <w:p w14:paraId="4505B5D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补助资金发放覆盖率指标，预期指标值为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w:t>
      </w:r>
      <w:r>
        <w:rPr>
          <w:rFonts w:hint="eastAsia" w:ascii="宋体" w:hAnsi="宋体" w:eastAsia="宋体" w:cs="宋体"/>
          <w:b w:val="0"/>
          <w:bCs w:val="0"/>
          <w:color w:val="auto"/>
          <w:sz w:val="24"/>
          <w:szCs w:val="24"/>
          <w:highlight w:val="none"/>
        </w:rPr>
        <w:t>期目标一致，根据评分标准，该指标不扣分，得</w:t>
      </w: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rPr>
        <w:t>分。</w:t>
      </w:r>
    </w:p>
    <w:p w14:paraId="799DD8B9">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val="0"/>
          <w:color w:val="auto"/>
          <w:sz w:val="24"/>
          <w:szCs w:val="24"/>
          <w:highlight w:val="none"/>
        </w:rPr>
        <w:t>补助资金发放准确率指标，预期指标值为</w:t>
      </w:r>
      <w:r>
        <w:rPr>
          <w:rFonts w:hint="eastAsia" w:ascii="宋体" w:hAnsi="宋体" w:eastAsia="宋体" w:cs="宋体"/>
          <w:b w:val="0"/>
          <w:bCs w:val="0"/>
          <w:color w:val="auto"/>
          <w:sz w:val="24"/>
          <w:szCs w:val="24"/>
          <w:highlight w:val="none"/>
          <w:lang w:val="en-US" w:eastAsia="zh-CN"/>
        </w:rPr>
        <w:t>100%</w:t>
      </w:r>
      <w:r>
        <w:rPr>
          <w:rFonts w:hint="eastAsia" w:ascii="宋体" w:hAnsi="宋体" w:eastAsia="宋体" w:cs="宋体"/>
          <w:b w:val="0"/>
          <w:bCs w:val="0"/>
          <w:color w:val="auto"/>
          <w:sz w:val="24"/>
          <w:szCs w:val="24"/>
          <w:highlight w:val="none"/>
        </w:rPr>
        <w:t>，实际完成值为</w:t>
      </w:r>
      <w:r>
        <w:rPr>
          <w:rFonts w:hint="eastAsia" w:ascii="宋体" w:hAnsi="宋体" w:eastAsia="宋体" w:cs="宋体"/>
          <w:b w:val="0"/>
          <w:bCs w:val="0"/>
          <w:color w:val="auto"/>
          <w:sz w:val="24"/>
          <w:szCs w:val="24"/>
          <w:highlight w:val="none"/>
          <w:lang w:val="en-US" w:eastAsia="zh-CN"/>
        </w:rPr>
        <w:t>100%</w:t>
      </w:r>
      <w:r>
        <w:rPr>
          <w:rFonts w:hint="eastAsia" w:ascii="宋体" w:hAnsi="宋体" w:eastAsia="宋体" w:cs="宋体"/>
          <w:b w:val="0"/>
          <w:bCs w:val="0"/>
          <w:color w:val="auto"/>
          <w:sz w:val="24"/>
          <w:szCs w:val="24"/>
          <w:highlight w:val="none"/>
        </w:rPr>
        <w:t>，指标完成率为</w:t>
      </w:r>
      <w:r>
        <w:rPr>
          <w:rFonts w:hint="eastAsia" w:ascii="宋体" w:hAnsi="宋体" w:eastAsia="宋体" w:cs="宋体"/>
          <w:b w:val="0"/>
          <w:bCs w:val="0"/>
          <w:color w:val="auto"/>
          <w:sz w:val="24"/>
          <w:szCs w:val="24"/>
          <w:highlight w:val="none"/>
          <w:lang w:val="en-US" w:eastAsia="zh-CN"/>
        </w:rPr>
        <w:t>100%</w:t>
      </w:r>
      <w:r>
        <w:rPr>
          <w:rFonts w:hint="eastAsia" w:ascii="宋体" w:hAnsi="宋体" w:eastAsia="宋体" w:cs="宋体"/>
          <w:b w:val="0"/>
          <w:bCs w:val="0"/>
          <w:color w:val="auto"/>
          <w:sz w:val="24"/>
          <w:szCs w:val="24"/>
          <w:highlight w:val="none"/>
        </w:rPr>
        <w:t>，与预期目标一致，根据评分标准，该指标不扣分，得</w:t>
      </w: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rPr>
        <w:t>分</w:t>
      </w:r>
      <w:r>
        <w:rPr>
          <w:rFonts w:hint="eastAsia" w:ascii="宋体" w:hAnsi="宋体" w:eastAsia="宋体" w:cs="宋体"/>
          <w:b w:val="0"/>
          <w:bCs/>
          <w:color w:val="auto"/>
          <w:sz w:val="24"/>
          <w:szCs w:val="24"/>
          <w:highlight w:val="none"/>
        </w:rPr>
        <w:t>。</w:t>
      </w:r>
    </w:p>
    <w:p w14:paraId="1FCE70E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10415638">
      <w:pPr>
        <w:pStyle w:val="10"/>
        <w:pageBreakBefore w:val="0"/>
        <w:widowControl w:val="0"/>
        <w:numPr>
          <w:ilvl w:val="0"/>
          <w:numId w:val="5"/>
        </w:numPr>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对于“产出时效”：</w:t>
      </w:r>
    </w:p>
    <w:p w14:paraId="0F449D74">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补助资金发放及时率指标，预期指标值为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，实际完成值为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，指标完成率为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，与预期目标一致，根据评分标准，该指标不扣分，</w:t>
      </w:r>
      <w:r>
        <w:rPr>
          <w:rFonts w:hint="eastAsia" w:ascii="宋体" w:hAnsi="宋体" w:eastAsia="宋体" w:cs="宋体"/>
          <w:b w:val="0"/>
          <w:bCs/>
          <w:color w:val="auto"/>
          <w:sz w:val="24"/>
          <w:szCs w:val="24"/>
          <w:highlight w:val="none"/>
        </w:rPr>
        <w:t>得</w:t>
      </w:r>
      <w:r>
        <w:rPr>
          <w:rFonts w:hint="eastAsia" w:ascii="宋体" w:hAnsi="宋体" w:eastAsia="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rPr>
        <w:t>分</w:t>
      </w:r>
      <w:r>
        <w:rPr>
          <w:rFonts w:hint="eastAsia" w:ascii="宋体" w:hAnsi="宋体" w:eastAsia="宋体" w:cs="宋体"/>
          <w:b w:val="0"/>
          <w:color w:val="auto"/>
          <w:sz w:val="24"/>
          <w:szCs w:val="24"/>
          <w:highlight w:val="none"/>
        </w:rPr>
        <w:t>。</w:t>
      </w:r>
    </w:p>
    <w:p w14:paraId="4ABF26B1">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项目完成时间指标，预期指标值为2024年12月，实际完成值为2024年12月，指标完成率为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，与预期目标一致，根据评分标准，该指标不扣分，</w:t>
      </w:r>
      <w:r>
        <w:rPr>
          <w:rFonts w:hint="eastAsia" w:ascii="宋体" w:hAnsi="宋体" w:eastAsia="宋体" w:cs="宋体"/>
          <w:b w:val="0"/>
          <w:bCs/>
          <w:color w:val="auto"/>
          <w:sz w:val="24"/>
          <w:szCs w:val="24"/>
          <w:highlight w:val="none"/>
        </w:rPr>
        <w:t>得</w:t>
      </w:r>
      <w:r>
        <w:rPr>
          <w:rFonts w:hint="eastAsia" w:ascii="宋体" w:hAnsi="宋体" w:eastAsia="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rPr>
        <w:t>分</w:t>
      </w:r>
      <w:r>
        <w:rPr>
          <w:rFonts w:hint="eastAsia" w:ascii="宋体" w:hAnsi="宋体" w:eastAsia="宋体" w:cs="宋体"/>
          <w:b w:val="0"/>
          <w:color w:val="auto"/>
          <w:sz w:val="24"/>
          <w:szCs w:val="24"/>
          <w:highlight w:val="none"/>
        </w:rPr>
        <w:t>。</w:t>
      </w:r>
    </w:p>
    <w:p w14:paraId="71EF2583">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合计得</w:t>
      </w:r>
      <w:r>
        <w:rPr>
          <w:rFonts w:hint="eastAsia" w:ascii="宋体" w:hAnsi="宋体" w:eastAsia="宋体" w:cs="宋体"/>
          <w:b w:val="0"/>
          <w:bCs/>
          <w:color w:val="auto"/>
          <w:sz w:val="24"/>
          <w:szCs w:val="24"/>
          <w:highlight w:val="none"/>
          <w:lang w:val="en-US" w:eastAsia="zh-CN"/>
        </w:rPr>
        <w:t>10</w:t>
      </w:r>
      <w:r>
        <w:rPr>
          <w:rFonts w:hint="eastAsia" w:ascii="宋体" w:hAnsi="宋体" w:eastAsia="宋体" w:cs="宋体"/>
          <w:b w:val="0"/>
          <w:bCs/>
          <w:color w:val="auto"/>
          <w:sz w:val="24"/>
          <w:szCs w:val="24"/>
          <w:highlight w:val="none"/>
        </w:rPr>
        <w:t>分。</w:t>
      </w:r>
    </w:p>
    <w:p w14:paraId="7F895CF3">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（4）对于“产出成本”：</w:t>
      </w:r>
    </w:p>
    <w:p w14:paraId="31D53BB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城乡居民养老补助资金发放标准指标，预期指标值为</w:t>
      </w:r>
      <w:r>
        <w:rPr>
          <w:rFonts w:hint="eastAsia" w:ascii="宋体" w:hAnsi="宋体" w:eastAsia="宋体" w:cs="宋体"/>
          <w:color w:val="auto"/>
          <w:sz w:val="24"/>
          <w:szCs w:val="24"/>
          <w:highlight w:val="none"/>
          <w:lang w:val="en-US" w:eastAsia="zh-CN"/>
        </w:rPr>
        <w:t>18元/人/月</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18元/人/月</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本年支付工程余款金额</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万元，项目经费都能控制绩效目标范围内，根据评分标准，该指标不扣分，得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0A5F6D5A">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（四）项目效益情况</w:t>
      </w:r>
    </w:p>
    <w:p w14:paraId="5B8C462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项目效益类指标包括项目效益1个方面的内容，由2个三级指标构成，权重分为</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分，得分率为100%。</w:t>
      </w:r>
    </w:p>
    <w:p w14:paraId="66F4DDC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（1）对于“社会效益指标”：</w:t>
      </w:r>
    </w:p>
    <w:p w14:paraId="4159918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b w:val="0"/>
          <w:bCs w:val="0"/>
          <w:color w:val="auto"/>
          <w:sz w:val="24"/>
          <w:szCs w:val="24"/>
          <w:lang w:val="en-US" w:eastAsia="zh-CN"/>
        </w:rPr>
        <w:t>保障社会稳定和长治久安</w:t>
      </w:r>
      <w:r>
        <w:rPr>
          <w:rFonts w:hint="eastAsia" w:ascii="宋体" w:hAnsi="宋体" w:eastAsia="宋体" w:cs="宋体"/>
          <w:b w:val="0"/>
          <w:bCs w:val="0"/>
          <w:color w:val="auto"/>
          <w:sz w:val="24"/>
          <w:szCs w:val="24"/>
        </w:rPr>
        <w:t>，该指标预期指标值为</w:t>
      </w:r>
      <w:r>
        <w:rPr>
          <w:rFonts w:hint="eastAsia" w:ascii="宋体" w:hAnsi="宋体" w:eastAsia="宋体" w:cs="宋体"/>
          <w:b w:val="0"/>
          <w:bCs w:val="0"/>
          <w:color w:val="auto"/>
          <w:sz w:val="24"/>
          <w:szCs w:val="24"/>
          <w:lang w:val="en-US" w:eastAsia="zh-CN"/>
        </w:rPr>
        <w:t>有效保</w:t>
      </w:r>
      <w:r>
        <w:rPr>
          <w:rFonts w:hint="eastAsia" w:ascii="宋体" w:hAnsi="宋体" w:eastAsia="宋体" w:cs="宋体"/>
          <w:color w:val="auto"/>
          <w:sz w:val="24"/>
          <w:szCs w:val="24"/>
          <w:lang w:val="en-US" w:eastAsia="zh-CN"/>
        </w:rPr>
        <w:t>障</w:t>
      </w:r>
      <w:r>
        <w:rPr>
          <w:rFonts w:hint="eastAsia" w:ascii="宋体" w:hAnsi="宋体" w:eastAsia="宋体" w:cs="宋体"/>
          <w:color w:val="auto"/>
          <w:sz w:val="24"/>
          <w:szCs w:val="24"/>
        </w:rPr>
        <w:t>，实际完成值为</w:t>
      </w:r>
      <w:r>
        <w:rPr>
          <w:rFonts w:hint="eastAsia" w:ascii="宋体" w:hAnsi="宋体" w:eastAsia="宋体" w:cs="宋体"/>
          <w:color w:val="auto"/>
          <w:sz w:val="24"/>
          <w:szCs w:val="24"/>
          <w:lang w:val="en-US" w:eastAsia="zh-CN"/>
        </w:rPr>
        <w:t>有效保障</w:t>
      </w:r>
      <w:r>
        <w:rPr>
          <w:rFonts w:hint="eastAsia" w:ascii="宋体" w:hAnsi="宋体" w:eastAsia="宋体" w:cs="宋体"/>
          <w:color w:val="auto"/>
          <w:sz w:val="24"/>
          <w:szCs w:val="24"/>
        </w:rPr>
        <w:t>，指标完成率为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，与预期指标一致，根据评分标准，该指标不扣分，得</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5分。</w:t>
      </w:r>
    </w:p>
    <w:p w14:paraId="30F9A856">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w:t>
      </w:r>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rPr>
        <w:t>）满意度指标分析</w:t>
      </w:r>
    </w:p>
    <w:p w14:paraId="4C70AEA1">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对于“满意度指标：</w:t>
      </w:r>
      <w:r>
        <w:rPr>
          <w:rFonts w:hint="eastAsia" w:ascii="宋体" w:hAnsi="宋体" w:eastAsia="宋体" w:cs="宋体"/>
          <w:color w:val="auto"/>
          <w:sz w:val="24"/>
          <w:szCs w:val="24"/>
          <w:lang w:val="en-US" w:eastAsia="zh-CN"/>
        </w:rPr>
        <w:t>城乡参保居民满意度</w:t>
      </w:r>
      <w:r>
        <w:rPr>
          <w:rFonts w:hint="eastAsia" w:ascii="宋体" w:hAnsi="宋体" w:eastAsia="宋体" w:cs="宋体"/>
          <w:color w:val="auto"/>
          <w:sz w:val="24"/>
          <w:szCs w:val="24"/>
        </w:rPr>
        <w:t>，该指标预期指标值为</w:t>
      </w:r>
      <w:r>
        <w:rPr>
          <w:rFonts w:hint="eastAsia" w:ascii="宋体" w:hAnsi="宋体" w:eastAsia="宋体" w:cs="宋体"/>
          <w:color w:val="auto"/>
          <w:sz w:val="24"/>
          <w:szCs w:val="24"/>
          <w:lang w:val="en-US" w:eastAsia="zh-CN"/>
        </w:rPr>
        <w:t>≥95%</w:t>
      </w:r>
      <w:r>
        <w:rPr>
          <w:rFonts w:hint="eastAsia" w:ascii="宋体" w:hAnsi="宋体" w:eastAsia="宋体" w:cs="宋体"/>
          <w:color w:val="auto"/>
          <w:sz w:val="24"/>
          <w:szCs w:val="24"/>
        </w:rPr>
        <w:t>，实际完成值为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，指标完成率为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，与预期目标一致，根据评分标准，该指标不扣分,得10分。</w:t>
      </w:r>
      <w:bookmarkEnd w:id="17"/>
    </w:p>
    <w:p w14:paraId="57CA99E5">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p>
    <w:p w14:paraId="1177414F">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五、预算执行进度与绩效指标偏差情况</w:t>
      </w:r>
    </w:p>
    <w:p w14:paraId="3478EC47">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本项目年初预算资金总额为</w:t>
      </w:r>
      <w:r>
        <w:rPr>
          <w:rFonts w:hint="eastAsia" w:ascii="宋体" w:hAnsi="宋体" w:eastAsia="宋体" w:cs="宋体"/>
          <w:color w:val="auto"/>
          <w:sz w:val="24"/>
          <w:szCs w:val="24"/>
          <w:lang w:val="en-US" w:eastAsia="zh-CN"/>
        </w:rPr>
        <w:t>471.09</w:t>
      </w:r>
      <w:r>
        <w:rPr>
          <w:rFonts w:hint="eastAsia" w:ascii="宋体" w:hAnsi="宋体" w:eastAsia="宋体" w:cs="宋体"/>
          <w:color w:val="auto"/>
          <w:sz w:val="24"/>
          <w:szCs w:val="24"/>
        </w:rPr>
        <w:t>万元，全年预算数为</w:t>
      </w:r>
      <w:r>
        <w:rPr>
          <w:rFonts w:hint="eastAsia" w:ascii="宋体" w:hAnsi="宋体" w:eastAsia="宋体" w:cs="宋体"/>
          <w:color w:val="auto"/>
          <w:sz w:val="24"/>
          <w:szCs w:val="24"/>
          <w:lang w:val="en-US" w:eastAsia="zh-CN"/>
        </w:rPr>
        <w:t>471.09</w:t>
      </w:r>
      <w:r>
        <w:rPr>
          <w:rFonts w:hint="eastAsia" w:ascii="宋体" w:hAnsi="宋体" w:eastAsia="宋体" w:cs="宋体"/>
          <w:color w:val="auto"/>
          <w:sz w:val="24"/>
          <w:szCs w:val="24"/>
        </w:rPr>
        <w:t>万元，全年执行数为</w:t>
      </w:r>
      <w:r>
        <w:rPr>
          <w:rFonts w:hint="eastAsia" w:ascii="宋体" w:hAnsi="宋体" w:eastAsia="宋体" w:cs="宋体"/>
          <w:color w:val="auto"/>
          <w:sz w:val="24"/>
          <w:szCs w:val="24"/>
          <w:lang w:val="en-US" w:eastAsia="zh-CN"/>
        </w:rPr>
        <w:t>471.09</w:t>
      </w:r>
      <w:r>
        <w:rPr>
          <w:rFonts w:hint="eastAsia" w:ascii="宋体" w:hAnsi="宋体" w:eastAsia="宋体" w:cs="宋体"/>
          <w:color w:val="auto"/>
          <w:sz w:val="24"/>
          <w:szCs w:val="24"/>
        </w:rPr>
        <w:t>万元，预算执行率为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3608B047">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本项目共设置三级指标数量</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个，满分指标数量</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个，扣分指标数量</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个，经分析计算所有三级指标完成率得出，本项目总体完成率为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6C8CDC85">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综上所述本项目预算执行率与总体完成率之间的偏差为</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w:t>
      </w:r>
    </w:p>
    <w:p w14:paraId="5C62E81B">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bookmarkStart w:id="18" w:name="_Toc68364673"/>
    </w:p>
    <w:p w14:paraId="1FD05C81">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六、主要经验及做法、存在的问题及原因分析</w:t>
      </w:r>
    </w:p>
    <w:p w14:paraId="7509CD8F">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color w:val="auto"/>
          <w:sz w:val="24"/>
          <w:szCs w:val="24"/>
        </w:rPr>
        <w:t>（一）主要经验及做法</w:t>
      </w:r>
      <w:bookmarkEnd w:id="18"/>
    </w:p>
    <w:p w14:paraId="769EC1D7">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一是本项目能够严格按照《项目实施方案》执行，项目执行情况较好。</w:t>
      </w:r>
    </w:p>
    <w:p w14:paraId="106CDC16">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二是加强组织领导，本项目绩效评价工作，有主要领导亲自挂帅，分管领导具体负责，从项目到资金，均能够很好的执行。</w:t>
      </w:r>
    </w:p>
    <w:p w14:paraId="547AC513">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三是加强沟通协调，我单位及时向领导汇报项目建设进度，加强与施工单位的沟通，确保项目按期完工。</w:t>
      </w:r>
    </w:p>
    <w:p w14:paraId="354FB3BD">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rPr>
      </w:pPr>
      <w:bookmarkStart w:id="19" w:name="_Toc68364674"/>
      <w:r>
        <w:rPr>
          <w:rFonts w:hint="eastAsia" w:ascii="宋体" w:hAnsi="宋体" w:eastAsia="宋体" w:cs="宋体"/>
          <w:color w:val="auto"/>
          <w:sz w:val="24"/>
          <w:szCs w:val="24"/>
        </w:rPr>
        <w:t>（二）存在问题及原因分析</w:t>
      </w:r>
      <w:bookmarkEnd w:id="19"/>
    </w:p>
    <w:p w14:paraId="2C8458D9">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lang w:val="en-US" w:eastAsia="zh-CN"/>
        </w:rPr>
      </w:pPr>
      <w:bookmarkStart w:id="20" w:name="_Toc68364675"/>
      <w:r>
        <w:rPr>
          <w:rFonts w:hint="eastAsia" w:ascii="宋体" w:hAnsi="宋体" w:eastAsia="宋体" w:cs="宋体"/>
          <w:b w:val="0"/>
          <w:bCs w:val="0"/>
          <w:color w:val="auto"/>
          <w:sz w:val="24"/>
          <w:szCs w:val="24"/>
          <w:lang w:val="en-US" w:eastAsia="zh-CN"/>
        </w:rPr>
        <w:t>无</w:t>
      </w:r>
    </w:p>
    <w:p w14:paraId="418D2785">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p>
    <w:p w14:paraId="6FD3EF24">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val="0"/>
          <w:bCs w:val="0"/>
          <w:color w:val="auto"/>
          <w:sz w:val="24"/>
          <w:szCs w:val="24"/>
        </w:rPr>
      </w:pPr>
      <w:r>
        <w:rPr>
          <w:rFonts w:hint="eastAsia" w:ascii="黑体" w:hAnsi="黑体" w:eastAsia="黑体" w:cs="黑体"/>
          <w:color w:val="auto"/>
          <w:sz w:val="24"/>
          <w:szCs w:val="24"/>
        </w:rPr>
        <w:t>七、有关建议</w:t>
      </w:r>
      <w:bookmarkEnd w:id="20"/>
    </w:p>
    <w:p w14:paraId="2F6D6C92">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无</w:t>
      </w:r>
      <w:bookmarkStart w:id="21" w:name="_Toc68364676"/>
    </w:p>
    <w:p w14:paraId="4FE2115C">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p>
    <w:p w14:paraId="18DAACE2">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八、其他需要说明的问题</w:t>
      </w:r>
      <w:bookmarkEnd w:id="21"/>
    </w:p>
    <w:p w14:paraId="11907A73">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我单位对上述项目支出绩效评价报告内反映内容的真实性、完整性负责，</w:t>
      </w:r>
      <w:r>
        <w:rPr>
          <w:rFonts w:hint="eastAsia" w:ascii="宋体" w:hAnsi="宋体" w:eastAsia="宋体" w:cs="宋体"/>
          <w:color w:val="auto"/>
          <w:sz w:val="24"/>
          <w:szCs w:val="24"/>
          <w:lang w:val="en-US" w:eastAsia="zh-CN"/>
        </w:rPr>
        <w:t>愿</w:t>
      </w:r>
      <w:r>
        <w:rPr>
          <w:rFonts w:hint="eastAsia" w:ascii="宋体" w:hAnsi="宋体" w:eastAsia="宋体" w:cs="宋体"/>
          <w:color w:val="auto"/>
          <w:sz w:val="24"/>
          <w:szCs w:val="24"/>
        </w:rPr>
        <w:t>接受上级部门及社会公众监督。</w:t>
      </w:r>
    </w:p>
    <w:p w14:paraId="30D7E043">
      <w:pPr>
        <w:pageBreakBefore w:val="0"/>
        <w:widowControl w:val="0"/>
        <w:kinsoku/>
        <w:wordWrap/>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附件1：</w:t>
      </w:r>
      <w:r>
        <w:rPr>
          <w:rFonts w:hint="eastAsia" w:ascii="宋体" w:hAnsi="宋体" w:eastAsia="宋体" w:cs="宋体"/>
          <w:color w:val="auto"/>
          <w:sz w:val="24"/>
          <w:szCs w:val="24"/>
        </w:rPr>
        <w:t>城乡居民养老保险县财政配套</w:t>
      </w:r>
      <w:r>
        <w:rPr>
          <w:rFonts w:hint="eastAsia" w:ascii="宋体" w:hAnsi="宋体" w:eastAsia="宋体" w:cs="宋体"/>
          <w:color w:val="auto"/>
          <w:kern w:val="0"/>
          <w:sz w:val="24"/>
          <w:szCs w:val="24"/>
          <w:lang w:val="en-US" w:eastAsia="zh-CN" w:bidi="ar-SA"/>
        </w:rPr>
        <w:t>项目绩效评价指标体系</w:t>
      </w:r>
    </w:p>
    <w:p w14:paraId="1E534EDB">
      <w:pPr>
        <w:pStyle w:val="10"/>
        <w:ind w:left="0" w:leftChars="0" w:firstLine="480" w:firstLineChars="200"/>
        <w:jc w:val="both"/>
        <w:rPr>
          <w:rFonts w:hint="eastAsia" w:ascii="宋体" w:hAnsi="宋体" w:eastAsia="宋体" w:cs="宋体"/>
          <w:b w:val="0"/>
          <w:color w:val="auto"/>
          <w:kern w:val="2"/>
          <w:sz w:val="24"/>
          <w:szCs w:val="24"/>
          <w:lang w:val="en-US" w:eastAsia="zh-CN" w:bidi="ar-SA"/>
        </w:rPr>
        <w:sectPr>
          <w:footerReference r:id="rId11" w:type="default"/>
          <w:pgSz w:w="11906" w:h="16838"/>
          <w:pgMar w:top="1985" w:right="1531" w:bottom="1701" w:left="1531" w:header="851" w:footer="992" w:gutter="0"/>
          <w:pgNumType w:fmt="decimal" w:start="1"/>
          <w:cols w:space="720" w:num="1"/>
          <w:docGrid w:type="linesAndChars" w:linePitch="386" w:charSpace="0"/>
        </w:sectPr>
      </w:pPr>
      <w:r>
        <w:rPr>
          <w:rFonts w:hint="eastAsia" w:ascii="宋体" w:hAnsi="宋体" w:eastAsia="宋体" w:cs="宋体"/>
          <w:b w:val="0"/>
          <w:color w:val="auto"/>
          <w:kern w:val="2"/>
          <w:sz w:val="24"/>
          <w:szCs w:val="24"/>
          <w:lang w:val="en-US" w:eastAsia="zh-CN" w:bidi="ar-SA"/>
        </w:rPr>
        <w:t>附件2：城乡居民养老保险县财政配套项目综合得分</w:t>
      </w:r>
    </w:p>
    <w:tbl>
      <w:tblPr>
        <w:tblStyle w:val="2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03"/>
        <w:gridCol w:w="690"/>
        <w:gridCol w:w="513"/>
        <w:gridCol w:w="642"/>
        <w:gridCol w:w="856"/>
        <w:gridCol w:w="577"/>
        <w:gridCol w:w="2227"/>
        <w:gridCol w:w="770"/>
        <w:gridCol w:w="4417"/>
        <w:gridCol w:w="946"/>
        <w:gridCol w:w="727"/>
      </w:tblGrid>
      <w:tr w14:paraId="60F64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375" w:type="pct"/>
            <w:tcBorders>
              <w:top w:val="nil"/>
              <w:left w:val="nil"/>
              <w:bottom w:val="nil"/>
              <w:right w:val="nil"/>
            </w:tcBorders>
            <w:noWrap/>
            <w:vAlign w:val="center"/>
          </w:tcPr>
          <w:p w14:paraId="6112ED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附件1：</w:t>
            </w:r>
          </w:p>
        </w:tc>
        <w:tc>
          <w:tcPr>
            <w:tcW w:w="258" w:type="pct"/>
            <w:tcBorders>
              <w:top w:val="nil"/>
              <w:left w:val="nil"/>
              <w:bottom w:val="nil"/>
              <w:right w:val="nil"/>
            </w:tcBorders>
            <w:noWrap/>
            <w:vAlign w:val="center"/>
          </w:tcPr>
          <w:p w14:paraId="4F5D3392">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b/>
                <w:bCs/>
                <w:i w:val="0"/>
                <w:iCs w:val="0"/>
                <w:color w:val="auto"/>
                <w:sz w:val="21"/>
                <w:szCs w:val="21"/>
                <w:u w:val="none"/>
              </w:rPr>
            </w:pPr>
          </w:p>
        </w:tc>
        <w:tc>
          <w:tcPr>
            <w:tcW w:w="192" w:type="pct"/>
            <w:tcBorders>
              <w:top w:val="nil"/>
              <w:left w:val="nil"/>
              <w:bottom w:val="nil"/>
              <w:right w:val="nil"/>
            </w:tcBorders>
            <w:noWrap/>
            <w:vAlign w:val="center"/>
          </w:tcPr>
          <w:p w14:paraId="172C26A0">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b/>
                <w:bCs/>
                <w:i w:val="0"/>
                <w:iCs w:val="0"/>
                <w:color w:val="auto"/>
                <w:sz w:val="21"/>
                <w:szCs w:val="21"/>
                <w:u w:val="none"/>
              </w:rPr>
            </w:pPr>
          </w:p>
        </w:tc>
        <w:tc>
          <w:tcPr>
            <w:tcW w:w="240" w:type="pct"/>
            <w:tcBorders>
              <w:top w:val="nil"/>
              <w:left w:val="nil"/>
              <w:bottom w:val="nil"/>
              <w:right w:val="nil"/>
            </w:tcBorders>
            <w:noWrap/>
            <w:vAlign w:val="center"/>
          </w:tcPr>
          <w:p w14:paraId="75000A27">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b/>
                <w:bCs/>
                <w:i w:val="0"/>
                <w:iCs w:val="0"/>
                <w:color w:val="auto"/>
                <w:sz w:val="21"/>
                <w:szCs w:val="21"/>
                <w:u w:val="none"/>
              </w:rPr>
            </w:pPr>
          </w:p>
        </w:tc>
        <w:tc>
          <w:tcPr>
            <w:tcW w:w="320" w:type="pct"/>
            <w:tcBorders>
              <w:top w:val="nil"/>
              <w:left w:val="nil"/>
              <w:bottom w:val="nil"/>
              <w:right w:val="nil"/>
            </w:tcBorders>
            <w:noWrap/>
            <w:vAlign w:val="center"/>
          </w:tcPr>
          <w:p w14:paraId="5654C2B7">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b/>
                <w:bCs/>
                <w:i w:val="0"/>
                <w:iCs w:val="0"/>
                <w:color w:val="auto"/>
                <w:sz w:val="21"/>
                <w:szCs w:val="21"/>
                <w:u w:val="none"/>
              </w:rPr>
            </w:pPr>
          </w:p>
        </w:tc>
        <w:tc>
          <w:tcPr>
            <w:tcW w:w="216" w:type="pct"/>
            <w:tcBorders>
              <w:top w:val="nil"/>
              <w:left w:val="nil"/>
              <w:bottom w:val="nil"/>
              <w:right w:val="nil"/>
            </w:tcBorders>
            <w:noWrap/>
            <w:vAlign w:val="center"/>
          </w:tcPr>
          <w:p w14:paraId="61C81B2E">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b/>
                <w:bCs/>
                <w:i w:val="0"/>
                <w:iCs w:val="0"/>
                <w:color w:val="auto"/>
                <w:sz w:val="21"/>
                <w:szCs w:val="21"/>
                <w:u w:val="none"/>
              </w:rPr>
            </w:pPr>
          </w:p>
        </w:tc>
        <w:tc>
          <w:tcPr>
            <w:tcW w:w="833" w:type="pct"/>
            <w:tcBorders>
              <w:top w:val="nil"/>
              <w:left w:val="nil"/>
              <w:bottom w:val="nil"/>
              <w:right w:val="nil"/>
            </w:tcBorders>
            <w:noWrap/>
            <w:vAlign w:val="center"/>
          </w:tcPr>
          <w:p w14:paraId="6B81965A">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b/>
                <w:bCs/>
                <w:i w:val="0"/>
                <w:iCs w:val="0"/>
                <w:color w:val="auto"/>
                <w:sz w:val="21"/>
                <w:szCs w:val="21"/>
                <w:u w:val="none"/>
              </w:rPr>
            </w:pPr>
          </w:p>
        </w:tc>
        <w:tc>
          <w:tcPr>
            <w:tcW w:w="288" w:type="pct"/>
            <w:tcBorders>
              <w:top w:val="nil"/>
              <w:left w:val="nil"/>
              <w:bottom w:val="nil"/>
              <w:right w:val="nil"/>
            </w:tcBorders>
            <w:noWrap/>
            <w:vAlign w:val="center"/>
          </w:tcPr>
          <w:p w14:paraId="1A1A8F5A">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b/>
                <w:bCs/>
                <w:i w:val="0"/>
                <w:iCs w:val="0"/>
                <w:color w:val="auto"/>
                <w:sz w:val="21"/>
                <w:szCs w:val="21"/>
                <w:u w:val="none"/>
              </w:rPr>
            </w:pPr>
          </w:p>
        </w:tc>
        <w:tc>
          <w:tcPr>
            <w:tcW w:w="1652" w:type="pct"/>
            <w:tcBorders>
              <w:top w:val="nil"/>
              <w:left w:val="nil"/>
              <w:bottom w:val="nil"/>
              <w:right w:val="nil"/>
            </w:tcBorders>
            <w:noWrap/>
            <w:vAlign w:val="center"/>
          </w:tcPr>
          <w:p w14:paraId="3CD9B7E0">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b/>
                <w:bCs/>
                <w:i w:val="0"/>
                <w:iCs w:val="0"/>
                <w:color w:val="auto"/>
                <w:sz w:val="21"/>
                <w:szCs w:val="21"/>
                <w:u w:val="none"/>
              </w:rPr>
            </w:pPr>
          </w:p>
        </w:tc>
        <w:tc>
          <w:tcPr>
            <w:tcW w:w="354" w:type="pct"/>
            <w:tcBorders>
              <w:top w:val="nil"/>
              <w:left w:val="nil"/>
              <w:bottom w:val="nil"/>
              <w:right w:val="nil"/>
            </w:tcBorders>
            <w:noWrap/>
            <w:vAlign w:val="center"/>
          </w:tcPr>
          <w:p w14:paraId="029213D8">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b/>
                <w:bCs/>
                <w:i w:val="0"/>
                <w:iCs w:val="0"/>
                <w:color w:val="auto"/>
                <w:sz w:val="21"/>
                <w:szCs w:val="21"/>
                <w:u w:val="none"/>
              </w:rPr>
            </w:pPr>
          </w:p>
        </w:tc>
        <w:tc>
          <w:tcPr>
            <w:tcW w:w="267" w:type="pct"/>
            <w:tcBorders>
              <w:top w:val="nil"/>
              <w:left w:val="nil"/>
              <w:bottom w:val="nil"/>
              <w:right w:val="nil"/>
            </w:tcBorders>
            <w:noWrap/>
            <w:vAlign w:val="center"/>
          </w:tcPr>
          <w:p w14:paraId="640BA205">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b/>
                <w:bCs/>
                <w:i w:val="0"/>
                <w:iCs w:val="0"/>
                <w:color w:val="auto"/>
                <w:sz w:val="21"/>
                <w:szCs w:val="21"/>
                <w:u w:val="none"/>
              </w:rPr>
            </w:pPr>
          </w:p>
        </w:tc>
      </w:tr>
      <w:tr w14:paraId="34957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000" w:type="pct"/>
            <w:gridSpan w:val="11"/>
            <w:tcBorders>
              <w:top w:val="nil"/>
              <w:left w:val="nil"/>
              <w:bottom w:val="nil"/>
              <w:right w:val="nil"/>
            </w:tcBorders>
            <w:noWrap w:val="0"/>
            <w:vAlign w:val="center"/>
          </w:tcPr>
          <w:p w14:paraId="50B377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城乡居民养老保险县财政配套项目</w:t>
            </w:r>
            <w:r>
              <w:rPr>
                <w:rStyle w:val="58"/>
                <w:rFonts w:hint="eastAsia" w:ascii="宋体" w:hAnsi="宋体" w:eastAsia="宋体" w:cs="宋体"/>
                <w:color w:val="auto"/>
                <w:sz w:val="21"/>
                <w:szCs w:val="21"/>
                <w:lang w:val="en-US" w:eastAsia="zh-CN"/>
              </w:rPr>
              <w:t>绩效评价指标体系综合评分表</w:t>
            </w:r>
          </w:p>
        </w:tc>
      </w:tr>
      <w:tr w14:paraId="72213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75" w:type="pct"/>
            <w:tcBorders>
              <w:top w:val="single" w:color="auto" w:sz="4" w:space="0"/>
              <w:left w:val="single" w:color="auto" w:sz="4" w:space="0"/>
              <w:bottom w:val="single" w:color="auto" w:sz="4" w:space="0"/>
              <w:right w:val="single" w:color="auto" w:sz="4" w:space="0"/>
            </w:tcBorders>
            <w:noWrap w:val="0"/>
            <w:vAlign w:val="center"/>
          </w:tcPr>
          <w:p w14:paraId="4E4499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一级指标</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C56CA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分值</w:t>
            </w:r>
          </w:p>
        </w:tc>
        <w:tc>
          <w:tcPr>
            <w:tcW w:w="192" w:type="pct"/>
            <w:tcBorders>
              <w:top w:val="single" w:color="auto" w:sz="4" w:space="0"/>
              <w:left w:val="single" w:color="auto" w:sz="4" w:space="0"/>
              <w:bottom w:val="single" w:color="auto" w:sz="4" w:space="0"/>
              <w:right w:val="single" w:color="auto" w:sz="4" w:space="0"/>
            </w:tcBorders>
            <w:noWrap w:val="0"/>
            <w:vAlign w:val="center"/>
          </w:tcPr>
          <w:p w14:paraId="18D892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二级指标</w:t>
            </w:r>
          </w:p>
        </w:tc>
        <w:tc>
          <w:tcPr>
            <w:tcW w:w="240" w:type="pct"/>
            <w:tcBorders>
              <w:top w:val="single" w:color="auto" w:sz="4" w:space="0"/>
              <w:left w:val="single" w:color="auto" w:sz="4" w:space="0"/>
              <w:bottom w:val="single" w:color="auto" w:sz="4" w:space="0"/>
              <w:right w:val="single" w:color="auto" w:sz="4" w:space="0"/>
            </w:tcBorders>
            <w:noWrap w:val="0"/>
            <w:vAlign w:val="center"/>
          </w:tcPr>
          <w:p w14:paraId="41AFBF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分值</w:t>
            </w:r>
          </w:p>
        </w:tc>
        <w:tc>
          <w:tcPr>
            <w:tcW w:w="320" w:type="pct"/>
            <w:tcBorders>
              <w:top w:val="single" w:color="auto" w:sz="4" w:space="0"/>
              <w:left w:val="single" w:color="auto" w:sz="4" w:space="0"/>
              <w:bottom w:val="single" w:color="auto" w:sz="4" w:space="0"/>
              <w:right w:val="single" w:color="auto" w:sz="4" w:space="0"/>
            </w:tcBorders>
            <w:noWrap w:val="0"/>
            <w:vAlign w:val="center"/>
          </w:tcPr>
          <w:p w14:paraId="23850C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三级指标</w:t>
            </w:r>
          </w:p>
        </w:tc>
        <w:tc>
          <w:tcPr>
            <w:tcW w:w="216" w:type="pct"/>
            <w:tcBorders>
              <w:top w:val="single" w:color="auto" w:sz="4" w:space="0"/>
              <w:left w:val="single" w:color="auto" w:sz="4" w:space="0"/>
              <w:bottom w:val="single" w:color="auto" w:sz="4" w:space="0"/>
              <w:right w:val="single" w:color="auto" w:sz="4" w:space="0"/>
            </w:tcBorders>
            <w:noWrap w:val="0"/>
            <w:vAlign w:val="center"/>
          </w:tcPr>
          <w:p w14:paraId="2FAD16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分值</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796901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指标解释</w:t>
            </w:r>
          </w:p>
        </w:tc>
        <w:tc>
          <w:tcPr>
            <w:tcW w:w="288" w:type="pct"/>
            <w:tcBorders>
              <w:top w:val="single" w:color="auto" w:sz="4" w:space="0"/>
              <w:left w:val="single" w:color="auto" w:sz="4" w:space="0"/>
              <w:bottom w:val="single" w:color="auto" w:sz="4" w:space="0"/>
              <w:right w:val="single" w:color="auto" w:sz="4" w:space="0"/>
            </w:tcBorders>
            <w:noWrap w:val="0"/>
            <w:vAlign w:val="center"/>
          </w:tcPr>
          <w:p w14:paraId="296655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标杆值</w:t>
            </w:r>
          </w:p>
        </w:tc>
        <w:tc>
          <w:tcPr>
            <w:tcW w:w="1652" w:type="pct"/>
            <w:tcBorders>
              <w:top w:val="single" w:color="auto" w:sz="4" w:space="0"/>
              <w:left w:val="single" w:color="auto" w:sz="4" w:space="0"/>
              <w:bottom w:val="single" w:color="auto" w:sz="4" w:space="0"/>
              <w:right w:val="single" w:color="auto" w:sz="4" w:space="0"/>
            </w:tcBorders>
            <w:noWrap w:val="0"/>
            <w:vAlign w:val="center"/>
          </w:tcPr>
          <w:p w14:paraId="1D9AF6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评分标准</w:t>
            </w:r>
          </w:p>
        </w:tc>
        <w:tc>
          <w:tcPr>
            <w:tcW w:w="354" w:type="pct"/>
            <w:tcBorders>
              <w:top w:val="single" w:color="auto" w:sz="4" w:space="0"/>
              <w:left w:val="single" w:color="auto" w:sz="4" w:space="0"/>
              <w:bottom w:val="single" w:color="auto" w:sz="4" w:space="0"/>
              <w:right w:val="single" w:color="auto" w:sz="4" w:space="0"/>
            </w:tcBorders>
            <w:noWrap w:val="0"/>
            <w:vAlign w:val="center"/>
          </w:tcPr>
          <w:p w14:paraId="6DA600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完成值</w:t>
            </w:r>
          </w:p>
        </w:tc>
        <w:tc>
          <w:tcPr>
            <w:tcW w:w="267" w:type="pct"/>
            <w:tcBorders>
              <w:top w:val="single" w:color="auto" w:sz="4" w:space="0"/>
              <w:left w:val="single" w:color="auto" w:sz="4" w:space="0"/>
              <w:bottom w:val="single" w:color="auto" w:sz="4" w:space="0"/>
              <w:right w:val="single" w:color="auto" w:sz="4" w:space="0"/>
            </w:tcBorders>
            <w:noWrap w:val="0"/>
            <w:vAlign w:val="center"/>
          </w:tcPr>
          <w:p w14:paraId="4972BE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得分</w:t>
            </w:r>
          </w:p>
        </w:tc>
      </w:tr>
      <w:tr w14:paraId="4EA09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2" w:hRule="atLeast"/>
        </w:trPr>
        <w:tc>
          <w:tcPr>
            <w:tcW w:w="375" w:type="pct"/>
            <w:vMerge w:val="restart"/>
            <w:tcBorders>
              <w:top w:val="single" w:color="auto" w:sz="4" w:space="0"/>
              <w:left w:val="single" w:color="auto" w:sz="4" w:space="0"/>
              <w:bottom w:val="single" w:color="auto" w:sz="4" w:space="0"/>
              <w:right w:val="single" w:color="auto" w:sz="4" w:space="0"/>
            </w:tcBorders>
            <w:noWrap w:val="0"/>
            <w:vAlign w:val="center"/>
          </w:tcPr>
          <w:p w14:paraId="28C9B7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项目决策</w:t>
            </w:r>
          </w:p>
        </w:tc>
        <w:tc>
          <w:tcPr>
            <w:tcW w:w="258" w:type="pct"/>
            <w:vMerge w:val="restart"/>
            <w:tcBorders>
              <w:top w:val="single" w:color="auto" w:sz="4" w:space="0"/>
              <w:left w:val="single" w:color="auto" w:sz="4" w:space="0"/>
              <w:bottom w:val="single" w:color="auto" w:sz="4" w:space="0"/>
              <w:right w:val="single" w:color="auto" w:sz="4" w:space="0"/>
            </w:tcBorders>
            <w:noWrap w:val="0"/>
            <w:vAlign w:val="center"/>
          </w:tcPr>
          <w:p w14:paraId="7DBFED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23</w:t>
            </w:r>
          </w:p>
        </w:tc>
        <w:tc>
          <w:tcPr>
            <w:tcW w:w="192" w:type="pct"/>
            <w:vMerge w:val="restart"/>
            <w:tcBorders>
              <w:top w:val="single" w:color="auto" w:sz="4" w:space="0"/>
              <w:left w:val="single" w:color="auto" w:sz="4" w:space="0"/>
              <w:bottom w:val="single" w:color="auto" w:sz="4" w:space="0"/>
              <w:right w:val="single" w:color="auto" w:sz="4" w:space="0"/>
            </w:tcBorders>
            <w:noWrap w:val="0"/>
            <w:vAlign w:val="center"/>
          </w:tcPr>
          <w:p w14:paraId="1201C0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项目立项</w:t>
            </w:r>
          </w:p>
        </w:tc>
        <w:tc>
          <w:tcPr>
            <w:tcW w:w="240" w:type="pct"/>
            <w:vMerge w:val="restart"/>
            <w:tcBorders>
              <w:top w:val="single" w:color="auto" w:sz="4" w:space="0"/>
              <w:left w:val="single" w:color="auto" w:sz="4" w:space="0"/>
              <w:bottom w:val="single" w:color="auto" w:sz="4" w:space="0"/>
              <w:right w:val="single" w:color="auto" w:sz="4" w:space="0"/>
            </w:tcBorders>
            <w:noWrap w:val="0"/>
            <w:vAlign w:val="center"/>
          </w:tcPr>
          <w:p w14:paraId="539BF5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5</w:t>
            </w:r>
          </w:p>
        </w:tc>
        <w:tc>
          <w:tcPr>
            <w:tcW w:w="320" w:type="pct"/>
            <w:tcBorders>
              <w:top w:val="single" w:color="auto" w:sz="4" w:space="0"/>
              <w:left w:val="single" w:color="auto" w:sz="4" w:space="0"/>
              <w:bottom w:val="single" w:color="auto" w:sz="4" w:space="0"/>
              <w:right w:val="single" w:color="auto" w:sz="4" w:space="0"/>
            </w:tcBorders>
            <w:noWrap w:val="0"/>
            <w:vAlign w:val="center"/>
          </w:tcPr>
          <w:p w14:paraId="2E94AF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立项依据充分性</w:t>
            </w:r>
          </w:p>
        </w:tc>
        <w:tc>
          <w:tcPr>
            <w:tcW w:w="216" w:type="pct"/>
            <w:tcBorders>
              <w:top w:val="single" w:color="auto" w:sz="4" w:space="0"/>
              <w:left w:val="single" w:color="auto" w:sz="4" w:space="0"/>
              <w:bottom w:val="single" w:color="auto" w:sz="4" w:space="0"/>
              <w:right w:val="single" w:color="auto" w:sz="4" w:space="0"/>
            </w:tcBorders>
            <w:noWrap w:val="0"/>
            <w:vAlign w:val="center"/>
          </w:tcPr>
          <w:p w14:paraId="0366C7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2</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0F3F94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项目立项是否符合法律法规、相关政策、发展规划以及部门职责，用以反映和考核项目立项依据情况。</w:t>
            </w:r>
          </w:p>
        </w:tc>
        <w:tc>
          <w:tcPr>
            <w:tcW w:w="288" w:type="pct"/>
            <w:tcBorders>
              <w:top w:val="single" w:color="auto" w:sz="4" w:space="0"/>
              <w:left w:val="single" w:color="auto" w:sz="4" w:space="0"/>
              <w:bottom w:val="single" w:color="auto" w:sz="4" w:space="0"/>
              <w:right w:val="single" w:color="auto" w:sz="4" w:space="0"/>
            </w:tcBorders>
            <w:noWrap w:val="0"/>
            <w:vAlign w:val="center"/>
          </w:tcPr>
          <w:p w14:paraId="4C9634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充分</w:t>
            </w:r>
          </w:p>
        </w:tc>
        <w:tc>
          <w:tcPr>
            <w:tcW w:w="1652" w:type="pct"/>
            <w:tcBorders>
              <w:top w:val="single" w:color="auto" w:sz="4" w:space="0"/>
              <w:left w:val="single" w:color="auto" w:sz="4" w:space="0"/>
              <w:bottom w:val="single" w:color="auto" w:sz="4" w:space="0"/>
              <w:right w:val="single" w:color="auto" w:sz="4" w:space="0"/>
            </w:tcBorders>
            <w:noWrap w:val="0"/>
            <w:vAlign w:val="center"/>
          </w:tcPr>
          <w:p w14:paraId="6D7B1B6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①项目立项是否符合国家法律法规、国民经济发展规划和相关政策；</w:t>
            </w:r>
          </w:p>
          <w:p w14:paraId="324EFD2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②项目立项是否符合行业发展规划和政策要求；</w:t>
            </w:r>
          </w:p>
          <w:p w14:paraId="36220B1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③项目立项是否与部门职责范围相符，属于部门履职所需；</w:t>
            </w:r>
          </w:p>
          <w:p w14:paraId="2925235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④项目是否属于公共财政支持范围，是否符合中央、地方事权支出责任划分原则；</w:t>
            </w:r>
          </w:p>
          <w:p w14:paraId="3FA51B3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⑤项目是否与相关部门同类项目或部门内部相关项目重复。</w:t>
            </w:r>
          </w:p>
          <w:p w14:paraId="1C4B18A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以上每条要素占权重分的20%，每有一条不符合，扣除对应权重分，扣完为止。</w:t>
            </w:r>
          </w:p>
        </w:tc>
        <w:tc>
          <w:tcPr>
            <w:tcW w:w="354" w:type="pct"/>
            <w:tcBorders>
              <w:top w:val="single" w:color="auto" w:sz="4" w:space="0"/>
              <w:left w:val="single" w:color="auto" w:sz="4" w:space="0"/>
              <w:bottom w:val="single" w:color="auto" w:sz="4" w:space="0"/>
              <w:right w:val="single" w:color="auto" w:sz="4" w:space="0"/>
            </w:tcBorders>
            <w:noWrap w:val="0"/>
            <w:vAlign w:val="center"/>
          </w:tcPr>
          <w:p w14:paraId="5139FA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充分</w:t>
            </w:r>
          </w:p>
        </w:tc>
        <w:tc>
          <w:tcPr>
            <w:tcW w:w="267" w:type="pct"/>
            <w:tcBorders>
              <w:top w:val="single" w:color="auto" w:sz="4" w:space="0"/>
              <w:left w:val="single" w:color="auto" w:sz="4" w:space="0"/>
              <w:bottom w:val="single" w:color="auto" w:sz="4" w:space="0"/>
              <w:right w:val="single" w:color="auto" w:sz="4" w:space="0"/>
            </w:tcBorders>
            <w:noWrap w:val="0"/>
            <w:vAlign w:val="center"/>
          </w:tcPr>
          <w:p w14:paraId="0494223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2</w:t>
            </w:r>
          </w:p>
        </w:tc>
      </w:tr>
      <w:tr w14:paraId="2415F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375" w:type="pct"/>
            <w:vMerge w:val="continue"/>
            <w:tcBorders>
              <w:top w:val="single" w:color="auto" w:sz="4" w:space="0"/>
              <w:left w:val="single" w:color="auto" w:sz="4" w:space="0"/>
              <w:bottom w:val="single" w:color="auto" w:sz="4" w:space="0"/>
              <w:right w:val="single" w:color="auto" w:sz="4" w:space="0"/>
            </w:tcBorders>
            <w:noWrap w:val="0"/>
            <w:vAlign w:val="center"/>
          </w:tcPr>
          <w:p w14:paraId="0CDB3DD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58" w:type="pct"/>
            <w:vMerge w:val="continue"/>
            <w:tcBorders>
              <w:top w:val="single" w:color="auto" w:sz="4" w:space="0"/>
              <w:left w:val="single" w:color="auto" w:sz="4" w:space="0"/>
              <w:bottom w:val="single" w:color="auto" w:sz="4" w:space="0"/>
              <w:right w:val="single" w:color="auto" w:sz="4" w:space="0"/>
            </w:tcBorders>
            <w:noWrap w:val="0"/>
            <w:vAlign w:val="center"/>
          </w:tcPr>
          <w:p w14:paraId="20DE37F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192" w:type="pct"/>
            <w:vMerge w:val="continue"/>
            <w:tcBorders>
              <w:top w:val="single" w:color="auto" w:sz="4" w:space="0"/>
              <w:left w:val="single" w:color="auto" w:sz="4" w:space="0"/>
              <w:bottom w:val="single" w:color="auto" w:sz="4" w:space="0"/>
              <w:right w:val="single" w:color="auto" w:sz="4" w:space="0"/>
            </w:tcBorders>
            <w:noWrap w:val="0"/>
            <w:vAlign w:val="center"/>
          </w:tcPr>
          <w:p w14:paraId="52240DF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40" w:type="pct"/>
            <w:vMerge w:val="continue"/>
            <w:tcBorders>
              <w:top w:val="single" w:color="auto" w:sz="4" w:space="0"/>
              <w:left w:val="single" w:color="auto" w:sz="4" w:space="0"/>
              <w:bottom w:val="single" w:color="auto" w:sz="4" w:space="0"/>
              <w:right w:val="single" w:color="auto" w:sz="4" w:space="0"/>
            </w:tcBorders>
            <w:noWrap w:val="0"/>
            <w:vAlign w:val="center"/>
          </w:tcPr>
          <w:p w14:paraId="6A15D0F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20" w:type="pct"/>
            <w:tcBorders>
              <w:top w:val="single" w:color="auto" w:sz="4" w:space="0"/>
              <w:left w:val="single" w:color="auto" w:sz="4" w:space="0"/>
              <w:bottom w:val="single" w:color="auto" w:sz="4" w:space="0"/>
              <w:right w:val="single" w:color="auto" w:sz="4" w:space="0"/>
            </w:tcBorders>
            <w:noWrap w:val="0"/>
            <w:vAlign w:val="center"/>
          </w:tcPr>
          <w:p w14:paraId="684B8F7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立项程序规范性</w:t>
            </w:r>
          </w:p>
        </w:tc>
        <w:tc>
          <w:tcPr>
            <w:tcW w:w="216" w:type="pct"/>
            <w:tcBorders>
              <w:top w:val="single" w:color="auto" w:sz="4" w:space="0"/>
              <w:left w:val="single" w:color="auto" w:sz="4" w:space="0"/>
              <w:bottom w:val="single" w:color="auto" w:sz="4" w:space="0"/>
              <w:right w:val="single" w:color="auto" w:sz="4" w:space="0"/>
            </w:tcBorders>
            <w:noWrap w:val="0"/>
            <w:vAlign w:val="center"/>
          </w:tcPr>
          <w:p w14:paraId="2F5F6B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3</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795232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项目申请、设立过程是否符合相关要求，用以反映和考核项目立项的规范情况。</w:t>
            </w:r>
          </w:p>
        </w:tc>
        <w:tc>
          <w:tcPr>
            <w:tcW w:w="288" w:type="pct"/>
            <w:tcBorders>
              <w:top w:val="single" w:color="auto" w:sz="4" w:space="0"/>
              <w:left w:val="single" w:color="auto" w:sz="4" w:space="0"/>
              <w:bottom w:val="single" w:color="auto" w:sz="4" w:space="0"/>
              <w:right w:val="single" w:color="auto" w:sz="4" w:space="0"/>
            </w:tcBorders>
            <w:noWrap w:val="0"/>
            <w:vAlign w:val="center"/>
          </w:tcPr>
          <w:p w14:paraId="0D19DB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规范</w:t>
            </w:r>
          </w:p>
        </w:tc>
        <w:tc>
          <w:tcPr>
            <w:tcW w:w="1652" w:type="pct"/>
            <w:tcBorders>
              <w:top w:val="single" w:color="auto" w:sz="4" w:space="0"/>
              <w:left w:val="single" w:color="auto" w:sz="4" w:space="0"/>
              <w:bottom w:val="single" w:color="auto" w:sz="4" w:space="0"/>
              <w:right w:val="single" w:color="auto" w:sz="4" w:space="0"/>
            </w:tcBorders>
            <w:noWrap w:val="0"/>
            <w:vAlign w:val="center"/>
          </w:tcPr>
          <w:p w14:paraId="117D48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①项目是否按照规定的程序申请设立；</w:t>
            </w:r>
          </w:p>
          <w:p w14:paraId="70ECAC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②审批文件、材料是否符合相关要求；</w:t>
            </w:r>
          </w:p>
          <w:p w14:paraId="7A92EF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③事前是否已经过必要的可行性研究、专家论证、风险评估、绩效评估、集体决策。</w:t>
            </w:r>
          </w:p>
          <w:p w14:paraId="02C26C5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①②③齐全得权重分的100%，缺①扣权重分的40%，缺②扣权重分的30%，缺③扣权重分的30%。</w:t>
            </w:r>
          </w:p>
        </w:tc>
        <w:tc>
          <w:tcPr>
            <w:tcW w:w="354" w:type="pct"/>
            <w:tcBorders>
              <w:top w:val="single" w:color="auto" w:sz="4" w:space="0"/>
              <w:left w:val="single" w:color="auto" w:sz="4" w:space="0"/>
              <w:bottom w:val="single" w:color="auto" w:sz="4" w:space="0"/>
              <w:right w:val="single" w:color="auto" w:sz="4" w:space="0"/>
            </w:tcBorders>
            <w:noWrap w:val="0"/>
            <w:vAlign w:val="center"/>
          </w:tcPr>
          <w:p w14:paraId="57FE80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规范</w:t>
            </w:r>
          </w:p>
        </w:tc>
        <w:tc>
          <w:tcPr>
            <w:tcW w:w="267" w:type="pct"/>
            <w:tcBorders>
              <w:top w:val="single" w:color="auto" w:sz="4" w:space="0"/>
              <w:left w:val="single" w:color="auto" w:sz="4" w:space="0"/>
              <w:bottom w:val="single" w:color="auto" w:sz="4" w:space="0"/>
              <w:right w:val="single" w:color="auto" w:sz="4" w:space="0"/>
            </w:tcBorders>
            <w:noWrap w:val="0"/>
            <w:vAlign w:val="center"/>
          </w:tcPr>
          <w:p w14:paraId="7A9C939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3</w:t>
            </w:r>
          </w:p>
        </w:tc>
      </w:tr>
      <w:tr w14:paraId="50131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8" w:hRule="atLeast"/>
        </w:trPr>
        <w:tc>
          <w:tcPr>
            <w:tcW w:w="375" w:type="pct"/>
            <w:vMerge w:val="continue"/>
            <w:tcBorders>
              <w:top w:val="single" w:color="auto" w:sz="4" w:space="0"/>
              <w:left w:val="single" w:color="auto" w:sz="4" w:space="0"/>
              <w:bottom w:val="single" w:color="auto" w:sz="4" w:space="0"/>
              <w:right w:val="single" w:color="auto" w:sz="4" w:space="0"/>
            </w:tcBorders>
            <w:noWrap w:val="0"/>
            <w:vAlign w:val="center"/>
          </w:tcPr>
          <w:p w14:paraId="5B4689C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58" w:type="pct"/>
            <w:vMerge w:val="continue"/>
            <w:tcBorders>
              <w:top w:val="single" w:color="auto" w:sz="4" w:space="0"/>
              <w:left w:val="single" w:color="auto" w:sz="4" w:space="0"/>
              <w:bottom w:val="single" w:color="auto" w:sz="4" w:space="0"/>
              <w:right w:val="single" w:color="auto" w:sz="4" w:space="0"/>
            </w:tcBorders>
            <w:noWrap w:val="0"/>
            <w:vAlign w:val="center"/>
          </w:tcPr>
          <w:p w14:paraId="54B8A4B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192" w:type="pct"/>
            <w:vMerge w:val="restart"/>
            <w:tcBorders>
              <w:top w:val="single" w:color="auto" w:sz="4" w:space="0"/>
              <w:left w:val="single" w:color="auto" w:sz="4" w:space="0"/>
              <w:bottom w:val="single" w:color="auto" w:sz="4" w:space="0"/>
              <w:right w:val="single" w:color="auto" w:sz="4" w:space="0"/>
            </w:tcBorders>
            <w:noWrap w:val="0"/>
            <w:vAlign w:val="center"/>
          </w:tcPr>
          <w:p w14:paraId="50A07A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绩效目标</w:t>
            </w:r>
          </w:p>
        </w:tc>
        <w:tc>
          <w:tcPr>
            <w:tcW w:w="240" w:type="pct"/>
            <w:vMerge w:val="restart"/>
            <w:tcBorders>
              <w:top w:val="single" w:color="auto" w:sz="4" w:space="0"/>
              <w:left w:val="single" w:color="auto" w:sz="4" w:space="0"/>
              <w:bottom w:val="single" w:color="auto" w:sz="4" w:space="0"/>
              <w:right w:val="single" w:color="auto" w:sz="4" w:space="0"/>
            </w:tcBorders>
            <w:noWrap w:val="0"/>
            <w:vAlign w:val="center"/>
          </w:tcPr>
          <w:p w14:paraId="49DD3E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w:t>
            </w:r>
          </w:p>
        </w:tc>
        <w:tc>
          <w:tcPr>
            <w:tcW w:w="320" w:type="pct"/>
            <w:tcBorders>
              <w:top w:val="single" w:color="auto" w:sz="4" w:space="0"/>
              <w:left w:val="single" w:color="auto" w:sz="4" w:space="0"/>
              <w:bottom w:val="single" w:color="auto" w:sz="4" w:space="0"/>
              <w:right w:val="single" w:color="auto" w:sz="4" w:space="0"/>
            </w:tcBorders>
            <w:noWrap w:val="0"/>
            <w:vAlign w:val="center"/>
          </w:tcPr>
          <w:p w14:paraId="6FBAE37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绩效目标合理性</w:t>
            </w:r>
          </w:p>
        </w:tc>
        <w:tc>
          <w:tcPr>
            <w:tcW w:w="216" w:type="pct"/>
            <w:tcBorders>
              <w:top w:val="single" w:color="auto" w:sz="4" w:space="0"/>
              <w:left w:val="single" w:color="auto" w:sz="4" w:space="0"/>
              <w:bottom w:val="single" w:color="auto" w:sz="4" w:space="0"/>
              <w:right w:val="single" w:color="auto" w:sz="4" w:space="0"/>
            </w:tcBorders>
            <w:noWrap w:val="0"/>
            <w:vAlign w:val="center"/>
          </w:tcPr>
          <w:p w14:paraId="59EB68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5</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60E975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项目所设定的绩效目标是否依据充分，是否符合客观实际，用以反映和考核项目绩效目标与项目实施的相符情况。</w:t>
            </w:r>
          </w:p>
        </w:tc>
        <w:tc>
          <w:tcPr>
            <w:tcW w:w="288" w:type="pct"/>
            <w:tcBorders>
              <w:top w:val="single" w:color="auto" w:sz="4" w:space="0"/>
              <w:left w:val="single" w:color="auto" w:sz="4" w:space="0"/>
              <w:bottom w:val="single" w:color="auto" w:sz="4" w:space="0"/>
              <w:right w:val="single" w:color="auto" w:sz="4" w:space="0"/>
            </w:tcBorders>
            <w:noWrap w:val="0"/>
            <w:vAlign w:val="center"/>
          </w:tcPr>
          <w:p w14:paraId="3E8F6A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合理</w:t>
            </w:r>
          </w:p>
        </w:tc>
        <w:tc>
          <w:tcPr>
            <w:tcW w:w="1652" w:type="pct"/>
            <w:tcBorders>
              <w:top w:val="single" w:color="auto" w:sz="4" w:space="0"/>
              <w:left w:val="single" w:color="auto" w:sz="4" w:space="0"/>
              <w:bottom w:val="single" w:color="auto" w:sz="4" w:space="0"/>
              <w:right w:val="single" w:color="auto" w:sz="4" w:space="0"/>
            </w:tcBorders>
            <w:noWrap w:val="0"/>
            <w:vAlign w:val="center"/>
          </w:tcPr>
          <w:p w14:paraId="25646A4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①项目是否有绩效目标；</w:t>
            </w:r>
          </w:p>
          <w:p w14:paraId="797E46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②项目绩效目标与实际工作内容是否具有相关性；</w:t>
            </w:r>
          </w:p>
          <w:p w14:paraId="7B622B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③项目预期产出效益和效果是否符合正常的业绩水平；</w:t>
            </w:r>
          </w:p>
          <w:p w14:paraId="050727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④是否与预算确定的项目投资额或资金量相匹配。</w:t>
            </w:r>
          </w:p>
          <w:p w14:paraId="5654CB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以上每条要素各占权重的25%，每有一条不符合，扣除对应的权重分，扣完为止。</w:t>
            </w:r>
          </w:p>
        </w:tc>
        <w:tc>
          <w:tcPr>
            <w:tcW w:w="354" w:type="pct"/>
            <w:tcBorders>
              <w:top w:val="single" w:color="auto" w:sz="4" w:space="0"/>
              <w:left w:val="single" w:color="auto" w:sz="4" w:space="0"/>
              <w:bottom w:val="single" w:color="auto" w:sz="4" w:space="0"/>
              <w:right w:val="single" w:color="auto" w:sz="4" w:space="0"/>
            </w:tcBorders>
            <w:noWrap w:val="0"/>
            <w:vAlign w:val="center"/>
          </w:tcPr>
          <w:p w14:paraId="4CAC62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合理</w:t>
            </w:r>
          </w:p>
        </w:tc>
        <w:tc>
          <w:tcPr>
            <w:tcW w:w="267" w:type="pct"/>
            <w:tcBorders>
              <w:top w:val="single" w:color="auto" w:sz="4" w:space="0"/>
              <w:left w:val="single" w:color="auto" w:sz="4" w:space="0"/>
              <w:bottom w:val="single" w:color="auto" w:sz="4" w:space="0"/>
              <w:right w:val="single" w:color="auto" w:sz="4" w:space="0"/>
            </w:tcBorders>
            <w:noWrap w:val="0"/>
            <w:vAlign w:val="center"/>
          </w:tcPr>
          <w:p w14:paraId="57F78C3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5</w:t>
            </w:r>
          </w:p>
        </w:tc>
      </w:tr>
      <w:tr w14:paraId="51C6C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0" w:hRule="atLeast"/>
        </w:trPr>
        <w:tc>
          <w:tcPr>
            <w:tcW w:w="375" w:type="pct"/>
            <w:vMerge w:val="continue"/>
            <w:tcBorders>
              <w:top w:val="single" w:color="auto" w:sz="4" w:space="0"/>
              <w:left w:val="single" w:color="auto" w:sz="4" w:space="0"/>
              <w:bottom w:val="single" w:color="auto" w:sz="4" w:space="0"/>
              <w:right w:val="single" w:color="auto" w:sz="4" w:space="0"/>
            </w:tcBorders>
            <w:noWrap w:val="0"/>
            <w:vAlign w:val="center"/>
          </w:tcPr>
          <w:p w14:paraId="72E5414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58" w:type="pct"/>
            <w:vMerge w:val="continue"/>
            <w:tcBorders>
              <w:top w:val="single" w:color="auto" w:sz="4" w:space="0"/>
              <w:left w:val="single" w:color="auto" w:sz="4" w:space="0"/>
              <w:bottom w:val="single" w:color="auto" w:sz="4" w:space="0"/>
              <w:right w:val="single" w:color="auto" w:sz="4" w:space="0"/>
            </w:tcBorders>
            <w:noWrap w:val="0"/>
            <w:vAlign w:val="center"/>
          </w:tcPr>
          <w:p w14:paraId="6E7D5A3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192" w:type="pct"/>
            <w:vMerge w:val="continue"/>
            <w:tcBorders>
              <w:top w:val="single" w:color="auto" w:sz="4" w:space="0"/>
              <w:left w:val="single" w:color="auto" w:sz="4" w:space="0"/>
              <w:bottom w:val="single" w:color="auto" w:sz="4" w:space="0"/>
              <w:right w:val="single" w:color="auto" w:sz="4" w:space="0"/>
            </w:tcBorders>
            <w:noWrap w:val="0"/>
            <w:vAlign w:val="center"/>
          </w:tcPr>
          <w:p w14:paraId="797DD35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40" w:type="pct"/>
            <w:vMerge w:val="continue"/>
            <w:tcBorders>
              <w:top w:val="single" w:color="auto" w:sz="4" w:space="0"/>
              <w:left w:val="single" w:color="auto" w:sz="4" w:space="0"/>
              <w:bottom w:val="single" w:color="auto" w:sz="4" w:space="0"/>
              <w:right w:val="single" w:color="auto" w:sz="4" w:space="0"/>
            </w:tcBorders>
            <w:noWrap w:val="0"/>
            <w:vAlign w:val="center"/>
          </w:tcPr>
          <w:p w14:paraId="0F2A886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20" w:type="pct"/>
            <w:tcBorders>
              <w:top w:val="single" w:color="auto" w:sz="4" w:space="0"/>
              <w:left w:val="single" w:color="auto" w:sz="4" w:space="0"/>
              <w:bottom w:val="single" w:color="auto" w:sz="4" w:space="0"/>
              <w:right w:val="single" w:color="auto" w:sz="4" w:space="0"/>
            </w:tcBorders>
            <w:noWrap w:val="0"/>
            <w:vAlign w:val="center"/>
          </w:tcPr>
          <w:p w14:paraId="35F81D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绩效指标明确性</w:t>
            </w:r>
          </w:p>
        </w:tc>
        <w:tc>
          <w:tcPr>
            <w:tcW w:w="216" w:type="pct"/>
            <w:tcBorders>
              <w:top w:val="single" w:color="auto" w:sz="4" w:space="0"/>
              <w:left w:val="single" w:color="auto" w:sz="4" w:space="0"/>
              <w:bottom w:val="single" w:color="auto" w:sz="4" w:space="0"/>
              <w:right w:val="single" w:color="auto" w:sz="4" w:space="0"/>
            </w:tcBorders>
            <w:noWrap w:val="0"/>
            <w:vAlign w:val="center"/>
          </w:tcPr>
          <w:p w14:paraId="647F26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5</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75FB6E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依据绩效目标设定的绩效指标是否清晰、细化、可衡量等，用以反映和考核项目绩效目标的明细化情况。</w:t>
            </w:r>
          </w:p>
        </w:tc>
        <w:tc>
          <w:tcPr>
            <w:tcW w:w="288" w:type="pct"/>
            <w:tcBorders>
              <w:top w:val="single" w:color="auto" w:sz="4" w:space="0"/>
              <w:left w:val="single" w:color="auto" w:sz="4" w:space="0"/>
              <w:bottom w:val="single" w:color="auto" w:sz="4" w:space="0"/>
              <w:right w:val="single" w:color="auto" w:sz="4" w:space="0"/>
            </w:tcBorders>
            <w:noWrap w:val="0"/>
            <w:vAlign w:val="center"/>
          </w:tcPr>
          <w:p w14:paraId="005F79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明确</w:t>
            </w:r>
          </w:p>
        </w:tc>
        <w:tc>
          <w:tcPr>
            <w:tcW w:w="1652" w:type="pct"/>
            <w:tcBorders>
              <w:top w:val="single" w:color="auto" w:sz="4" w:space="0"/>
              <w:left w:val="single" w:color="auto" w:sz="4" w:space="0"/>
              <w:bottom w:val="single" w:color="auto" w:sz="4" w:space="0"/>
              <w:right w:val="single" w:color="auto" w:sz="4" w:space="0"/>
            </w:tcBorders>
            <w:noWrap w:val="0"/>
            <w:vAlign w:val="center"/>
          </w:tcPr>
          <w:p w14:paraId="20BFAD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①是否将项目绩效目标细化分解为具体的绩效指标；</w:t>
            </w:r>
          </w:p>
          <w:p w14:paraId="250ECC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②是否通过清晰、可衡量的指标值予以体现；</w:t>
            </w:r>
          </w:p>
          <w:p w14:paraId="3AAEDA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③是否与项目目标任务数或计划数相对应。</w:t>
            </w:r>
          </w:p>
          <w:p w14:paraId="5052B3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①②③齐全得权重分的100%，缺①扣权重分的20%，缺②扣权重分的50%，缺③扣权重分的30%。</w:t>
            </w:r>
          </w:p>
        </w:tc>
        <w:tc>
          <w:tcPr>
            <w:tcW w:w="354" w:type="pct"/>
            <w:tcBorders>
              <w:top w:val="single" w:color="auto" w:sz="4" w:space="0"/>
              <w:left w:val="single" w:color="auto" w:sz="4" w:space="0"/>
              <w:bottom w:val="single" w:color="auto" w:sz="4" w:space="0"/>
              <w:right w:val="single" w:color="auto" w:sz="4" w:space="0"/>
            </w:tcBorders>
            <w:noWrap w:val="0"/>
            <w:vAlign w:val="center"/>
          </w:tcPr>
          <w:p w14:paraId="5F0670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明确</w:t>
            </w:r>
          </w:p>
        </w:tc>
        <w:tc>
          <w:tcPr>
            <w:tcW w:w="267" w:type="pct"/>
            <w:tcBorders>
              <w:top w:val="single" w:color="auto" w:sz="4" w:space="0"/>
              <w:left w:val="single" w:color="auto" w:sz="4" w:space="0"/>
              <w:bottom w:val="single" w:color="auto" w:sz="4" w:space="0"/>
              <w:right w:val="single" w:color="auto" w:sz="4" w:space="0"/>
            </w:tcBorders>
            <w:noWrap w:val="0"/>
            <w:vAlign w:val="center"/>
          </w:tcPr>
          <w:p w14:paraId="709CC44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5</w:t>
            </w:r>
          </w:p>
        </w:tc>
      </w:tr>
      <w:tr w14:paraId="69203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3" w:hRule="atLeast"/>
        </w:trPr>
        <w:tc>
          <w:tcPr>
            <w:tcW w:w="375" w:type="pct"/>
            <w:vMerge w:val="continue"/>
            <w:tcBorders>
              <w:top w:val="single" w:color="auto" w:sz="4" w:space="0"/>
              <w:left w:val="single" w:color="auto" w:sz="4" w:space="0"/>
              <w:bottom w:val="single" w:color="auto" w:sz="4" w:space="0"/>
              <w:right w:val="single" w:color="auto" w:sz="4" w:space="0"/>
            </w:tcBorders>
            <w:noWrap w:val="0"/>
            <w:vAlign w:val="center"/>
          </w:tcPr>
          <w:p w14:paraId="33B7EA6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58" w:type="pct"/>
            <w:vMerge w:val="continue"/>
            <w:tcBorders>
              <w:top w:val="single" w:color="auto" w:sz="4" w:space="0"/>
              <w:left w:val="single" w:color="auto" w:sz="4" w:space="0"/>
              <w:bottom w:val="single" w:color="auto" w:sz="4" w:space="0"/>
              <w:right w:val="single" w:color="auto" w:sz="4" w:space="0"/>
            </w:tcBorders>
            <w:noWrap w:val="0"/>
            <w:vAlign w:val="center"/>
          </w:tcPr>
          <w:p w14:paraId="0684EE3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192" w:type="pct"/>
            <w:vMerge w:val="restart"/>
            <w:tcBorders>
              <w:top w:val="single" w:color="auto" w:sz="4" w:space="0"/>
              <w:left w:val="single" w:color="auto" w:sz="4" w:space="0"/>
              <w:bottom w:val="single" w:color="auto" w:sz="4" w:space="0"/>
              <w:right w:val="single" w:color="auto" w:sz="4" w:space="0"/>
            </w:tcBorders>
            <w:noWrap w:val="0"/>
            <w:vAlign w:val="center"/>
          </w:tcPr>
          <w:p w14:paraId="018953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资金投入</w:t>
            </w:r>
          </w:p>
        </w:tc>
        <w:tc>
          <w:tcPr>
            <w:tcW w:w="240" w:type="pct"/>
            <w:vMerge w:val="restart"/>
            <w:tcBorders>
              <w:top w:val="single" w:color="auto" w:sz="4" w:space="0"/>
              <w:left w:val="single" w:color="auto" w:sz="4" w:space="0"/>
              <w:bottom w:val="single" w:color="auto" w:sz="4" w:space="0"/>
              <w:right w:val="single" w:color="auto" w:sz="4" w:space="0"/>
            </w:tcBorders>
            <w:noWrap w:val="0"/>
            <w:vAlign w:val="center"/>
          </w:tcPr>
          <w:p w14:paraId="2F5BCA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8</w:t>
            </w:r>
          </w:p>
        </w:tc>
        <w:tc>
          <w:tcPr>
            <w:tcW w:w="320" w:type="pct"/>
            <w:tcBorders>
              <w:top w:val="single" w:color="auto" w:sz="4" w:space="0"/>
              <w:left w:val="single" w:color="auto" w:sz="4" w:space="0"/>
              <w:bottom w:val="single" w:color="auto" w:sz="4" w:space="0"/>
              <w:right w:val="single" w:color="auto" w:sz="4" w:space="0"/>
            </w:tcBorders>
            <w:noWrap w:val="0"/>
            <w:vAlign w:val="center"/>
          </w:tcPr>
          <w:p w14:paraId="3D4FAD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预算编制科学性</w:t>
            </w:r>
          </w:p>
        </w:tc>
        <w:tc>
          <w:tcPr>
            <w:tcW w:w="216" w:type="pct"/>
            <w:tcBorders>
              <w:top w:val="single" w:color="auto" w:sz="4" w:space="0"/>
              <w:left w:val="single" w:color="auto" w:sz="4" w:space="0"/>
              <w:bottom w:val="single" w:color="auto" w:sz="4" w:space="0"/>
              <w:right w:val="single" w:color="auto" w:sz="4" w:space="0"/>
            </w:tcBorders>
            <w:noWrap w:val="0"/>
            <w:vAlign w:val="center"/>
          </w:tcPr>
          <w:p w14:paraId="59DAF9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4</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7FF869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项目预算编制是否经过科学论证、有明确标准，资金额度与年度目标是否相适应，用以反映和考核项目预算编制的科学性、合理性情况。</w:t>
            </w:r>
          </w:p>
        </w:tc>
        <w:tc>
          <w:tcPr>
            <w:tcW w:w="288" w:type="pct"/>
            <w:tcBorders>
              <w:top w:val="single" w:color="auto" w:sz="4" w:space="0"/>
              <w:left w:val="single" w:color="auto" w:sz="4" w:space="0"/>
              <w:bottom w:val="single" w:color="auto" w:sz="4" w:space="0"/>
              <w:right w:val="single" w:color="auto" w:sz="4" w:space="0"/>
            </w:tcBorders>
            <w:noWrap w:val="0"/>
            <w:vAlign w:val="center"/>
          </w:tcPr>
          <w:p w14:paraId="75FF9F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科学</w:t>
            </w:r>
          </w:p>
        </w:tc>
        <w:tc>
          <w:tcPr>
            <w:tcW w:w="1652" w:type="pct"/>
            <w:tcBorders>
              <w:top w:val="single" w:color="auto" w:sz="4" w:space="0"/>
              <w:left w:val="single" w:color="auto" w:sz="4" w:space="0"/>
              <w:bottom w:val="single" w:color="auto" w:sz="4" w:space="0"/>
              <w:right w:val="single" w:color="auto" w:sz="4" w:space="0"/>
            </w:tcBorders>
            <w:noWrap w:val="0"/>
            <w:vAlign w:val="center"/>
          </w:tcPr>
          <w:p w14:paraId="3AB06F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①预算编制是否经过科学论证；</w:t>
            </w:r>
          </w:p>
          <w:p w14:paraId="64D3B0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②预算内容与项目内容是否匹配；</w:t>
            </w:r>
          </w:p>
          <w:p w14:paraId="2625F5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③预算额度测算依据是否充分，是否按照标准编制；</w:t>
            </w:r>
          </w:p>
          <w:p w14:paraId="391C2E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④预算确定的项目投资额或资金量是否与工作任务相匹配。</w:t>
            </w:r>
          </w:p>
          <w:p w14:paraId="3388CC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以上每条要素各占权重的25%，每有一条不符合，扣除对应的权重分，扣完为止。</w:t>
            </w:r>
          </w:p>
        </w:tc>
        <w:tc>
          <w:tcPr>
            <w:tcW w:w="354" w:type="pct"/>
            <w:tcBorders>
              <w:top w:val="single" w:color="auto" w:sz="4" w:space="0"/>
              <w:left w:val="single" w:color="auto" w:sz="4" w:space="0"/>
              <w:bottom w:val="single" w:color="auto" w:sz="4" w:space="0"/>
              <w:right w:val="single" w:color="auto" w:sz="4" w:space="0"/>
            </w:tcBorders>
            <w:noWrap w:val="0"/>
            <w:vAlign w:val="center"/>
          </w:tcPr>
          <w:p w14:paraId="0EA7C1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科学</w:t>
            </w:r>
          </w:p>
        </w:tc>
        <w:tc>
          <w:tcPr>
            <w:tcW w:w="267" w:type="pct"/>
            <w:tcBorders>
              <w:top w:val="single" w:color="auto" w:sz="4" w:space="0"/>
              <w:left w:val="single" w:color="auto" w:sz="4" w:space="0"/>
              <w:bottom w:val="single" w:color="auto" w:sz="4" w:space="0"/>
              <w:right w:val="single" w:color="auto" w:sz="4" w:space="0"/>
            </w:tcBorders>
            <w:noWrap w:val="0"/>
            <w:vAlign w:val="center"/>
          </w:tcPr>
          <w:p w14:paraId="3488B08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4</w:t>
            </w:r>
          </w:p>
        </w:tc>
      </w:tr>
      <w:tr w14:paraId="5BBBB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375" w:type="pct"/>
            <w:vMerge w:val="continue"/>
            <w:tcBorders>
              <w:top w:val="single" w:color="auto" w:sz="4" w:space="0"/>
              <w:left w:val="single" w:color="auto" w:sz="4" w:space="0"/>
              <w:bottom w:val="single" w:color="auto" w:sz="4" w:space="0"/>
              <w:right w:val="single" w:color="auto" w:sz="4" w:space="0"/>
            </w:tcBorders>
            <w:noWrap w:val="0"/>
            <w:vAlign w:val="center"/>
          </w:tcPr>
          <w:p w14:paraId="1E757A8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58" w:type="pct"/>
            <w:vMerge w:val="continue"/>
            <w:tcBorders>
              <w:top w:val="single" w:color="auto" w:sz="4" w:space="0"/>
              <w:left w:val="single" w:color="auto" w:sz="4" w:space="0"/>
              <w:bottom w:val="single" w:color="auto" w:sz="4" w:space="0"/>
              <w:right w:val="single" w:color="auto" w:sz="4" w:space="0"/>
            </w:tcBorders>
            <w:noWrap w:val="0"/>
            <w:vAlign w:val="center"/>
          </w:tcPr>
          <w:p w14:paraId="697D203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192" w:type="pct"/>
            <w:vMerge w:val="continue"/>
            <w:tcBorders>
              <w:top w:val="single" w:color="auto" w:sz="4" w:space="0"/>
              <w:left w:val="single" w:color="auto" w:sz="4" w:space="0"/>
              <w:bottom w:val="single" w:color="auto" w:sz="4" w:space="0"/>
              <w:right w:val="single" w:color="auto" w:sz="4" w:space="0"/>
            </w:tcBorders>
            <w:noWrap w:val="0"/>
            <w:vAlign w:val="center"/>
          </w:tcPr>
          <w:p w14:paraId="13D686B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40" w:type="pct"/>
            <w:vMerge w:val="continue"/>
            <w:tcBorders>
              <w:top w:val="single" w:color="auto" w:sz="4" w:space="0"/>
              <w:left w:val="single" w:color="auto" w:sz="4" w:space="0"/>
              <w:bottom w:val="single" w:color="auto" w:sz="4" w:space="0"/>
              <w:right w:val="single" w:color="auto" w:sz="4" w:space="0"/>
            </w:tcBorders>
            <w:noWrap w:val="0"/>
            <w:vAlign w:val="center"/>
          </w:tcPr>
          <w:p w14:paraId="7CA6C34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20" w:type="pct"/>
            <w:tcBorders>
              <w:top w:val="single" w:color="auto" w:sz="4" w:space="0"/>
              <w:left w:val="single" w:color="auto" w:sz="4" w:space="0"/>
              <w:bottom w:val="single" w:color="auto" w:sz="4" w:space="0"/>
              <w:right w:val="single" w:color="auto" w:sz="4" w:space="0"/>
            </w:tcBorders>
            <w:noWrap w:val="0"/>
            <w:vAlign w:val="center"/>
          </w:tcPr>
          <w:p w14:paraId="0FACA4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资金分配合理性</w:t>
            </w:r>
          </w:p>
        </w:tc>
        <w:tc>
          <w:tcPr>
            <w:tcW w:w="216" w:type="pct"/>
            <w:tcBorders>
              <w:top w:val="single" w:color="auto" w:sz="4" w:space="0"/>
              <w:left w:val="single" w:color="auto" w:sz="4" w:space="0"/>
              <w:bottom w:val="single" w:color="auto" w:sz="4" w:space="0"/>
              <w:right w:val="single" w:color="auto" w:sz="4" w:space="0"/>
            </w:tcBorders>
            <w:noWrap w:val="0"/>
            <w:vAlign w:val="center"/>
          </w:tcPr>
          <w:p w14:paraId="50CB87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4</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0AF717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项目预算资金分配是否有测算依据，与补助单位或地方实际是否相适应，用以反映和考核项目预算资金分配的科学性、合理性情况。</w:t>
            </w:r>
          </w:p>
        </w:tc>
        <w:tc>
          <w:tcPr>
            <w:tcW w:w="288" w:type="pct"/>
            <w:tcBorders>
              <w:top w:val="single" w:color="auto" w:sz="4" w:space="0"/>
              <w:left w:val="single" w:color="auto" w:sz="4" w:space="0"/>
              <w:bottom w:val="single" w:color="auto" w:sz="4" w:space="0"/>
              <w:right w:val="single" w:color="auto" w:sz="4" w:space="0"/>
            </w:tcBorders>
            <w:noWrap w:val="0"/>
            <w:vAlign w:val="center"/>
          </w:tcPr>
          <w:p w14:paraId="4C9465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合理</w:t>
            </w:r>
          </w:p>
        </w:tc>
        <w:tc>
          <w:tcPr>
            <w:tcW w:w="1652" w:type="pct"/>
            <w:tcBorders>
              <w:top w:val="single" w:color="auto" w:sz="4" w:space="0"/>
              <w:left w:val="single" w:color="auto" w:sz="4" w:space="0"/>
              <w:bottom w:val="single" w:color="auto" w:sz="4" w:space="0"/>
              <w:right w:val="single" w:color="auto" w:sz="4" w:space="0"/>
            </w:tcBorders>
            <w:noWrap w:val="0"/>
            <w:vAlign w:val="center"/>
          </w:tcPr>
          <w:p w14:paraId="7D362E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①预算资金分配依据是否充分；</w:t>
            </w:r>
          </w:p>
          <w:p w14:paraId="2F925B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②资金分配额度是否合理，与项目单位或地方实际是否相适应。</w:t>
            </w:r>
          </w:p>
          <w:p w14:paraId="0F9703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以上每条要素各占权重的50%，每有一条不符合，扣除对应的权重分，扣完为止。</w:t>
            </w:r>
          </w:p>
        </w:tc>
        <w:tc>
          <w:tcPr>
            <w:tcW w:w="354" w:type="pct"/>
            <w:tcBorders>
              <w:top w:val="single" w:color="auto" w:sz="4" w:space="0"/>
              <w:left w:val="single" w:color="auto" w:sz="4" w:space="0"/>
              <w:bottom w:val="single" w:color="auto" w:sz="4" w:space="0"/>
              <w:right w:val="single" w:color="auto" w:sz="4" w:space="0"/>
            </w:tcBorders>
            <w:noWrap w:val="0"/>
            <w:vAlign w:val="center"/>
          </w:tcPr>
          <w:p w14:paraId="168D32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合理</w:t>
            </w:r>
          </w:p>
        </w:tc>
        <w:tc>
          <w:tcPr>
            <w:tcW w:w="267" w:type="pct"/>
            <w:tcBorders>
              <w:top w:val="single" w:color="auto" w:sz="4" w:space="0"/>
              <w:left w:val="single" w:color="auto" w:sz="4" w:space="0"/>
              <w:bottom w:val="single" w:color="auto" w:sz="4" w:space="0"/>
              <w:right w:val="single" w:color="auto" w:sz="4" w:space="0"/>
            </w:tcBorders>
            <w:noWrap w:val="0"/>
            <w:vAlign w:val="center"/>
          </w:tcPr>
          <w:p w14:paraId="4E25ECB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4</w:t>
            </w:r>
          </w:p>
        </w:tc>
      </w:tr>
      <w:tr w14:paraId="4F67D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trPr>
        <w:tc>
          <w:tcPr>
            <w:tcW w:w="375" w:type="pct"/>
            <w:vMerge w:val="restart"/>
            <w:tcBorders>
              <w:top w:val="single" w:color="auto" w:sz="4" w:space="0"/>
              <w:left w:val="single" w:color="auto" w:sz="4" w:space="0"/>
              <w:bottom w:val="single" w:color="auto" w:sz="4" w:space="0"/>
              <w:right w:val="single" w:color="auto" w:sz="4" w:space="0"/>
            </w:tcBorders>
            <w:noWrap w:val="0"/>
            <w:vAlign w:val="center"/>
          </w:tcPr>
          <w:p w14:paraId="25B569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项目过程</w:t>
            </w:r>
          </w:p>
        </w:tc>
        <w:tc>
          <w:tcPr>
            <w:tcW w:w="258" w:type="pct"/>
            <w:vMerge w:val="restart"/>
            <w:tcBorders>
              <w:top w:val="single" w:color="auto" w:sz="4" w:space="0"/>
              <w:left w:val="single" w:color="auto" w:sz="4" w:space="0"/>
              <w:bottom w:val="single" w:color="auto" w:sz="4" w:space="0"/>
              <w:right w:val="single" w:color="auto" w:sz="4" w:space="0"/>
            </w:tcBorders>
            <w:noWrap w:val="0"/>
            <w:vAlign w:val="center"/>
          </w:tcPr>
          <w:p w14:paraId="333A4E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12</w:t>
            </w:r>
          </w:p>
        </w:tc>
        <w:tc>
          <w:tcPr>
            <w:tcW w:w="192" w:type="pct"/>
            <w:vMerge w:val="restart"/>
            <w:tcBorders>
              <w:top w:val="single" w:color="auto" w:sz="4" w:space="0"/>
              <w:left w:val="single" w:color="auto" w:sz="4" w:space="0"/>
              <w:bottom w:val="single" w:color="auto" w:sz="4" w:space="0"/>
              <w:right w:val="single" w:color="auto" w:sz="4" w:space="0"/>
            </w:tcBorders>
            <w:noWrap w:val="0"/>
            <w:vAlign w:val="center"/>
          </w:tcPr>
          <w:p w14:paraId="10118B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资金管理</w:t>
            </w:r>
          </w:p>
        </w:tc>
        <w:tc>
          <w:tcPr>
            <w:tcW w:w="240" w:type="pct"/>
            <w:vMerge w:val="restart"/>
            <w:tcBorders>
              <w:top w:val="single" w:color="auto" w:sz="4" w:space="0"/>
              <w:left w:val="single" w:color="auto" w:sz="4" w:space="0"/>
              <w:bottom w:val="single" w:color="auto" w:sz="4" w:space="0"/>
              <w:right w:val="single" w:color="auto" w:sz="4" w:space="0"/>
            </w:tcBorders>
            <w:noWrap w:val="0"/>
            <w:vAlign w:val="center"/>
          </w:tcPr>
          <w:p w14:paraId="630767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6</w:t>
            </w:r>
          </w:p>
        </w:tc>
        <w:tc>
          <w:tcPr>
            <w:tcW w:w="320" w:type="pct"/>
            <w:tcBorders>
              <w:top w:val="single" w:color="auto" w:sz="4" w:space="0"/>
              <w:left w:val="single" w:color="auto" w:sz="4" w:space="0"/>
              <w:bottom w:val="single" w:color="auto" w:sz="4" w:space="0"/>
              <w:right w:val="single" w:color="auto" w:sz="4" w:space="0"/>
            </w:tcBorders>
            <w:noWrap w:val="0"/>
            <w:vAlign w:val="center"/>
          </w:tcPr>
          <w:p w14:paraId="217BE0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资金到位率</w:t>
            </w:r>
          </w:p>
        </w:tc>
        <w:tc>
          <w:tcPr>
            <w:tcW w:w="216" w:type="pct"/>
            <w:tcBorders>
              <w:top w:val="single" w:color="auto" w:sz="4" w:space="0"/>
              <w:left w:val="single" w:color="auto" w:sz="4" w:space="0"/>
              <w:bottom w:val="single" w:color="auto" w:sz="4" w:space="0"/>
              <w:right w:val="single" w:color="auto" w:sz="4" w:space="0"/>
            </w:tcBorders>
            <w:noWrap w:val="0"/>
            <w:vAlign w:val="center"/>
          </w:tcPr>
          <w:p w14:paraId="236BD8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4258CD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实际到位资金与预算资金的比率，用以反映和考核资金落实情况对项目实施的总体保障程度。</w:t>
            </w:r>
          </w:p>
        </w:tc>
        <w:tc>
          <w:tcPr>
            <w:tcW w:w="288" w:type="pct"/>
            <w:tcBorders>
              <w:top w:val="single" w:color="auto" w:sz="4" w:space="0"/>
              <w:left w:val="single" w:color="auto" w:sz="4" w:space="0"/>
              <w:bottom w:val="single" w:color="auto" w:sz="4" w:space="0"/>
              <w:right w:val="single" w:color="auto" w:sz="4" w:space="0"/>
            </w:tcBorders>
            <w:noWrap w:val="0"/>
            <w:vAlign w:val="center"/>
          </w:tcPr>
          <w:p w14:paraId="345CAB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100%</w:t>
            </w:r>
          </w:p>
        </w:tc>
        <w:tc>
          <w:tcPr>
            <w:tcW w:w="1652" w:type="pct"/>
            <w:tcBorders>
              <w:top w:val="single" w:color="auto" w:sz="4" w:space="0"/>
              <w:left w:val="single" w:color="auto" w:sz="4" w:space="0"/>
              <w:bottom w:val="single" w:color="auto" w:sz="4" w:space="0"/>
              <w:right w:val="single" w:color="auto" w:sz="4" w:space="0"/>
            </w:tcBorders>
            <w:noWrap w:val="0"/>
            <w:vAlign w:val="center"/>
          </w:tcPr>
          <w:p w14:paraId="4BFE04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资金到位率=（实际到位资金/预算资金）×100%。</w:t>
            </w:r>
          </w:p>
          <w:p w14:paraId="1ED68B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资金到位率=100%，得权重分满分，每降低1%，扣除5%权重分，扣完为止。</w:t>
            </w:r>
          </w:p>
        </w:tc>
        <w:tc>
          <w:tcPr>
            <w:tcW w:w="354" w:type="pct"/>
            <w:tcBorders>
              <w:top w:val="single" w:color="auto" w:sz="4" w:space="0"/>
              <w:left w:val="single" w:color="auto" w:sz="4" w:space="0"/>
              <w:bottom w:val="single" w:color="auto" w:sz="4" w:space="0"/>
              <w:right w:val="single" w:color="auto" w:sz="4" w:space="0"/>
            </w:tcBorders>
            <w:noWrap w:val="0"/>
            <w:vAlign w:val="center"/>
          </w:tcPr>
          <w:p w14:paraId="061902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100%</w:t>
            </w:r>
          </w:p>
        </w:tc>
        <w:tc>
          <w:tcPr>
            <w:tcW w:w="267" w:type="pct"/>
            <w:tcBorders>
              <w:top w:val="single" w:color="auto" w:sz="4" w:space="0"/>
              <w:left w:val="single" w:color="auto" w:sz="4" w:space="0"/>
              <w:bottom w:val="single" w:color="auto" w:sz="4" w:space="0"/>
              <w:right w:val="single" w:color="auto" w:sz="4" w:space="0"/>
            </w:tcBorders>
            <w:noWrap w:val="0"/>
            <w:vAlign w:val="center"/>
          </w:tcPr>
          <w:p w14:paraId="2D1AD24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w:t>
            </w:r>
          </w:p>
        </w:tc>
      </w:tr>
      <w:tr w14:paraId="7DCFA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375" w:type="pct"/>
            <w:vMerge w:val="continue"/>
            <w:tcBorders>
              <w:top w:val="single" w:color="auto" w:sz="4" w:space="0"/>
              <w:left w:val="single" w:color="auto" w:sz="4" w:space="0"/>
              <w:bottom w:val="single" w:color="auto" w:sz="4" w:space="0"/>
              <w:right w:val="single" w:color="auto" w:sz="4" w:space="0"/>
            </w:tcBorders>
            <w:noWrap w:val="0"/>
            <w:vAlign w:val="center"/>
          </w:tcPr>
          <w:p w14:paraId="087CA2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58" w:type="pct"/>
            <w:vMerge w:val="continue"/>
            <w:tcBorders>
              <w:top w:val="single" w:color="auto" w:sz="4" w:space="0"/>
              <w:left w:val="single" w:color="auto" w:sz="4" w:space="0"/>
              <w:bottom w:val="single" w:color="auto" w:sz="4" w:space="0"/>
              <w:right w:val="single" w:color="auto" w:sz="4" w:space="0"/>
            </w:tcBorders>
            <w:noWrap w:val="0"/>
            <w:vAlign w:val="center"/>
          </w:tcPr>
          <w:p w14:paraId="37B4F10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192" w:type="pct"/>
            <w:vMerge w:val="continue"/>
            <w:tcBorders>
              <w:top w:val="single" w:color="auto" w:sz="4" w:space="0"/>
              <w:left w:val="single" w:color="auto" w:sz="4" w:space="0"/>
              <w:bottom w:val="single" w:color="auto" w:sz="4" w:space="0"/>
              <w:right w:val="single" w:color="auto" w:sz="4" w:space="0"/>
            </w:tcBorders>
            <w:noWrap w:val="0"/>
            <w:vAlign w:val="center"/>
          </w:tcPr>
          <w:p w14:paraId="117D784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40" w:type="pct"/>
            <w:vMerge w:val="continue"/>
            <w:tcBorders>
              <w:top w:val="single" w:color="auto" w:sz="4" w:space="0"/>
              <w:left w:val="single" w:color="auto" w:sz="4" w:space="0"/>
              <w:bottom w:val="single" w:color="auto" w:sz="4" w:space="0"/>
              <w:right w:val="single" w:color="auto" w:sz="4" w:space="0"/>
            </w:tcBorders>
            <w:noWrap w:val="0"/>
            <w:vAlign w:val="center"/>
          </w:tcPr>
          <w:p w14:paraId="139507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20" w:type="pct"/>
            <w:tcBorders>
              <w:top w:val="single" w:color="auto" w:sz="4" w:space="0"/>
              <w:left w:val="single" w:color="auto" w:sz="4" w:space="0"/>
              <w:bottom w:val="single" w:color="auto" w:sz="4" w:space="0"/>
              <w:right w:val="single" w:color="auto" w:sz="4" w:space="0"/>
            </w:tcBorders>
            <w:noWrap w:val="0"/>
            <w:vAlign w:val="center"/>
          </w:tcPr>
          <w:p w14:paraId="1063C7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预算执行率</w:t>
            </w:r>
          </w:p>
        </w:tc>
        <w:tc>
          <w:tcPr>
            <w:tcW w:w="216" w:type="pct"/>
            <w:tcBorders>
              <w:top w:val="single" w:color="auto" w:sz="4" w:space="0"/>
              <w:left w:val="single" w:color="auto" w:sz="4" w:space="0"/>
              <w:bottom w:val="single" w:color="auto" w:sz="4" w:space="0"/>
              <w:right w:val="single" w:color="auto" w:sz="4" w:space="0"/>
            </w:tcBorders>
            <w:noWrap w:val="0"/>
            <w:vAlign w:val="center"/>
          </w:tcPr>
          <w:p w14:paraId="4208C7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2</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56952A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项目预算资金是否按照计划执行，用以反映或考核项目预算执行情况。</w:t>
            </w:r>
          </w:p>
        </w:tc>
        <w:tc>
          <w:tcPr>
            <w:tcW w:w="288" w:type="pct"/>
            <w:tcBorders>
              <w:top w:val="single" w:color="auto" w:sz="4" w:space="0"/>
              <w:left w:val="single" w:color="auto" w:sz="4" w:space="0"/>
              <w:bottom w:val="single" w:color="auto" w:sz="4" w:space="0"/>
              <w:right w:val="single" w:color="auto" w:sz="4" w:space="0"/>
            </w:tcBorders>
            <w:noWrap w:val="0"/>
            <w:vAlign w:val="center"/>
          </w:tcPr>
          <w:p w14:paraId="664983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100%</w:t>
            </w:r>
          </w:p>
        </w:tc>
        <w:tc>
          <w:tcPr>
            <w:tcW w:w="1652" w:type="pct"/>
            <w:tcBorders>
              <w:top w:val="single" w:color="auto" w:sz="4" w:space="0"/>
              <w:left w:val="single" w:color="auto" w:sz="4" w:space="0"/>
              <w:bottom w:val="single" w:color="auto" w:sz="4" w:space="0"/>
              <w:right w:val="single" w:color="auto" w:sz="4" w:space="0"/>
            </w:tcBorders>
            <w:noWrap w:val="0"/>
            <w:vAlign w:val="center"/>
          </w:tcPr>
          <w:p w14:paraId="7FE1DD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预算执行率=（实际支出资金/实际到位资金）×100%。</w:t>
            </w:r>
          </w:p>
          <w:p w14:paraId="632C27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预算执行率=100%，得权重分满分；若预算执行率＜100%，得分=预算执行率*分值；若执行率≤60%，则不得分。</w:t>
            </w:r>
          </w:p>
        </w:tc>
        <w:tc>
          <w:tcPr>
            <w:tcW w:w="354" w:type="pct"/>
            <w:tcBorders>
              <w:top w:val="single" w:color="auto" w:sz="4" w:space="0"/>
              <w:left w:val="single" w:color="auto" w:sz="4" w:space="0"/>
              <w:bottom w:val="single" w:color="auto" w:sz="4" w:space="0"/>
              <w:right w:val="single" w:color="auto" w:sz="4" w:space="0"/>
            </w:tcBorders>
            <w:noWrap w:val="0"/>
            <w:vAlign w:val="center"/>
          </w:tcPr>
          <w:p w14:paraId="170E13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rPr>
              <w:t>100%</w:t>
            </w:r>
          </w:p>
        </w:tc>
        <w:tc>
          <w:tcPr>
            <w:tcW w:w="267" w:type="pct"/>
            <w:tcBorders>
              <w:top w:val="single" w:color="auto" w:sz="4" w:space="0"/>
              <w:left w:val="single" w:color="auto" w:sz="4" w:space="0"/>
              <w:bottom w:val="single" w:color="auto" w:sz="4" w:space="0"/>
              <w:right w:val="single" w:color="auto" w:sz="4" w:space="0"/>
            </w:tcBorders>
            <w:noWrap w:val="0"/>
            <w:vAlign w:val="center"/>
          </w:tcPr>
          <w:p w14:paraId="3FCF577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2</w:t>
            </w:r>
          </w:p>
        </w:tc>
      </w:tr>
      <w:tr w14:paraId="64CB1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9" w:hRule="atLeast"/>
        </w:trPr>
        <w:tc>
          <w:tcPr>
            <w:tcW w:w="375" w:type="pct"/>
            <w:vMerge w:val="continue"/>
            <w:tcBorders>
              <w:top w:val="single" w:color="auto" w:sz="4" w:space="0"/>
              <w:left w:val="single" w:color="auto" w:sz="4" w:space="0"/>
              <w:bottom w:val="single" w:color="auto" w:sz="4" w:space="0"/>
              <w:right w:val="single" w:color="auto" w:sz="4" w:space="0"/>
            </w:tcBorders>
            <w:noWrap w:val="0"/>
            <w:vAlign w:val="center"/>
          </w:tcPr>
          <w:p w14:paraId="6EFFD9E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58" w:type="pct"/>
            <w:vMerge w:val="continue"/>
            <w:tcBorders>
              <w:top w:val="single" w:color="auto" w:sz="4" w:space="0"/>
              <w:left w:val="single" w:color="auto" w:sz="4" w:space="0"/>
              <w:bottom w:val="single" w:color="auto" w:sz="4" w:space="0"/>
              <w:right w:val="single" w:color="auto" w:sz="4" w:space="0"/>
            </w:tcBorders>
            <w:noWrap w:val="0"/>
            <w:vAlign w:val="center"/>
          </w:tcPr>
          <w:p w14:paraId="391486A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192" w:type="pct"/>
            <w:vMerge w:val="continue"/>
            <w:tcBorders>
              <w:top w:val="single" w:color="auto" w:sz="4" w:space="0"/>
              <w:left w:val="single" w:color="auto" w:sz="4" w:space="0"/>
              <w:bottom w:val="single" w:color="auto" w:sz="4" w:space="0"/>
              <w:right w:val="single" w:color="auto" w:sz="4" w:space="0"/>
            </w:tcBorders>
            <w:noWrap w:val="0"/>
            <w:vAlign w:val="center"/>
          </w:tcPr>
          <w:p w14:paraId="21B4DC6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40" w:type="pct"/>
            <w:vMerge w:val="continue"/>
            <w:tcBorders>
              <w:top w:val="single" w:color="auto" w:sz="4" w:space="0"/>
              <w:left w:val="single" w:color="auto" w:sz="4" w:space="0"/>
              <w:bottom w:val="single" w:color="auto" w:sz="4" w:space="0"/>
              <w:right w:val="single" w:color="auto" w:sz="4" w:space="0"/>
            </w:tcBorders>
            <w:noWrap w:val="0"/>
            <w:vAlign w:val="center"/>
          </w:tcPr>
          <w:p w14:paraId="591791D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20" w:type="pct"/>
            <w:tcBorders>
              <w:top w:val="single" w:color="auto" w:sz="4" w:space="0"/>
              <w:left w:val="single" w:color="auto" w:sz="4" w:space="0"/>
              <w:bottom w:val="single" w:color="auto" w:sz="4" w:space="0"/>
              <w:right w:val="single" w:color="auto" w:sz="4" w:space="0"/>
            </w:tcBorders>
            <w:noWrap w:val="0"/>
            <w:vAlign w:val="center"/>
          </w:tcPr>
          <w:p w14:paraId="269534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资金使用合规性</w:t>
            </w:r>
          </w:p>
        </w:tc>
        <w:tc>
          <w:tcPr>
            <w:tcW w:w="216" w:type="pct"/>
            <w:tcBorders>
              <w:top w:val="single" w:color="auto" w:sz="4" w:space="0"/>
              <w:left w:val="single" w:color="auto" w:sz="4" w:space="0"/>
              <w:bottom w:val="single" w:color="auto" w:sz="4" w:space="0"/>
              <w:right w:val="single" w:color="auto" w:sz="4" w:space="0"/>
            </w:tcBorders>
            <w:noWrap w:val="0"/>
            <w:vAlign w:val="center"/>
          </w:tcPr>
          <w:p w14:paraId="1B0DDA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3</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7A6DB4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项目资金使用是否符合相关的财务管理制度规定，用以反映和考核项目资金的规范运行情况。</w:t>
            </w:r>
          </w:p>
        </w:tc>
        <w:tc>
          <w:tcPr>
            <w:tcW w:w="288" w:type="pct"/>
            <w:tcBorders>
              <w:top w:val="single" w:color="auto" w:sz="4" w:space="0"/>
              <w:left w:val="single" w:color="auto" w:sz="4" w:space="0"/>
              <w:bottom w:val="single" w:color="auto" w:sz="4" w:space="0"/>
              <w:right w:val="single" w:color="auto" w:sz="4" w:space="0"/>
            </w:tcBorders>
            <w:noWrap w:val="0"/>
            <w:vAlign w:val="center"/>
          </w:tcPr>
          <w:p w14:paraId="7EF552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合规</w:t>
            </w:r>
          </w:p>
        </w:tc>
        <w:tc>
          <w:tcPr>
            <w:tcW w:w="1652" w:type="pct"/>
            <w:tcBorders>
              <w:top w:val="single" w:color="auto" w:sz="4" w:space="0"/>
              <w:left w:val="single" w:color="auto" w:sz="4" w:space="0"/>
              <w:bottom w:val="single" w:color="auto" w:sz="4" w:space="0"/>
              <w:right w:val="single" w:color="auto" w:sz="4" w:space="0"/>
            </w:tcBorders>
            <w:noWrap w:val="0"/>
            <w:vAlign w:val="center"/>
          </w:tcPr>
          <w:p w14:paraId="34CF5C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①否符合国家财经法规和财务管理制度以及有关专项资金管理办法的规定；</w:t>
            </w:r>
          </w:p>
          <w:p w14:paraId="5FE0AB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②资金的拨付是否有完整的审批程序和手续；</w:t>
            </w:r>
          </w:p>
          <w:p w14:paraId="2739BF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③是否符合项目预算批复或合同规定的用途；</w:t>
            </w:r>
          </w:p>
          <w:p w14:paraId="4BACA3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④是否存在截留、挤占、挪用、虚列支出等情况。</w:t>
            </w:r>
          </w:p>
          <w:p w14:paraId="247832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以上每条指标各占权重分的25%，要素①②不符合，扣除对应权重分；要素③④不符合属于重大违纪，该指标不得分。</w:t>
            </w:r>
          </w:p>
        </w:tc>
        <w:tc>
          <w:tcPr>
            <w:tcW w:w="354" w:type="pct"/>
            <w:tcBorders>
              <w:top w:val="single" w:color="auto" w:sz="4" w:space="0"/>
              <w:left w:val="single" w:color="auto" w:sz="4" w:space="0"/>
              <w:bottom w:val="single" w:color="auto" w:sz="4" w:space="0"/>
              <w:right w:val="single" w:color="auto" w:sz="4" w:space="0"/>
            </w:tcBorders>
            <w:noWrap w:val="0"/>
            <w:vAlign w:val="center"/>
          </w:tcPr>
          <w:p w14:paraId="6BE487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合规</w:t>
            </w:r>
          </w:p>
        </w:tc>
        <w:tc>
          <w:tcPr>
            <w:tcW w:w="267" w:type="pct"/>
            <w:tcBorders>
              <w:top w:val="single" w:color="auto" w:sz="4" w:space="0"/>
              <w:left w:val="single" w:color="auto" w:sz="4" w:space="0"/>
              <w:bottom w:val="single" w:color="auto" w:sz="4" w:space="0"/>
              <w:right w:val="single" w:color="auto" w:sz="4" w:space="0"/>
            </w:tcBorders>
            <w:noWrap w:val="0"/>
            <w:vAlign w:val="center"/>
          </w:tcPr>
          <w:p w14:paraId="7DA2C90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3</w:t>
            </w:r>
          </w:p>
        </w:tc>
      </w:tr>
      <w:tr w14:paraId="5346AE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75" w:type="pct"/>
            <w:vMerge w:val="continue"/>
            <w:tcBorders>
              <w:top w:val="single" w:color="auto" w:sz="4" w:space="0"/>
              <w:left w:val="single" w:color="auto" w:sz="4" w:space="0"/>
              <w:bottom w:val="single" w:color="auto" w:sz="4" w:space="0"/>
              <w:right w:val="single" w:color="auto" w:sz="4" w:space="0"/>
            </w:tcBorders>
            <w:noWrap w:val="0"/>
            <w:vAlign w:val="center"/>
          </w:tcPr>
          <w:p w14:paraId="144A6CC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58" w:type="pct"/>
            <w:vMerge w:val="continue"/>
            <w:tcBorders>
              <w:top w:val="single" w:color="auto" w:sz="4" w:space="0"/>
              <w:left w:val="single" w:color="auto" w:sz="4" w:space="0"/>
              <w:bottom w:val="single" w:color="auto" w:sz="4" w:space="0"/>
              <w:right w:val="single" w:color="auto" w:sz="4" w:space="0"/>
            </w:tcBorders>
            <w:noWrap w:val="0"/>
            <w:vAlign w:val="center"/>
          </w:tcPr>
          <w:p w14:paraId="0835366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192" w:type="pct"/>
            <w:vMerge w:val="restart"/>
            <w:tcBorders>
              <w:top w:val="single" w:color="auto" w:sz="4" w:space="0"/>
              <w:left w:val="single" w:color="auto" w:sz="4" w:space="0"/>
              <w:bottom w:val="single" w:color="auto" w:sz="4" w:space="0"/>
              <w:right w:val="single" w:color="auto" w:sz="4" w:space="0"/>
            </w:tcBorders>
            <w:noWrap w:val="0"/>
            <w:vAlign w:val="center"/>
          </w:tcPr>
          <w:p w14:paraId="0A6303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组织实施</w:t>
            </w:r>
          </w:p>
        </w:tc>
        <w:tc>
          <w:tcPr>
            <w:tcW w:w="240" w:type="pct"/>
            <w:vMerge w:val="restart"/>
            <w:tcBorders>
              <w:top w:val="single" w:color="auto" w:sz="4" w:space="0"/>
              <w:left w:val="single" w:color="auto" w:sz="4" w:space="0"/>
              <w:bottom w:val="single" w:color="auto" w:sz="4" w:space="0"/>
              <w:right w:val="single" w:color="auto" w:sz="4" w:space="0"/>
            </w:tcBorders>
            <w:noWrap w:val="0"/>
            <w:vAlign w:val="center"/>
          </w:tcPr>
          <w:p w14:paraId="295288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6</w:t>
            </w:r>
          </w:p>
        </w:tc>
        <w:tc>
          <w:tcPr>
            <w:tcW w:w="320" w:type="pct"/>
            <w:tcBorders>
              <w:top w:val="single" w:color="auto" w:sz="4" w:space="0"/>
              <w:left w:val="single" w:color="auto" w:sz="4" w:space="0"/>
              <w:bottom w:val="single" w:color="auto" w:sz="4" w:space="0"/>
              <w:right w:val="single" w:color="auto" w:sz="4" w:space="0"/>
            </w:tcBorders>
            <w:noWrap w:val="0"/>
            <w:vAlign w:val="center"/>
          </w:tcPr>
          <w:p w14:paraId="253922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管理制度健全性</w:t>
            </w:r>
          </w:p>
        </w:tc>
        <w:tc>
          <w:tcPr>
            <w:tcW w:w="216" w:type="pct"/>
            <w:tcBorders>
              <w:top w:val="single" w:color="auto" w:sz="4" w:space="0"/>
              <w:left w:val="single" w:color="auto" w:sz="4" w:space="0"/>
              <w:bottom w:val="single" w:color="auto" w:sz="4" w:space="0"/>
              <w:right w:val="single" w:color="auto" w:sz="4" w:space="0"/>
            </w:tcBorders>
            <w:noWrap w:val="0"/>
            <w:vAlign w:val="center"/>
          </w:tcPr>
          <w:p w14:paraId="7C1A10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3</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128E6A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项目实施单位的财务和业务管理制度是否健全，用以反映和考核财务和业务管理制度对项目顺利实施的保障情况。</w:t>
            </w:r>
          </w:p>
        </w:tc>
        <w:tc>
          <w:tcPr>
            <w:tcW w:w="288" w:type="pct"/>
            <w:tcBorders>
              <w:top w:val="single" w:color="auto" w:sz="4" w:space="0"/>
              <w:left w:val="single" w:color="auto" w:sz="4" w:space="0"/>
              <w:bottom w:val="single" w:color="auto" w:sz="4" w:space="0"/>
              <w:right w:val="single" w:color="auto" w:sz="4" w:space="0"/>
            </w:tcBorders>
            <w:noWrap w:val="0"/>
            <w:vAlign w:val="center"/>
          </w:tcPr>
          <w:p w14:paraId="3AC886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健全</w:t>
            </w:r>
          </w:p>
        </w:tc>
        <w:tc>
          <w:tcPr>
            <w:tcW w:w="1652" w:type="pct"/>
            <w:tcBorders>
              <w:top w:val="single" w:color="auto" w:sz="4" w:space="0"/>
              <w:left w:val="single" w:color="auto" w:sz="4" w:space="0"/>
              <w:bottom w:val="single" w:color="auto" w:sz="4" w:space="0"/>
              <w:right w:val="single" w:color="auto" w:sz="4" w:space="0"/>
            </w:tcBorders>
            <w:noWrap w:val="0"/>
            <w:vAlign w:val="center"/>
          </w:tcPr>
          <w:p w14:paraId="01543B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①是否已制定或具有相应的财务和业务管理制度；</w:t>
            </w:r>
          </w:p>
          <w:p w14:paraId="60FF89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②财务和业务管理制度是否合法、合规、完整。</w:t>
            </w:r>
          </w:p>
          <w:p w14:paraId="6823AB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以上每条要素各占权重的50%，每有一条不符合，扣除对应的权重分，扣完为止。</w:t>
            </w:r>
          </w:p>
        </w:tc>
        <w:tc>
          <w:tcPr>
            <w:tcW w:w="354" w:type="pct"/>
            <w:tcBorders>
              <w:top w:val="single" w:color="auto" w:sz="4" w:space="0"/>
              <w:left w:val="single" w:color="auto" w:sz="4" w:space="0"/>
              <w:bottom w:val="single" w:color="auto" w:sz="4" w:space="0"/>
              <w:right w:val="single" w:color="auto" w:sz="4" w:space="0"/>
            </w:tcBorders>
            <w:noWrap w:val="0"/>
            <w:vAlign w:val="center"/>
          </w:tcPr>
          <w:p w14:paraId="6C7951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健全</w:t>
            </w:r>
          </w:p>
        </w:tc>
        <w:tc>
          <w:tcPr>
            <w:tcW w:w="267" w:type="pct"/>
            <w:tcBorders>
              <w:top w:val="single" w:color="auto" w:sz="4" w:space="0"/>
              <w:left w:val="single" w:color="auto" w:sz="4" w:space="0"/>
              <w:bottom w:val="single" w:color="auto" w:sz="4" w:space="0"/>
              <w:right w:val="single" w:color="auto" w:sz="4" w:space="0"/>
            </w:tcBorders>
            <w:noWrap w:val="0"/>
            <w:vAlign w:val="center"/>
          </w:tcPr>
          <w:p w14:paraId="3EE91C5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3</w:t>
            </w:r>
          </w:p>
        </w:tc>
      </w:tr>
      <w:tr w14:paraId="30B56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375" w:type="pct"/>
            <w:vMerge w:val="continue"/>
            <w:tcBorders>
              <w:top w:val="single" w:color="auto" w:sz="4" w:space="0"/>
              <w:left w:val="single" w:color="auto" w:sz="4" w:space="0"/>
              <w:bottom w:val="single" w:color="auto" w:sz="4" w:space="0"/>
              <w:right w:val="single" w:color="auto" w:sz="4" w:space="0"/>
            </w:tcBorders>
            <w:noWrap w:val="0"/>
            <w:vAlign w:val="center"/>
          </w:tcPr>
          <w:p w14:paraId="326657A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58" w:type="pct"/>
            <w:vMerge w:val="continue"/>
            <w:tcBorders>
              <w:top w:val="single" w:color="auto" w:sz="4" w:space="0"/>
              <w:left w:val="single" w:color="auto" w:sz="4" w:space="0"/>
              <w:bottom w:val="single" w:color="auto" w:sz="4" w:space="0"/>
              <w:right w:val="single" w:color="auto" w:sz="4" w:space="0"/>
            </w:tcBorders>
            <w:noWrap w:val="0"/>
            <w:vAlign w:val="center"/>
          </w:tcPr>
          <w:p w14:paraId="396249F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192" w:type="pct"/>
            <w:vMerge w:val="continue"/>
            <w:tcBorders>
              <w:top w:val="single" w:color="auto" w:sz="4" w:space="0"/>
              <w:left w:val="single" w:color="auto" w:sz="4" w:space="0"/>
              <w:bottom w:val="single" w:color="auto" w:sz="4" w:space="0"/>
              <w:right w:val="single" w:color="auto" w:sz="4" w:space="0"/>
            </w:tcBorders>
            <w:noWrap w:val="0"/>
            <w:vAlign w:val="center"/>
          </w:tcPr>
          <w:p w14:paraId="102770D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40" w:type="pct"/>
            <w:vMerge w:val="continue"/>
            <w:tcBorders>
              <w:top w:val="single" w:color="auto" w:sz="4" w:space="0"/>
              <w:left w:val="single" w:color="auto" w:sz="4" w:space="0"/>
              <w:bottom w:val="single" w:color="auto" w:sz="4" w:space="0"/>
              <w:right w:val="single" w:color="auto" w:sz="4" w:space="0"/>
            </w:tcBorders>
            <w:noWrap w:val="0"/>
            <w:vAlign w:val="center"/>
          </w:tcPr>
          <w:p w14:paraId="4E024D1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20" w:type="pct"/>
            <w:tcBorders>
              <w:top w:val="single" w:color="auto" w:sz="4" w:space="0"/>
              <w:left w:val="single" w:color="auto" w:sz="4" w:space="0"/>
              <w:bottom w:val="single" w:color="auto" w:sz="4" w:space="0"/>
              <w:right w:val="single" w:color="auto" w:sz="4" w:space="0"/>
            </w:tcBorders>
            <w:noWrap w:val="0"/>
            <w:vAlign w:val="center"/>
          </w:tcPr>
          <w:p w14:paraId="03309E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制度执行有效性</w:t>
            </w:r>
          </w:p>
        </w:tc>
        <w:tc>
          <w:tcPr>
            <w:tcW w:w="216" w:type="pct"/>
            <w:tcBorders>
              <w:top w:val="single" w:color="auto" w:sz="4" w:space="0"/>
              <w:left w:val="single" w:color="auto" w:sz="4" w:space="0"/>
              <w:bottom w:val="single" w:color="auto" w:sz="4" w:space="0"/>
              <w:right w:val="single" w:color="auto" w:sz="4" w:space="0"/>
            </w:tcBorders>
            <w:noWrap w:val="0"/>
            <w:vAlign w:val="center"/>
          </w:tcPr>
          <w:p w14:paraId="1F540C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3</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643EF9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项目实施是否符合相关管理规定，用以反映和考核相关管理制度的有效执行情况。</w:t>
            </w:r>
          </w:p>
        </w:tc>
        <w:tc>
          <w:tcPr>
            <w:tcW w:w="288" w:type="pct"/>
            <w:tcBorders>
              <w:top w:val="single" w:color="auto" w:sz="4" w:space="0"/>
              <w:left w:val="single" w:color="auto" w:sz="4" w:space="0"/>
              <w:bottom w:val="single" w:color="auto" w:sz="4" w:space="0"/>
              <w:right w:val="single" w:color="auto" w:sz="4" w:space="0"/>
            </w:tcBorders>
            <w:noWrap w:val="0"/>
            <w:vAlign w:val="center"/>
          </w:tcPr>
          <w:p w14:paraId="2EFDA5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有效</w:t>
            </w:r>
          </w:p>
        </w:tc>
        <w:tc>
          <w:tcPr>
            <w:tcW w:w="1652" w:type="pct"/>
            <w:tcBorders>
              <w:top w:val="single" w:color="auto" w:sz="4" w:space="0"/>
              <w:left w:val="single" w:color="auto" w:sz="4" w:space="0"/>
              <w:bottom w:val="single" w:color="auto" w:sz="4" w:space="0"/>
              <w:right w:val="single" w:color="auto" w:sz="4" w:space="0"/>
            </w:tcBorders>
            <w:noWrap w:val="0"/>
            <w:vAlign w:val="center"/>
          </w:tcPr>
          <w:p w14:paraId="1E664D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①否遵守相关法律法规和相关管理规定；</w:t>
            </w:r>
          </w:p>
          <w:p w14:paraId="38F6BF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②项目调整及支出调整手续是否完备；</w:t>
            </w:r>
          </w:p>
          <w:p w14:paraId="7D4B40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③项目资料是否齐全并及时归档。</w:t>
            </w:r>
          </w:p>
          <w:p w14:paraId="37D1E5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①②③齐全得权重分的100%，缺①扣权重分的30%，缺②扣权重分的40%，缺③扣权重分的30%。</w:t>
            </w:r>
          </w:p>
        </w:tc>
        <w:tc>
          <w:tcPr>
            <w:tcW w:w="354" w:type="pct"/>
            <w:tcBorders>
              <w:top w:val="single" w:color="auto" w:sz="4" w:space="0"/>
              <w:left w:val="single" w:color="auto" w:sz="4" w:space="0"/>
              <w:bottom w:val="single" w:color="auto" w:sz="4" w:space="0"/>
              <w:right w:val="single" w:color="auto" w:sz="4" w:space="0"/>
            </w:tcBorders>
            <w:noWrap w:val="0"/>
            <w:vAlign w:val="center"/>
          </w:tcPr>
          <w:p w14:paraId="2B3C19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有效</w:t>
            </w:r>
          </w:p>
        </w:tc>
        <w:tc>
          <w:tcPr>
            <w:tcW w:w="267" w:type="pct"/>
            <w:tcBorders>
              <w:top w:val="single" w:color="auto" w:sz="4" w:space="0"/>
              <w:left w:val="single" w:color="auto" w:sz="4" w:space="0"/>
              <w:bottom w:val="single" w:color="auto" w:sz="4" w:space="0"/>
              <w:right w:val="single" w:color="auto" w:sz="4" w:space="0"/>
            </w:tcBorders>
            <w:noWrap w:val="0"/>
            <w:vAlign w:val="center"/>
          </w:tcPr>
          <w:p w14:paraId="1DD7276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3</w:t>
            </w:r>
          </w:p>
        </w:tc>
      </w:tr>
      <w:tr w14:paraId="35CAE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 w:hRule="atLeast"/>
        </w:trPr>
        <w:tc>
          <w:tcPr>
            <w:tcW w:w="375" w:type="pct"/>
            <w:vMerge w:val="restart"/>
            <w:tcBorders>
              <w:top w:val="single" w:color="auto" w:sz="4" w:space="0"/>
              <w:left w:val="single" w:color="auto" w:sz="4" w:space="0"/>
              <w:bottom w:val="single" w:color="auto" w:sz="4" w:space="0"/>
              <w:right w:val="single" w:color="auto" w:sz="4" w:space="0"/>
            </w:tcBorders>
            <w:noWrap w:val="0"/>
            <w:vAlign w:val="center"/>
          </w:tcPr>
          <w:p w14:paraId="0889FCF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项目产出</w:t>
            </w:r>
          </w:p>
        </w:tc>
        <w:tc>
          <w:tcPr>
            <w:tcW w:w="258" w:type="pct"/>
            <w:vMerge w:val="restart"/>
            <w:tcBorders>
              <w:top w:val="single" w:color="auto" w:sz="4" w:space="0"/>
              <w:left w:val="single" w:color="auto" w:sz="4" w:space="0"/>
              <w:bottom w:val="single" w:color="auto" w:sz="4" w:space="0"/>
              <w:right w:val="single" w:color="auto" w:sz="4" w:space="0"/>
            </w:tcBorders>
            <w:noWrap w:val="0"/>
            <w:vAlign w:val="center"/>
          </w:tcPr>
          <w:p w14:paraId="4B4CAF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40</w:t>
            </w:r>
          </w:p>
        </w:tc>
        <w:tc>
          <w:tcPr>
            <w:tcW w:w="192" w:type="pct"/>
            <w:tcBorders>
              <w:top w:val="single" w:color="auto" w:sz="4" w:space="0"/>
              <w:left w:val="single" w:color="auto" w:sz="4" w:space="0"/>
              <w:bottom w:val="single" w:color="auto" w:sz="4" w:space="0"/>
              <w:right w:val="single" w:color="auto" w:sz="4" w:space="0"/>
            </w:tcBorders>
            <w:noWrap w:val="0"/>
            <w:vAlign w:val="center"/>
          </w:tcPr>
          <w:p w14:paraId="2A421F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产出数量</w:t>
            </w:r>
          </w:p>
        </w:tc>
        <w:tc>
          <w:tcPr>
            <w:tcW w:w="240" w:type="pct"/>
            <w:tcBorders>
              <w:top w:val="single" w:color="auto" w:sz="4" w:space="0"/>
              <w:left w:val="single" w:color="auto" w:sz="4" w:space="0"/>
              <w:bottom w:val="single" w:color="auto" w:sz="4" w:space="0"/>
              <w:right w:val="single" w:color="auto" w:sz="4" w:space="0"/>
            </w:tcBorders>
            <w:noWrap w:val="0"/>
            <w:vAlign w:val="center"/>
          </w:tcPr>
          <w:p w14:paraId="419B67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w:t>
            </w:r>
          </w:p>
        </w:tc>
        <w:tc>
          <w:tcPr>
            <w:tcW w:w="320" w:type="pct"/>
            <w:tcBorders>
              <w:top w:val="single" w:color="auto" w:sz="4" w:space="0"/>
              <w:left w:val="single" w:color="auto" w:sz="4" w:space="0"/>
              <w:bottom w:val="single" w:color="auto" w:sz="4" w:space="0"/>
              <w:right w:val="single" w:color="auto" w:sz="4" w:space="0"/>
            </w:tcBorders>
            <w:noWrap w:val="0"/>
            <w:vAlign w:val="center"/>
          </w:tcPr>
          <w:p w14:paraId="35E9F4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实际完成率</w:t>
            </w:r>
          </w:p>
        </w:tc>
        <w:tc>
          <w:tcPr>
            <w:tcW w:w="216" w:type="pct"/>
            <w:tcBorders>
              <w:top w:val="single" w:color="auto" w:sz="4" w:space="0"/>
              <w:left w:val="single" w:color="auto" w:sz="4" w:space="0"/>
              <w:bottom w:val="single" w:color="auto" w:sz="4" w:space="0"/>
              <w:right w:val="single" w:color="auto" w:sz="4" w:space="0"/>
            </w:tcBorders>
            <w:noWrap w:val="0"/>
            <w:vAlign w:val="center"/>
          </w:tcPr>
          <w:p w14:paraId="6978DEE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1C192C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rPr>
              <w:t>1.养老补助资金发放人数</w:t>
            </w:r>
          </w:p>
        </w:tc>
        <w:tc>
          <w:tcPr>
            <w:tcW w:w="288" w:type="pct"/>
            <w:tcBorders>
              <w:top w:val="single" w:color="auto" w:sz="4" w:space="0"/>
              <w:left w:val="single" w:color="auto" w:sz="4" w:space="0"/>
              <w:bottom w:val="single" w:color="auto" w:sz="4" w:space="0"/>
              <w:right w:val="single" w:color="auto" w:sz="4" w:space="0"/>
            </w:tcBorders>
            <w:noWrap w:val="0"/>
            <w:vAlign w:val="center"/>
          </w:tcPr>
          <w:p w14:paraId="1D1747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rPr>
              <w:t>≥1.8822万人</w:t>
            </w:r>
          </w:p>
        </w:tc>
        <w:tc>
          <w:tcPr>
            <w:tcW w:w="1652" w:type="pct"/>
            <w:tcBorders>
              <w:top w:val="single" w:color="auto" w:sz="4" w:space="0"/>
              <w:left w:val="single" w:color="auto" w:sz="4" w:space="0"/>
              <w:bottom w:val="single" w:color="auto" w:sz="4" w:space="0"/>
              <w:right w:val="single" w:color="auto" w:sz="4" w:space="0"/>
            </w:tcBorders>
            <w:noWrap w:val="0"/>
            <w:vAlign w:val="center"/>
          </w:tcPr>
          <w:p w14:paraId="5CF308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实际完成率=（实际完成/预期完成）×100%。</w:t>
            </w:r>
            <w:r>
              <w:rPr>
                <w:rFonts w:hint="eastAsia" w:ascii="宋体" w:hAnsi="宋体" w:eastAsia="宋体" w:cs="宋体"/>
                <w:i w:val="0"/>
                <w:iCs w:val="0"/>
                <w:color w:val="auto"/>
                <w:kern w:val="0"/>
                <w:sz w:val="21"/>
                <w:szCs w:val="21"/>
                <w:u w:val="none"/>
                <w:lang w:val="en-US" w:eastAsia="zh-CN"/>
              </w:rPr>
              <w:br w:type="textWrapping"/>
            </w:r>
            <w:r>
              <w:rPr>
                <w:rFonts w:hint="eastAsia" w:ascii="宋体" w:hAnsi="宋体" w:eastAsia="宋体" w:cs="宋体"/>
                <w:i w:val="0"/>
                <w:iCs w:val="0"/>
                <w:color w:val="auto"/>
                <w:kern w:val="0"/>
                <w:sz w:val="21"/>
                <w:szCs w:val="21"/>
                <w:u w:val="none"/>
                <w:lang w:val="en-US" w:eastAsia="zh-CN"/>
              </w:rPr>
              <w:t>①实际完成率≥100%，且偏离程度＜20%，得满分；</w:t>
            </w:r>
            <w:r>
              <w:rPr>
                <w:rFonts w:hint="eastAsia" w:ascii="宋体" w:hAnsi="宋体" w:eastAsia="宋体" w:cs="宋体"/>
                <w:i w:val="0"/>
                <w:iCs w:val="0"/>
                <w:color w:val="auto"/>
                <w:kern w:val="0"/>
                <w:sz w:val="21"/>
                <w:szCs w:val="21"/>
                <w:u w:val="none"/>
                <w:lang w:val="en-US" w:eastAsia="zh-CN"/>
              </w:rPr>
              <w:br w:type="textWrapping"/>
            </w:r>
            <w:r>
              <w:rPr>
                <w:rFonts w:hint="eastAsia" w:ascii="宋体" w:hAnsi="宋体" w:eastAsia="宋体" w:cs="宋体"/>
                <w:i w:val="0"/>
                <w:iCs w:val="0"/>
                <w:color w:val="auto"/>
                <w:kern w:val="0"/>
                <w:sz w:val="21"/>
                <w:szCs w:val="21"/>
                <w:u w:val="none"/>
                <w:lang w:val="en-US" w:eastAsia="zh-CN"/>
              </w:rPr>
              <w:t>②实际完成率≥100%，偏离程度≥20%，得0分；</w:t>
            </w:r>
            <w:r>
              <w:rPr>
                <w:rFonts w:hint="eastAsia" w:ascii="宋体" w:hAnsi="宋体" w:eastAsia="宋体" w:cs="宋体"/>
                <w:i w:val="0"/>
                <w:iCs w:val="0"/>
                <w:color w:val="auto"/>
                <w:kern w:val="0"/>
                <w:sz w:val="21"/>
                <w:szCs w:val="21"/>
                <w:u w:val="none"/>
                <w:lang w:val="en-US" w:eastAsia="zh-CN"/>
              </w:rPr>
              <w:br w:type="textWrapping"/>
            </w:r>
            <w:r>
              <w:rPr>
                <w:rFonts w:hint="eastAsia" w:ascii="宋体" w:hAnsi="宋体" w:eastAsia="宋体" w:cs="宋体"/>
                <w:i w:val="0"/>
                <w:iCs w:val="0"/>
                <w:color w:val="auto"/>
                <w:kern w:val="0"/>
                <w:sz w:val="21"/>
                <w:szCs w:val="21"/>
                <w:u w:val="none"/>
                <w:lang w:val="en-US" w:eastAsia="zh-CN"/>
              </w:rPr>
              <w:t>③实际完成率×100%＜100%，得分=实际完成率×指标分值。</w:t>
            </w:r>
          </w:p>
        </w:tc>
        <w:tc>
          <w:tcPr>
            <w:tcW w:w="354" w:type="pct"/>
            <w:tcBorders>
              <w:top w:val="single" w:color="auto" w:sz="4" w:space="0"/>
              <w:left w:val="single" w:color="auto" w:sz="4" w:space="0"/>
              <w:bottom w:val="single" w:color="auto" w:sz="4" w:space="0"/>
              <w:right w:val="single" w:color="auto" w:sz="4" w:space="0"/>
            </w:tcBorders>
            <w:noWrap w:val="0"/>
            <w:vAlign w:val="center"/>
          </w:tcPr>
          <w:p w14:paraId="108FC3F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=1.9647万人</w:t>
            </w:r>
          </w:p>
        </w:tc>
        <w:tc>
          <w:tcPr>
            <w:tcW w:w="267" w:type="pct"/>
            <w:tcBorders>
              <w:top w:val="single" w:color="auto" w:sz="4" w:space="0"/>
              <w:left w:val="single" w:color="auto" w:sz="4" w:space="0"/>
              <w:bottom w:val="single" w:color="auto" w:sz="4" w:space="0"/>
              <w:right w:val="single" w:color="auto" w:sz="4" w:space="0"/>
            </w:tcBorders>
            <w:noWrap w:val="0"/>
            <w:vAlign w:val="center"/>
          </w:tcPr>
          <w:p w14:paraId="1825851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w:t>
            </w:r>
          </w:p>
        </w:tc>
      </w:tr>
      <w:tr w14:paraId="076C3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4" w:hRule="atLeast"/>
        </w:trPr>
        <w:tc>
          <w:tcPr>
            <w:tcW w:w="375" w:type="pct"/>
            <w:vMerge w:val="continue"/>
            <w:tcBorders>
              <w:top w:val="single" w:color="auto" w:sz="4" w:space="0"/>
              <w:left w:val="single" w:color="auto" w:sz="4" w:space="0"/>
              <w:bottom w:val="single" w:color="auto" w:sz="4" w:space="0"/>
              <w:right w:val="single" w:color="auto" w:sz="4" w:space="0"/>
            </w:tcBorders>
            <w:noWrap w:val="0"/>
            <w:vAlign w:val="center"/>
          </w:tcPr>
          <w:p w14:paraId="1BC5DC4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58" w:type="pct"/>
            <w:vMerge w:val="continue"/>
            <w:tcBorders>
              <w:top w:val="single" w:color="auto" w:sz="4" w:space="0"/>
              <w:left w:val="single" w:color="auto" w:sz="4" w:space="0"/>
              <w:bottom w:val="single" w:color="auto" w:sz="4" w:space="0"/>
              <w:right w:val="single" w:color="auto" w:sz="4" w:space="0"/>
            </w:tcBorders>
            <w:noWrap w:val="0"/>
            <w:vAlign w:val="center"/>
          </w:tcPr>
          <w:p w14:paraId="484D0CB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192" w:type="pct"/>
            <w:vMerge w:val="restart"/>
            <w:tcBorders>
              <w:top w:val="single" w:color="auto" w:sz="4" w:space="0"/>
              <w:left w:val="single" w:color="auto" w:sz="4" w:space="0"/>
              <w:right w:val="single" w:color="auto" w:sz="4" w:space="0"/>
            </w:tcBorders>
            <w:noWrap w:val="0"/>
            <w:vAlign w:val="center"/>
          </w:tcPr>
          <w:p w14:paraId="576615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产出质量</w:t>
            </w:r>
          </w:p>
        </w:tc>
        <w:tc>
          <w:tcPr>
            <w:tcW w:w="240" w:type="pct"/>
            <w:vMerge w:val="restart"/>
            <w:tcBorders>
              <w:top w:val="single" w:color="auto" w:sz="4" w:space="0"/>
              <w:left w:val="single" w:color="auto" w:sz="4" w:space="0"/>
              <w:right w:val="single" w:color="auto" w:sz="4" w:space="0"/>
            </w:tcBorders>
            <w:noWrap w:val="0"/>
            <w:vAlign w:val="center"/>
          </w:tcPr>
          <w:p w14:paraId="7EC9D2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w:t>
            </w:r>
          </w:p>
        </w:tc>
        <w:tc>
          <w:tcPr>
            <w:tcW w:w="320" w:type="pct"/>
            <w:vMerge w:val="restart"/>
            <w:tcBorders>
              <w:top w:val="single" w:color="auto" w:sz="4" w:space="0"/>
              <w:left w:val="single" w:color="auto" w:sz="4" w:space="0"/>
              <w:right w:val="single" w:color="auto" w:sz="4" w:space="0"/>
            </w:tcBorders>
            <w:noWrap w:val="0"/>
            <w:vAlign w:val="center"/>
          </w:tcPr>
          <w:p w14:paraId="79C12C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质量达标率</w:t>
            </w:r>
          </w:p>
        </w:tc>
        <w:tc>
          <w:tcPr>
            <w:tcW w:w="216" w:type="pct"/>
            <w:vMerge w:val="restart"/>
            <w:tcBorders>
              <w:top w:val="single" w:color="auto" w:sz="4" w:space="0"/>
              <w:left w:val="single" w:color="auto" w:sz="4" w:space="0"/>
              <w:right w:val="single" w:color="auto" w:sz="4" w:space="0"/>
            </w:tcBorders>
            <w:noWrap w:val="0"/>
            <w:vAlign w:val="center"/>
          </w:tcPr>
          <w:p w14:paraId="2B5F7D5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66981D3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补助资金发放覆盖率</w:t>
            </w:r>
            <w:r>
              <w:rPr>
                <w:rFonts w:hint="eastAsia" w:ascii="宋体" w:hAnsi="宋体" w:eastAsia="宋体" w:cs="宋体"/>
                <w:i w:val="0"/>
                <w:iCs w:val="0"/>
                <w:color w:val="auto"/>
                <w:sz w:val="21"/>
                <w:szCs w:val="21"/>
                <w:u w:val="none"/>
              </w:rPr>
              <w:br w:type="textWrapping"/>
            </w:r>
          </w:p>
        </w:tc>
        <w:tc>
          <w:tcPr>
            <w:tcW w:w="288" w:type="pct"/>
            <w:tcBorders>
              <w:top w:val="single" w:color="auto" w:sz="4" w:space="0"/>
              <w:left w:val="single" w:color="auto" w:sz="4" w:space="0"/>
              <w:bottom w:val="single" w:color="auto" w:sz="4" w:space="0"/>
              <w:right w:val="single" w:color="auto" w:sz="4" w:space="0"/>
            </w:tcBorders>
            <w:noWrap w:val="0"/>
            <w:vAlign w:val="center"/>
          </w:tcPr>
          <w:p w14:paraId="5622ED3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100%</w:t>
            </w:r>
          </w:p>
        </w:tc>
        <w:tc>
          <w:tcPr>
            <w:tcW w:w="1652" w:type="pct"/>
            <w:vMerge w:val="restart"/>
            <w:tcBorders>
              <w:top w:val="single" w:color="auto" w:sz="4" w:space="0"/>
              <w:left w:val="single" w:color="auto" w:sz="4" w:space="0"/>
              <w:right w:val="single" w:color="auto" w:sz="4" w:space="0"/>
            </w:tcBorders>
            <w:noWrap w:val="0"/>
            <w:vAlign w:val="center"/>
          </w:tcPr>
          <w:p w14:paraId="2380F1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若指标达到标杆值，则得100%权重分；否则，得分=（实际完成/预期完成）×100%×指标分值。</w:t>
            </w:r>
          </w:p>
          <w:p w14:paraId="4DB448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若指标完成值达到标杆值，则得100%权重分；否则，不得分。</w:t>
            </w:r>
          </w:p>
        </w:tc>
        <w:tc>
          <w:tcPr>
            <w:tcW w:w="354" w:type="pct"/>
            <w:tcBorders>
              <w:top w:val="single" w:color="auto" w:sz="4" w:space="0"/>
              <w:left w:val="single" w:color="auto" w:sz="4" w:space="0"/>
              <w:bottom w:val="single" w:color="auto" w:sz="4" w:space="0"/>
              <w:right w:val="single" w:color="auto" w:sz="4" w:space="0"/>
            </w:tcBorders>
            <w:noWrap w:val="0"/>
            <w:vAlign w:val="center"/>
          </w:tcPr>
          <w:p w14:paraId="1D83354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100%</w:t>
            </w:r>
          </w:p>
        </w:tc>
        <w:tc>
          <w:tcPr>
            <w:tcW w:w="267" w:type="pct"/>
            <w:tcBorders>
              <w:top w:val="single" w:color="auto" w:sz="4" w:space="0"/>
              <w:left w:val="single" w:color="auto" w:sz="4" w:space="0"/>
              <w:bottom w:val="single" w:color="auto" w:sz="4" w:space="0"/>
              <w:right w:val="single" w:color="auto" w:sz="4" w:space="0"/>
            </w:tcBorders>
            <w:noWrap w:val="0"/>
            <w:vAlign w:val="center"/>
          </w:tcPr>
          <w:p w14:paraId="0A5E5D8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5</w:t>
            </w:r>
          </w:p>
        </w:tc>
      </w:tr>
      <w:tr w14:paraId="6DB9F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75" w:type="pct"/>
            <w:vMerge w:val="continue"/>
            <w:tcBorders>
              <w:top w:val="single" w:color="auto" w:sz="4" w:space="0"/>
              <w:left w:val="single" w:color="auto" w:sz="4" w:space="0"/>
              <w:bottom w:val="single" w:color="auto" w:sz="4" w:space="0"/>
              <w:right w:val="single" w:color="auto" w:sz="4" w:space="0"/>
            </w:tcBorders>
            <w:noWrap w:val="0"/>
            <w:vAlign w:val="center"/>
          </w:tcPr>
          <w:p w14:paraId="57DD9B2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58" w:type="pct"/>
            <w:vMerge w:val="continue"/>
            <w:tcBorders>
              <w:top w:val="single" w:color="auto" w:sz="4" w:space="0"/>
              <w:left w:val="single" w:color="auto" w:sz="4" w:space="0"/>
              <w:bottom w:val="single" w:color="auto" w:sz="4" w:space="0"/>
              <w:right w:val="single" w:color="auto" w:sz="4" w:space="0"/>
            </w:tcBorders>
            <w:noWrap w:val="0"/>
            <w:vAlign w:val="center"/>
          </w:tcPr>
          <w:p w14:paraId="2AF8C78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192" w:type="pct"/>
            <w:vMerge w:val="continue"/>
            <w:tcBorders>
              <w:left w:val="single" w:color="auto" w:sz="4" w:space="0"/>
              <w:bottom w:val="single" w:color="auto" w:sz="4" w:space="0"/>
              <w:right w:val="single" w:color="auto" w:sz="4" w:space="0"/>
            </w:tcBorders>
            <w:noWrap w:val="0"/>
            <w:vAlign w:val="center"/>
          </w:tcPr>
          <w:p w14:paraId="549013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kern w:val="0"/>
                <w:sz w:val="21"/>
                <w:szCs w:val="21"/>
                <w:u w:val="none"/>
                <w:lang w:val="en-US" w:eastAsia="zh-CN"/>
              </w:rPr>
            </w:pPr>
          </w:p>
        </w:tc>
        <w:tc>
          <w:tcPr>
            <w:tcW w:w="240" w:type="pct"/>
            <w:vMerge w:val="continue"/>
            <w:tcBorders>
              <w:left w:val="single" w:color="auto" w:sz="4" w:space="0"/>
              <w:bottom w:val="single" w:color="auto" w:sz="4" w:space="0"/>
              <w:right w:val="single" w:color="auto" w:sz="4" w:space="0"/>
            </w:tcBorders>
            <w:noWrap w:val="0"/>
            <w:vAlign w:val="center"/>
          </w:tcPr>
          <w:p w14:paraId="5DF23D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kern w:val="0"/>
                <w:sz w:val="21"/>
                <w:szCs w:val="21"/>
                <w:u w:val="none"/>
                <w:lang w:val="en-US" w:eastAsia="zh-CN"/>
              </w:rPr>
            </w:pPr>
          </w:p>
        </w:tc>
        <w:tc>
          <w:tcPr>
            <w:tcW w:w="320" w:type="pct"/>
            <w:vMerge w:val="continue"/>
            <w:tcBorders>
              <w:left w:val="single" w:color="auto" w:sz="4" w:space="0"/>
              <w:bottom w:val="single" w:color="auto" w:sz="4" w:space="0"/>
              <w:right w:val="single" w:color="auto" w:sz="4" w:space="0"/>
            </w:tcBorders>
            <w:noWrap w:val="0"/>
            <w:vAlign w:val="center"/>
          </w:tcPr>
          <w:p w14:paraId="0FAD09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kern w:val="0"/>
                <w:sz w:val="21"/>
                <w:szCs w:val="21"/>
                <w:u w:val="none"/>
                <w:lang w:val="en-US" w:eastAsia="zh-CN"/>
              </w:rPr>
            </w:pPr>
          </w:p>
        </w:tc>
        <w:tc>
          <w:tcPr>
            <w:tcW w:w="216" w:type="pct"/>
            <w:vMerge w:val="continue"/>
            <w:tcBorders>
              <w:left w:val="single" w:color="auto" w:sz="4" w:space="0"/>
              <w:bottom w:val="single" w:color="auto" w:sz="4" w:space="0"/>
              <w:right w:val="single" w:color="auto" w:sz="4" w:space="0"/>
            </w:tcBorders>
            <w:noWrap w:val="0"/>
            <w:vAlign w:val="center"/>
          </w:tcPr>
          <w:p w14:paraId="653C8EC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833" w:type="pct"/>
            <w:tcBorders>
              <w:top w:val="single" w:color="auto" w:sz="4" w:space="0"/>
              <w:left w:val="single" w:color="auto" w:sz="4" w:space="0"/>
              <w:bottom w:val="single" w:color="auto" w:sz="4" w:space="0"/>
              <w:right w:val="single" w:color="auto" w:sz="4" w:space="0"/>
            </w:tcBorders>
            <w:noWrap w:val="0"/>
            <w:vAlign w:val="center"/>
          </w:tcPr>
          <w:p w14:paraId="14C5860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补助资金发放准确率</w:t>
            </w:r>
          </w:p>
        </w:tc>
        <w:tc>
          <w:tcPr>
            <w:tcW w:w="288" w:type="pct"/>
            <w:tcBorders>
              <w:top w:val="single" w:color="auto" w:sz="4" w:space="0"/>
              <w:left w:val="single" w:color="auto" w:sz="4" w:space="0"/>
              <w:bottom w:val="single" w:color="auto" w:sz="4" w:space="0"/>
              <w:right w:val="single" w:color="auto" w:sz="4" w:space="0"/>
            </w:tcBorders>
            <w:noWrap w:val="0"/>
            <w:vAlign w:val="center"/>
          </w:tcPr>
          <w:p w14:paraId="10BD167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100%</w:t>
            </w:r>
          </w:p>
        </w:tc>
        <w:tc>
          <w:tcPr>
            <w:tcW w:w="1652" w:type="pct"/>
            <w:vMerge w:val="continue"/>
            <w:tcBorders>
              <w:left w:val="single" w:color="auto" w:sz="4" w:space="0"/>
              <w:right w:val="single" w:color="auto" w:sz="4" w:space="0"/>
            </w:tcBorders>
            <w:noWrap w:val="0"/>
            <w:vAlign w:val="center"/>
          </w:tcPr>
          <w:p w14:paraId="56DDD8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p>
        </w:tc>
        <w:tc>
          <w:tcPr>
            <w:tcW w:w="354" w:type="pct"/>
            <w:tcBorders>
              <w:top w:val="single" w:color="auto" w:sz="4" w:space="0"/>
              <w:left w:val="single" w:color="auto" w:sz="4" w:space="0"/>
              <w:bottom w:val="single" w:color="auto" w:sz="4" w:space="0"/>
              <w:right w:val="single" w:color="auto" w:sz="4" w:space="0"/>
            </w:tcBorders>
            <w:noWrap w:val="0"/>
            <w:vAlign w:val="center"/>
          </w:tcPr>
          <w:p w14:paraId="313713E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100%</w:t>
            </w:r>
          </w:p>
        </w:tc>
        <w:tc>
          <w:tcPr>
            <w:tcW w:w="267" w:type="pct"/>
            <w:tcBorders>
              <w:top w:val="single" w:color="auto" w:sz="4" w:space="0"/>
              <w:left w:val="single" w:color="auto" w:sz="4" w:space="0"/>
              <w:bottom w:val="single" w:color="auto" w:sz="4" w:space="0"/>
              <w:right w:val="single" w:color="auto" w:sz="4" w:space="0"/>
            </w:tcBorders>
            <w:noWrap w:val="0"/>
            <w:vAlign w:val="center"/>
          </w:tcPr>
          <w:p w14:paraId="12BFE5E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5</w:t>
            </w:r>
          </w:p>
        </w:tc>
      </w:tr>
      <w:tr w14:paraId="637E6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375" w:type="pct"/>
            <w:vMerge w:val="continue"/>
            <w:tcBorders>
              <w:top w:val="single" w:color="auto" w:sz="4" w:space="0"/>
              <w:left w:val="single" w:color="auto" w:sz="4" w:space="0"/>
              <w:bottom w:val="single" w:color="auto" w:sz="4" w:space="0"/>
              <w:right w:val="single" w:color="auto" w:sz="4" w:space="0"/>
            </w:tcBorders>
            <w:noWrap w:val="0"/>
            <w:vAlign w:val="center"/>
          </w:tcPr>
          <w:p w14:paraId="0650208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58" w:type="pct"/>
            <w:vMerge w:val="continue"/>
            <w:tcBorders>
              <w:top w:val="single" w:color="auto" w:sz="4" w:space="0"/>
              <w:left w:val="single" w:color="auto" w:sz="4" w:space="0"/>
              <w:bottom w:val="single" w:color="auto" w:sz="4" w:space="0"/>
              <w:right w:val="single" w:color="auto" w:sz="4" w:space="0"/>
            </w:tcBorders>
            <w:noWrap w:val="0"/>
            <w:vAlign w:val="center"/>
          </w:tcPr>
          <w:p w14:paraId="7CA2A4E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192" w:type="pct"/>
            <w:vMerge w:val="restart"/>
            <w:tcBorders>
              <w:top w:val="single" w:color="auto" w:sz="4" w:space="0"/>
              <w:left w:val="single" w:color="auto" w:sz="4" w:space="0"/>
              <w:right w:val="single" w:color="auto" w:sz="4" w:space="0"/>
            </w:tcBorders>
            <w:noWrap w:val="0"/>
            <w:vAlign w:val="center"/>
          </w:tcPr>
          <w:p w14:paraId="0D4F64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产出时效</w:t>
            </w:r>
          </w:p>
        </w:tc>
        <w:tc>
          <w:tcPr>
            <w:tcW w:w="240" w:type="pct"/>
            <w:vMerge w:val="restart"/>
            <w:tcBorders>
              <w:top w:val="single" w:color="auto" w:sz="4" w:space="0"/>
              <w:left w:val="single" w:color="auto" w:sz="4" w:space="0"/>
              <w:right w:val="single" w:color="auto" w:sz="4" w:space="0"/>
            </w:tcBorders>
            <w:noWrap w:val="0"/>
            <w:vAlign w:val="center"/>
          </w:tcPr>
          <w:p w14:paraId="7B621D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w:t>
            </w:r>
          </w:p>
        </w:tc>
        <w:tc>
          <w:tcPr>
            <w:tcW w:w="320" w:type="pct"/>
            <w:vMerge w:val="restart"/>
            <w:tcBorders>
              <w:top w:val="single" w:color="auto" w:sz="4" w:space="0"/>
              <w:left w:val="single" w:color="auto" w:sz="4" w:space="0"/>
              <w:right w:val="single" w:color="auto" w:sz="4" w:space="0"/>
            </w:tcBorders>
            <w:noWrap w:val="0"/>
            <w:vAlign w:val="center"/>
          </w:tcPr>
          <w:p w14:paraId="76D7C1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完成及时率</w:t>
            </w:r>
          </w:p>
        </w:tc>
        <w:tc>
          <w:tcPr>
            <w:tcW w:w="216" w:type="pct"/>
            <w:vMerge w:val="restart"/>
            <w:tcBorders>
              <w:top w:val="single" w:color="auto" w:sz="4" w:space="0"/>
              <w:left w:val="single" w:color="auto" w:sz="4" w:space="0"/>
              <w:right w:val="single" w:color="auto" w:sz="4" w:space="0"/>
            </w:tcBorders>
            <w:noWrap w:val="0"/>
            <w:vAlign w:val="center"/>
          </w:tcPr>
          <w:p w14:paraId="2B173E9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4E5F1CC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补助资金发放及时率</w:t>
            </w:r>
          </w:p>
        </w:tc>
        <w:tc>
          <w:tcPr>
            <w:tcW w:w="288" w:type="pct"/>
            <w:tcBorders>
              <w:top w:val="single" w:color="auto" w:sz="4" w:space="0"/>
              <w:left w:val="single" w:color="auto" w:sz="4" w:space="0"/>
              <w:bottom w:val="single" w:color="auto" w:sz="4" w:space="0"/>
              <w:right w:val="single" w:color="auto" w:sz="4" w:space="0"/>
            </w:tcBorders>
            <w:noWrap w:val="0"/>
            <w:vAlign w:val="center"/>
          </w:tcPr>
          <w:p w14:paraId="3DF0B38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100%</w:t>
            </w:r>
          </w:p>
        </w:tc>
        <w:tc>
          <w:tcPr>
            <w:tcW w:w="1652" w:type="pct"/>
            <w:vMerge w:val="restart"/>
            <w:tcBorders>
              <w:top w:val="single" w:color="auto" w:sz="4" w:space="0"/>
              <w:left w:val="single" w:color="auto" w:sz="4" w:space="0"/>
              <w:right w:val="single" w:color="auto" w:sz="4" w:space="0"/>
            </w:tcBorders>
            <w:noWrap w:val="0"/>
            <w:vAlign w:val="center"/>
          </w:tcPr>
          <w:p w14:paraId="1E01AF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若指标完成值达到标杆值，则得100%权重分；否则，得分=（实际完成/预期完成）×100%×指标分值。</w:t>
            </w:r>
          </w:p>
          <w:p w14:paraId="426D77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若在规定时间内完成，得100%权重分；若未在规定的时间内完成，得分=（1-未在规定时间内完成工作数/实际完成工作总数）×分值。</w:t>
            </w:r>
          </w:p>
        </w:tc>
        <w:tc>
          <w:tcPr>
            <w:tcW w:w="354" w:type="pct"/>
            <w:tcBorders>
              <w:top w:val="single" w:color="auto" w:sz="4" w:space="0"/>
              <w:left w:val="single" w:color="auto" w:sz="4" w:space="0"/>
              <w:bottom w:val="single" w:color="auto" w:sz="4" w:space="0"/>
              <w:right w:val="single" w:color="auto" w:sz="4" w:space="0"/>
            </w:tcBorders>
            <w:noWrap w:val="0"/>
            <w:vAlign w:val="center"/>
          </w:tcPr>
          <w:p w14:paraId="6B78F81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100%</w:t>
            </w:r>
          </w:p>
        </w:tc>
        <w:tc>
          <w:tcPr>
            <w:tcW w:w="267" w:type="pct"/>
            <w:tcBorders>
              <w:top w:val="single" w:color="auto" w:sz="4" w:space="0"/>
              <w:left w:val="single" w:color="auto" w:sz="4" w:space="0"/>
              <w:bottom w:val="single" w:color="auto" w:sz="4" w:space="0"/>
              <w:right w:val="single" w:color="auto" w:sz="4" w:space="0"/>
            </w:tcBorders>
            <w:noWrap w:val="0"/>
            <w:vAlign w:val="center"/>
          </w:tcPr>
          <w:p w14:paraId="1FB1DB2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5</w:t>
            </w:r>
          </w:p>
        </w:tc>
      </w:tr>
      <w:tr w14:paraId="17AB3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75" w:type="pct"/>
            <w:vMerge w:val="continue"/>
            <w:tcBorders>
              <w:top w:val="single" w:color="auto" w:sz="4" w:space="0"/>
              <w:left w:val="single" w:color="auto" w:sz="4" w:space="0"/>
              <w:bottom w:val="single" w:color="auto" w:sz="4" w:space="0"/>
              <w:right w:val="single" w:color="auto" w:sz="4" w:space="0"/>
            </w:tcBorders>
            <w:noWrap w:val="0"/>
            <w:vAlign w:val="center"/>
          </w:tcPr>
          <w:p w14:paraId="275C666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58" w:type="pct"/>
            <w:vMerge w:val="continue"/>
            <w:tcBorders>
              <w:top w:val="single" w:color="auto" w:sz="4" w:space="0"/>
              <w:left w:val="single" w:color="auto" w:sz="4" w:space="0"/>
              <w:bottom w:val="single" w:color="auto" w:sz="4" w:space="0"/>
              <w:right w:val="single" w:color="auto" w:sz="4" w:space="0"/>
            </w:tcBorders>
            <w:noWrap w:val="0"/>
            <w:vAlign w:val="center"/>
          </w:tcPr>
          <w:p w14:paraId="2A8F3A3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192" w:type="pct"/>
            <w:vMerge w:val="continue"/>
            <w:tcBorders>
              <w:left w:val="single" w:color="auto" w:sz="4" w:space="0"/>
              <w:bottom w:val="single" w:color="auto" w:sz="4" w:space="0"/>
              <w:right w:val="single" w:color="auto" w:sz="4" w:space="0"/>
            </w:tcBorders>
            <w:noWrap w:val="0"/>
            <w:vAlign w:val="center"/>
          </w:tcPr>
          <w:p w14:paraId="45548A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p>
        </w:tc>
        <w:tc>
          <w:tcPr>
            <w:tcW w:w="240" w:type="pct"/>
            <w:vMerge w:val="continue"/>
            <w:tcBorders>
              <w:left w:val="single" w:color="auto" w:sz="4" w:space="0"/>
              <w:bottom w:val="single" w:color="auto" w:sz="4" w:space="0"/>
              <w:right w:val="single" w:color="auto" w:sz="4" w:space="0"/>
            </w:tcBorders>
            <w:noWrap w:val="0"/>
            <w:vAlign w:val="center"/>
          </w:tcPr>
          <w:p w14:paraId="17C276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p>
        </w:tc>
        <w:tc>
          <w:tcPr>
            <w:tcW w:w="320" w:type="pct"/>
            <w:vMerge w:val="continue"/>
            <w:tcBorders>
              <w:left w:val="single" w:color="auto" w:sz="4" w:space="0"/>
              <w:bottom w:val="single" w:color="auto" w:sz="4" w:space="0"/>
              <w:right w:val="single" w:color="auto" w:sz="4" w:space="0"/>
            </w:tcBorders>
            <w:noWrap w:val="0"/>
            <w:vAlign w:val="center"/>
          </w:tcPr>
          <w:p w14:paraId="4CFF55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p>
        </w:tc>
        <w:tc>
          <w:tcPr>
            <w:tcW w:w="216" w:type="pct"/>
            <w:vMerge w:val="continue"/>
            <w:tcBorders>
              <w:left w:val="single" w:color="auto" w:sz="4" w:space="0"/>
              <w:bottom w:val="single" w:color="auto" w:sz="4" w:space="0"/>
              <w:right w:val="single" w:color="auto" w:sz="4" w:space="0"/>
            </w:tcBorders>
            <w:noWrap w:val="0"/>
            <w:vAlign w:val="center"/>
          </w:tcPr>
          <w:p w14:paraId="17DEDCE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833" w:type="pct"/>
            <w:tcBorders>
              <w:top w:val="single" w:color="auto" w:sz="4" w:space="0"/>
              <w:left w:val="single" w:color="auto" w:sz="4" w:space="0"/>
              <w:bottom w:val="single" w:color="auto" w:sz="4" w:space="0"/>
              <w:right w:val="single" w:color="auto" w:sz="4" w:space="0"/>
            </w:tcBorders>
            <w:noWrap w:val="0"/>
            <w:vAlign w:val="center"/>
          </w:tcPr>
          <w:p w14:paraId="220DEC2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br w:type="textWrapping"/>
            </w:r>
            <w:r>
              <w:rPr>
                <w:rFonts w:hint="eastAsia" w:ascii="宋体" w:hAnsi="宋体" w:eastAsia="宋体" w:cs="宋体"/>
                <w:i w:val="0"/>
                <w:iCs w:val="0"/>
                <w:color w:val="auto"/>
                <w:sz w:val="21"/>
                <w:szCs w:val="21"/>
                <w:u w:val="none"/>
              </w:rPr>
              <w:t>项目完成时间</w:t>
            </w:r>
          </w:p>
        </w:tc>
        <w:tc>
          <w:tcPr>
            <w:tcW w:w="288" w:type="pct"/>
            <w:tcBorders>
              <w:top w:val="single" w:color="auto" w:sz="4" w:space="0"/>
              <w:left w:val="single" w:color="auto" w:sz="4" w:space="0"/>
              <w:bottom w:val="single" w:color="auto" w:sz="4" w:space="0"/>
              <w:right w:val="single" w:color="auto" w:sz="4" w:space="0"/>
            </w:tcBorders>
            <w:noWrap w:val="0"/>
            <w:vAlign w:val="center"/>
          </w:tcPr>
          <w:p w14:paraId="782B934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br w:type="textWrapping"/>
            </w:r>
            <w:r>
              <w:rPr>
                <w:rFonts w:hint="eastAsia" w:ascii="宋体" w:hAnsi="宋体" w:eastAsia="宋体" w:cs="宋体"/>
                <w:i w:val="0"/>
                <w:iCs w:val="0"/>
                <w:color w:val="auto"/>
                <w:sz w:val="21"/>
                <w:szCs w:val="21"/>
                <w:u w:val="none"/>
                <w:lang w:val="en-US" w:eastAsia="zh-CN"/>
              </w:rPr>
              <w:t>2024年12月</w:t>
            </w:r>
          </w:p>
        </w:tc>
        <w:tc>
          <w:tcPr>
            <w:tcW w:w="1652" w:type="pct"/>
            <w:vMerge w:val="continue"/>
            <w:tcBorders>
              <w:left w:val="single" w:color="auto" w:sz="4" w:space="0"/>
              <w:right w:val="single" w:color="auto" w:sz="4" w:space="0"/>
            </w:tcBorders>
            <w:noWrap w:val="0"/>
            <w:vAlign w:val="center"/>
          </w:tcPr>
          <w:p w14:paraId="6E5CE5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p>
        </w:tc>
        <w:tc>
          <w:tcPr>
            <w:tcW w:w="354" w:type="pct"/>
            <w:tcBorders>
              <w:top w:val="single" w:color="auto" w:sz="4" w:space="0"/>
              <w:left w:val="single" w:color="auto" w:sz="4" w:space="0"/>
              <w:bottom w:val="single" w:color="auto" w:sz="4" w:space="0"/>
              <w:right w:val="single" w:color="auto" w:sz="4" w:space="0"/>
            </w:tcBorders>
            <w:noWrap w:val="0"/>
            <w:vAlign w:val="center"/>
          </w:tcPr>
          <w:p w14:paraId="39FD34F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100%</w:t>
            </w:r>
            <w:r>
              <w:rPr>
                <w:rFonts w:hint="eastAsia" w:ascii="宋体" w:hAnsi="宋体" w:eastAsia="宋体" w:cs="宋体"/>
                <w:i w:val="0"/>
                <w:iCs w:val="0"/>
                <w:color w:val="auto"/>
                <w:sz w:val="21"/>
                <w:szCs w:val="21"/>
                <w:u w:val="none"/>
                <w:lang w:val="en-US" w:eastAsia="zh-CN"/>
              </w:rPr>
              <w:br w:type="textWrapping"/>
            </w:r>
            <w:r>
              <w:rPr>
                <w:rFonts w:hint="eastAsia" w:ascii="宋体" w:hAnsi="宋体" w:eastAsia="宋体" w:cs="宋体"/>
                <w:i w:val="0"/>
                <w:iCs w:val="0"/>
                <w:color w:val="auto"/>
                <w:sz w:val="21"/>
                <w:szCs w:val="21"/>
                <w:u w:val="none"/>
                <w:lang w:val="en-US" w:eastAsia="zh-CN"/>
              </w:rPr>
              <w:t>2024年12月</w:t>
            </w:r>
          </w:p>
        </w:tc>
        <w:tc>
          <w:tcPr>
            <w:tcW w:w="267" w:type="pct"/>
            <w:tcBorders>
              <w:top w:val="single" w:color="auto" w:sz="4" w:space="0"/>
              <w:left w:val="single" w:color="auto" w:sz="4" w:space="0"/>
              <w:bottom w:val="single" w:color="auto" w:sz="4" w:space="0"/>
              <w:right w:val="single" w:color="auto" w:sz="4" w:space="0"/>
            </w:tcBorders>
            <w:noWrap w:val="0"/>
            <w:vAlign w:val="center"/>
          </w:tcPr>
          <w:p w14:paraId="360D70A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5</w:t>
            </w:r>
          </w:p>
        </w:tc>
      </w:tr>
      <w:tr w14:paraId="40A3F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0" w:hRule="atLeast"/>
        </w:trPr>
        <w:tc>
          <w:tcPr>
            <w:tcW w:w="375" w:type="pct"/>
            <w:vMerge w:val="continue"/>
            <w:tcBorders>
              <w:top w:val="single" w:color="auto" w:sz="4" w:space="0"/>
              <w:left w:val="single" w:color="auto" w:sz="4" w:space="0"/>
              <w:bottom w:val="single" w:color="auto" w:sz="4" w:space="0"/>
              <w:right w:val="single" w:color="auto" w:sz="4" w:space="0"/>
            </w:tcBorders>
            <w:noWrap w:val="0"/>
            <w:vAlign w:val="center"/>
          </w:tcPr>
          <w:p w14:paraId="08A0E51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58" w:type="pct"/>
            <w:vMerge w:val="continue"/>
            <w:tcBorders>
              <w:top w:val="single" w:color="auto" w:sz="4" w:space="0"/>
              <w:left w:val="single" w:color="auto" w:sz="4" w:space="0"/>
              <w:bottom w:val="single" w:color="auto" w:sz="4" w:space="0"/>
              <w:right w:val="single" w:color="auto" w:sz="4" w:space="0"/>
            </w:tcBorders>
            <w:noWrap w:val="0"/>
            <w:vAlign w:val="center"/>
          </w:tcPr>
          <w:p w14:paraId="1667A11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192" w:type="pct"/>
            <w:tcBorders>
              <w:top w:val="single" w:color="auto" w:sz="4" w:space="0"/>
              <w:left w:val="single" w:color="auto" w:sz="4" w:space="0"/>
              <w:bottom w:val="single" w:color="auto" w:sz="4" w:space="0"/>
              <w:right w:val="single" w:color="auto" w:sz="4" w:space="0"/>
            </w:tcBorders>
            <w:noWrap w:val="0"/>
            <w:vAlign w:val="center"/>
          </w:tcPr>
          <w:p w14:paraId="07C5C0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产出成本</w:t>
            </w:r>
          </w:p>
        </w:tc>
        <w:tc>
          <w:tcPr>
            <w:tcW w:w="240" w:type="pct"/>
            <w:tcBorders>
              <w:top w:val="single" w:color="auto" w:sz="4" w:space="0"/>
              <w:left w:val="single" w:color="auto" w:sz="4" w:space="0"/>
              <w:bottom w:val="single" w:color="auto" w:sz="4" w:space="0"/>
              <w:right w:val="single" w:color="auto" w:sz="4" w:space="0"/>
            </w:tcBorders>
            <w:noWrap w:val="0"/>
            <w:vAlign w:val="center"/>
          </w:tcPr>
          <w:p w14:paraId="036356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w:t>
            </w:r>
          </w:p>
        </w:tc>
        <w:tc>
          <w:tcPr>
            <w:tcW w:w="320" w:type="pct"/>
            <w:tcBorders>
              <w:top w:val="single" w:color="auto" w:sz="4" w:space="0"/>
              <w:left w:val="single" w:color="auto" w:sz="4" w:space="0"/>
              <w:bottom w:val="single" w:color="auto" w:sz="4" w:space="0"/>
              <w:right w:val="single" w:color="auto" w:sz="4" w:space="0"/>
            </w:tcBorders>
            <w:noWrap w:val="0"/>
            <w:vAlign w:val="center"/>
          </w:tcPr>
          <w:p w14:paraId="2CBC51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成本节约率</w:t>
            </w:r>
          </w:p>
        </w:tc>
        <w:tc>
          <w:tcPr>
            <w:tcW w:w="216" w:type="pct"/>
            <w:tcBorders>
              <w:top w:val="single" w:color="auto" w:sz="4" w:space="0"/>
              <w:left w:val="single" w:color="auto" w:sz="4" w:space="0"/>
              <w:bottom w:val="single" w:color="auto" w:sz="4" w:space="0"/>
              <w:right w:val="single" w:color="auto" w:sz="4" w:space="0"/>
            </w:tcBorders>
            <w:noWrap w:val="0"/>
            <w:vAlign w:val="center"/>
          </w:tcPr>
          <w:p w14:paraId="0A5AABB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448EFD9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城乡居民养老补助资金发放标准</w:t>
            </w:r>
          </w:p>
        </w:tc>
        <w:tc>
          <w:tcPr>
            <w:tcW w:w="288" w:type="pct"/>
            <w:tcBorders>
              <w:top w:val="single" w:color="auto" w:sz="4" w:space="0"/>
              <w:left w:val="single" w:color="auto" w:sz="4" w:space="0"/>
              <w:bottom w:val="single" w:color="auto" w:sz="4" w:space="0"/>
              <w:right w:val="single" w:color="auto" w:sz="4" w:space="0"/>
            </w:tcBorders>
            <w:noWrap w:val="0"/>
            <w:vAlign w:val="center"/>
          </w:tcPr>
          <w:p w14:paraId="0B4873C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=18元/人/月</w:t>
            </w:r>
          </w:p>
        </w:tc>
        <w:tc>
          <w:tcPr>
            <w:tcW w:w="1652" w:type="pct"/>
            <w:tcBorders>
              <w:top w:val="single" w:color="auto" w:sz="4" w:space="0"/>
              <w:left w:val="single" w:color="auto" w:sz="4" w:space="0"/>
              <w:bottom w:val="single" w:color="auto" w:sz="4" w:space="0"/>
              <w:right w:val="single" w:color="auto" w:sz="4" w:space="0"/>
            </w:tcBorders>
            <w:noWrap w:val="0"/>
            <w:vAlign w:val="center"/>
          </w:tcPr>
          <w:p w14:paraId="4A34AE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实际完成率=（实际支付资金数/计划应支付资金数）×100%。</w:t>
            </w:r>
            <w:r>
              <w:rPr>
                <w:rFonts w:hint="eastAsia" w:ascii="宋体" w:hAnsi="宋体" w:eastAsia="宋体" w:cs="宋体"/>
                <w:i w:val="0"/>
                <w:iCs w:val="0"/>
                <w:color w:val="auto"/>
                <w:kern w:val="0"/>
                <w:sz w:val="21"/>
                <w:szCs w:val="21"/>
                <w:u w:val="none"/>
                <w:lang w:val="en-US" w:eastAsia="zh-CN"/>
              </w:rPr>
              <w:br w:type="textWrapping"/>
            </w:r>
            <w:r>
              <w:rPr>
                <w:rFonts w:hint="eastAsia" w:ascii="宋体" w:hAnsi="宋体" w:eastAsia="宋体" w:cs="宋体"/>
                <w:i w:val="0"/>
                <w:iCs w:val="0"/>
                <w:color w:val="auto"/>
                <w:kern w:val="0"/>
                <w:sz w:val="21"/>
                <w:szCs w:val="21"/>
                <w:u w:val="none"/>
                <w:lang w:val="en-US" w:eastAsia="zh-CN"/>
              </w:rPr>
              <w:t>①实际完成率＞年度指标值，得0得分；</w:t>
            </w:r>
            <w:r>
              <w:rPr>
                <w:rFonts w:hint="eastAsia" w:ascii="宋体" w:hAnsi="宋体" w:eastAsia="宋体" w:cs="宋体"/>
                <w:i w:val="0"/>
                <w:iCs w:val="0"/>
                <w:color w:val="auto"/>
                <w:kern w:val="0"/>
                <w:sz w:val="21"/>
                <w:szCs w:val="21"/>
                <w:u w:val="none"/>
                <w:lang w:val="en-US" w:eastAsia="zh-CN"/>
              </w:rPr>
              <w:br w:type="textWrapping"/>
            </w:r>
            <w:r>
              <w:rPr>
                <w:rFonts w:hint="eastAsia" w:ascii="宋体" w:hAnsi="宋体" w:eastAsia="宋体" w:cs="宋体"/>
                <w:i w:val="0"/>
                <w:iCs w:val="0"/>
                <w:color w:val="auto"/>
                <w:kern w:val="0"/>
                <w:sz w:val="21"/>
                <w:szCs w:val="21"/>
                <w:u w:val="none"/>
                <w:lang w:val="en-US" w:eastAsia="zh-CN"/>
              </w:rPr>
              <w:t>②实际完成率≤年度指标值，且偏离程度＜20%，得满分；</w:t>
            </w:r>
            <w:r>
              <w:rPr>
                <w:rFonts w:hint="eastAsia" w:ascii="宋体" w:hAnsi="宋体" w:eastAsia="宋体" w:cs="宋体"/>
                <w:i w:val="0"/>
                <w:iCs w:val="0"/>
                <w:color w:val="auto"/>
                <w:kern w:val="0"/>
                <w:sz w:val="21"/>
                <w:szCs w:val="21"/>
                <w:u w:val="none"/>
                <w:lang w:val="en-US" w:eastAsia="zh-CN"/>
              </w:rPr>
              <w:br w:type="textWrapping"/>
            </w:r>
            <w:r>
              <w:rPr>
                <w:rFonts w:hint="eastAsia" w:ascii="宋体" w:hAnsi="宋体" w:eastAsia="宋体" w:cs="宋体"/>
                <w:i w:val="0"/>
                <w:iCs w:val="0"/>
                <w:color w:val="auto"/>
                <w:kern w:val="0"/>
                <w:sz w:val="21"/>
                <w:szCs w:val="21"/>
                <w:u w:val="none"/>
                <w:lang w:val="en-US" w:eastAsia="zh-CN"/>
              </w:rPr>
              <w:t>③实际完成率＜年度指标值，且偏离程度≥20%，得分=实际完成率×分值。</w:t>
            </w:r>
          </w:p>
        </w:tc>
        <w:tc>
          <w:tcPr>
            <w:tcW w:w="354" w:type="pct"/>
            <w:tcBorders>
              <w:top w:val="single" w:color="auto" w:sz="4" w:space="0"/>
              <w:left w:val="single" w:color="auto" w:sz="4" w:space="0"/>
              <w:bottom w:val="single" w:color="auto" w:sz="4" w:space="0"/>
              <w:right w:val="single" w:color="auto" w:sz="4" w:space="0"/>
            </w:tcBorders>
            <w:noWrap w:val="0"/>
            <w:vAlign w:val="center"/>
          </w:tcPr>
          <w:p w14:paraId="3FBB8CD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=18元/人/月</w:t>
            </w:r>
          </w:p>
        </w:tc>
        <w:tc>
          <w:tcPr>
            <w:tcW w:w="267" w:type="pct"/>
            <w:tcBorders>
              <w:top w:val="single" w:color="auto" w:sz="4" w:space="0"/>
              <w:left w:val="single" w:color="auto" w:sz="4" w:space="0"/>
              <w:bottom w:val="single" w:color="auto" w:sz="4" w:space="0"/>
              <w:right w:val="single" w:color="auto" w:sz="4" w:space="0"/>
            </w:tcBorders>
            <w:noWrap w:val="0"/>
            <w:vAlign w:val="center"/>
          </w:tcPr>
          <w:p w14:paraId="17F3BB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w:t>
            </w:r>
          </w:p>
        </w:tc>
      </w:tr>
      <w:tr w14:paraId="26DE32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375" w:type="pct"/>
            <w:vMerge w:val="restart"/>
            <w:tcBorders>
              <w:top w:val="single" w:color="auto" w:sz="4" w:space="0"/>
              <w:left w:val="single" w:color="auto" w:sz="4" w:space="0"/>
              <w:bottom w:val="single" w:color="auto" w:sz="4" w:space="0"/>
              <w:right w:val="single" w:color="auto" w:sz="4" w:space="0"/>
            </w:tcBorders>
            <w:noWrap w:val="0"/>
            <w:vAlign w:val="center"/>
          </w:tcPr>
          <w:p w14:paraId="402042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项目效益</w:t>
            </w:r>
          </w:p>
        </w:tc>
        <w:tc>
          <w:tcPr>
            <w:tcW w:w="258" w:type="pct"/>
            <w:vMerge w:val="restart"/>
            <w:tcBorders>
              <w:top w:val="single" w:color="auto" w:sz="4" w:space="0"/>
              <w:left w:val="single" w:color="auto" w:sz="4" w:space="0"/>
              <w:bottom w:val="single" w:color="auto" w:sz="4" w:space="0"/>
              <w:right w:val="single" w:color="auto" w:sz="4" w:space="0"/>
            </w:tcBorders>
            <w:noWrap w:val="0"/>
            <w:vAlign w:val="center"/>
          </w:tcPr>
          <w:p w14:paraId="5C7DBC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25</w:t>
            </w:r>
          </w:p>
        </w:tc>
        <w:tc>
          <w:tcPr>
            <w:tcW w:w="192" w:type="pct"/>
            <w:vMerge w:val="restart"/>
            <w:tcBorders>
              <w:top w:val="single" w:color="auto" w:sz="4" w:space="0"/>
              <w:left w:val="single" w:color="auto" w:sz="4" w:space="0"/>
              <w:bottom w:val="single" w:color="auto" w:sz="4" w:space="0"/>
              <w:right w:val="single" w:color="auto" w:sz="4" w:space="0"/>
            </w:tcBorders>
            <w:noWrap w:val="0"/>
            <w:vAlign w:val="center"/>
          </w:tcPr>
          <w:p w14:paraId="25A2F4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项目效益</w:t>
            </w:r>
          </w:p>
        </w:tc>
        <w:tc>
          <w:tcPr>
            <w:tcW w:w="240" w:type="pct"/>
            <w:vMerge w:val="restart"/>
            <w:tcBorders>
              <w:top w:val="single" w:color="auto" w:sz="4" w:space="0"/>
              <w:left w:val="single" w:color="auto" w:sz="4" w:space="0"/>
              <w:bottom w:val="single" w:color="auto" w:sz="4" w:space="0"/>
              <w:right w:val="single" w:color="auto" w:sz="4" w:space="0"/>
            </w:tcBorders>
            <w:noWrap w:val="0"/>
            <w:vAlign w:val="center"/>
          </w:tcPr>
          <w:p w14:paraId="335A0B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25</w:t>
            </w:r>
          </w:p>
        </w:tc>
        <w:tc>
          <w:tcPr>
            <w:tcW w:w="320" w:type="pct"/>
            <w:tcBorders>
              <w:top w:val="single" w:color="auto" w:sz="4" w:space="0"/>
              <w:left w:val="single" w:color="auto" w:sz="4" w:space="0"/>
              <w:bottom w:val="single" w:color="auto" w:sz="4" w:space="0"/>
              <w:right w:val="single" w:color="auto" w:sz="4" w:space="0"/>
            </w:tcBorders>
            <w:noWrap w:val="0"/>
            <w:vAlign w:val="center"/>
          </w:tcPr>
          <w:p w14:paraId="50A90D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社会效益</w:t>
            </w:r>
          </w:p>
        </w:tc>
        <w:tc>
          <w:tcPr>
            <w:tcW w:w="216" w:type="pct"/>
            <w:tcBorders>
              <w:top w:val="single" w:color="auto" w:sz="4" w:space="0"/>
              <w:left w:val="single" w:color="auto" w:sz="4" w:space="0"/>
              <w:bottom w:val="single" w:color="auto" w:sz="4" w:space="0"/>
              <w:right w:val="single" w:color="auto" w:sz="4" w:space="0"/>
            </w:tcBorders>
            <w:noWrap w:val="0"/>
            <w:vAlign w:val="center"/>
          </w:tcPr>
          <w:p w14:paraId="08A871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15</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220B94D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保障社会稳定和长治久安</w:t>
            </w:r>
          </w:p>
        </w:tc>
        <w:tc>
          <w:tcPr>
            <w:tcW w:w="288" w:type="pct"/>
            <w:tcBorders>
              <w:top w:val="single" w:color="auto" w:sz="4" w:space="0"/>
              <w:left w:val="single" w:color="auto" w:sz="4" w:space="0"/>
              <w:bottom w:val="single" w:color="auto" w:sz="4" w:space="0"/>
              <w:right w:val="single" w:color="auto" w:sz="4" w:space="0"/>
            </w:tcBorders>
            <w:noWrap w:val="0"/>
            <w:vAlign w:val="center"/>
          </w:tcPr>
          <w:p w14:paraId="156D14A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有效保障</w:t>
            </w:r>
          </w:p>
        </w:tc>
        <w:tc>
          <w:tcPr>
            <w:tcW w:w="1652" w:type="pct"/>
            <w:tcBorders>
              <w:top w:val="single" w:color="auto" w:sz="4" w:space="0"/>
              <w:left w:val="single" w:color="auto" w:sz="4" w:space="0"/>
              <w:bottom w:val="single" w:color="auto" w:sz="4" w:space="0"/>
              <w:right w:val="single" w:color="auto" w:sz="4" w:space="0"/>
            </w:tcBorders>
            <w:noWrap w:val="0"/>
            <w:vAlign w:val="center"/>
          </w:tcPr>
          <w:p w14:paraId="50DD30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按评判等级赋分。分为基本达成目标、部分实现目标、实现目标程度较低三个档次，并分别按照该指标对应分值区间100%-80%（含）、80%-60%（含）、60%-0%合理确定分值。</w:t>
            </w:r>
          </w:p>
        </w:tc>
        <w:tc>
          <w:tcPr>
            <w:tcW w:w="354" w:type="pct"/>
            <w:tcBorders>
              <w:top w:val="single" w:color="auto" w:sz="4" w:space="0"/>
              <w:left w:val="single" w:color="auto" w:sz="4" w:space="0"/>
              <w:bottom w:val="single" w:color="auto" w:sz="4" w:space="0"/>
              <w:right w:val="single" w:color="auto" w:sz="4" w:space="0"/>
            </w:tcBorders>
            <w:noWrap w:val="0"/>
            <w:vAlign w:val="center"/>
          </w:tcPr>
          <w:p w14:paraId="5C25691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有效保障</w:t>
            </w:r>
          </w:p>
        </w:tc>
        <w:tc>
          <w:tcPr>
            <w:tcW w:w="267" w:type="pct"/>
            <w:tcBorders>
              <w:top w:val="single" w:color="auto" w:sz="4" w:space="0"/>
              <w:left w:val="single" w:color="auto" w:sz="4" w:space="0"/>
              <w:bottom w:val="single" w:color="auto" w:sz="4" w:space="0"/>
              <w:right w:val="single" w:color="auto" w:sz="4" w:space="0"/>
            </w:tcBorders>
            <w:noWrap w:val="0"/>
            <w:vAlign w:val="center"/>
          </w:tcPr>
          <w:p w14:paraId="5C5CB29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15</w:t>
            </w:r>
          </w:p>
        </w:tc>
      </w:tr>
      <w:tr w14:paraId="5C6B9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75" w:type="pct"/>
            <w:vMerge w:val="continue"/>
            <w:tcBorders>
              <w:top w:val="single" w:color="auto" w:sz="4" w:space="0"/>
              <w:left w:val="single" w:color="auto" w:sz="4" w:space="0"/>
              <w:bottom w:val="single" w:color="auto" w:sz="4" w:space="0"/>
              <w:right w:val="single" w:color="auto" w:sz="4" w:space="0"/>
            </w:tcBorders>
            <w:noWrap w:val="0"/>
            <w:vAlign w:val="center"/>
          </w:tcPr>
          <w:p w14:paraId="6D55FA3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58" w:type="pct"/>
            <w:vMerge w:val="continue"/>
            <w:tcBorders>
              <w:top w:val="single" w:color="auto" w:sz="4" w:space="0"/>
              <w:left w:val="single" w:color="auto" w:sz="4" w:space="0"/>
              <w:bottom w:val="single" w:color="auto" w:sz="4" w:space="0"/>
              <w:right w:val="single" w:color="auto" w:sz="4" w:space="0"/>
            </w:tcBorders>
            <w:noWrap w:val="0"/>
            <w:vAlign w:val="center"/>
          </w:tcPr>
          <w:p w14:paraId="4121199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192" w:type="pct"/>
            <w:vMerge w:val="continue"/>
            <w:tcBorders>
              <w:top w:val="single" w:color="auto" w:sz="4" w:space="0"/>
              <w:left w:val="single" w:color="auto" w:sz="4" w:space="0"/>
              <w:bottom w:val="single" w:color="auto" w:sz="4" w:space="0"/>
              <w:right w:val="single" w:color="auto" w:sz="4" w:space="0"/>
            </w:tcBorders>
            <w:noWrap w:val="0"/>
            <w:vAlign w:val="center"/>
          </w:tcPr>
          <w:p w14:paraId="4F51232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40" w:type="pct"/>
            <w:vMerge w:val="continue"/>
            <w:tcBorders>
              <w:top w:val="single" w:color="auto" w:sz="4" w:space="0"/>
              <w:left w:val="single" w:color="auto" w:sz="4" w:space="0"/>
              <w:bottom w:val="single" w:color="auto" w:sz="4" w:space="0"/>
              <w:right w:val="single" w:color="auto" w:sz="4" w:space="0"/>
            </w:tcBorders>
            <w:noWrap w:val="0"/>
            <w:vAlign w:val="center"/>
          </w:tcPr>
          <w:p w14:paraId="025E5FC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20" w:type="pct"/>
            <w:tcBorders>
              <w:top w:val="single" w:color="auto" w:sz="4" w:space="0"/>
              <w:left w:val="single" w:color="auto" w:sz="4" w:space="0"/>
              <w:bottom w:val="single" w:color="auto" w:sz="4" w:space="0"/>
              <w:right w:val="single" w:color="auto" w:sz="4" w:space="0"/>
            </w:tcBorders>
            <w:noWrap w:val="0"/>
            <w:vAlign w:val="center"/>
          </w:tcPr>
          <w:p w14:paraId="6F26CC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服务对象满意度</w:t>
            </w:r>
          </w:p>
        </w:tc>
        <w:tc>
          <w:tcPr>
            <w:tcW w:w="216" w:type="pct"/>
            <w:tcBorders>
              <w:top w:val="single" w:color="auto" w:sz="4" w:space="0"/>
              <w:left w:val="single" w:color="auto" w:sz="4" w:space="0"/>
              <w:bottom w:val="single" w:color="auto" w:sz="4" w:space="0"/>
              <w:right w:val="single" w:color="auto" w:sz="4" w:space="0"/>
            </w:tcBorders>
            <w:noWrap w:val="0"/>
            <w:vAlign w:val="center"/>
          </w:tcPr>
          <w:p w14:paraId="3E3402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09FE516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城乡参保居民满意度</w:t>
            </w:r>
          </w:p>
        </w:tc>
        <w:tc>
          <w:tcPr>
            <w:tcW w:w="288" w:type="pct"/>
            <w:tcBorders>
              <w:top w:val="single" w:color="auto" w:sz="4" w:space="0"/>
              <w:left w:val="single" w:color="auto" w:sz="4" w:space="0"/>
              <w:bottom w:val="single" w:color="auto" w:sz="4" w:space="0"/>
              <w:right w:val="single" w:color="auto" w:sz="4" w:space="0"/>
            </w:tcBorders>
            <w:noWrap w:val="0"/>
            <w:vAlign w:val="center"/>
          </w:tcPr>
          <w:p w14:paraId="0DDCACB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≥95%</w:t>
            </w:r>
          </w:p>
        </w:tc>
        <w:tc>
          <w:tcPr>
            <w:tcW w:w="1652" w:type="pct"/>
            <w:tcBorders>
              <w:top w:val="single" w:color="auto" w:sz="4" w:space="0"/>
              <w:left w:val="single" w:color="auto" w:sz="4" w:space="0"/>
              <w:bottom w:val="single" w:color="auto" w:sz="4" w:space="0"/>
              <w:right w:val="single" w:color="auto" w:sz="4" w:space="0"/>
            </w:tcBorders>
            <w:noWrap w:val="0"/>
            <w:vAlign w:val="center"/>
          </w:tcPr>
          <w:p w14:paraId="5F9FCB7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根据问卷调查，满意度达到标杆值，得权重分的100%；否则低于95%，得分=实际满意度*指标分值。</w:t>
            </w:r>
          </w:p>
        </w:tc>
        <w:tc>
          <w:tcPr>
            <w:tcW w:w="354" w:type="pct"/>
            <w:tcBorders>
              <w:top w:val="single" w:color="auto" w:sz="4" w:space="0"/>
              <w:left w:val="single" w:color="auto" w:sz="4" w:space="0"/>
              <w:bottom w:val="single" w:color="auto" w:sz="4" w:space="0"/>
              <w:right w:val="single" w:color="auto" w:sz="4" w:space="0"/>
            </w:tcBorders>
            <w:noWrap w:val="0"/>
            <w:vAlign w:val="center"/>
          </w:tcPr>
          <w:p w14:paraId="57B2CB2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=100%</w:t>
            </w:r>
          </w:p>
        </w:tc>
        <w:tc>
          <w:tcPr>
            <w:tcW w:w="267" w:type="pct"/>
            <w:tcBorders>
              <w:top w:val="single" w:color="auto" w:sz="4" w:space="0"/>
              <w:left w:val="single" w:color="auto" w:sz="4" w:space="0"/>
              <w:bottom w:val="single" w:color="auto" w:sz="4" w:space="0"/>
              <w:right w:val="single" w:color="auto" w:sz="4" w:space="0"/>
            </w:tcBorders>
            <w:noWrap w:val="0"/>
            <w:vAlign w:val="center"/>
          </w:tcPr>
          <w:p w14:paraId="5E98832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w:t>
            </w:r>
          </w:p>
        </w:tc>
      </w:tr>
      <w:tr w14:paraId="77683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75" w:type="pct"/>
            <w:tcBorders>
              <w:top w:val="single" w:color="auto" w:sz="4" w:space="0"/>
              <w:left w:val="single" w:color="auto" w:sz="4" w:space="0"/>
              <w:bottom w:val="single" w:color="auto" w:sz="4" w:space="0"/>
              <w:right w:val="single" w:color="auto" w:sz="4" w:space="0"/>
            </w:tcBorders>
            <w:noWrap w:val="0"/>
            <w:vAlign w:val="center"/>
          </w:tcPr>
          <w:p w14:paraId="0573B1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总分</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07C0D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100</w:t>
            </w:r>
          </w:p>
        </w:tc>
        <w:tc>
          <w:tcPr>
            <w:tcW w:w="192" w:type="pct"/>
            <w:tcBorders>
              <w:top w:val="single" w:color="auto" w:sz="4" w:space="0"/>
              <w:left w:val="single" w:color="auto" w:sz="4" w:space="0"/>
              <w:bottom w:val="single" w:color="auto" w:sz="4" w:space="0"/>
              <w:right w:val="single" w:color="auto" w:sz="4" w:space="0"/>
            </w:tcBorders>
            <w:noWrap w:val="0"/>
            <w:vAlign w:val="center"/>
          </w:tcPr>
          <w:p w14:paraId="0A0C678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40" w:type="pct"/>
            <w:tcBorders>
              <w:top w:val="single" w:color="auto" w:sz="4" w:space="0"/>
              <w:left w:val="single" w:color="auto" w:sz="4" w:space="0"/>
              <w:bottom w:val="single" w:color="auto" w:sz="4" w:space="0"/>
              <w:right w:val="single" w:color="auto" w:sz="4" w:space="0"/>
            </w:tcBorders>
            <w:noWrap w:val="0"/>
            <w:vAlign w:val="center"/>
          </w:tcPr>
          <w:p w14:paraId="5644E52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100</w:t>
            </w:r>
          </w:p>
        </w:tc>
        <w:tc>
          <w:tcPr>
            <w:tcW w:w="320" w:type="pct"/>
            <w:tcBorders>
              <w:top w:val="single" w:color="auto" w:sz="4" w:space="0"/>
              <w:left w:val="single" w:color="auto" w:sz="4" w:space="0"/>
              <w:bottom w:val="single" w:color="auto" w:sz="4" w:space="0"/>
              <w:right w:val="single" w:color="auto" w:sz="4" w:space="0"/>
            </w:tcBorders>
            <w:noWrap w:val="0"/>
            <w:vAlign w:val="center"/>
          </w:tcPr>
          <w:p w14:paraId="02ECCAB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16" w:type="pct"/>
            <w:tcBorders>
              <w:top w:val="single" w:color="auto" w:sz="4" w:space="0"/>
              <w:left w:val="single" w:color="auto" w:sz="4" w:space="0"/>
              <w:bottom w:val="single" w:color="auto" w:sz="4" w:space="0"/>
              <w:right w:val="single" w:color="auto" w:sz="4" w:space="0"/>
            </w:tcBorders>
            <w:noWrap w:val="0"/>
            <w:vAlign w:val="center"/>
          </w:tcPr>
          <w:p w14:paraId="72EADD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100</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2AEBB52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88" w:type="pct"/>
            <w:tcBorders>
              <w:top w:val="single" w:color="auto" w:sz="4" w:space="0"/>
              <w:left w:val="single" w:color="auto" w:sz="4" w:space="0"/>
              <w:bottom w:val="single" w:color="auto" w:sz="4" w:space="0"/>
              <w:right w:val="single" w:color="auto" w:sz="4" w:space="0"/>
            </w:tcBorders>
            <w:noWrap w:val="0"/>
            <w:vAlign w:val="center"/>
          </w:tcPr>
          <w:p w14:paraId="1D4FCB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w:t>
            </w:r>
          </w:p>
        </w:tc>
        <w:tc>
          <w:tcPr>
            <w:tcW w:w="1652" w:type="pct"/>
            <w:tcBorders>
              <w:top w:val="single" w:color="auto" w:sz="4" w:space="0"/>
              <w:left w:val="single" w:color="auto" w:sz="4" w:space="0"/>
              <w:bottom w:val="single" w:color="auto" w:sz="4" w:space="0"/>
              <w:right w:val="single" w:color="auto" w:sz="4" w:space="0"/>
            </w:tcBorders>
            <w:noWrap w:val="0"/>
            <w:vAlign w:val="center"/>
          </w:tcPr>
          <w:p w14:paraId="6E3598AA">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auto"/>
                <w:sz w:val="21"/>
                <w:szCs w:val="21"/>
                <w:u w:val="none"/>
              </w:rPr>
            </w:pPr>
          </w:p>
        </w:tc>
        <w:tc>
          <w:tcPr>
            <w:tcW w:w="354" w:type="pct"/>
            <w:tcBorders>
              <w:top w:val="single" w:color="auto" w:sz="4" w:space="0"/>
              <w:left w:val="single" w:color="auto" w:sz="4" w:space="0"/>
              <w:bottom w:val="single" w:color="auto" w:sz="4" w:space="0"/>
              <w:right w:val="single" w:color="auto" w:sz="4" w:space="0"/>
            </w:tcBorders>
            <w:noWrap w:val="0"/>
            <w:vAlign w:val="center"/>
          </w:tcPr>
          <w:p w14:paraId="798F6C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67" w:type="pct"/>
            <w:tcBorders>
              <w:top w:val="single" w:color="auto" w:sz="4" w:space="0"/>
              <w:left w:val="single" w:color="auto" w:sz="4" w:space="0"/>
              <w:bottom w:val="single" w:color="auto" w:sz="4" w:space="0"/>
              <w:right w:val="single" w:color="auto" w:sz="4" w:space="0"/>
            </w:tcBorders>
            <w:noWrap w:val="0"/>
            <w:vAlign w:val="center"/>
          </w:tcPr>
          <w:p w14:paraId="4D74BBA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100</w:t>
            </w:r>
          </w:p>
        </w:tc>
      </w:tr>
    </w:tbl>
    <w:p w14:paraId="11FA8AF0">
      <w:pPr>
        <w:pStyle w:val="10"/>
        <w:ind w:left="0" w:leftChars="0" w:firstLine="0" w:firstLineChars="0"/>
        <w:jc w:val="both"/>
        <w:rPr>
          <w:rFonts w:hint="eastAsia" w:ascii="宋体" w:hAnsi="宋体" w:eastAsia="宋体" w:cs="宋体"/>
          <w:color w:val="auto"/>
          <w:sz w:val="24"/>
          <w:szCs w:val="24"/>
          <w:lang w:eastAsia="zh-CN"/>
        </w:rPr>
      </w:pPr>
    </w:p>
    <w:p w14:paraId="6A74757D">
      <w:pPr>
        <w:pStyle w:val="10"/>
        <w:ind w:left="0" w:leftChars="0" w:firstLine="0" w:firstLineChars="0"/>
        <w:jc w:val="both"/>
        <w:rPr>
          <w:rFonts w:hint="eastAsia" w:ascii="宋体" w:hAnsi="宋体" w:eastAsia="宋体" w:cs="宋体"/>
          <w:color w:val="auto"/>
          <w:sz w:val="24"/>
          <w:szCs w:val="24"/>
          <w:lang w:eastAsia="zh-CN"/>
        </w:rPr>
      </w:pPr>
    </w:p>
    <w:p w14:paraId="1E76E98E">
      <w:pPr>
        <w:pStyle w:val="10"/>
        <w:ind w:left="0" w:leftChars="0" w:firstLine="0" w:firstLineChars="0"/>
        <w:jc w:val="both"/>
        <w:rPr>
          <w:rFonts w:hint="eastAsia" w:ascii="宋体" w:hAnsi="宋体" w:eastAsia="宋体" w:cs="宋体"/>
          <w:color w:val="auto"/>
          <w:sz w:val="24"/>
          <w:szCs w:val="24"/>
          <w:lang w:eastAsia="zh-CN"/>
        </w:rPr>
      </w:pPr>
    </w:p>
    <w:p w14:paraId="46286A59">
      <w:pPr>
        <w:pStyle w:val="10"/>
        <w:ind w:left="0" w:leftChars="0" w:firstLine="0" w:firstLineChars="0"/>
        <w:jc w:val="both"/>
        <w:rPr>
          <w:rFonts w:hint="eastAsia" w:ascii="宋体" w:hAnsi="宋体" w:eastAsia="宋体" w:cs="宋体"/>
          <w:color w:val="auto"/>
          <w:sz w:val="24"/>
          <w:szCs w:val="24"/>
          <w:lang w:eastAsia="zh-CN"/>
        </w:rPr>
      </w:pPr>
    </w:p>
    <w:p w14:paraId="5FD7340F">
      <w:pPr>
        <w:pStyle w:val="10"/>
        <w:ind w:left="0" w:leftChars="0" w:firstLine="0" w:firstLineChars="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附件2：</w:t>
      </w:r>
    </w:p>
    <w:tbl>
      <w:tblPr>
        <w:tblStyle w:val="23"/>
        <w:tblW w:w="130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27C4C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7093C8C5">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auto"/>
                <w:sz w:val="24"/>
                <w:szCs w:val="24"/>
                <w:u w:val="none"/>
              </w:rPr>
            </w:pPr>
          </w:p>
        </w:tc>
        <w:tc>
          <w:tcPr>
            <w:tcW w:w="1778" w:type="dxa"/>
            <w:tcBorders>
              <w:top w:val="nil"/>
              <w:left w:val="nil"/>
              <w:bottom w:val="nil"/>
              <w:right w:val="nil"/>
            </w:tcBorders>
            <w:noWrap/>
            <w:vAlign w:val="center"/>
          </w:tcPr>
          <w:p w14:paraId="7E6AE8D9">
            <w:pPr>
              <w:rPr>
                <w:rFonts w:hint="eastAsia" w:ascii="宋体" w:hAnsi="宋体" w:eastAsia="宋体" w:cs="宋体"/>
                <w:i w:val="0"/>
                <w:iCs w:val="0"/>
                <w:color w:val="auto"/>
                <w:sz w:val="24"/>
                <w:szCs w:val="24"/>
                <w:u w:val="none"/>
              </w:rPr>
            </w:pPr>
          </w:p>
        </w:tc>
        <w:tc>
          <w:tcPr>
            <w:tcW w:w="2786" w:type="dxa"/>
            <w:tcBorders>
              <w:top w:val="nil"/>
              <w:left w:val="nil"/>
              <w:bottom w:val="nil"/>
              <w:right w:val="nil"/>
            </w:tcBorders>
            <w:noWrap/>
            <w:vAlign w:val="center"/>
          </w:tcPr>
          <w:p w14:paraId="1C9720E5">
            <w:pPr>
              <w:rPr>
                <w:rFonts w:hint="eastAsia" w:ascii="宋体" w:hAnsi="宋体" w:eastAsia="宋体" w:cs="宋体"/>
                <w:i w:val="0"/>
                <w:iCs w:val="0"/>
                <w:color w:val="auto"/>
                <w:sz w:val="24"/>
                <w:szCs w:val="24"/>
                <w:u w:val="none"/>
              </w:rPr>
            </w:pPr>
          </w:p>
        </w:tc>
        <w:tc>
          <w:tcPr>
            <w:tcW w:w="2314" w:type="dxa"/>
            <w:tcBorders>
              <w:top w:val="nil"/>
              <w:left w:val="nil"/>
              <w:bottom w:val="nil"/>
              <w:right w:val="nil"/>
            </w:tcBorders>
            <w:noWrap/>
            <w:vAlign w:val="center"/>
          </w:tcPr>
          <w:p w14:paraId="6E1E9B1A">
            <w:pPr>
              <w:rPr>
                <w:rFonts w:hint="eastAsia" w:ascii="宋体" w:hAnsi="宋体" w:eastAsia="宋体" w:cs="宋体"/>
                <w:i w:val="0"/>
                <w:iCs w:val="0"/>
                <w:color w:val="auto"/>
                <w:sz w:val="24"/>
                <w:szCs w:val="24"/>
                <w:u w:val="none"/>
              </w:rPr>
            </w:pPr>
          </w:p>
        </w:tc>
        <w:tc>
          <w:tcPr>
            <w:tcW w:w="3449" w:type="dxa"/>
            <w:tcBorders>
              <w:top w:val="nil"/>
              <w:left w:val="nil"/>
              <w:bottom w:val="nil"/>
              <w:right w:val="nil"/>
            </w:tcBorders>
            <w:noWrap/>
            <w:vAlign w:val="center"/>
          </w:tcPr>
          <w:p w14:paraId="09F95AC2">
            <w:pPr>
              <w:rPr>
                <w:rFonts w:hint="eastAsia" w:ascii="宋体" w:hAnsi="宋体" w:eastAsia="宋体" w:cs="宋体"/>
                <w:i w:val="0"/>
                <w:iCs w:val="0"/>
                <w:color w:val="auto"/>
                <w:sz w:val="24"/>
                <w:szCs w:val="24"/>
                <w:u w:val="none"/>
              </w:rPr>
            </w:pPr>
          </w:p>
        </w:tc>
        <w:tc>
          <w:tcPr>
            <w:tcW w:w="1331" w:type="dxa"/>
            <w:tcBorders>
              <w:top w:val="nil"/>
              <w:left w:val="nil"/>
              <w:bottom w:val="nil"/>
              <w:right w:val="nil"/>
            </w:tcBorders>
            <w:noWrap/>
            <w:vAlign w:val="center"/>
          </w:tcPr>
          <w:p w14:paraId="177CFAC2">
            <w:pPr>
              <w:rPr>
                <w:rFonts w:hint="eastAsia" w:ascii="宋体" w:hAnsi="宋体" w:eastAsia="宋体" w:cs="宋体"/>
                <w:i w:val="0"/>
                <w:iCs w:val="0"/>
                <w:color w:val="auto"/>
                <w:sz w:val="24"/>
                <w:szCs w:val="24"/>
                <w:u w:val="none"/>
              </w:rPr>
            </w:pPr>
          </w:p>
        </w:tc>
      </w:tr>
      <w:tr w14:paraId="5B3AB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10BC616D">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城乡居民养老保险县财政配套项目项目综合得分表</w:t>
            </w:r>
          </w:p>
        </w:tc>
      </w:tr>
      <w:tr w14:paraId="24E2B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EDE8E4D">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4B7A79B">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4E0F723">
            <w:pPr>
              <w:keepNext w:val="0"/>
              <w:keepLines w:val="0"/>
              <w:widowControl/>
              <w:suppressLineNumbers w:val="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395602D">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253DCF4">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CA342A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合计</w:t>
            </w:r>
          </w:p>
        </w:tc>
      </w:tr>
      <w:tr w14:paraId="1D48E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901B781">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48FC218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23.00 </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64F8EF3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12.00 </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22715B6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40.00 </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5B39F4E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25.00 </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7A9BB89E">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100.00 </w:t>
            </w:r>
          </w:p>
        </w:tc>
      </w:tr>
      <w:tr w14:paraId="4B103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E62EB75">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596825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23.00 </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27DC76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12.00 </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32BB09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40.00 </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094516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25.00 </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00A75B32">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100.00 </w:t>
            </w:r>
          </w:p>
        </w:tc>
      </w:tr>
      <w:tr w14:paraId="4E4D0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369DA4F">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431BE62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50F6F00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432BC13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58D255F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5FF55822">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r>
    </w:tbl>
    <w:p w14:paraId="158250CB">
      <w:pPr>
        <w:pStyle w:val="10"/>
        <w:ind w:left="0" w:leftChars="0" w:firstLine="0" w:firstLineChars="0"/>
        <w:jc w:val="both"/>
        <w:rPr>
          <w:rFonts w:hint="eastAsia" w:ascii="宋体" w:hAnsi="宋体" w:eastAsia="宋体" w:cs="宋体"/>
          <w:color w:val="auto"/>
          <w:sz w:val="24"/>
          <w:szCs w:val="24"/>
          <w:lang w:eastAsia="zh-CN"/>
        </w:rPr>
      </w:pPr>
    </w:p>
    <w:sectPr>
      <w:pgSz w:w="16838" w:h="11906" w:orient="landscape"/>
      <w:pgMar w:top="1531" w:right="1985" w:bottom="1531" w:left="1701" w:header="851" w:footer="992" w:gutter="0"/>
      <w:pgNumType w:fmt="decimal"/>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6A97E">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98F3D">
    <w:pPr>
      <w:pStyle w:val="1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29D48">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89CB1">
    <w:pPr>
      <w:pStyle w:val="15"/>
      <w:ind w:firstLine="36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24B91A83">
                <w:pPr>
                  <w:pStyle w:val="15"/>
                  <w:rPr>
                    <w:rFonts w:hint="eastAsia" w:ascii="宋体" w:hAnsi="宋体" w:eastAsia="宋体" w:cs="宋体"/>
                  </w:rPr>
                </w:pPr>
                <w:r>
                  <w:rPr>
                    <w:rFonts w:hint="eastAsia" w:ascii="宋体" w:hAnsi="宋体" w:eastAsia="宋体" w:cs="宋体"/>
                  </w:rP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t xml:space="preserve"> 页 共 </w:t>
                </w:r>
                <w:r>
                  <w:rPr>
                    <w:rFonts w:hint="eastAsia" w:ascii="宋体" w:hAnsi="宋体" w:eastAsia="宋体" w:cs="宋体"/>
                    <w:lang w:val="en-US" w:eastAsia="zh-CN"/>
                  </w:rPr>
                  <w:t>23</w:t>
                </w:r>
                <w:r>
                  <w:rPr>
                    <w:rFonts w:hint="eastAsia" w:ascii="宋体" w:hAnsi="宋体" w:eastAsia="宋体" w:cs="宋体"/>
                  </w:rPr>
                  <w:t xml:space="preserve"> 页</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53929">
    <w:pPr>
      <w:pStyle w:val="16"/>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9ABB0">
    <w:pPr>
      <w:pStyle w:val="1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AC312">
    <w:pPr>
      <w:pStyle w:val="1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decimal"/>
      <w:suff w:val="nothing"/>
      <w:lvlText w:val="（%1）"/>
      <w:lvlJc w:val="left"/>
    </w:lvl>
  </w:abstractNum>
  <w:abstractNum w:abstractNumId="1">
    <w:nsid w:val="BF205925"/>
    <w:multiLevelType w:val="singleLevel"/>
    <w:tmpl w:val="BF205925"/>
    <w:lvl w:ilvl="0" w:tentative="0">
      <w:start w:val="1"/>
      <w:numFmt w:val="decimal"/>
      <w:suff w:val="nothing"/>
      <w:lvlText w:val="（%1）"/>
      <w:lvlJc w:val="left"/>
    </w:lvl>
  </w:abstractNum>
  <w:abstractNum w:abstractNumId="2">
    <w:nsid w:val="CF092B84"/>
    <w:multiLevelType w:val="singleLevel"/>
    <w:tmpl w:val="CF092B84"/>
    <w:lvl w:ilvl="0" w:tentative="0">
      <w:start w:val="1"/>
      <w:numFmt w:val="decimal"/>
      <w:suff w:val="nothing"/>
      <w:lvlText w:val="（%1）"/>
      <w:lvlJc w:val="left"/>
    </w:lvl>
  </w:abstractNum>
  <w:abstractNum w:abstractNumId="3">
    <w:nsid w:val="0053208E"/>
    <w:multiLevelType w:val="singleLevel"/>
    <w:tmpl w:val="0053208E"/>
    <w:lvl w:ilvl="0" w:tentative="0">
      <w:start w:val="2"/>
      <w:numFmt w:val="decimal"/>
      <w:lvlText w:val="%1."/>
      <w:lvlJc w:val="left"/>
      <w:pPr>
        <w:tabs>
          <w:tab w:val="left" w:pos="312"/>
        </w:tabs>
      </w:pPr>
    </w:lvl>
  </w:abstractNum>
  <w:abstractNum w:abstractNumId="4">
    <w:nsid w:val="59ADCABA"/>
    <w:multiLevelType w:val="singleLevel"/>
    <w:tmpl w:val="59ADCABA"/>
    <w:lvl w:ilvl="0" w:tentative="0">
      <w:start w:val="1"/>
      <w:numFmt w:val="decimal"/>
      <w:suff w:val="nothing"/>
      <w:lvlText w:val="%1）"/>
      <w:lvlJc w:val="left"/>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61245CC1"/>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4">
    <w:name w:val="heading 1"/>
    <w:basedOn w:val="1"/>
    <w:next w:val="2"/>
    <w:link w:val="3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3"/>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4"/>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1"/>
    <w:unhideWhenUsed/>
    <w:uiPriority w:val="0"/>
    <w:pPr>
      <w:ind w:firstLine="420"/>
    </w:pPr>
  </w:style>
  <w:style w:type="paragraph" w:styleId="3">
    <w:name w:val="Body Text Indent"/>
    <w:basedOn w:val="1"/>
    <w:link w:val="30"/>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6"/>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8"/>
    <w:unhideWhenUsed/>
    <w:uiPriority w:val="99"/>
    <w:rPr>
      <w:rFonts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uiPriority w:val="99"/>
    <w:rPr>
      <w:color w:val="0000FF"/>
      <w:u w:val="single"/>
    </w:rPr>
  </w:style>
  <w:style w:type="paragraph" w:customStyle="1" w:styleId="27">
    <w:name w:val="Comment Text"/>
    <w:basedOn w:val="1"/>
    <w:link w:val="37"/>
    <w:unhideWhenUsed/>
    <w:uiPriority w:val="99"/>
    <w:rPr>
      <w:rFonts w:cs="Times New Roman"/>
      <w:kern w:val="0"/>
      <w:sz w:val="20"/>
      <w:szCs w:val="20"/>
    </w:rPr>
  </w:style>
  <w:style w:type="paragraph" w:customStyle="1" w:styleId="28">
    <w:name w:val="Comment Subject"/>
    <w:basedOn w:val="27"/>
    <w:next w:val="27"/>
    <w:link w:val="42"/>
    <w:unhideWhenUsed/>
    <w:uiPriority w:val="99"/>
    <w:rPr>
      <w:b/>
      <w:bCs/>
    </w:rPr>
  </w:style>
  <w:style w:type="character" w:customStyle="1" w:styleId="29">
    <w:name w:val="Comment Reference"/>
    <w:unhideWhenUsed/>
    <w:uiPriority w:val="99"/>
    <w:rPr>
      <w:sz w:val="16"/>
      <w:szCs w:val="16"/>
    </w:rPr>
  </w:style>
  <w:style w:type="character" w:customStyle="1" w:styleId="30">
    <w:name w:val="正文文本缩进 Char"/>
    <w:link w:val="3"/>
    <w:semiHidden/>
    <w:uiPriority w:val="99"/>
    <w:rPr>
      <w:rFonts w:ascii="Calibri" w:hAnsi="Calibri" w:eastAsia="仿宋_GB2312" w:cs="黑体"/>
      <w:sz w:val="28"/>
    </w:rPr>
  </w:style>
  <w:style w:type="character" w:customStyle="1" w:styleId="31">
    <w:name w:val="正文首行缩进 2 Char"/>
    <w:link w:val="2"/>
    <w:uiPriority w:val="0"/>
    <w:rPr>
      <w:rFonts w:ascii="Calibri" w:hAnsi="Calibri" w:eastAsia="仿宋_GB2312" w:cs="黑体"/>
      <w:sz w:val="28"/>
    </w:rPr>
  </w:style>
  <w:style w:type="character" w:customStyle="1" w:styleId="32">
    <w:name w:val="标题 1 Char"/>
    <w:link w:val="4"/>
    <w:uiPriority w:val="9"/>
    <w:rPr>
      <w:rFonts w:ascii="Times New Roman" w:hAnsi="Times New Roman" w:eastAsia="仿宋_GB2312" w:cs="Times New Roman"/>
      <w:b/>
      <w:bCs/>
      <w:kern w:val="44"/>
      <w:sz w:val="32"/>
      <w:szCs w:val="44"/>
    </w:rPr>
  </w:style>
  <w:style w:type="character" w:customStyle="1" w:styleId="33">
    <w:name w:val="标题 2 Char"/>
    <w:link w:val="5"/>
    <w:uiPriority w:val="0"/>
    <w:rPr>
      <w:rFonts w:ascii="Cambria" w:hAnsi="Cambria" w:eastAsia="仿宋_GB2312" w:cs="Times New Roman"/>
      <w:b/>
      <w:bCs/>
      <w:kern w:val="0"/>
      <w:sz w:val="30"/>
      <w:szCs w:val="32"/>
    </w:rPr>
  </w:style>
  <w:style w:type="character" w:customStyle="1" w:styleId="34">
    <w:name w:val="标题 3 Char"/>
    <w:link w:val="6"/>
    <w:uiPriority w:val="9"/>
    <w:rPr>
      <w:rFonts w:ascii="Calibri" w:hAnsi="Calibri" w:eastAsia="仿宋_GB2312" w:cs="黑体"/>
      <w:bCs/>
      <w:sz w:val="28"/>
      <w:szCs w:val="32"/>
    </w:rPr>
  </w:style>
  <w:style w:type="character" w:customStyle="1" w:styleId="35">
    <w:name w:val="标题 4 Char"/>
    <w:link w:val="7"/>
    <w:semiHidden/>
    <w:uiPriority w:val="9"/>
    <w:rPr>
      <w:rFonts w:ascii="Cambria" w:hAnsi="Cambria" w:eastAsia="宋体" w:cs="Times New Roman"/>
      <w:b/>
      <w:bCs/>
      <w:sz w:val="28"/>
      <w:szCs w:val="28"/>
    </w:rPr>
  </w:style>
  <w:style w:type="character" w:customStyle="1" w:styleId="36">
    <w:name w:val="文档结构图 Char"/>
    <w:link w:val="9"/>
    <w:semiHidden/>
    <w:uiPriority w:val="99"/>
    <w:rPr>
      <w:rFonts w:ascii="宋体" w:hAnsi="Calibri" w:eastAsia="宋体" w:cs="黑体"/>
      <w:sz w:val="18"/>
      <w:szCs w:val="18"/>
    </w:rPr>
  </w:style>
  <w:style w:type="character" w:customStyle="1" w:styleId="37">
    <w:name w:val="批注文字 Char"/>
    <w:link w:val="27"/>
    <w:semiHidden/>
    <w:uiPriority w:val="99"/>
    <w:rPr>
      <w:rFonts w:ascii="Calibri" w:hAnsi="Calibri" w:eastAsia="仿宋_GB2312" w:cs="黑体"/>
      <w:sz w:val="20"/>
      <w:szCs w:val="20"/>
    </w:rPr>
  </w:style>
  <w:style w:type="character" w:customStyle="1" w:styleId="38">
    <w:name w:val="批注框文本 Char"/>
    <w:link w:val="14"/>
    <w:semiHidden/>
    <w:uiPriority w:val="99"/>
    <w:rPr>
      <w:rFonts w:ascii="Calibri" w:hAnsi="Calibri" w:eastAsia="仿宋_GB2312" w:cs="黑体"/>
      <w:sz w:val="18"/>
      <w:szCs w:val="18"/>
    </w:rPr>
  </w:style>
  <w:style w:type="character" w:customStyle="1" w:styleId="39">
    <w:name w:val="页脚 Char"/>
    <w:link w:val="15"/>
    <w:uiPriority w:val="99"/>
    <w:rPr>
      <w:rFonts w:ascii="Calibri" w:hAnsi="Calibri" w:eastAsia="仿宋_GB2312" w:cs="黑体"/>
      <w:sz w:val="18"/>
      <w:szCs w:val="18"/>
    </w:rPr>
  </w:style>
  <w:style w:type="character" w:customStyle="1" w:styleId="40">
    <w:name w:val="页眉 Char"/>
    <w:link w:val="16"/>
    <w:uiPriority w:val="99"/>
    <w:rPr>
      <w:rFonts w:ascii="Calibri" w:hAnsi="Calibri" w:eastAsia="仿宋_GB2312" w:cs="黑体"/>
      <w:sz w:val="18"/>
      <w:szCs w:val="18"/>
    </w:rPr>
  </w:style>
  <w:style w:type="character" w:customStyle="1" w:styleId="41">
    <w:name w:val="标题 Char"/>
    <w:link w:val="22"/>
    <w:uiPriority w:val="10"/>
    <w:rPr>
      <w:rFonts w:ascii="Cambria" w:hAnsi="Cambria"/>
      <w:b/>
      <w:bCs/>
      <w:kern w:val="2"/>
      <w:sz w:val="32"/>
      <w:szCs w:val="32"/>
    </w:rPr>
  </w:style>
  <w:style w:type="character" w:customStyle="1" w:styleId="42">
    <w:name w:val="批注主题 Char"/>
    <w:link w:val="28"/>
    <w:semiHidden/>
    <w:uiPriority w:val="99"/>
    <w:rPr>
      <w:rFonts w:ascii="Calibri" w:hAnsi="Calibri" w:eastAsia="仿宋_GB2312" w:cs="黑体"/>
      <w:b/>
      <w:bCs/>
      <w:sz w:val="20"/>
      <w:szCs w:val="20"/>
    </w:rPr>
  </w:style>
  <w:style w:type="character" w:customStyle="1" w:styleId="43">
    <w:name w:val="闻政-正文一级标题 Char"/>
    <w:link w:val="44"/>
    <w:uiPriority w:val="3"/>
    <w:rPr>
      <w:rFonts w:ascii="黑体" w:hAnsi="黑体" w:eastAsia="黑体"/>
      <w:bCs/>
      <w:sz w:val="32"/>
      <w:szCs w:val="32"/>
    </w:rPr>
  </w:style>
  <w:style w:type="paragraph" w:customStyle="1" w:styleId="44">
    <w:name w:val="闻政-正文一级标题"/>
    <w:basedOn w:val="6"/>
    <w:next w:val="45"/>
    <w:link w:val="43"/>
    <w:qFormat/>
    <w:uiPriority w:val="3"/>
    <w:pPr>
      <w:spacing w:before="120" w:after="60" w:line="500" w:lineRule="exact"/>
      <w:ind w:firstLine="0" w:firstLineChars="0"/>
      <w:outlineLvl w:val="0"/>
    </w:pPr>
    <w:rPr>
      <w:rFonts w:ascii="黑体" w:hAnsi="黑体" w:eastAsia="黑体"/>
      <w:sz w:val="32"/>
    </w:rPr>
  </w:style>
  <w:style w:type="paragraph" w:customStyle="1" w:styleId="45">
    <w:name w:val="闻政-正文段落文字"/>
    <w:basedOn w:val="1"/>
    <w:link w:val="46"/>
    <w:qFormat/>
    <w:uiPriority w:val="3"/>
    <w:pPr>
      <w:spacing w:line="500" w:lineRule="exact"/>
      <w:ind w:firstLine="200"/>
    </w:pPr>
    <w:rPr>
      <w:rFonts w:ascii="Times New Roman" w:hAnsi="Times New Roman" w:cs="Times New Roman"/>
      <w:kern w:val="0"/>
      <w:szCs w:val="28"/>
    </w:rPr>
  </w:style>
  <w:style w:type="character" w:customStyle="1" w:styleId="46">
    <w:name w:val="闻政-正文段落文字 Char"/>
    <w:link w:val="45"/>
    <w:uiPriority w:val="3"/>
    <w:rPr>
      <w:rFonts w:ascii="Times New Roman" w:hAnsi="Times New Roman" w:eastAsia="仿宋_GB2312"/>
      <w:sz w:val="28"/>
      <w:szCs w:val="28"/>
    </w:rPr>
  </w:style>
  <w:style w:type="character" w:customStyle="1" w:styleId="47">
    <w:name w:val="闻政-正文二级标题 Char"/>
    <w:link w:val="48"/>
    <w:uiPriority w:val="3"/>
    <w:rPr>
      <w:rFonts w:ascii="Times New Roman" w:hAnsi="Times New Roman" w:eastAsia="仿宋_GB2312"/>
      <w:b/>
      <w:bCs/>
      <w:sz w:val="28"/>
      <w:szCs w:val="32"/>
    </w:rPr>
  </w:style>
  <w:style w:type="paragraph" w:customStyle="1" w:styleId="48">
    <w:name w:val="闻政-正文二级标题"/>
    <w:basedOn w:val="5"/>
    <w:next w:val="45"/>
    <w:link w:val="47"/>
    <w:qFormat/>
    <w:uiPriority w:val="3"/>
    <w:pPr>
      <w:spacing w:before="120" w:after="60" w:line="500" w:lineRule="exact"/>
      <w:ind w:left="200" w:leftChars="200" w:firstLine="0" w:firstLineChars="0"/>
    </w:pPr>
    <w:rPr>
      <w:rFonts w:ascii="Times New Roman" w:hAnsi="Times New Roman"/>
      <w:sz w:val="28"/>
    </w:rPr>
  </w:style>
  <w:style w:type="character" w:customStyle="1" w:styleId="49">
    <w:name w:val="font11"/>
    <w:uiPriority w:val="0"/>
    <w:rPr>
      <w:rFonts w:hint="eastAsia" w:ascii="方正仿宋_GBK" w:hAnsi="方正仿宋_GBK" w:eastAsia="方正仿宋_GBK" w:cs="方正仿宋_GBK"/>
      <w:color w:val="000000"/>
      <w:sz w:val="24"/>
      <w:szCs w:val="24"/>
      <w:u w:val="none"/>
    </w:rPr>
  </w:style>
  <w:style w:type="character" w:customStyle="1" w:styleId="50">
    <w:name w:val="50"/>
    <w:qFormat/>
    <w:uiPriority w:val="0"/>
    <w:rPr>
      <w:b/>
      <w:bCs/>
      <w:smallCaps/>
      <w:color w:val="C0504D"/>
      <w:spacing w:val="5"/>
      <w:u w:val="single"/>
    </w:rPr>
  </w:style>
  <w:style w:type="character" w:customStyle="1" w:styleId="51">
    <w:name w:val="闻政-正文三级标题 Char"/>
    <w:link w:val="52"/>
    <w:uiPriority w:val="3"/>
    <w:rPr>
      <w:rFonts w:ascii="Times New Roman" w:hAnsi="Times New Roman" w:eastAsia="仿宋_GB2312"/>
      <w:b/>
      <w:snapToGrid w:val="0"/>
      <w:sz w:val="28"/>
      <w:szCs w:val="28"/>
    </w:rPr>
  </w:style>
  <w:style w:type="paragraph" w:customStyle="1" w:styleId="52">
    <w:name w:val="闻政-正文三级标题"/>
    <w:basedOn w:val="1"/>
    <w:next w:val="45"/>
    <w:link w:val="51"/>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3">
    <w:name w:val="font21"/>
    <w:uiPriority w:val="0"/>
    <w:rPr>
      <w:rFonts w:hint="default" w:ascii="Times New Roman" w:hAnsi="Times New Roman" w:cs="Times New Roman"/>
      <w:color w:val="000000"/>
      <w:sz w:val="24"/>
      <w:szCs w:val="24"/>
      <w:u w:val="none"/>
    </w:rPr>
  </w:style>
  <w:style w:type="character" w:customStyle="1" w:styleId="54">
    <w:name w:val="无间隔 Char"/>
    <w:link w:val="55"/>
    <w:uiPriority w:val="1"/>
    <w:rPr>
      <w:rFonts w:eastAsia="仿宋_GB2312" w:cs="黑体"/>
      <w:kern w:val="2"/>
      <w:sz w:val="28"/>
      <w:szCs w:val="22"/>
      <w:lang w:val="en-US" w:eastAsia="zh-CN" w:bidi="ar-SA"/>
    </w:rPr>
  </w:style>
  <w:style w:type="paragraph" w:styleId="55">
    <w:name w:val="No Spacing"/>
    <w:link w:val="54"/>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6">
    <w:name w:val="List Paragraph"/>
    <w:basedOn w:val="1"/>
    <w:qFormat/>
    <w:uiPriority w:val="34"/>
    <w:pPr>
      <w:ind w:firstLine="420"/>
    </w:pPr>
  </w:style>
  <w:style w:type="paragraph" w:customStyle="1" w:styleId="57">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58">
    <w:name w:val="font71"/>
    <w:basedOn w:val="25"/>
    <w:uiPriority w:val="0"/>
    <w:rPr>
      <w:rFonts w:hint="eastAsia" w:ascii="微软雅黑" w:hAnsi="微软雅黑" w:eastAsia="微软雅黑" w:cs="微软雅黑"/>
      <w:b/>
      <w:bCs/>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ECC59D20B2D24F93A6E94351FF8FC6CE_13</vt:lpwstr>
  </property>
  <property fmtid="{D5CDD505-2E9C-101B-9397-08002B2CF9AE}" pid="4" name="KSOTemplateDocerSaveRecord">
    <vt:lpwstr>eyJoZGlkIjoiY2IwYjNiYjU0ZWI5N2ZiZDM3NzY5ZTMzOTlkZjE3YjEiLCJ1c2VySWQiOiI0MTE3MDE3MTgifQ==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05cfa1-9bae-47f7-8959-a4d5a5118f2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10787</Words>
  <Characters>11367</Characters>
  <Lines>44</Lines>
  <Paragraphs>12</Paragraphs>
  <TotalTime>19</TotalTime>
  <ScaleCrop>false</ScaleCrop>
  <LinksUpToDate>false</LinksUpToDate>
  <CharactersWithSpaces>11419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2025-10-10T09:34:51Z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ECC59D20B2D24F93A6E94351FF8FC6CE_13</vt:lpwstr>
  </property>
  <property fmtid="{D5CDD505-2E9C-101B-9397-08002B2CF9AE}" pid="4" name="KSOTemplateDocerSaveRecord">
    <vt:lpwstr>eyJoZGlkIjoiY2IwYjNiYjU0ZWI5N2ZiZDM3NzY5ZTMzOTlkZjE3YjEiLCJ1c2VySWQiOiI0MTE3MDE3MTgifQ_x003D__x003D_</vt:lpwstr>
  </property>
</Properties>
</file>