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AF8C6">
      <w:bookmarkStart w:id="21" w:name="_GoBack"/>
      <w:bookmarkEnd w:id="21"/>
    </w:p>
    <w:p w14:paraId="5110CF57">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005BEB12">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和田地区洛浦县2024年中央财政普惠金融发展</w:t>
      </w:r>
    </w:p>
    <w:p w14:paraId="3AD9251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专项资金项目支出绩效评价报告</w:t>
      </w:r>
    </w:p>
    <w:p w14:paraId="667AEE04">
      <w:pPr>
        <w:pStyle w:val="6"/>
        <w:ind w:left="0" w:leftChars="0" w:firstLine="0" w:firstLineChars="0"/>
        <w:jc w:val="center"/>
        <w:rPr>
          <w:rFonts w:hint="eastAsia" w:ascii="宋体" w:hAnsi="宋体" w:eastAsia="宋体" w:cs="宋体"/>
          <w:b/>
          <w:bCs w:val="0"/>
          <w:color w:val="000000"/>
          <w:sz w:val="28"/>
          <w:szCs w:val="28"/>
          <w:highlight w:val="none"/>
          <w:lang w:eastAsia="zh-CN"/>
        </w:rPr>
      </w:pPr>
      <w:r>
        <w:rPr>
          <w:rFonts w:hint="eastAsia" w:ascii="宋体" w:hAnsi="宋体" w:eastAsia="宋体" w:cs="宋体"/>
          <w:b/>
          <w:bCs w:val="0"/>
          <w:color w:val="000000"/>
          <w:sz w:val="28"/>
          <w:szCs w:val="28"/>
          <w:highlight w:val="none"/>
          <w:lang w:eastAsia="zh-CN"/>
        </w:rPr>
        <w:t>（</w:t>
      </w:r>
      <w:r>
        <w:rPr>
          <w:rFonts w:hint="eastAsia" w:ascii="宋体" w:hAnsi="宋体" w:eastAsia="宋体" w:cs="宋体"/>
          <w:b/>
          <w:bCs w:val="0"/>
          <w:color w:val="000000"/>
          <w:sz w:val="28"/>
          <w:szCs w:val="28"/>
          <w:highlight w:val="none"/>
          <w:lang w:val="en-US" w:eastAsia="zh-CN"/>
        </w:rPr>
        <w:t>2024年度</w:t>
      </w:r>
      <w:r>
        <w:rPr>
          <w:rFonts w:hint="eastAsia" w:ascii="宋体" w:hAnsi="宋体" w:eastAsia="宋体" w:cs="宋体"/>
          <w:b/>
          <w:bCs w:val="0"/>
          <w:color w:val="000000"/>
          <w:sz w:val="28"/>
          <w:szCs w:val="28"/>
          <w:highlight w:val="none"/>
          <w:lang w:eastAsia="zh-CN"/>
        </w:rPr>
        <w:t>）</w:t>
      </w:r>
    </w:p>
    <w:p w14:paraId="48F54014">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6DCE172B">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69047F7D">
      <w:pPr>
        <w:pStyle w:val="6"/>
        <w:rPr>
          <w:rFonts w:hint="eastAsia" w:eastAsia="方正仿宋_GBK" w:cs="方正仿宋_GBK"/>
          <w:b/>
          <w:kern w:val="0"/>
          <w:sz w:val="32"/>
          <w:szCs w:val="32"/>
          <w:lang w:bidi="en-US"/>
        </w:rPr>
      </w:pPr>
    </w:p>
    <w:p w14:paraId="3F9AD854">
      <w:pPr>
        <w:rPr>
          <w:rFonts w:hint="eastAsia" w:eastAsia="方正仿宋_GBK" w:cs="方正仿宋_GBK"/>
          <w:b/>
          <w:kern w:val="0"/>
          <w:sz w:val="32"/>
          <w:szCs w:val="32"/>
          <w:lang w:bidi="en-US"/>
        </w:rPr>
      </w:pPr>
    </w:p>
    <w:p w14:paraId="50CA05C6">
      <w:pPr>
        <w:pStyle w:val="6"/>
        <w:rPr>
          <w:rFonts w:hint="eastAsia"/>
        </w:rPr>
      </w:pPr>
    </w:p>
    <w:p w14:paraId="27EBCFD7">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023C1A02">
      <w:pPr>
        <w:pageBreakBefore w:val="0"/>
        <w:widowControl w:val="0"/>
        <w:kinsoku/>
        <w:wordWrap/>
        <w:topLinePunct w:val="0"/>
        <w:autoSpaceDE/>
        <w:autoSpaceDN/>
        <w:bidi w:val="0"/>
        <w:spacing w:line="560" w:lineRule="exact"/>
        <w:ind w:left="0" w:leftChars="0" w:firstLine="560"/>
        <w:textAlignment w:val="auto"/>
        <w:rPr>
          <w:rFonts w:hint="eastAsia"/>
        </w:rPr>
      </w:pPr>
    </w:p>
    <w:p w14:paraId="4F48BB07">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15CF3A36">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项目名称：2024年中央财政普惠金融发展专项资金项目</w:t>
      </w:r>
    </w:p>
    <w:p w14:paraId="645A248C">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项目单位：洛浦县人力资源和社会保障局</w:t>
      </w:r>
    </w:p>
    <w:p w14:paraId="3799D2D9">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主管部门：洛浦县人民政府（本级）</w:t>
      </w:r>
    </w:p>
    <w:p w14:paraId="08EEB98F">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val="en-US" w:eastAsia="zh-CN" w:bidi="en-US"/>
        </w:rPr>
        <w:t>程学良</w:t>
      </w:r>
    </w:p>
    <w:p w14:paraId="05C4580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20</w:t>
      </w:r>
      <w:r>
        <w:rPr>
          <w:rFonts w:hint="eastAsia" w:ascii="宋体" w:hAnsi="宋体" w:eastAsia="宋体" w:cs="宋体"/>
          <w:b/>
          <w:bCs/>
          <w:color w:val="000000"/>
          <w:kern w:val="0"/>
          <w:sz w:val="28"/>
          <w:szCs w:val="28"/>
          <w:highlight w:val="none"/>
          <w:lang w:bidi="en-US"/>
        </w:rPr>
        <w:t>日</w:t>
      </w:r>
    </w:p>
    <w:p w14:paraId="779DC39E">
      <w:pPr>
        <w:pStyle w:val="2"/>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b/>
          <w:bCs/>
          <w:color w:val="000000"/>
          <w:sz w:val="24"/>
          <w:szCs w:val="24"/>
          <w:highlight w:val="none"/>
          <w:lang w:val="en-US" w:eastAsia="zh-CN"/>
        </w:rPr>
      </w:pPr>
      <w:bookmarkStart w:id="0" w:name="_Toc68364657"/>
      <w:r>
        <w:rPr>
          <w:rFonts w:hint="eastAsia" w:ascii="黑体" w:hAnsi="黑体" w:eastAsia="黑体" w:cs="黑体"/>
          <w:b/>
          <w:bCs/>
          <w:color w:val="000000"/>
          <w:sz w:val="24"/>
          <w:szCs w:val="24"/>
          <w:highlight w:val="none"/>
          <w:lang w:val="en-US" w:eastAsia="zh-CN"/>
        </w:rPr>
        <w:t>一、基本情况</w:t>
      </w:r>
      <w:bookmarkEnd w:id="0"/>
    </w:p>
    <w:p w14:paraId="40311161">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eastAsia="zh-CN"/>
        </w:rPr>
      </w:pPr>
      <w:bookmarkStart w:id="1" w:name="_Toc68364658"/>
      <w:r>
        <w:rPr>
          <w:rFonts w:hint="eastAsia" w:ascii="宋体" w:hAnsi="宋体" w:eastAsia="宋体" w:cs="宋体"/>
          <w:b/>
          <w:bCs/>
          <w:color w:val="000000"/>
          <w:sz w:val="24"/>
          <w:szCs w:val="24"/>
          <w:highlight w:val="none"/>
          <w:lang w:eastAsia="zh-CN"/>
        </w:rPr>
        <w:t>（一）项目概况</w:t>
      </w:r>
      <w:bookmarkEnd w:id="1"/>
    </w:p>
    <w:p w14:paraId="16BA035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57AA328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贯彻落实党中央全面实施预算绩效管理的决策部署，为实施更加积极的就业政策,通过普惠金融的相关政策，支持农村金融组织体系建设，扩大农村金融服务覆盖面，支持劳动者自主就业、自谋职业，推动解决特殊困难群体的结构性就业矛盾。创业担保贷款资金由中央和地方财政共担,省级财政配套安排，包括中央下达的专项转移支付预算资金和省内下达预算资金。此次绩效评价的专项资金为2024年普惠金融发展专项资金2800万元。</w:t>
      </w:r>
    </w:p>
    <w:p w14:paraId="2932EA5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24AF46CF">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0792705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创业担保贷款发放额2800万元，创业担保贷款发放额增长率不低于10.4%。通过项目实施，支持重点就业群体、小微企业、“三农”融资发展，增强金融普惠性，推动普惠金融更高质量发展。本年度支付880.16万元，用于创业担保贷款贴息：35家小微企业贷款贴息和570个人创业项目贷款贴息。2024年11月22日冲减指标1919.84万元，依据和地财金【2024】33号文件。</w:t>
      </w:r>
    </w:p>
    <w:p w14:paraId="6031AD93">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5B788D1A">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0CC7F17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本项目主管部门为洛浦县人民政府，实施单位为洛浦县人力资源和社会保障局。</w:t>
      </w:r>
    </w:p>
    <w:p w14:paraId="50D5963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07142F10">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2024年1月-2024年12月</w:t>
      </w:r>
    </w:p>
    <w:p w14:paraId="65BD7EC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33DFC413">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2024年普惠金融发展专项资金计划投入2800万元，主要用于个人创业担保贷款及小微企业贷款贴息。本年度支付880.16万元，用于创业担保贷款贴息：35家小微企业贷款贴息和570个人创业项目贷款贴息。</w:t>
      </w:r>
    </w:p>
    <w:p w14:paraId="01ACD6D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3.资金投入和使用情况</w:t>
      </w:r>
    </w:p>
    <w:p w14:paraId="7112EB5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5CA1519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2024年普惠金融发展专项资金计划投入2800万元，主要用于个人创业担保贷款及小微企业贷款贴息。2024年实际收到预算资金2800万元，预算资金到位率为100%。</w:t>
      </w:r>
    </w:p>
    <w:p w14:paraId="0D7AEF7A">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12AB56D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本项目实际支付资金880.16万元，预算执行率3.43%。本项目资金主要用于创业担保贷款贴息880.16万元：35家小微企业贷款贴息和570个人创业项目贷款贴息。</w:t>
      </w:r>
    </w:p>
    <w:p w14:paraId="7F75D9B4">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6EC86211">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3B2265B9">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55E51E4A">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根据《关于提前下达2024年中央财政普惠金融发展专项资金预算的通知》（和地财金〔2023〕68号）文件实施此项目，项目主要内容为：创业担保贷款发放额2800万元，创业担保贷款发放额增长率不低于10.4%。通过项目实施，支持重点就业群体、小微企业、“三农”融资发展，增强金融普惠性，推动普惠金融更高质量发展。</w:t>
      </w:r>
    </w:p>
    <w:p w14:paraId="030B05FF">
      <w:pPr>
        <w:pStyle w:val="47"/>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bookmarkStart w:id="3" w:name="_Toc68364660"/>
      <w:r>
        <w:rPr>
          <w:rFonts w:hint="eastAsia" w:ascii="宋体" w:hAnsi="宋体" w:eastAsia="宋体" w:cs="宋体"/>
          <w:b/>
          <w:bCs/>
          <w:color w:val="000000"/>
          <w:sz w:val="24"/>
          <w:szCs w:val="24"/>
          <w:highlight w:val="none"/>
        </w:rPr>
        <w:t>阶段性目标</w:t>
      </w:r>
    </w:p>
    <w:p w14:paraId="11FB789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我</w:t>
      </w:r>
      <w:r>
        <w:rPr>
          <w:rFonts w:hint="eastAsia" w:ascii="宋体" w:hAnsi="宋体" w:eastAsia="宋体" w:cs="宋体"/>
          <w:color w:val="000000"/>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7E7556EF">
      <w:pPr>
        <w:pStyle w:val="47"/>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10B7154E">
      <w:pPr>
        <w:pStyle w:val="47"/>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0BE56A6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创业担保贷款发放额，</w:t>
      </w:r>
      <w:r>
        <w:rPr>
          <w:rFonts w:hint="eastAsia" w:ascii="宋体" w:hAnsi="宋体" w:eastAsia="宋体" w:cs="宋体"/>
          <w:color w:val="auto"/>
          <w:sz w:val="24"/>
          <w:szCs w:val="24"/>
        </w:rPr>
        <w:t>预期指标值</w:t>
      </w:r>
      <w:r>
        <w:rPr>
          <w:rFonts w:hint="eastAsia" w:ascii="宋体" w:hAnsi="宋体" w:eastAsia="宋体" w:cs="宋体"/>
          <w:color w:val="auto"/>
          <w:sz w:val="24"/>
          <w:szCs w:val="24"/>
          <w:highlight w:val="none"/>
          <w:lang w:val="en-US" w:eastAsia="zh-CN"/>
        </w:rPr>
        <w:t>≥2800万元</w:t>
      </w:r>
      <w:r>
        <w:rPr>
          <w:rFonts w:hint="eastAsia" w:ascii="宋体" w:hAnsi="宋体" w:eastAsia="宋体" w:cs="宋体"/>
          <w:color w:val="auto"/>
          <w:sz w:val="24"/>
          <w:szCs w:val="24"/>
        </w:rPr>
        <w:t>；</w:t>
      </w:r>
    </w:p>
    <w:p w14:paraId="07E38E5A">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441F09F3">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资金足额拨付率，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1EBB086">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预算执行率，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9548996">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资金到位率，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625CA9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资金使用合规率，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5BAF13F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w:t>
      </w:r>
      <w:r>
        <w:rPr>
          <w:rFonts w:hint="eastAsia" w:ascii="宋体" w:hAnsi="宋体" w:eastAsia="宋体" w:cs="宋体"/>
          <w:color w:val="auto"/>
          <w:sz w:val="24"/>
          <w:szCs w:val="24"/>
          <w:lang w:val="en-US" w:eastAsia="zh-CN"/>
        </w:rPr>
        <w:t>指标</w:t>
      </w:r>
      <w:r>
        <w:rPr>
          <w:rFonts w:hint="eastAsia" w:ascii="宋体" w:hAnsi="宋体" w:eastAsia="宋体" w:cs="宋体"/>
          <w:color w:val="auto"/>
          <w:sz w:val="24"/>
          <w:szCs w:val="24"/>
        </w:rPr>
        <w:t>：</w:t>
      </w:r>
    </w:p>
    <w:p w14:paraId="445784B7">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项目资金及时率，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417403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指标</w:t>
      </w:r>
      <w:r>
        <w:rPr>
          <w:rFonts w:hint="eastAsia" w:ascii="宋体" w:hAnsi="宋体" w:eastAsia="宋体" w:cs="宋体"/>
          <w:color w:val="auto"/>
          <w:sz w:val="24"/>
          <w:szCs w:val="24"/>
          <w:lang w:val="en-US" w:eastAsia="zh-CN"/>
        </w:rPr>
        <w:t>2：项目完成时间，预期指标值为2024年12月</w:t>
      </w:r>
      <w:r>
        <w:rPr>
          <w:rFonts w:hint="eastAsia" w:ascii="宋体" w:hAnsi="宋体" w:eastAsia="宋体" w:cs="宋体"/>
          <w:color w:val="auto"/>
          <w:sz w:val="24"/>
          <w:szCs w:val="24"/>
        </w:rPr>
        <w:t>；</w:t>
      </w:r>
    </w:p>
    <w:p w14:paraId="1EA71DE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（2）成本指标：</w:t>
      </w:r>
    </w:p>
    <w:p w14:paraId="62B0FFF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09F48F60">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项目总成本，</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eastAsia="zh-CN"/>
        </w:rPr>
        <w:t>≤2800万元</w:t>
      </w:r>
      <w:r>
        <w:rPr>
          <w:rFonts w:hint="eastAsia" w:ascii="宋体" w:hAnsi="宋体" w:eastAsia="宋体" w:cs="宋体"/>
          <w:color w:val="auto"/>
          <w:sz w:val="24"/>
          <w:szCs w:val="24"/>
        </w:rPr>
        <w:t>；</w:t>
      </w:r>
    </w:p>
    <w:p w14:paraId="4087638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573D64C3">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5ED85AEF">
      <w:pPr>
        <w:pStyle w:val="47"/>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生态成本指标;</w:t>
      </w:r>
    </w:p>
    <w:p w14:paraId="3DA4F36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56982B5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3A38B55A">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19AFAEE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0D1EF93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2AEB657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金融机构网点覆盖率，</w:t>
      </w:r>
      <w:r>
        <w:rPr>
          <w:rFonts w:hint="eastAsia" w:ascii="宋体" w:hAnsi="宋体" w:eastAsia="宋体" w:cs="宋体"/>
          <w:color w:val="auto"/>
          <w:sz w:val="24"/>
          <w:szCs w:val="24"/>
        </w:rPr>
        <w:t>预期指标值≥60%；</w:t>
      </w:r>
    </w:p>
    <w:p w14:paraId="634A286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77239E2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3C63CB53">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5D202ED0">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方正仿宋_GBK" w:hAnsi="方正仿宋_GBK" w:eastAsia="方正仿宋_GBK" w:cs="方正仿宋_GBK"/>
          <w:color w:val="auto"/>
          <w:sz w:val="30"/>
          <w:szCs w:val="30"/>
          <w:lang w:val="en-US" w:eastAsia="zh-CN"/>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申报创业担保贷款个人和小微企业满意度，</w:t>
      </w:r>
      <w:r>
        <w:rPr>
          <w:rFonts w:hint="eastAsia" w:ascii="宋体" w:hAnsi="宋体" w:eastAsia="宋体" w:cs="宋体"/>
          <w:color w:val="auto"/>
          <w:sz w:val="24"/>
          <w:szCs w:val="24"/>
        </w:rPr>
        <w:t>预期指标值</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lang w:val="en-US" w:eastAsia="zh-CN"/>
        </w:rPr>
        <w:t>95%。</w:t>
      </w:r>
      <w:bookmarkEnd w:id="3"/>
    </w:p>
    <w:p w14:paraId="279FD1E1">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p>
    <w:p w14:paraId="24B7BF6B">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55D7C776">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1.绩效评价目的</w:t>
      </w:r>
    </w:p>
    <w:p w14:paraId="434D79E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等相关政策文件与规定，对2024年中央财政普惠金融发展专项资金项目开展本次部门项目支出绩效评价工作。全面了解2024年中央财政普惠金融发展专项资金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662E9F7C">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035FB1B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24D6C1B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114E1AA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235E82DB">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此次绩效评价遵循财政部《项目支出绩效评价管理办法》（财预〔2020〕10号）和《自治区财政支出绩效评价管理暂行办法》（新财预〔2018〕189号）等政策文件规定，以2024年中央财政普惠金融发展专项资金项目项目为评价对象，对该项目决策、项目资金管理、项目实施过程管理，以及项目实施所带来的产出和效果等内容，进行综合评价。</w:t>
      </w:r>
    </w:p>
    <w:p w14:paraId="35E2A17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3.绩效评价范围</w:t>
      </w:r>
    </w:p>
    <w:p w14:paraId="341711D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绩效评价主要围绕2024年中央财政普惠金融发展专项资金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val="en-US" w:eastAsia="zh-CN"/>
        </w:rPr>
        <w:t>，覆盖预算资金支出项目的所有内容进行评价。</w:t>
      </w:r>
      <w:bookmarkEnd w:id="5"/>
    </w:p>
    <w:p w14:paraId="36F12ECF">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p>
    <w:p w14:paraId="6FCE5D60">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1.绩效评价原则</w:t>
      </w:r>
    </w:p>
    <w:p w14:paraId="5CB5730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383D2890">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（1）科学公正。绩效评价应当运用科学合理的方法，按照规范的程序，对项目绩效进行客观、公正的反映。</w:t>
      </w:r>
    </w:p>
    <w:p w14:paraId="2F817FBB">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459899E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（3）激励约束。绩效评价结果应与预算安排、政策调整、改进管理实质性挂钩，体现奖优罚劣和激励相容导向，有效要安排、低效要压减、无效要问责。</w:t>
      </w:r>
    </w:p>
    <w:p w14:paraId="7E047C6E">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（4）公开透明。绩效评价结果应依法依规公开，并自觉接受社会监督。</w:t>
      </w:r>
    </w:p>
    <w:p w14:paraId="6269CB4C">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根据以上原则，绩效评价应遵循如下要求:</w:t>
      </w:r>
    </w:p>
    <w:p w14:paraId="02B98D2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（1）在数据采集时，采取客观数据，主管部门审查、社会中介组织复查，与问卷调查相结合的形式，以保证各项指标的真实性。</w:t>
      </w:r>
    </w:p>
    <w:p w14:paraId="240E50B7">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（2）保证评价结果的真实性、公正性，提高评价报告的公信力。</w:t>
      </w:r>
    </w:p>
    <w:p w14:paraId="1344CD9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27467705">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2.绩效评价指标体系</w:t>
      </w:r>
    </w:p>
    <w:p w14:paraId="4033455A">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细指标体系见“附件1：项目支出绩效评价体系”。</w:t>
      </w:r>
    </w:p>
    <w:p w14:paraId="4EA9F587">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3.绩效评价方法</w:t>
      </w:r>
    </w:p>
    <w:p w14:paraId="00CF969E">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5A2951C">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具体评价方法的应用如下:</w:t>
      </w:r>
    </w:p>
    <w:p w14:paraId="03C11995">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立项依据充分性：比较法、文献法，查找法律法规政策以及规划，对比实际执行内容和政策支持内容是否匹配。</w:t>
      </w:r>
    </w:p>
    <w:p w14:paraId="35D04B9C">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立项程序规范性：比较法、文献法，查找相关项目设立的政策和文件要求，对比分析实际执行程序是否按照政策及文件要求执行，分析立项程序的规范性。</w:t>
      </w:r>
    </w:p>
    <w:p w14:paraId="46F42B3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绩效目标合理性：比较法，对比分析年初编制项目支出绩效目标表与项目内容的相关性、资金的匹配性等。</w:t>
      </w:r>
    </w:p>
    <w:p w14:paraId="14F1E547">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绩效指标明确性：比较法，比较分析年初编制项目支出绩效目标表是否符合双七原则，是否可衡量。</w:t>
      </w:r>
    </w:p>
    <w:p w14:paraId="0495A9FD">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预算编制科学性：成本效益分析法，分析在产出一定的情况下，成本取值是否有依据，是否经过询价，是否按照市场最低成本编制。</w:t>
      </w:r>
    </w:p>
    <w:p w14:paraId="44106390">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资金分配合理性：因素分析法，综合分析资金的分配依据是否充分，分配金额是否与项目实施单位需求金额一致。</w:t>
      </w:r>
    </w:p>
    <w:p w14:paraId="4576C9AB">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资金到位率：比较法，资金到位率预期指标值应为100%，通过实际计算，分析实际完成值和预期指标值之间的差距和原因。</w:t>
      </w:r>
    </w:p>
    <w:p w14:paraId="4B4FAA50">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预算执行率：比较法，预算执行率预期指标值应为100%，通过实际计算，分析实际完成值和预期指标值之间的差距和原因。</w:t>
      </w:r>
    </w:p>
    <w:p w14:paraId="0DB829C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资金使用合规性：文献法、实地勘察法，一是查找资金管理办法，包括专项资金管理办法和单位自有资金管理办法；二是通过查账了解具体开支情况，是否专用专用，是否按照标准支出。</w:t>
      </w:r>
    </w:p>
    <w:p w14:paraId="1DD64CD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管理制度健全性：文献法、比较法，查阅项目实施人员提供的财务和业务管理制度，将已建立的制度与现行的法律法规和政策要求进行对比，分析项目制度的合法性、合规性、完整性。</w:t>
      </w:r>
    </w:p>
    <w:p w14:paraId="4C6EF4B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制度执行有效性：比较法，结合项目实际实施过程性文件，根据已建设的财务管理制度和项目管理制度综合分析制度执行的有效性。</w:t>
      </w:r>
    </w:p>
    <w:p w14:paraId="2E2A6BD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3922AA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定性指标：公众评判法，通过问卷及抽样调查等方式评价本项目实施后社会公众对于其实施效果的满意程度。</w:t>
      </w:r>
    </w:p>
    <w:p w14:paraId="40858DC1">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4.绩效评价标准</w:t>
      </w:r>
    </w:p>
    <w:p w14:paraId="08395FE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bookmarkStart w:id="6" w:name="_Toc68364663"/>
      <w:r>
        <w:rPr>
          <w:rFonts w:hint="eastAsia" w:ascii="宋体" w:hAnsi="宋体" w:eastAsia="宋体" w:cs="宋体"/>
          <w:color w:val="auto"/>
          <w:sz w:val="24"/>
          <w:szCs w:val="24"/>
          <w:lang w:val="en-US" w:eastAsia="zh-CN"/>
        </w:rPr>
        <w:t>绩效评价标准通常包括计划标准、行业标准、历史标准等，用于对绩效指标完成情况进行比较、分析、评价。本次评价主要采用了计划标准。</w:t>
      </w:r>
    </w:p>
    <w:p w14:paraId="10420365">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bookmarkStart w:id="7" w:name="_Toc31464"/>
      <w:bookmarkStart w:id="8" w:name="_Toc17882"/>
      <w:r>
        <w:rPr>
          <w:rFonts w:hint="eastAsia" w:ascii="宋体" w:hAnsi="宋体" w:eastAsia="宋体" w:cs="宋体"/>
          <w:color w:val="auto"/>
          <w:sz w:val="24"/>
          <w:szCs w:val="24"/>
          <w:lang w:val="en-US" w:eastAsia="zh-CN"/>
        </w:rPr>
        <w:t>计划标准：指以预先制定的目标、计划、预算、定额等作为评价标准。</w:t>
      </w:r>
      <w:bookmarkEnd w:id="7"/>
      <w:bookmarkEnd w:id="8"/>
    </w:p>
    <w:p w14:paraId="200998D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bookmarkStart w:id="9" w:name="_Toc5633"/>
      <w:bookmarkStart w:id="10" w:name="_Toc2318"/>
      <w:r>
        <w:rPr>
          <w:rFonts w:hint="eastAsia" w:ascii="宋体" w:hAnsi="宋体" w:eastAsia="宋体" w:cs="宋体"/>
          <w:color w:val="auto"/>
          <w:sz w:val="24"/>
          <w:szCs w:val="24"/>
          <w:lang w:val="en-US" w:eastAsia="zh-CN"/>
        </w:rPr>
        <w:t>行业标准：指参照国家公布的行业指标数据制定的评价标准。</w:t>
      </w:r>
      <w:bookmarkEnd w:id="9"/>
      <w:bookmarkEnd w:id="10"/>
    </w:p>
    <w:p w14:paraId="0FB3C997">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方正仿宋_GBK" w:hAnsi="方正仿宋_GBK" w:eastAsia="方正仿宋_GBK" w:cs="方正仿宋_GBK"/>
          <w:sz w:val="30"/>
          <w:szCs w:val="30"/>
        </w:rPr>
      </w:pPr>
      <w:bookmarkStart w:id="11" w:name="_Toc16028"/>
      <w:bookmarkStart w:id="12" w:name="_Toc430"/>
      <w:r>
        <w:rPr>
          <w:rFonts w:hint="eastAsia" w:ascii="宋体" w:hAnsi="宋体" w:eastAsia="宋体" w:cs="宋体"/>
          <w:color w:val="auto"/>
          <w:sz w:val="24"/>
          <w:szCs w:val="24"/>
          <w:lang w:val="en-US" w:eastAsia="zh-CN"/>
        </w:rPr>
        <w:t>历史标准：指参照历史数据制定的评价标准，为体现绩效改进的原则，在可实现的条件下应当确定相对较高的评价标准。</w:t>
      </w:r>
      <w:bookmarkEnd w:id="6"/>
      <w:bookmarkEnd w:id="11"/>
      <w:bookmarkEnd w:id="12"/>
    </w:p>
    <w:p w14:paraId="17AE39B5">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3" w:name="_Toc68364664"/>
      <w:r>
        <w:rPr>
          <w:rFonts w:hint="eastAsia" w:ascii="宋体" w:hAnsi="宋体" w:eastAsia="宋体" w:cs="宋体"/>
          <w:color w:val="auto"/>
          <w:sz w:val="24"/>
          <w:szCs w:val="24"/>
        </w:rPr>
        <w:t>（三）绩效评价工作过程</w:t>
      </w:r>
    </w:p>
    <w:p w14:paraId="7FC0A29B">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1.前期准备</w:t>
      </w:r>
    </w:p>
    <w:p w14:paraId="02C2A777">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231CE6AC">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程学良（评价小组组长）：主要负责项目管理；</w:t>
      </w:r>
    </w:p>
    <w:p w14:paraId="572BE90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张生平（评价小组组员）：主要负责项目资金管理；</w:t>
      </w:r>
    </w:p>
    <w:p w14:paraId="27972F2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帕肉克（评价小组组员）：主要负责项目负责干部。</w:t>
      </w:r>
    </w:p>
    <w:p w14:paraId="45AD6859">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1DDB3FE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2025年3月10日-3月20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2639D07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3.分析评价</w:t>
      </w:r>
    </w:p>
    <w:p w14:paraId="6C37A89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2025年3月16日-4月1日，评价小组按照绩效评价的原则和规范，对取得的资料进行审查核实，对采集的数据进行分析，按照绩效评价指标评分表逐项进行打分、分析、汇总各方评价结果。</w:t>
      </w:r>
    </w:p>
    <w:p w14:paraId="2BD1D4F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3DE97D4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2025年4月1日-4月15日评价小组撰写绩效评价报告，按照新疆维吾尔自治区财政绩效管理信息系统绩效评价模块中统一格式和文本框架撰写绩效评价报告并提交审核。</w:t>
      </w:r>
    </w:p>
    <w:p w14:paraId="7944877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6D45EB0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932BAE8">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5A16783D">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建立和落实档案管理制度，将项目相关资料存档，包括但不限于：评价项目基本情况和相关文件、评价实施方案、项目支付资料等相关档案。</w:t>
      </w:r>
      <w:bookmarkEnd w:id="13"/>
    </w:p>
    <w:p w14:paraId="2FC64A9B">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bookmarkStart w:id="14" w:name="_Toc68364666"/>
      <w:r>
        <w:rPr>
          <w:rFonts w:hint="eastAsia" w:ascii="黑体" w:hAnsi="黑体" w:eastAsia="黑体" w:cs="黑体"/>
          <w:color w:val="auto"/>
          <w:sz w:val="24"/>
          <w:szCs w:val="24"/>
        </w:rPr>
        <w:t>三、综合评价情况及评价结论</w:t>
      </w:r>
    </w:p>
    <w:p w14:paraId="2530ADA2">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5" w:name="_Toc68364665"/>
      <w:r>
        <w:rPr>
          <w:rFonts w:hint="eastAsia" w:ascii="宋体" w:hAnsi="宋体" w:eastAsia="宋体" w:cs="宋体"/>
          <w:color w:val="auto"/>
          <w:sz w:val="24"/>
          <w:szCs w:val="24"/>
        </w:rPr>
        <w:t>（一）综合评价情况</w:t>
      </w:r>
      <w:bookmarkEnd w:id="15"/>
    </w:p>
    <w:p w14:paraId="491DC89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实施2024年中央财政普惠金融发展专项资金项目产生社会效益农村金融机构定向费用补贴推动服务网点向偏远乡镇延伸，部分乡镇农村金融机构网点覆盖率提升至60%以上。项目实施主要通过项目决策、项目过程、项目产出以及项目效益等方面进行评价，其中：</w:t>
      </w:r>
    </w:p>
    <w:p w14:paraId="3BE2055B">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项目决策：该项目主要通过《关于下达2024年中央财政普惠金融发展专项资金的通知》（新财金【2024】45号）文件立项，项目实施符合文件要求，项目立项依据充分，立项程序规范。</w:t>
      </w:r>
    </w:p>
    <w:p w14:paraId="2589492C">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过程：2024年中央财政普惠金融发展专项资金项目预算安排2800万元，实际支出880.16万元，预算执行率31.43%。项目资金使用合规，项目财务管理制度健全，财务监控到位，所有资金支付均按照国库集中支付制度严格执行，现有项目管理制度执行情况良好。</w:t>
      </w:r>
    </w:p>
    <w:p w14:paraId="11D1DF5B">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项目产出：2024年普惠金融发展专项资金计划投入2800万元，主要用于个人创业担保贷款及小微企业贷款贴息。通过直达资金标识系统全程追踪资金分配、拨付和使用，确保专款专用，拨付及时率超100%‌。</w:t>
      </w:r>
    </w:p>
    <w:p w14:paraId="4E6BBA7D">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项目效益：农村金融机构定向费用补贴推动服务网点向偏远乡镇延伸，部分乡镇农村金融机构网点覆盖率提升至60%以上。</w:t>
      </w:r>
    </w:p>
    <w:p w14:paraId="0B724370">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333333"/>
          <w:kern w:val="2"/>
          <w:sz w:val="24"/>
          <w:szCs w:val="24"/>
          <w:lang w:val="en-US" w:eastAsia="zh-CN" w:bidi="ar-SA"/>
        </w:rPr>
      </w:pPr>
      <w:r>
        <w:rPr>
          <w:rFonts w:hint="eastAsia" w:ascii="宋体" w:hAnsi="宋体" w:eastAsia="宋体" w:cs="宋体"/>
          <w:color w:val="333333"/>
          <w:kern w:val="2"/>
          <w:sz w:val="24"/>
          <w:szCs w:val="24"/>
          <w:lang w:val="en-US" w:eastAsia="zh-CN" w:bidi="ar-SA"/>
        </w:rPr>
        <w:t>（二）综合评价结论</w:t>
      </w:r>
    </w:p>
    <w:p w14:paraId="0AC31A07">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依据《中共中央国务院关于全面实施预算绩效管理的意见》《项目支出绩效评价管理办法》（财预〔2020〕10号）文件，绩效评价总分设置为100分，划分为四档：90（含）-10</w:t>
      </w:r>
      <w:r>
        <w:rPr>
          <w:rFonts w:hint="eastAsia" w:ascii="宋体" w:hAnsi="宋体" w:eastAsia="宋体" w:cs="宋体"/>
          <w:color w:val="auto"/>
          <w:sz w:val="24"/>
          <w:szCs w:val="24"/>
          <w:highlight w:val="none"/>
          <w:lang w:val="en-US" w:eastAsia="zh-CN"/>
        </w:rPr>
        <w:t>0分为“优”、80（含）-90分为“良”、70（含）-80分为“中”、70分以下为“差”。经对2024年中央财政普惠金融发展专项资金项目项目进行客观评价，最终评分结果：评价总分84.91分，绩效等级为“良”。</w:t>
      </w:r>
      <w:bookmarkEnd w:id="14"/>
    </w:p>
    <w:p w14:paraId="2A3F58FF">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6" w:name="_Toc68364668"/>
      <w:r>
        <w:rPr>
          <w:rFonts w:hint="eastAsia" w:ascii="宋体" w:hAnsi="宋体" w:eastAsia="宋体" w:cs="宋体"/>
          <w:color w:val="auto"/>
          <w:sz w:val="24"/>
          <w:szCs w:val="24"/>
          <w:highlight w:val="none"/>
        </w:rPr>
        <w:t>四、绩效评价指标分析</w:t>
      </w:r>
    </w:p>
    <w:p w14:paraId="4762A9AC">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（一）项目决策情况</w:t>
      </w:r>
    </w:p>
    <w:p w14:paraId="0A99926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项目决策类指标包括项目立项、绩效目标和资金投入三方面的内容，由6个三级指标构成，权重分为23分，实际得分23分，得分率为100%。</w:t>
      </w:r>
    </w:p>
    <w:p w14:paraId="058BA206">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0B4BFAB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eastAsia="zh-CN"/>
        </w:rPr>
        <w:t>本</w:t>
      </w:r>
      <w:r>
        <w:rPr>
          <w:rFonts w:hint="eastAsia" w:ascii="宋体" w:hAnsi="宋体" w:eastAsia="宋体" w:cs="宋体"/>
          <w:color w:val="auto"/>
          <w:sz w:val="24"/>
          <w:szCs w:val="24"/>
          <w:lang w:val="en-US"/>
        </w:rPr>
        <w:t>项目立项符合</w:t>
      </w:r>
      <w:r>
        <w:rPr>
          <w:rFonts w:hint="eastAsia" w:ascii="宋体" w:hAnsi="宋体" w:eastAsia="宋体" w:cs="宋体"/>
          <w:color w:val="auto"/>
          <w:sz w:val="24"/>
          <w:szCs w:val="24"/>
          <w:lang w:val="en-US" w:eastAsia="zh-CN"/>
        </w:rPr>
        <w:t>通过《关于下达2024年中央财政普惠金融发展专项资金的通知》（新财金【2024】45号）</w:t>
      </w: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和地财金</w:t>
      </w: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2024</w:t>
      </w: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45</w:t>
      </w:r>
      <w:r>
        <w:rPr>
          <w:rFonts w:hint="eastAsia" w:ascii="宋体" w:hAnsi="宋体" w:eastAsia="宋体" w:cs="宋体"/>
          <w:color w:val="auto"/>
          <w:sz w:val="24"/>
          <w:szCs w:val="24"/>
          <w:lang w:val="en-US"/>
        </w:rPr>
        <w:t>号）中</w:t>
      </w:r>
      <w:r>
        <w:rPr>
          <w:rFonts w:hint="eastAsia" w:ascii="宋体" w:hAnsi="宋体" w:eastAsia="宋体" w:cs="宋体"/>
          <w:color w:val="auto"/>
          <w:sz w:val="24"/>
          <w:szCs w:val="24"/>
          <w:lang w:val="en-US" w:eastAsia="zh-CN"/>
        </w:rPr>
        <w:t>：“关于下达2024年中央财政普惠金融发展专项资金的通知”；本项目</w:t>
      </w:r>
      <w:r>
        <w:rPr>
          <w:rFonts w:hint="eastAsia" w:ascii="宋体" w:hAnsi="宋体" w:eastAsia="宋体" w:cs="宋体"/>
          <w:color w:val="auto"/>
          <w:sz w:val="24"/>
          <w:szCs w:val="24"/>
          <w:lang w:val="en-US"/>
        </w:rPr>
        <w:t>立项符合行业发展规划和政策要求</w:t>
      </w:r>
      <w:r>
        <w:rPr>
          <w:rFonts w:hint="eastAsia" w:ascii="宋体" w:hAnsi="宋体" w:eastAsia="宋体" w:cs="宋体"/>
          <w:color w:val="auto"/>
          <w:sz w:val="24"/>
          <w:szCs w:val="24"/>
          <w:lang w:val="en-US" w:eastAsia="zh-CN"/>
        </w:rPr>
        <w:t>；本</w:t>
      </w:r>
      <w:r>
        <w:rPr>
          <w:rFonts w:hint="eastAsia" w:ascii="宋体" w:hAnsi="宋体" w:eastAsia="宋体" w:cs="宋体"/>
          <w:color w:val="auto"/>
          <w:sz w:val="24"/>
          <w:szCs w:val="24"/>
          <w:lang w:val="en-US"/>
        </w:rPr>
        <w:t>项目立项符合《</w:t>
      </w:r>
      <w:r>
        <w:rPr>
          <w:rFonts w:hint="eastAsia" w:ascii="宋体" w:hAnsi="宋体" w:eastAsia="宋体" w:cs="宋体"/>
          <w:color w:val="auto"/>
          <w:sz w:val="24"/>
          <w:szCs w:val="24"/>
          <w:lang w:val="en-US" w:eastAsia="zh-CN"/>
        </w:rPr>
        <w:t>普惠金融发展专项资金管理办法</w:t>
      </w:r>
      <w:r>
        <w:rPr>
          <w:rFonts w:hint="eastAsia" w:ascii="宋体" w:hAnsi="宋体" w:eastAsia="宋体" w:cs="宋体"/>
          <w:color w:val="auto"/>
          <w:sz w:val="24"/>
          <w:szCs w:val="24"/>
          <w:lang w:val="en-US"/>
        </w:rPr>
        <w:t>》中职责范围</w:t>
      </w:r>
      <w:r>
        <w:rPr>
          <w:rFonts w:hint="eastAsia" w:ascii="宋体" w:hAnsi="宋体" w:eastAsia="宋体" w:cs="宋体"/>
          <w:color w:val="auto"/>
          <w:sz w:val="24"/>
          <w:szCs w:val="24"/>
          <w:lang w:val="en-US" w:eastAsia="zh-CN"/>
        </w:rPr>
        <w:t>中的“支持创业担保贷款贴息、普惠金融示范区建设等方向”</w:t>
      </w:r>
      <w:r>
        <w:rPr>
          <w:rFonts w:hint="eastAsia" w:ascii="宋体" w:hAnsi="宋体" w:eastAsia="宋体" w:cs="宋体"/>
          <w:color w:val="auto"/>
          <w:sz w:val="24"/>
          <w:szCs w:val="24"/>
          <w:lang w:val="en-US"/>
        </w:rPr>
        <w:t>，属于</w:t>
      </w:r>
      <w:r>
        <w:rPr>
          <w:rFonts w:hint="eastAsia" w:ascii="宋体" w:hAnsi="宋体" w:eastAsia="宋体" w:cs="宋体"/>
          <w:color w:val="auto"/>
          <w:sz w:val="24"/>
          <w:szCs w:val="24"/>
          <w:lang w:val="en-US" w:eastAsia="zh-CN"/>
        </w:rPr>
        <w:t>我单位</w:t>
      </w:r>
      <w:r>
        <w:rPr>
          <w:rFonts w:hint="eastAsia" w:ascii="宋体" w:hAnsi="宋体" w:eastAsia="宋体" w:cs="宋体"/>
          <w:color w:val="auto"/>
          <w:sz w:val="24"/>
          <w:szCs w:val="24"/>
          <w:lang w:val="en-US"/>
        </w:rPr>
        <w:t>履职所需</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rPr>
        <w:t>根据《财政资金直接支付申请书》</w:t>
      </w:r>
      <w:r>
        <w:rPr>
          <w:rFonts w:hint="eastAsia" w:ascii="宋体" w:hAnsi="宋体" w:eastAsia="宋体" w:cs="宋体"/>
          <w:color w:val="auto"/>
          <w:sz w:val="24"/>
          <w:szCs w:val="24"/>
          <w:lang w:val="en-US" w:eastAsia="zh-CN"/>
        </w:rPr>
        <w:t>，本</w:t>
      </w:r>
      <w:r>
        <w:rPr>
          <w:rFonts w:hint="eastAsia" w:ascii="宋体" w:hAnsi="宋体" w:eastAsia="宋体" w:cs="宋体"/>
          <w:color w:val="auto"/>
          <w:sz w:val="24"/>
          <w:szCs w:val="24"/>
          <w:lang w:val="en-US"/>
        </w:rPr>
        <w:t>项目资金性质为“公共财政预算”功能分类为“</w:t>
      </w:r>
      <w:r>
        <w:rPr>
          <w:rFonts w:hint="eastAsia" w:ascii="宋体" w:hAnsi="宋体" w:eastAsia="宋体" w:cs="宋体"/>
          <w:color w:val="auto"/>
          <w:sz w:val="24"/>
          <w:szCs w:val="24"/>
          <w:lang w:val="en-US" w:eastAsia="zh-CN"/>
        </w:rPr>
        <w:t>213农林水支出</w:t>
      </w:r>
      <w:r>
        <w:rPr>
          <w:rFonts w:hint="eastAsia" w:ascii="宋体" w:hAnsi="宋体" w:eastAsia="宋体" w:cs="宋体"/>
          <w:color w:val="auto"/>
          <w:sz w:val="24"/>
          <w:szCs w:val="24"/>
          <w:lang w:val="en-US"/>
        </w:rPr>
        <w:t>”经济分类为“</w:t>
      </w:r>
      <w:r>
        <w:rPr>
          <w:rFonts w:hint="eastAsia" w:ascii="宋体" w:hAnsi="宋体" w:eastAsia="宋体" w:cs="宋体"/>
          <w:color w:val="auto"/>
          <w:sz w:val="24"/>
          <w:szCs w:val="24"/>
          <w:lang w:val="en-US" w:eastAsia="zh-CN"/>
        </w:rPr>
        <w:t>普惠金融发展专项资金</w:t>
      </w:r>
      <w:r>
        <w:rPr>
          <w:rFonts w:hint="eastAsia" w:ascii="宋体" w:hAnsi="宋体" w:eastAsia="宋体" w:cs="宋体"/>
          <w:color w:val="auto"/>
          <w:sz w:val="24"/>
          <w:szCs w:val="24"/>
          <w:lang w:val="en-US"/>
        </w:rPr>
        <w:t>”属于公共财政支持范围，符合中央、地方事权支出责任划分原则</w:t>
      </w:r>
      <w:r>
        <w:rPr>
          <w:rFonts w:hint="eastAsia" w:ascii="宋体" w:hAnsi="宋体" w:eastAsia="宋体" w:cs="宋体"/>
          <w:color w:val="auto"/>
          <w:sz w:val="24"/>
          <w:szCs w:val="24"/>
          <w:lang w:val="en-US" w:eastAsia="zh-CN"/>
        </w:rPr>
        <w:t>；经检查</w:t>
      </w:r>
      <w:r>
        <w:rPr>
          <w:rFonts w:hint="eastAsia" w:ascii="宋体" w:hAnsi="宋体" w:eastAsia="宋体" w:cs="宋体"/>
          <w:color w:val="auto"/>
          <w:sz w:val="24"/>
          <w:szCs w:val="24"/>
          <w:lang w:val="en-US"/>
        </w:rPr>
        <w:t>我单位财政应用平台指标，</w:t>
      </w:r>
      <w:r>
        <w:rPr>
          <w:rFonts w:hint="eastAsia" w:ascii="宋体" w:hAnsi="宋体" w:eastAsia="宋体" w:cs="宋体"/>
          <w:color w:val="auto"/>
          <w:sz w:val="24"/>
          <w:szCs w:val="24"/>
          <w:lang w:val="en-US" w:eastAsia="zh-CN"/>
        </w:rPr>
        <w:t>本</w:t>
      </w:r>
      <w:r>
        <w:rPr>
          <w:rFonts w:hint="eastAsia" w:ascii="宋体" w:hAnsi="宋体" w:eastAsia="宋体" w:cs="宋体"/>
          <w:color w:val="auto"/>
          <w:sz w:val="24"/>
          <w:szCs w:val="24"/>
          <w:lang w:val="en-US"/>
        </w:rPr>
        <w:t>项目不存在重复。</w:t>
      </w:r>
    </w:p>
    <w:p w14:paraId="13A6C76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综上所述，本</w:t>
      </w:r>
      <w:r>
        <w:rPr>
          <w:rFonts w:hint="eastAsia" w:ascii="宋体" w:hAnsi="宋体" w:eastAsia="宋体" w:cs="宋体"/>
          <w:color w:val="auto"/>
          <w:sz w:val="24"/>
          <w:szCs w:val="24"/>
          <w:lang w:val="en-US"/>
        </w:rPr>
        <w:t>指标满分为</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val="en-US"/>
        </w:rPr>
        <w:t>分，根据评分标准得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val="en-US"/>
        </w:rPr>
        <w:t>分</w:t>
      </w:r>
      <w:r>
        <w:rPr>
          <w:rFonts w:hint="eastAsia" w:ascii="宋体" w:hAnsi="宋体" w:eastAsia="宋体" w:cs="宋体"/>
          <w:color w:val="auto"/>
          <w:sz w:val="24"/>
          <w:szCs w:val="24"/>
          <w:lang w:val="en-US" w:eastAsia="zh-CN"/>
        </w:rPr>
        <w:t>，本项目立项依据充分。</w:t>
      </w:r>
    </w:p>
    <w:p w14:paraId="2144383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3F234820">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000000"/>
          <w:sz w:val="24"/>
          <w:szCs w:val="24"/>
          <w:highlight w:val="none"/>
        </w:rPr>
        <w:t>本项目按照规定的程序申请设立，</w:t>
      </w:r>
      <w:r>
        <w:rPr>
          <w:rFonts w:hint="eastAsia" w:ascii="宋体" w:hAnsi="宋体" w:eastAsia="宋体" w:cs="宋体"/>
          <w:color w:val="auto"/>
          <w:sz w:val="24"/>
          <w:szCs w:val="24"/>
          <w:lang w:val="en-US" w:eastAsia="zh-CN"/>
        </w:rPr>
        <w:t>项目立项过程中产生的文件均符合相关要求。本项目为普惠金融发展专项资金类项目，属于经常性项目，项目预算金额为2800万元，不涉及事前绩效评估和风险评估，完成本项目可行性研究报告的编制，并经过专家论证。</w:t>
      </w:r>
    </w:p>
    <w:p w14:paraId="48376364">
      <w:pPr>
        <w:pStyle w:val="47"/>
        <w:keepNext w:val="0"/>
        <w:keepLines w:val="0"/>
        <w:pageBreakBefore w:val="0"/>
        <w:widowControl w:val="0"/>
        <w:kinsoku/>
        <w:wordWrap/>
        <w:overflowPunct/>
        <w:topLinePunct w:val="0"/>
        <w:autoSpaceDE/>
        <w:autoSpaceDN/>
        <w:bidi w:val="0"/>
        <w:adjustRightInd/>
        <w:snapToGrid/>
        <w:spacing w:line="360" w:lineRule="auto"/>
        <w:ind w:left="476" w:leftChars="170" w:firstLine="0" w:firstLineChars="0"/>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综上所述，本指标满分为3分，根据评分标准得3分，本项目立项程序合规。</w:t>
      </w:r>
    </w:p>
    <w:p w14:paraId="3B84374B">
      <w:pPr>
        <w:pStyle w:val="47"/>
        <w:keepNext w:val="0"/>
        <w:keepLines w:val="0"/>
        <w:pageBreakBefore w:val="0"/>
        <w:widowControl w:val="0"/>
        <w:kinsoku/>
        <w:wordWrap/>
        <w:overflowPunct/>
        <w:topLinePunct w:val="0"/>
        <w:autoSpaceDE/>
        <w:autoSpaceDN/>
        <w:bidi w:val="0"/>
        <w:adjustRightInd/>
        <w:snapToGrid/>
        <w:spacing w:line="360" w:lineRule="auto"/>
        <w:ind w:left="476" w:leftChars="170" w:firstLine="0" w:firstLineChars="0"/>
        <w:textAlignment w:val="auto"/>
        <w:outlineLvl w:val="2"/>
        <w:rPr>
          <w:rFonts w:hint="eastAsia" w:ascii="方正仿宋_GBK" w:hAnsi="方正仿宋_GBK" w:eastAsia="方正仿宋_GBK" w:cs="方正仿宋_GBK"/>
          <w:sz w:val="30"/>
          <w:szCs w:val="30"/>
        </w:rPr>
      </w:pPr>
      <w:r>
        <w:rPr>
          <w:rFonts w:hint="eastAsia" w:ascii="宋体" w:hAnsi="宋体" w:eastAsia="宋体" w:cs="宋体"/>
          <w:b/>
          <w:bCs/>
          <w:color w:val="000000"/>
          <w:sz w:val="24"/>
          <w:szCs w:val="24"/>
          <w:highlight w:val="none"/>
          <w:lang w:val="en-US" w:eastAsia="zh-CN"/>
        </w:rPr>
        <w:t>3.绩效目标合理性</w:t>
      </w:r>
    </w:p>
    <w:p w14:paraId="7D26BD05">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000000"/>
          <w:sz w:val="24"/>
          <w:szCs w:val="24"/>
          <w:highlight w:val="none"/>
        </w:rPr>
        <w:t>该项目年初设定绩效目标主要内容为：根据《关于提前下达2024年中央财政普惠金融发展专项资金预算的通知》（和地财金〔2023〕68号）文件实施此项目，项目主要内容为：创业担保贷款发放额2800万元，创业担保贷款发放额增长率不低于10.4%。通过项目实施，支持重点就业群体、小微企业、“三农”融资发展，增强金融普惠性，推动普惠金融更高质量发展</w:t>
      </w:r>
      <w:r>
        <w:rPr>
          <w:rFonts w:hint="eastAsia" w:ascii="宋体" w:hAnsi="宋体" w:eastAsia="宋体" w:cs="宋体"/>
          <w:color w:val="auto"/>
          <w:sz w:val="24"/>
          <w:szCs w:val="24"/>
          <w:lang w:val="en-US" w:eastAsia="zh-CN"/>
        </w:rPr>
        <w:t>。</w:t>
      </w:r>
    </w:p>
    <w:p w14:paraId="3CBE7FEA">
      <w:pPr>
        <w:pStyle w:val="47"/>
        <w:keepNext w:val="0"/>
        <w:keepLines w:val="0"/>
        <w:pageBreakBefore w:val="0"/>
        <w:widowControl w:val="0"/>
        <w:kinsoku/>
        <w:wordWrap/>
        <w:overflowPunct/>
        <w:topLinePunct w:val="0"/>
        <w:autoSpaceDE/>
        <w:autoSpaceDN/>
        <w:bidi w:val="0"/>
        <w:adjustRightInd/>
        <w:snapToGrid/>
        <w:spacing w:line="360" w:lineRule="auto"/>
        <w:ind w:left="476" w:leftChars="170" w:firstLine="0" w:firstLineChars="0"/>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综上所述，本指标满分为5分，根据评分标准得5分，本项目立项程序合规。</w:t>
      </w:r>
    </w:p>
    <w:p w14:paraId="559C6C9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560AC46E">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经检查我单位年初设置的《2024年中央财政普惠金融发展专项资金项目支出绩效目标表》，得出如下结论：本项目已将年度绩效目标进行细化为绩效指标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5F56D47A">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该《2024年中央财政普惠金融发展专项资金项目绩效目标申报表》中，数量指标指标值为</w:t>
      </w:r>
      <w:r>
        <w:rPr>
          <w:rFonts w:hint="eastAsia" w:ascii="宋体" w:hAnsi="宋体" w:eastAsia="宋体" w:cs="宋体"/>
          <w:color w:val="000000"/>
          <w:sz w:val="24"/>
          <w:szCs w:val="24"/>
          <w:highlight w:val="none"/>
          <w:lang w:val="en-US" w:eastAsia="zh-CN"/>
        </w:rPr>
        <w:t>创业担保贷款发放额≥2800万元</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项目资金及时率、项目完成时间</w:t>
      </w:r>
      <w:r>
        <w:rPr>
          <w:rFonts w:hint="eastAsia" w:ascii="宋体" w:hAnsi="宋体" w:eastAsia="宋体" w:cs="宋体"/>
          <w:color w:val="000000"/>
          <w:sz w:val="24"/>
          <w:szCs w:val="24"/>
          <w:highlight w:val="none"/>
        </w:rPr>
        <w:t>”。已设置的绩效目标具备明确性、可衡量性、可实现性、相关性、时限性。</w:t>
      </w:r>
    </w:p>
    <w:p w14:paraId="73B565B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yellow"/>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269E68A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预算编制科学性</w:t>
      </w:r>
    </w:p>
    <w:p w14:paraId="359C701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根据《关于提前下达2024年中央财政普惠金融发展专项资金预算的通知》（和地财金〔2023〕68号）文件实施此项目，项目主要内容为：创业担保贷款发放额2800万元，创业担保贷款发放额增长率不低于10.4%。通过项目实施，支持重点就业群体、小微企业、“三农”融资发展，增强金融普惠性，推动普惠金融更高质量发展，</w:t>
      </w:r>
      <w:r>
        <w:rPr>
          <w:rFonts w:hint="eastAsia" w:ascii="宋体" w:hAnsi="宋体" w:eastAsia="宋体" w:cs="宋体"/>
          <w:color w:val="000000"/>
          <w:sz w:val="24"/>
          <w:szCs w:val="24"/>
          <w:highlight w:val="none"/>
        </w:rPr>
        <w:t>预算申请与《</w:t>
      </w:r>
      <w:r>
        <w:rPr>
          <w:rFonts w:hint="eastAsia" w:ascii="宋体" w:hAnsi="宋体" w:eastAsia="宋体" w:cs="宋体"/>
          <w:color w:val="000000"/>
          <w:sz w:val="24"/>
          <w:szCs w:val="24"/>
          <w:highlight w:val="none"/>
          <w:lang w:val="en-US" w:eastAsia="zh-CN"/>
        </w:rPr>
        <w:t>2024年中央财政普惠金融发展专项资金</w:t>
      </w:r>
      <w:r>
        <w:rPr>
          <w:rFonts w:hint="eastAsia" w:ascii="宋体" w:hAnsi="宋体" w:eastAsia="宋体" w:cs="宋体"/>
          <w:color w:val="000000"/>
          <w:sz w:val="24"/>
          <w:szCs w:val="24"/>
          <w:highlight w:val="none"/>
        </w:rPr>
        <w:t>项目实施方案》中涉及的项目内容匹配；</w:t>
      </w:r>
    </w:p>
    <w:p w14:paraId="3C5A70D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2800</w:t>
      </w:r>
      <w:r>
        <w:rPr>
          <w:rFonts w:hint="eastAsia" w:ascii="宋体" w:hAnsi="宋体" w:eastAsia="宋体" w:cs="宋体"/>
          <w:color w:val="000000"/>
          <w:sz w:val="24"/>
          <w:szCs w:val="24"/>
          <w:highlight w:val="none"/>
        </w:rPr>
        <w:t>万元，我单位在预算申请中严格按照项目实施内容及测算标准进行核算，其中：本年度支付880.16万元，用于创业担保贷款贴息：35家小微企业贷款贴息和570个人创业项目贷款贴息。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1F12D11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分，本项目预算编制科学。</w:t>
      </w:r>
    </w:p>
    <w:p w14:paraId="3B05D3A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资金分配合理性</w:t>
      </w:r>
    </w:p>
    <w:p w14:paraId="120E07A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本项目实际分配资金以《关于申请2024年中央财政普惠金融发展专项资金项目资金的请示》和《</w:t>
      </w:r>
      <w:r>
        <w:rPr>
          <w:rFonts w:hint="eastAsia" w:ascii="宋体" w:hAnsi="宋体" w:eastAsia="宋体" w:cs="宋体"/>
          <w:color w:val="auto"/>
          <w:sz w:val="24"/>
          <w:szCs w:val="24"/>
          <w:highlight w:val="none"/>
          <w:lang w:val="en-US" w:eastAsia="zh-CN"/>
        </w:rPr>
        <w:t>2024年中央财政普惠金融发展专项资金</w:t>
      </w:r>
      <w:r>
        <w:rPr>
          <w:rFonts w:hint="eastAsia" w:ascii="宋体" w:hAnsi="宋体" w:eastAsia="宋体" w:cs="宋体"/>
          <w:color w:val="auto"/>
          <w:sz w:val="24"/>
          <w:szCs w:val="24"/>
          <w:highlight w:val="none"/>
        </w:rPr>
        <w:t>项目实施方案》为依据进行资金分配，预算资金分配依据充分。根据《</w:t>
      </w:r>
      <w:r>
        <w:rPr>
          <w:rFonts w:hint="eastAsia" w:ascii="宋体" w:hAnsi="宋体" w:eastAsia="宋体" w:cs="宋体"/>
          <w:color w:val="auto"/>
          <w:sz w:val="24"/>
          <w:szCs w:val="24"/>
          <w:highlight w:val="none"/>
          <w:lang w:val="en-US" w:eastAsia="zh-CN"/>
        </w:rPr>
        <w:t>新财金【2024】45号</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和地财金</w:t>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33</w:t>
      </w:r>
      <w:r>
        <w:rPr>
          <w:rFonts w:hint="eastAsia" w:ascii="宋体" w:hAnsi="宋体" w:eastAsia="宋体" w:cs="宋体"/>
          <w:color w:val="auto"/>
          <w:sz w:val="24"/>
          <w:szCs w:val="24"/>
          <w:highlight w:val="none"/>
        </w:rPr>
        <w:t>号），本项目实际到位资金</w:t>
      </w:r>
      <w:r>
        <w:rPr>
          <w:rFonts w:hint="eastAsia" w:ascii="宋体" w:hAnsi="宋体" w:eastAsia="宋体" w:cs="宋体"/>
          <w:color w:val="auto"/>
          <w:sz w:val="24"/>
          <w:szCs w:val="24"/>
          <w:highlight w:val="none"/>
          <w:lang w:val="en-US" w:eastAsia="zh-CN"/>
        </w:rPr>
        <w:t>2800</w:t>
      </w:r>
      <w:r>
        <w:rPr>
          <w:rFonts w:hint="eastAsia" w:ascii="宋体" w:hAnsi="宋体" w:eastAsia="宋体" w:cs="宋体"/>
          <w:color w:val="auto"/>
          <w:sz w:val="24"/>
          <w:szCs w:val="24"/>
          <w:highlight w:val="none"/>
        </w:rPr>
        <w:t>万元，资金分配额度合理，与我单位实际需求相适应。资金分配与实际相适应</w:t>
      </w:r>
      <w:r>
        <w:rPr>
          <w:rFonts w:hint="eastAsia" w:ascii="宋体" w:hAnsi="宋体" w:eastAsia="宋体" w:cs="宋体"/>
          <w:color w:val="auto"/>
          <w:sz w:val="24"/>
          <w:szCs w:val="24"/>
          <w:highlight w:val="none"/>
          <w:lang w:eastAsia="zh-CN"/>
        </w:rPr>
        <w:t>。</w:t>
      </w:r>
    </w:p>
    <w:p w14:paraId="46FD359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eastAsia="zh-CN"/>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分，本项目资金分配合理。</w:t>
      </w:r>
    </w:p>
    <w:p w14:paraId="7A479A5A">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（二）项目过程情况</w:t>
      </w:r>
    </w:p>
    <w:p w14:paraId="24E44BC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项目过程类指标包括资金管理和组织实施两方面的内容，由5个三级指标构成，权重分为</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lang w:eastAsia="zh-CN"/>
        </w:rPr>
        <w:t>分，实际得分</w:t>
      </w:r>
      <w:r>
        <w:rPr>
          <w:rFonts w:hint="eastAsia" w:ascii="宋体" w:hAnsi="宋体" w:eastAsia="宋体" w:cs="宋体"/>
          <w:color w:val="000000"/>
          <w:sz w:val="24"/>
          <w:szCs w:val="24"/>
          <w:highlight w:val="none"/>
          <w:lang w:val="en-US" w:eastAsia="zh-CN"/>
        </w:rPr>
        <w:t>10.63</w:t>
      </w:r>
      <w:r>
        <w:rPr>
          <w:rFonts w:hint="eastAsia" w:ascii="宋体" w:hAnsi="宋体" w:eastAsia="宋体" w:cs="宋体"/>
          <w:color w:val="000000"/>
          <w:sz w:val="24"/>
          <w:szCs w:val="24"/>
          <w:highlight w:val="none"/>
          <w:lang w:eastAsia="zh-CN"/>
        </w:rPr>
        <w:t>分，得分率为</w:t>
      </w:r>
      <w:r>
        <w:rPr>
          <w:rFonts w:hint="eastAsia" w:ascii="宋体" w:hAnsi="宋体" w:eastAsia="宋体" w:cs="宋体"/>
          <w:color w:val="000000"/>
          <w:sz w:val="24"/>
          <w:szCs w:val="24"/>
          <w:highlight w:val="none"/>
          <w:lang w:val="en-US" w:eastAsia="zh-CN"/>
        </w:rPr>
        <w:t>88.58</w:t>
      </w:r>
      <w:r>
        <w:rPr>
          <w:rFonts w:hint="eastAsia" w:ascii="宋体" w:hAnsi="宋体" w:eastAsia="宋体" w:cs="宋体"/>
          <w:color w:val="000000"/>
          <w:sz w:val="24"/>
          <w:szCs w:val="24"/>
          <w:highlight w:val="none"/>
          <w:lang w:eastAsia="zh-CN"/>
        </w:rPr>
        <w:t>%。</w:t>
      </w:r>
    </w:p>
    <w:p w14:paraId="062FB9DE">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资金到位率</w:t>
      </w:r>
    </w:p>
    <w:p w14:paraId="2655F59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本项目预算资金为</w:t>
      </w:r>
      <w:r>
        <w:rPr>
          <w:rFonts w:hint="eastAsia" w:ascii="宋体" w:hAnsi="宋体" w:eastAsia="宋体" w:cs="宋体"/>
          <w:color w:val="000000"/>
          <w:sz w:val="24"/>
          <w:szCs w:val="24"/>
          <w:highlight w:val="none"/>
          <w:lang w:val="en-US" w:eastAsia="zh-CN"/>
        </w:rPr>
        <w:t>2800</w:t>
      </w:r>
      <w:r>
        <w:rPr>
          <w:rFonts w:hint="eastAsia" w:ascii="宋体" w:hAnsi="宋体" w:eastAsia="宋体" w:cs="宋体"/>
          <w:color w:val="000000"/>
          <w:sz w:val="24"/>
          <w:szCs w:val="24"/>
          <w:highlight w:val="none"/>
          <w:lang w:eastAsia="zh-CN"/>
        </w:rPr>
        <w:t>万元，其中：财政安排资金</w:t>
      </w:r>
      <w:r>
        <w:rPr>
          <w:rFonts w:hint="eastAsia" w:ascii="宋体" w:hAnsi="宋体" w:eastAsia="宋体" w:cs="宋体"/>
          <w:color w:val="000000"/>
          <w:sz w:val="24"/>
          <w:szCs w:val="24"/>
          <w:highlight w:val="none"/>
          <w:lang w:val="en-US" w:eastAsia="zh-CN"/>
        </w:rPr>
        <w:t>2800</w:t>
      </w:r>
      <w:r>
        <w:rPr>
          <w:rFonts w:hint="eastAsia" w:ascii="宋体" w:hAnsi="宋体" w:eastAsia="宋体" w:cs="宋体"/>
          <w:color w:val="000000"/>
          <w:sz w:val="24"/>
          <w:szCs w:val="24"/>
          <w:highlight w:val="none"/>
          <w:lang w:eastAsia="zh-CN"/>
        </w:rPr>
        <w:t>万元，实际到位资金</w:t>
      </w:r>
      <w:r>
        <w:rPr>
          <w:rFonts w:hint="eastAsia" w:ascii="宋体" w:hAnsi="宋体" w:eastAsia="宋体" w:cs="宋体"/>
          <w:color w:val="000000"/>
          <w:sz w:val="24"/>
          <w:szCs w:val="24"/>
          <w:highlight w:val="none"/>
          <w:lang w:val="en-US" w:eastAsia="zh-CN"/>
        </w:rPr>
        <w:t>2800</w:t>
      </w:r>
      <w:r>
        <w:rPr>
          <w:rFonts w:hint="eastAsia" w:ascii="宋体" w:hAnsi="宋体" w:eastAsia="宋体" w:cs="宋体"/>
          <w:color w:val="000000"/>
          <w:sz w:val="24"/>
          <w:szCs w:val="24"/>
          <w:highlight w:val="none"/>
          <w:lang w:eastAsia="zh-CN"/>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lang w:eastAsia="zh-CN"/>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lang w:eastAsia="zh-CN"/>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lang w:eastAsia="zh-CN"/>
        </w:rPr>
        <w:t>单位。</w:t>
      </w:r>
    </w:p>
    <w:p w14:paraId="2EFB463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分。</w:t>
      </w:r>
    </w:p>
    <w:p w14:paraId="63D8BE9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预算执行率</w:t>
      </w:r>
    </w:p>
    <w:p w14:paraId="098F23F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本项目实际支出资金</w:t>
      </w:r>
      <w:r>
        <w:rPr>
          <w:rFonts w:hint="eastAsia" w:ascii="宋体" w:hAnsi="宋体" w:eastAsia="宋体" w:cs="宋体"/>
          <w:color w:val="000000"/>
          <w:sz w:val="24"/>
          <w:szCs w:val="24"/>
          <w:highlight w:val="none"/>
          <w:lang w:val="en-US" w:eastAsia="zh-CN"/>
        </w:rPr>
        <w:t>880.16</w:t>
      </w:r>
      <w:r>
        <w:rPr>
          <w:rFonts w:hint="eastAsia" w:ascii="宋体" w:hAnsi="宋体" w:eastAsia="宋体" w:cs="宋体"/>
          <w:color w:val="000000"/>
          <w:sz w:val="24"/>
          <w:szCs w:val="24"/>
          <w:highlight w:val="none"/>
          <w:lang w:eastAsia="zh-CN"/>
        </w:rPr>
        <w:t>万元，</w:t>
      </w:r>
      <w:r>
        <w:rPr>
          <w:rFonts w:hint="eastAsia" w:ascii="宋体" w:hAnsi="宋体" w:eastAsia="宋体" w:cs="宋体"/>
          <w:color w:val="000000"/>
          <w:sz w:val="24"/>
          <w:szCs w:val="24"/>
          <w:highlight w:val="none"/>
        </w:rPr>
        <w:t>预算执行率=（实际支出资金/实际到位资金）×100</w:t>
      </w:r>
      <w:r>
        <w:rPr>
          <w:rFonts w:hint="eastAsia" w:ascii="宋体" w:hAnsi="宋体" w:eastAsia="宋体" w:cs="宋体"/>
          <w:color w:val="000000"/>
          <w:sz w:val="24"/>
          <w:szCs w:val="24"/>
          <w:highlight w:val="none"/>
          <w:lang w:eastAsia="zh-CN"/>
        </w:rPr>
        <w:t>.0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31.43</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lang w:eastAsia="zh-CN"/>
        </w:rPr>
        <w:t>预算编制较为详细，项目资金支出总体能够按照预算执行。</w:t>
      </w:r>
    </w:p>
    <w:p w14:paraId="5CAB02C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根据评分标准，该指标扣分，得</w:t>
      </w:r>
      <w:r>
        <w:rPr>
          <w:rFonts w:hint="eastAsia" w:ascii="宋体" w:hAnsi="宋体" w:eastAsia="宋体" w:cs="宋体"/>
          <w:color w:val="000000"/>
          <w:sz w:val="24"/>
          <w:szCs w:val="24"/>
          <w:highlight w:val="none"/>
          <w:lang w:val="en-US" w:eastAsia="zh-CN"/>
        </w:rPr>
        <w:t>0.63</w:t>
      </w:r>
      <w:r>
        <w:rPr>
          <w:rFonts w:hint="eastAsia" w:ascii="宋体" w:hAnsi="宋体" w:eastAsia="宋体" w:cs="宋体"/>
          <w:color w:val="000000"/>
          <w:sz w:val="24"/>
          <w:szCs w:val="24"/>
          <w:highlight w:val="none"/>
          <w:lang w:eastAsia="zh-CN"/>
        </w:rPr>
        <w:t>分。</w:t>
      </w:r>
    </w:p>
    <w:p w14:paraId="6C09B1C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资金使用合规性</w:t>
      </w:r>
    </w:p>
    <w:p w14:paraId="57CF841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lang w:eastAsia="zh-CN"/>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lang w:eastAsia="zh-CN"/>
        </w:rPr>
        <w:t>，得出本项目资金支出符合国家财经法规、《政府会计制度》《普惠金融发展专项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lang w:eastAsia="zh-CN"/>
        </w:rPr>
        <w:t>制定了相关的制度和管理规定对经费使用进行规范管理，财务制度健全、执行严格。</w:t>
      </w:r>
    </w:p>
    <w:p w14:paraId="4D098D6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分。</w:t>
      </w:r>
    </w:p>
    <w:p w14:paraId="49D1D9E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管理制度健全性</w:t>
      </w:r>
    </w:p>
    <w:p w14:paraId="1D8ECA5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我单位已制定《普惠金融发展专项资金管理办法》，</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lang w:eastAsia="zh-CN"/>
        </w:rPr>
        <w:t>制度均符合行政事业单位内控管理要求，财务和业务管理制度合法、合规、完整，本项目执行符合上述制度规定。</w:t>
      </w:r>
    </w:p>
    <w:p w14:paraId="2887BDE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分。</w:t>
      </w:r>
    </w:p>
    <w:p w14:paraId="6FB9D7A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制度执行有效性</w:t>
      </w:r>
    </w:p>
    <w:p w14:paraId="7749EEE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①该项目的实施符合《普惠金融发展专项资金管理办法》《普惠金融发展专项资金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5036298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②经现场查证项目合同书、验收评审表、财务支付凭证等资料齐全并及时归档。</w:t>
      </w:r>
    </w:p>
    <w:p w14:paraId="0B7F860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③该项目是否存在调整，调整手续是否齐全，如未调整，则填“该项目实施过程中不存在调整事项”。</w:t>
      </w:r>
    </w:p>
    <w:p w14:paraId="4C4C05D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000000"/>
          <w:sz w:val="24"/>
          <w:szCs w:val="24"/>
          <w:highlight w:val="none"/>
          <w:lang w:val="en-US" w:eastAsia="zh-CN"/>
        </w:rPr>
        <w:t>2024年中央财政普惠金融发展专项资金</w:t>
      </w:r>
      <w:r>
        <w:rPr>
          <w:rFonts w:hint="eastAsia" w:ascii="宋体" w:hAnsi="宋体" w:eastAsia="宋体" w:cs="宋体"/>
          <w:color w:val="000000"/>
          <w:sz w:val="24"/>
          <w:szCs w:val="24"/>
          <w:highlight w:val="none"/>
          <w:lang w:eastAsia="zh-CN"/>
        </w:rPr>
        <w:t>项目工作领导小组，由</w:t>
      </w:r>
      <w:r>
        <w:rPr>
          <w:rFonts w:hint="eastAsia" w:ascii="宋体" w:hAnsi="宋体" w:eastAsia="宋体" w:cs="宋体"/>
          <w:color w:val="000000"/>
          <w:sz w:val="24"/>
          <w:szCs w:val="24"/>
          <w:highlight w:val="none"/>
          <w:lang w:val="en-US" w:eastAsia="zh-CN"/>
        </w:rPr>
        <w:t>穆拉迪力·麦提热黑木</w:t>
      </w:r>
      <w:r>
        <w:rPr>
          <w:rFonts w:hint="eastAsia" w:ascii="宋体" w:hAnsi="宋体" w:eastAsia="宋体" w:cs="宋体"/>
          <w:color w:val="000000"/>
          <w:sz w:val="24"/>
          <w:szCs w:val="24"/>
          <w:highlight w:val="none"/>
          <w:lang w:eastAsia="zh-CN"/>
        </w:rPr>
        <w:t>任组长，负责项目的组织工作；</w:t>
      </w:r>
      <w:r>
        <w:rPr>
          <w:rFonts w:hint="eastAsia" w:ascii="宋体" w:hAnsi="宋体" w:eastAsia="宋体" w:cs="宋体"/>
          <w:color w:val="000000"/>
          <w:sz w:val="24"/>
          <w:szCs w:val="24"/>
          <w:highlight w:val="none"/>
          <w:lang w:val="en-US" w:eastAsia="zh-CN"/>
        </w:rPr>
        <w:t>程学良</w:t>
      </w:r>
      <w:r>
        <w:rPr>
          <w:rFonts w:hint="eastAsia" w:ascii="宋体" w:hAnsi="宋体" w:eastAsia="宋体" w:cs="宋体"/>
          <w:color w:val="000000"/>
          <w:sz w:val="24"/>
          <w:szCs w:val="24"/>
          <w:highlight w:val="none"/>
          <w:lang w:eastAsia="zh-CN"/>
        </w:rPr>
        <w:t>任副组长，负责项目的实施工作；组员包括：</w:t>
      </w:r>
      <w:r>
        <w:rPr>
          <w:rFonts w:hint="eastAsia" w:ascii="宋体" w:hAnsi="宋体" w:eastAsia="宋体" w:cs="宋体"/>
          <w:color w:val="000000"/>
          <w:sz w:val="24"/>
          <w:szCs w:val="24"/>
          <w:highlight w:val="none"/>
          <w:lang w:val="en-US" w:eastAsia="zh-CN"/>
        </w:rPr>
        <w:t>张生平</w:t>
      </w:r>
      <w:r>
        <w:rPr>
          <w:rFonts w:hint="eastAsia" w:ascii="宋体" w:hAnsi="宋体" w:eastAsia="宋体" w:cs="宋体"/>
          <w:color w:val="000000"/>
          <w:sz w:val="24"/>
          <w:szCs w:val="24"/>
          <w:highlight w:val="none"/>
          <w:lang w:eastAsia="zh-CN"/>
        </w:rPr>
        <w:t>和</w:t>
      </w:r>
      <w:r>
        <w:rPr>
          <w:rFonts w:hint="eastAsia" w:ascii="宋体" w:hAnsi="宋体" w:eastAsia="宋体" w:cs="宋体"/>
          <w:color w:val="000000"/>
          <w:sz w:val="24"/>
          <w:szCs w:val="24"/>
          <w:highlight w:val="none"/>
          <w:lang w:val="en-US" w:eastAsia="zh-CN"/>
        </w:rPr>
        <w:t>帕肉克</w:t>
      </w:r>
      <w:r>
        <w:rPr>
          <w:rFonts w:hint="eastAsia" w:ascii="宋体" w:hAnsi="宋体" w:eastAsia="宋体" w:cs="宋体"/>
          <w:color w:val="000000"/>
          <w:sz w:val="24"/>
          <w:szCs w:val="24"/>
          <w:highlight w:val="none"/>
          <w:lang w:eastAsia="zh-CN"/>
        </w:rPr>
        <w:t>，主要负责项目监督管理、验收以及资金核拨等工作。</w:t>
      </w:r>
    </w:p>
    <w:p w14:paraId="4CED3A0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分。</w:t>
      </w:r>
    </w:p>
    <w:p w14:paraId="359CA7F7">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1DCE151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项目产出类指标包括产出数量、产出质量、产出时效、产出成本四方面的内容，由4个三级指标构成，权重分为</w:t>
      </w:r>
      <w:r>
        <w:rPr>
          <w:rFonts w:hint="eastAsia" w:ascii="宋体" w:hAnsi="宋体" w:eastAsia="宋体" w:cs="宋体"/>
          <w:color w:val="000000"/>
          <w:sz w:val="24"/>
          <w:szCs w:val="24"/>
          <w:highlight w:val="none"/>
          <w:lang w:val="en-US" w:eastAsia="zh-CN"/>
        </w:rPr>
        <w:t>40</w:t>
      </w:r>
      <w:r>
        <w:rPr>
          <w:rFonts w:hint="eastAsia" w:ascii="宋体" w:hAnsi="宋体" w:eastAsia="宋体" w:cs="宋体"/>
          <w:color w:val="000000"/>
          <w:sz w:val="24"/>
          <w:szCs w:val="24"/>
          <w:highlight w:val="none"/>
          <w:lang w:eastAsia="zh-CN"/>
        </w:rPr>
        <w:t>分，实际得分</w:t>
      </w:r>
      <w:r>
        <w:rPr>
          <w:rFonts w:hint="eastAsia" w:ascii="宋体" w:hAnsi="宋体" w:eastAsia="宋体" w:cs="宋体"/>
          <w:color w:val="000000"/>
          <w:sz w:val="24"/>
          <w:szCs w:val="24"/>
          <w:highlight w:val="none"/>
          <w:lang w:val="en-US" w:eastAsia="zh-CN"/>
        </w:rPr>
        <w:t>26.28</w:t>
      </w:r>
      <w:r>
        <w:rPr>
          <w:rFonts w:hint="eastAsia" w:ascii="宋体" w:hAnsi="宋体" w:eastAsia="宋体" w:cs="宋体"/>
          <w:color w:val="000000"/>
          <w:sz w:val="24"/>
          <w:szCs w:val="24"/>
          <w:highlight w:val="none"/>
          <w:lang w:eastAsia="zh-CN"/>
        </w:rPr>
        <w:t>分，得分率为</w:t>
      </w:r>
      <w:r>
        <w:rPr>
          <w:rFonts w:hint="eastAsia" w:ascii="宋体" w:hAnsi="宋体" w:eastAsia="宋体" w:cs="宋体"/>
          <w:color w:val="000000"/>
          <w:sz w:val="24"/>
          <w:szCs w:val="24"/>
          <w:highlight w:val="none"/>
          <w:lang w:val="en-US" w:eastAsia="zh-CN"/>
        </w:rPr>
        <w:t>65.70</w:t>
      </w:r>
      <w:r>
        <w:rPr>
          <w:rFonts w:hint="eastAsia" w:ascii="宋体" w:hAnsi="宋体" w:eastAsia="宋体" w:cs="宋体"/>
          <w:color w:val="000000"/>
          <w:sz w:val="24"/>
          <w:szCs w:val="24"/>
          <w:highlight w:val="none"/>
          <w:lang w:eastAsia="zh-CN"/>
        </w:rPr>
        <w:t>%。</w:t>
      </w:r>
    </w:p>
    <w:p w14:paraId="5CA6E012">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对于“产出数量”</w:t>
      </w:r>
    </w:p>
    <w:p w14:paraId="33615FF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创业担保贷款发放额，预期指标值</w:t>
      </w:r>
      <w:r>
        <w:rPr>
          <w:rFonts w:hint="eastAsia" w:ascii="宋体" w:hAnsi="宋体" w:eastAsia="宋体" w:cs="宋体"/>
          <w:color w:val="auto"/>
          <w:sz w:val="24"/>
          <w:szCs w:val="24"/>
          <w:highlight w:val="none"/>
          <w:lang w:val="en-US" w:eastAsia="zh-CN"/>
        </w:rPr>
        <w:t>大于等于2800万元</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880.16万元</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31.43%</w:t>
      </w:r>
      <w:r>
        <w:rPr>
          <w:rFonts w:hint="eastAsia" w:ascii="宋体" w:hAnsi="宋体" w:eastAsia="宋体" w:cs="宋体"/>
          <w:color w:val="auto"/>
          <w:sz w:val="24"/>
          <w:szCs w:val="24"/>
          <w:highlight w:val="none"/>
        </w:rPr>
        <w:t>，与预期目标</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rPr>
        <w:t>一致，根据评分标准，该指标扣分，得</w:t>
      </w:r>
      <w:r>
        <w:rPr>
          <w:rFonts w:hint="eastAsia" w:ascii="宋体" w:hAnsi="宋体" w:eastAsia="宋体" w:cs="宋体"/>
          <w:color w:val="auto"/>
          <w:sz w:val="24"/>
          <w:szCs w:val="24"/>
          <w:highlight w:val="none"/>
          <w:lang w:val="en-US" w:eastAsia="zh-CN"/>
        </w:rPr>
        <w:t>3.14</w:t>
      </w:r>
      <w:r>
        <w:rPr>
          <w:rFonts w:hint="eastAsia" w:ascii="宋体" w:hAnsi="宋体" w:eastAsia="宋体" w:cs="宋体"/>
          <w:color w:val="auto"/>
          <w:sz w:val="24"/>
          <w:szCs w:val="24"/>
          <w:highlight w:val="none"/>
        </w:rPr>
        <w:t>分。</w:t>
      </w:r>
    </w:p>
    <w:p w14:paraId="619B411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3.14</w:t>
      </w:r>
      <w:r>
        <w:rPr>
          <w:rFonts w:hint="eastAsia" w:ascii="宋体" w:hAnsi="宋体" w:eastAsia="宋体" w:cs="宋体"/>
          <w:b w:val="0"/>
          <w:bCs/>
          <w:color w:val="000000"/>
          <w:sz w:val="24"/>
          <w:szCs w:val="24"/>
          <w:highlight w:val="none"/>
        </w:rPr>
        <w:t>分。</w:t>
      </w:r>
    </w:p>
    <w:p w14:paraId="7616E837">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对于“产出质量”</w:t>
      </w:r>
    </w:p>
    <w:p w14:paraId="2B6F133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资金足额拨付率，预期指标值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28B5F30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预算执行率，预期指标值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38FDE99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资金到位率，预期指标值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7E6B30A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color w:val="auto"/>
          <w:sz w:val="24"/>
          <w:szCs w:val="24"/>
          <w:highlight w:val="none"/>
        </w:rPr>
        <w:t>资金使用合规率，预期指标值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41FD63B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rPr>
      </w:pPr>
      <w:r>
        <w:rPr>
          <w:rFonts w:hint="eastAsia" w:ascii="宋体" w:hAnsi="宋体" w:eastAsia="宋体" w:cs="宋体"/>
          <w:b w:val="0"/>
          <w:bCs/>
          <w:color w:val="000000"/>
          <w:sz w:val="24"/>
          <w:szCs w:val="24"/>
          <w:highlight w:val="none"/>
        </w:rPr>
        <w:t>合计得10分。</w:t>
      </w:r>
    </w:p>
    <w:p w14:paraId="307A2CE9">
      <w:pPr>
        <w:pStyle w:val="10"/>
        <w:pageBreakBefore w:val="0"/>
        <w:widowControl w:val="0"/>
        <w:numPr>
          <w:ilvl w:val="0"/>
          <w:numId w:val="0"/>
        </w:numPr>
        <w:kinsoku/>
        <w:wordWrap/>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对于“产出时效”</w:t>
      </w:r>
    </w:p>
    <w:p w14:paraId="1AF3868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项目完成时间，预期指标值</w:t>
      </w:r>
      <w:r>
        <w:rPr>
          <w:rFonts w:hint="eastAsia" w:ascii="宋体" w:hAnsi="宋体" w:eastAsia="宋体" w:cs="宋体"/>
          <w:b w:val="0"/>
          <w:color w:val="auto"/>
          <w:sz w:val="24"/>
          <w:szCs w:val="24"/>
          <w:highlight w:val="none"/>
          <w:lang w:val="en-US" w:eastAsia="zh-CN"/>
        </w:rPr>
        <w:t>为2024年12月</w:t>
      </w:r>
      <w:r>
        <w:rPr>
          <w:rFonts w:hint="eastAsia" w:ascii="宋体" w:hAnsi="宋体" w:eastAsia="宋体" w:cs="宋体"/>
          <w:b w:val="0"/>
          <w:color w:val="auto"/>
          <w:sz w:val="24"/>
          <w:szCs w:val="24"/>
          <w:highlight w:val="none"/>
        </w:rPr>
        <w:t>，实际完成值</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，指标完成率100%，与预期目标一致，根据评分标准，该指标不扣分，得</w:t>
      </w:r>
      <w:r>
        <w:rPr>
          <w:rFonts w:hint="eastAsia" w:ascii="宋体" w:hAnsi="宋体" w:eastAsia="宋体" w:cs="宋体"/>
          <w:b w:val="0"/>
          <w:color w:val="auto"/>
          <w:sz w:val="24"/>
          <w:szCs w:val="24"/>
          <w:highlight w:val="none"/>
          <w:lang w:val="en-US" w:eastAsia="zh-CN"/>
        </w:rPr>
        <w:t>5</w:t>
      </w:r>
      <w:r>
        <w:rPr>
          <w:rFonts w:hint="eastAsia" w:ascii="宋体" w:hAnsi="宋体" w:eastAsia="宋体" w:cs="宋体"/>
          <w:b w:val="0"/>
          <w:color w:val="auto"/>
          <w:sz w:val="24"/>
          <w:szCs w:val="24"/>
          <w:highlight w:val="none"/>
        </w:rPr>
        <w:t>分。</w:t>
      </w:r>
    </w:p>
    <w:p w14:paraId="5AC4FE9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color w:val="auto"/>
          <w:sz w:val="24"/>
          <w:szCs w:val="24"/>
          <w:highlight w:val="none"/>
        </w:rPr>
        <w:t>资金支付及时率，预期指标值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004CFD0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bCs/>
          <w:color w:val="000000"/>
          <w:sz w:val="24"/>
          <w:szCs w:val="24"/>
          <w:highlight w:val="none"/>
        </w:rPr>
        <w:t>合计得10分。</w:t>
      </w:r>
    </w:p>
    <w:p w14:paraId="53EB5641">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对于“产出成本”</w:t>
      </w:r>
    </w:p>
    <w:p w14:paraId="14BA558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项目总成本，预期指标值</w:t>
      </w:r>
      <w:r>
        <w:rPr>
          <w:rFonts w:hint="eastAsia" w:ascii="宋体" w:hAnsi="宋体" w:eastAsia="宋体" w:cs="宋体"/>
          <w:color w:val="auto"/>
          <w:sz w:val="24"/>
          <w:szCs w:val="24"/>
          <w:highlight w:val="none"/>
          <w:lang w:val="en-US" w:eastAsia="zh-CN"/>
        </w:rPr>
        <w:t>小于等于2800万元</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880.16万元</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31.43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val="0"/>
          <w:color w:val="auto"/>
          <w:kern w:val="2"/>
          <w:sz w:val="24"/>
          <w:szCs w:val="24"/>
          <w:highlight w:val="none"/>
          <w:lang w:val="en-US" w:eastAsia="zh-CN" w:bidi="ar-SA"/>
        </w:rPr>
        <w:t>与预期目标不一致，根据评分标准，该指标扣分</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3.14</w:t>
      </w:r>
      <w:r>
        <w:rPr>
          <w:rFonts w:hint="eastAsia" w:ascii="宋体" w:hAnsi="宋体" w:eastAsia="宋体" w:cs="宋体"/>
          <w:color w:val="auto"/>
          <w:sz w:val="24"/>
          <w:szCs w:val="24"/>
          <w:highlight w:val="none"/>
        </w:rPr>
        <w:t>分。</w:t>
      </w:r>
    </w:p>
    <w:p w14:paraId="6A6B990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方正仿宋_GBK" w:hAnsi="方正仿宋_GBK" w:eastAsia="方正仿宋_GBK" w:cs="方正仿宋_GBK"/>
          <w:sz w:val="30"/>
          <w:szCs w:val="30"/>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3.14</w:t>
      </w:r>
      <w:r>
        <w:rPr>
          <w:rFonts w:hint="eastAsia" w:ascii="宋体" w:hAnsi="宋体" w:eastAsia="宋体" w:cs="宋体"/>
          <w:b w:val="0"/>
          <w:bCs/>
          <w:color w:val="000000"/>
          <w:sz w:val="24"/>
          <w:szCs w:val="24"/>
          <w:highlight w:val="none"/>
        </w:rPr>
        <w:t>分。</w:t>
      </w:r>
      <w:bookmarkEnd w:id="16"/>
    </w:p>
    <w:p w14:paraId="756B81E4">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4E1AEF6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个三级指标构成，权重分为2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分，实际得分2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分，得分率为100%。</w:t>
      </w:r>
    </w:p>
    <w:p w14:paraId="69AD8BF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对于“社会效益指标”</w:t>
      </w:r>
    </w:p>
    <w:p w14:paraId="2A288C1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金融机构网点覆盖率</w:t>
      </w:r>
      <w:r>
        <w:rPr>
          <w:rFonts w:hint="eastAsia" w:ascii="宋体" w:hAnsi="宋体" w:eastAsia="宋体" w:cs="宋体"/>
          <w:b w:val="0"/>
          <w:bCs w:val="0"/>
          <w:color w:val="auto"/>
          <w:sz w:val="24"/>
          <w:szCs w:val="24"/>
          <w:highlight w:val="none"/>
        </w:rPr>
        <w:t>，预期指标值</w:t>
      </w:r>
      <w:r>
        <w:rPr>
          <w:rFonts w:hint="eastAsia" w:ascii="宋体" w:hAnsi="宋体" w:eastAsia="宋体" w:cs="宋体"/>
          <w:b w:val="0"/>
          <w:bCs w:val="0"/>
          <w:color w:val="auto"/>
          <w:sz w:val="24"/>
          <w:szCs w:val="24"/>
          <w:highlight w:val="none"/>
          <w:lang w:val="en-US" w:eastAsia="zh-CN"/>
        </w:rPr>
        <w:t>大于等于60%</w:t>
      </w:r>
      <w:r>
        <w:rPr>
          <w:rFonts w:hint="eastAsia" w:ascii="宋体" w:hAnsi="宋体" w:eastAsia="宋体" w:cs="宋体"/>
          <w:b w:val="0"/>
          <w:bCs w:val="0"/>
          <w:color w:val="auto"/>
          <w:sz w:val="24"/>
          <w:szCs w:val="24"/>
          <w:highlight w:val="none"/>
        </w:rPr>
        <w:t>，实际完成值为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，指标完成率为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，与预期指标一致，根据评分标准，该指标不扣分，得</w:t>
      </w:r>
      <w:r>
        <w:rPr>
          <w:rFonts w:hint="eastAsia" w:ascii="宋体" w:hAnsi="宋体" w:eastAsia="宋体" w:cs="宋体"/>
          <w:b w:val="0"/>
          <w:bCs w:val="0"/>
          <w:color w:val="auto"/>
          <w:sz w:val="24"/>
          <w:szCs w:val="24"/>
          <w:highlight w:val="none"/>
          <w:lang w:val="en-US" w:eastAsia="zh-CN"/>
        </w:rPr>
        <w:t>15</w:t>
      </w:r>
      <w:r>
        <w:rPr>
          <w:rFonts w:hint="eastAsia" w:ascii="宋体" w:hAnsi="宋体" w:eastAsia="宋体" w:cs="宋体"/>
          <w:b w:val="0"/>
          <w:bCs w:val="0"/>
          <w:color w:val="auto"/>
          <w:sz w:val="24"/>
          <w:szCs w:val="24"/>
          <w:highlight w:val="none"/>
        </w:rPr>
        <w:t>分。</w:t>
      </w:r>
    </w:p>
    <w:p w14:paraId="1330122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对于“经济效益指标”</w:t>
      </w:r>
    </w:p>
    <w:p w14:paraId="3F9F0D3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highlight w:val="none"/>
          <w:lang w:val="en-US" w:eastAsia="zh-CN"/>
        </w:rPr>
        <w:t>该项目不涉及</w:t>
      </w:r>
      <w:r>
        <w:rPr>
          <w:rFonts w:hint="eastAsia" w:ascii="宋体" w:hAnsi="宋体" w:eastAsia="宋体" w:cs="宋体"/>
          <w:b w:val="0"/>
          <w:bCs w:val="0"/>
          <w:color w:val="auto"/>
          <w:sz w:val="24"/>
          <w:szCs w:val="24"/>
          <w:highlight w:val="none"/>
        </w:rPr>
        <w:t>经济效益指标</w:t>
      </w:r>
      <w:r>
        <w:rPr>
          <w:rFonts w:hint="eastAsia" w:ascii="宋体" w:hAnsi="宋体" w:eastAsia="宋体" w:cs="宋体"/>
          <w:b w:val="0"/>
          <w:bCs w:val="0"/>
          <w:color w:val="auto"/>
          <w:sz w:val="24"/>
          <w:szCs w:val="24"/>
          <w:highlight w:val="none"/>
          <w:lang w:val="en-US" w:eastAsia="zh-CN"/>
        </w:rPr>
        <w:t>。</w:t>
      </w:r>
    </w:p>
    <w:p w14:paraId="3AD525D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lang w:val="en-US" w:eastAsia="zh-CN"/>
        </w:rPr>
        <w:t>3.</w:t>
      </w:r>
      <w:r>
        <w:rPr>
          <w:rFonts w:hint="eastAsia" w:ascii="宋体" w:hAnsi="宋体" w:eastAsia="宋体" w:cs="宋体"/>
          <w:bCs/>
          <w:color w:val="auto"/>
          <w:sz w:val="24"/>
          <w:szCs w:val="24"/>
        </w:rPr>
        <w:t>对于“生态效益指标”</w:t>
      </w:r>
    </w:p>
    <w:p w14:paraId="1056F32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highlight w:val="none"/>
          <w:lang w:val="en-US" w:eastAsia="zh-CN"/>
        </w:rPr>
        <w:t>该项目不涉及生态效益指标。</w:t>
      </w:r>
    </w:p>
    <w:p w14:paraId="3FA7BFF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rPr>
        <w:t>满意度指标分析</w:t>
      </w:r>
    </w:p>
    <w:p w14:paraId="04F4D7BA">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highlight w:val="none"/>
          <w:lang w:val="en-US" w:eastAsia="zh-CN"/>
        </w:rPr>
        <w:t>申报创业担保贷款个人和小微企业满意度</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大于等于90%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90%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，与预期目标一致，根据评分标准，该指标不扣分,得10分。</w:t>
      </w:r>
    </w:p>
    <w:p w14:paraId="7D8C054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1E28B21A">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rPr>
      </w:pPr>
      <w:r>
        <w:rPr>
          <w:rFonts w:hint="eastAsia" w:ascii="黑体" w:hAnsi="黑体" w:eastAsia="黑体" w:cs="黑体"/>
          <w:b/>
          <w:bCs/>
          <w:color w:val="auto"/>
          <w:sz w:val="24"/>
          <w:szCs w:val="24"/>
        </w:rPr>
        <w:t>五、预算执行进度与绩效指标偏差情况</w:t>
      </w:r>
    </w:p>
    <w:p w14:paraId="107CBBE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本项目年初预算资金总额为</w:t>
      </w:r>
      <w:r>
        <w:rPr>
          <w:rFonts w:hint="eastAsia" w:ascii="宋体" w:hAnsi="宋体" w:eastAsia="宋体" w:cs="宋体"/>
          <w:b w:val="0"/>
          <w:bCs/>
          <w:color w:val="000000"/>
          <w:sz w:val="24"/>
          <w:szCs w:val="24"/>
          <w:highlight w:val="none"/>
          <w:lang w:val="en-US" w:eastAsia="zh-CN"/>
        </w:rPr>
        <w:t>2800</w:t>
      </w:r>
      <w:r>
        <w:rPr>
          <w:rFonts w:hint="eastAsia" w:ascii="宋体" w:hAnsi="宋体" w:eastAsia="宋体" w:cs="宋体"/>
          <w:b w:val="0"/>
          <w:bCs/>
          <w:color w:val="000000"/>
          <w:sz w:val="24"/>
          <w:szCs w:val="24"/>
          <w:highlight w:val="none"/>
        </w:rPr>
        <w:t>万元，全年预算数为</w:t>
      </w:r>
      <w:r>
        <w:rPr>
          <w:rFonts w:hint="eastAsia" w:ascii="宋体" w:hAnsi="宋体" w:eastAsia="宋体" w:cs="宋体"/>
          <w:b w:val="0"/>
          <w:bCs/>
          <w:color w:val="000000"/>
          <w:sz w:val="24"/>
          <w:szCs w:val="24"/>
          <w:highlight w:val="none"/>
          <w:lang w:val="en-US" w:eastAsia="zh-CN"/>
        </w:rPr>
        <w:t>2800</w:t>
      </w:r>
      <w:r>
        <w:rPr>
          <w:rFonts w:hint="eastAsia" w:ascii="宋体" w:hAnsi="宋体" w:eastAsia="宋体" w:cs="宋体"/>
          <w:b w:val="0"/>
          <w:bCs/>
          <w:color w:val="000000"/>
          <w:sz w:val="24"/>
          <w:szCs w:val="24"/>
          <w:highlight w:val="none"/>
        </w:rPr>
        <w:t>万元，全年执行数为</w:t>
      </w:r>
      <w:r>
        <w:rPr>
          <w:rFonts w:hint="eastAsia" w:ascii="宋体" w:hAnsi="宋体" w:eastAsia="宋体" w:cs="宋体"/>
          <w:b w:val="0"/>
          <w:bCs/>
          <w:color w:val="000000"/>
          <w:sz w:val="24"/>
          <w:szCs w:val="24"/>
          <w:highlight w:val="none"/>
          <w:lang w:val="en-US" w:eastAsia="zh-CN"/>
        </w:rPr>
        <w:t>880.16</w:t>
      </w:r>
      <w:r>
        <w:rPr>
          <w:rFonts w:hint="eastAsia" w:ascii="宋体" w:hAnsi="宋体" w:eastAsia="宋体" w:cs="宋体"/>
          <w:b w:val="0"/>
          <w:bCs/>
          <w:color w:val="000000"/>
          <w:sz w:val="24"/>
          <w:szCs w:val="24"/>
          <w:highlight w:val="none"/>
        </w:rPr>
        <w:t>万元，预算执行率为</w:t>
      </w:r>
      <w:r>
        <w:rPr>
          <w:rFonts w:hint="eastAsia" w:ascii="宋体" w:hAnsi="宋体" w:eastAsia="宋体" w:cs="宋体"/>
          <w:b w:val="0"/>
          <w:bCs/>
          <w:color w:val="000000"/>
          <w:sz w:val="24"/>
          <w:szCs w:val="24"/>
          <w:highlight w:val="none"/>
          <w:lang w:val="en-US" w:eastAsia="zh-CN"/>
        </w:rPr>
        <w:t>31.43</w:t>
      </w:r>
      <w:r>
        <w:rPr>
          <w:rFonts w:hint="eastAsia" w:ascii="宋体" w:hAnsi="宋体" w:eastAsia="宋体" w:cs="宋体"/>
          <w:b w:val="0"/>
          <w:bCs/>
          <w:color w:val="000000"/>
          <w:sz w:val="24"/>
          <w:szCs w:val="24"/>
          <w:highlight w:val="none"/>
        </w:rPr>
        <w:t>%。</w:t>
      </w:r>
    </w:p>
    <w:p w14:paraId="0A5B3D6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本项目共设置三级指标数量</w:t>
      </w:r>
      <w:r>
        <w:rPr>
          <w:rFonts w:hint="eastAsia" w:ascii="宋体" w:hAnsi="宋体" w:eastAsia="宋体" w:cs="宋体"/>
          <w:b w:val="0"/>
          <w:bCs/>
          <w:color w:val="000000"/>
          <w:sz w:val="24"/>
          <w:szCs w:val="24"/>
          <w:highlight w:val="none"/>
          <w:lang w:val="en-US" w:eastAsia="zh-CN"/>
        </w:rPr>
        <w:t>10</w:t>
      </w:r>
      <w:r>
        <w:rPr>
          <w:rFonts w:hint="eastAsia" w:ascii="宋体" w:hAnsi="宋体" w:eastAsia="宋体" w:cs="宋体"/>
          <w:b w:val="0"/>
          <w:bCs/>
          <w:color w:val="000000"/>
          <w:sz w:val="24"/>
          <w:szCs w:val="24"/>
          <w:highlight w:val="none"/>
        </w:rPr>
        <w:t>个，满分指标数量</w:t>
      </w:r>
      <w:r>
        <w:rPr>
          <w:rFonts w:hint="eastAsia" w:ascii="宋体" w:hAnsi="宋体" w:eastAsia="宋体" w:cs="宋体"/>
          <w:b w:val="0"/>
          <w:bCs/>
          <w:color w:val="000000"/>
          <w:sz w:val="24"/>
          <w:szCs w:val="24"/>
          <w:highlight w:val="none"/>
          <w:lang w:val="en-US" w:eastAsia="zh-CN"/>
        </w:rPr>
        <w:t>8</w:t>
      </w:r>
      <w:r>
        <w:rPr>
          <w:rFonts w:hint="eastAsia" w:ascii="宋体" w:hAnsi="宋体" w:eastAsia="宋体" w:cs="宋体"/>
          <w:b w:val="0"/>
          <w:bCs/>
          <w:color w:val="000000"/>
          <w:sz w:val="24"/>
          <w:szCs w:val="24"/>
          <w:highlight w:val="none"/>
        </w:rPr>
        <w:t>个，扣分指标数量</w:t>
      </w:r>
      <w:r>
        <w:rPr>
          <w:rFonts w:hint="eastAsia" w:ascii="宋体" w:hAnsi="宋体" w:eastAsia="宋体" w:cs="宋体"/>
          <w:b w:val="0"/>
          <w:bCs/>
          <w:color w:val="000000"/>
          <w:sz w:val="24"/>
          <w:szCs w:val="24"/>
          <w:highlight w:val="none"/>
          <w:lang w:val="en-US" w:eastAsia="zh-CN"/>
        </w:rPr>
        <w:t>2</w:t>
      </w:r>
      <w:r>
        <w:rPr>
          <w:rFonts w:hint="eastAsia" w:ascii="宋体" w:hAnsi="宋体" w:eastAsia="宋体" w:cs="宋体"/>
          <w:b w:val="0"/>
          <w:bCs/>
          <w:color w:val="000000"/>
          <w:sz w:val="24"/>
          <w:szCs w:val="24"/>
          <w:highlight w:val="none"/>
        </w:rPr>
        <w:t>个，经分析计算所有三级指标完成率得出，本项目总体完成率为</w:t>
      </w:r>
      <w:r>
        <w:rPr>
          <w:rFonts w:hint="eastAsia" w:ascii="宋体" w:hAnsi="宋体" w:eastAsia="宋体" w:cs="宋体"/>
          <w:b w:val="0"/>
          <w:bCs/>
          <w:color w:val="000000"/>
          <w:sz w:val="24"/>
          <w:szCs w:val="24"/>
          <w:highlight w:val="none"/>
          <w:lang w:val="en-US" w:eastAsia="zh-CN"/>
        </w:rPr>
        <w:t>80</w:t>
      </w:r>
      <w:r>
        <w:rPr>
          <w:rFonts w:hint="eastAsia" w:ascii="宋体" w:hAnsi="宋体" w:eastAsia="宋体" w:cs="宋体"/>
          <w:b w:val="0"/>
          <w:bCs/>
          <w:color w:val="000000"/>
          <w:sz w:val="24"/>
          <w:szCs w:val="24"/>
          <w:highlight w:val="none"/>
        </w:rPr>
        <w:t>%。</w:t>
      </w:r>
    </w:p>
    <w:p w14:paraId="6E23393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综上所述本项目预算执行率与总体完成率之间的偏差为</w:t>
      </w:r>
      <w:r>
        <w:rPr>
          <w:rFonts w:hint="eastAsia" w:ascii="宋体" w:hAnsi="宋体" w:eastAsia="宋体" w:cs="宋体"/>
          <w:b w:val="0"/>
          <w:bCs/>
          <w:color w:val="000000"/>
          <w:sz w:val="24"/>
          <w:szCs w:val="24"/>
          <w:highlight w:val="none"/>
          <w:lang w:val="en-US" w:eastAsia="zh-CN"/>
        </w:rPr>
        <w:t>20</w:t>
      </w:r>
      <w:r>
        <w:rPr>
          <w:rFonts w:hint="eastAsia" w:ascii="宋体" w:hAnsi="宋体" w:eastAsia="宋体" w:cs="宋体"/>
          <w:b w:val="0"/>
          <w:bCs/>
          <w:color w:val="000000"/>
          <w:sz w:val="24"/>
          <w:szCs w:val="24"/>
          <w:highlight w:val="none"/>
        </w:rPr>
        <w:t>%。</w:t>
      </w:r>
    </w:p>
    <w:p w14:paraId="59329670">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rPr>
      </w:pPr>
      <w:bookmarkStart w:id="17" w:name="_Toc68364673"/>
      <w:r>
        <w:rPr>
          <w:rFonts w:hint="eastAsia" w:ascii="黑体" w:hAnsi="黑体" w:eastAsia="黑体" w:cs="黑体"/>
          <w:b/>
          <w:bCs/>
          <w:color w:val="auto"/>
          <w:sz w:val="24"/>
          <w:szCs w:val="24"/>
        </w:rPr>
        <w:t>六、主要经验及做法、存在的问题及原因分析</w:t>
      </w:r>
      <w:bookmarkEnd w:id="17"/>
    </w:p>
    <w:p w14:paraId="790A0890">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bookmarkStart w:id="18" w:name="_Toc68364674"/>
      <w:r>
        <w:rPr>
          <w:rFonts w:hint="eastAsia" w:ascii="宋体" w:hAnsi="宋体" w:eastAsia="宋体" w:cs="宋体"/>
          <w:b/>
          <w:bCs/>
          <w:color w:val="000000"/>
          <w:sz w:val="24"/>
          <w:szCs w:val="24"/>
          <w:highlight w:val="none"/>
        </w:rPr>
        <w:t>（一）主要经验及做法</w:t>
      </w:r>
    </w:p>
    <w:p w14:paraId="36C5FCA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项目前期做好工作计划，细化实施方案，严格执行资金管理办法和财政资金管理制度，严格按照项目工作计划及实施方案稳步推进工作，单位根据自己项目的特点进行总结。项目启动时同步做好档案的归纳与整理，及时整理、收集、汇总，健全档案资料。项目后续管理有待进一步加强和跟踪。通过预算绩效管理，发现实施中存在漏洞，以后加强管理，及时掌握与之相关的各类信息，减少成本，使资金效益最大化。</w:t>
      </w:r>
      <w:bookmarkEnd w:id="18"/>
    </w:p>
    <w:p w14:paraId="3A887BEB">
      <w:pPr>
        <w:pStyle w:val="47"/>
        <w:pageBreakBefore w:val="0"/>
        <w:widowControl w:val="0"/>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rPr>
      </w:pPr>
      <w:bookmarkStart w:id="19" w:name="_Toc68364675"/>
      <w:r>
        <w:rPr>
          <w:rFonts w:hint="eastAsia" w:ascii="宋体" w:hAnsi="宋体" w:eastAsia="宋体" w:cs="宋体"/>
          <w:b/>
          <w:bCs/>
          <w:color w:val="000000"/>
          <w:sz w:val="24"/>
          <w:szCs w:val="24"/>
          <w:highlight w:val="none"/>
        </w:rPr>
        <w:t>存在问题及原因分析</w:t>
      </w:r>
    </w:p>
    <w:p w14:paraId="3F14C24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无。</w:t>
      </w:r>
      <w:bookmarkEnd w:id="19"/>
    </w:p>
    <w:p w14:paraId="6D69E498">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rPr>
      </w:pPr>
      <w:r>
        <w:rPr>
          <w:rFonts w:hint="eastAsia" w:ascii="黑体" w:hAnsi="黑体" w:eastAsia="黑体" w:cs="黑体"/>
          <w:b/>
          <w:bCs/>
          <w:color w:val="auto"/>
          <w:sz w:val="24"/>
          <w:szCs w:val="24"/>
        </w:rPr>
        <w:t>七、有关建议</w:t>
      </w:r>
    </w:p>
    <w:p w14:paraId="799628E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方正仿宋_GBK" w:hAnsi="方正仿宋_GBK" w:eastAsia="方正仿宋_GBK" w:cs="方正仿宋_GBK"/>
          <w:sz w:val="30"/>
          <w:szCs w:val="30"/>
          <w:lang w:val="en-US" w:eastAsia="zh-CN"/>
        </w:rPr>
      </w:pPr>
      <w:r>
        <w:rPr>
          <w:rFonts w:hint="eastAsia" w:ascii="宋体" w:hAnsi="宋体" w:eastAsia="宋体" w:cs="宋体"/>
          <w:b w:val="0"/>
          <w:bCs/>
          <w:color w:val="000000"/>
          <w:sz w:val="24"/>
          <w:szCs w:val="24"/>
          <w:highlight w:val="none"/>
          <w:lang w:val="en-US" w:eastAsia="zh-CN"/>
        </w:rPr>
        <w:t>完善预算定额标准体系。要按照实事求是、统筹兼顾、量入为出、保重点、重平衡的原则编制财政预算，要充分考虑政府行政单位和事业单位的特殊性与可比性，细化财政收支预算，保证部门预算额准确性可靠性。在预算制定后要严格执行，不得随意变更调整，确保预算的约束力。进一步增强预算编制的准确性和合理性。建议各科室内在编制预算时，根据本年工作任务必要性、重要性程度进行资金核算，合理安排资金用途和金额。年度预算编制应以上年度资金使用情况为基础。要科学制定项目目标，明确项目目标后开展专题培训，确定需要达到的经济效益、社会效益等。</w:t>
      </w:r>
    </w:p>
    <w:p w14:paraId="410BEB51">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rPr>
      </w:pPr>
      <w:bookmarkStart w:id="20" w:name="_Toc68364676"/>
      <w:r>
        <w:rPr>
          <w:rFonts w:hint="eastAsia" w:ascii="黑体" w:hAnsi="黑体" w:eastAsia="黑体" w:cs="黑体"/>
          <w:b/>
          <w:bCs/>
          <w:color w:val="auto"/>
          <w:sz w:val="24"/>
          <w:szCs w:val="24"/>
        </w:rPr>
        <w:t>八、其他需要说明的问题</w:t>
      </w:r>
      <w:bookmarkEnd w:id="20"/>
    </w:p>
    <w:p w14:paraId="21EFFD1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我单位对上述项目支出绩效评价报告内反映内容的真实性、完整性负责，愿接受上级部门及社会公众监督。</w:t>
      </w:r>
    </w:p>
    <w:p w14:paraId="0CE6CCB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p>
    <w:p w14:paraId="2B5766A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附件1：2024年中央财政普惠金融发展专项资金项目绩效评价指标体系</w:t>
      </w:r>
    </w:p>
    <w:p w14:paraId="37AD9F4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附件2：2024年中央财政普惠金融发展专项资金项目综合得分表</w:t>
      </w:r>
    </w:p>
    <w:p w14:paraId="4811541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附件3：满意度调查问分析情况</w:t>
      </w:r>
    </w:p>
    <w:p w14:paraId="2F28972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62480B22">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8"/>
        <w:gridCol w:w="559"/>
        <w:gridCol w:w="719"/>
        <w:gridCol w:w="492"/>
        <w:gridCol w:w="692"/>
        <w:gridCol w:w="559"/>
        <w:gridCol w:w="2826"/>
        <w:gridCol w:w="933"/>
        <w:gridCol w:w="4358"/>
        <w:gridCol w:w="853"/>
        <w:gridCol w:w="719"/>
      </w:tblGrid>
      <w:tr w14:paraId="590AA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46" w:type="pct"/>
            <w:tcBorders>
              <w:top w:val="nil"/>
              <w:left w:val="nil"/>
              <w:bottom w:val="nil"/>
              <w:right w:val="nil"/>
            </w:tcBorders>
            <w:noWrap/>
            <w:vAlign w:val="center"/>
          </w:tcPr>
          <w:p w14:paraId="519DAD0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附件1：</w:t>
            </w:r>
          </w:p>
        </w:tc>
        <w:tc>
          <w:tcPr>
            <w:tcW w:w="209" w:type="pct"/>
            <w:tcBorders>
              <w:top w:val="nil"/>
              <w:left w:val="nil"/>
              <w:bottom w:val="nil"/>
              <w:right w:val="nil"/>
            </w:tcBorders>
            <w:noWrap/>
            <w:vAlign w:val="center"/>
          </w:tcPr>
          <w:p w14:paraId="67721C08">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69" w:type="pct"/>
            <w:tcBorders>
              <w:top w:val="nil"/>
              <w:left w:val="nil"/>
              <w:bottom w:val="nil"/>
              <w:right w:val="nil"/>
            </w:tcBorders>
            <w:noWrap/>
            <w:vAlign w:val="center"/>
          </w:tcPr>
          <w:p w14:paraId="013C704C">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184" w:type="pct"/>
            <w:tcBorders>
              <w:top w:val="nil"/>
              <w:left w:val="nil"/>
              <w:bottom w:val="nil"/>
              <w:right w:val="nil"/>
            </w:tcBorders>
            <w:noWrap/>
            <w:vAlign w:val="center"/>
          </w:tcPr>
          <w:p w14:paraId="2FDDA3FD">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59" w:type="pct"/>
            <w:tcBorders>
              <w:top w:val="nil"/>
              <w:left w:val="nil"/>
              <w:bottom w:val="nil"/>
              <w:right w:val="nil"/>
            </w:tcBorders>
            <w:noWrap/>
            <w:vAlign w:val="center"/>
          </w:tcPr>
          <w:p w14:paraId="352A7462">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09" w:type="pct"/>
            <w:tcBorders>
              <w:top w:val="nil"/>
              <w:left w:val="nil"/>
              <w:bottom w:val="nil"/>
              <w:right w:val="nil"/>
            </w:tcBorders>
            <w:noWrap/>
            <w:vAlign w:val="center"/>
          </w:tcPr>
          <w:p w14:paraId="5D395055">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1057" w:type="pct"/>
            <w:tcBorders>
              <w:top w:val="nil"/>
              <w:left w:val="nil"/>
              <w:bottom w:val="nil"/>
              <w:right w:val="nil"/>
            </w:tcBorders>
            <w:noWrap/>
            <w:vAlign w:val="center"/>
          </w:tcPr>
          <w:p w14:paraId="41CEF53D">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349" w:type="pct"/>
            <w:tcBorders>
              <w:top w:val="nil"/>
              <w:left w:val="nil"/>
              <w:bottom w:val="nil"/>
              <w:right w:val="nil"/>
            </w:tcBorders>
            <w:noWrap/>
            <w:vAlign w:val="center"/>
          </w:tcPr>
          <w:p w14:paraId="0DA2B7CE">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1630" w:type="pct"/>
            <w:tcBorders>
              <w:top w:val="nil"/>
              <w:left w:val="nil"/>
              <w:bottom w:val="nil"/>
              <w:right w:val="nil"/>
            </w:tcBorders>
            <w:noWrap/>
            <w:vAlign w:val="center"/>
          </w:tcPr>
          <w:p w14:paraId="1AAE6D20">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319" w:type="pct"/>
            <w:tcBorders>
              <w:top w:val="nil"/>
              <w:left w:val="nil"/>
              <w:bottom w:val="nil"/>
              <w:right w:val="nil"/>
            </w:tcBorders>
            <w:noWrap/>
            <w:vAlign w:val="center"/>
          </w:tcPr>
          <w:p w14:paraId="3974892C">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65" w:type="pct"/>
            <w:tcBorders>
              <w:top w:val="nil"/>
              <w:left w:val="nil"/>
              <w:bottom w:val="nil"/>
              <w:right w:val="nil"/>
            </w:tcBorders>
            <w:noWrap/>
            <w:vAlign w:val="center"/>
          </w:tcPr>
          <w:p w14:paraId="4557E942">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r>
      <w:tr w14:paraId="5738A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2FB679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FF0000"/>
                <w:sz w:val="21"/>
                <w:szCs w:val="21"/>
                <w:u w:val="none"/>
              </w:rPr>
            </w:pPr>
            <w:r>
              <w:rPr>
                <w:rFonts w:hint="eastAsia" w:ascii="宋体" w:hAnsi="宋体" w:eastAsia="宋体" w:cs="宋体"/>
                <w:b/>
                <w:bCs/>
                <w:i w:val="0"/>
                <w:iCs w:val="0"/>
                <w:color w:val="000000"/>
                <w:kern w:val="0"/>
                <w:sz w:val="24"/>
                <w:szCs w:val="24"/>
                <w:highlight w:val="none"/>
                <w:u w:val="none"/>
                <w:lang w:val="en-US" w:eastAsia="zh-CN"/>
              </w:rPr>
              <w:t>2024年中央财政普惠金融发展专项资金项目绩效评价指标体系综合评分表</w:t>
            </w:r>
          </w:p>
        </w:tc>
      </w:tr>
      <w:tr w14:paraId="01D41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14E8FF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15C31B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9" w:type="pct"/>
            <w:tcBorders>
              <w:top w:val="single" w:color="auto" w:sz="4" w:space="0"/>
              <w:left w:val="single" w:color="auto" w:sz="4" w:space="0"/>
              <w:bottom w:val="single" w:color="auto" w:sz="4" w:space="0"/>
              <w:right w:val="single" w:color="auto" w:sz="4" w:space="0"/>
            </w:tcBorders>
            <w:noWrap w:val="0"/>
            <w:vAlign w:val="center"/>
          </w:tcPr>
          <w:p w14:paraId="38157F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84" w:type="pct"/>
            <w:tcBorders>
              <w:top w:val="single" w:color="auto" w:sz="4" w:space="0"/>
              <w:left w:val="single" w:color="auto" w:sz="4" w:space="0"/>
              <w:bottom w:val="single" w:color="auto" w:sz="4" w:space="0"/>
              <w:right w:val="single" w:color="auto" w:sz="4" w:space="0"/>
            </w:tcBorders>
            <w:noWrap w:val="0"/>
            <w:vAlign w:val="center"/>
          </w:tcPr>
          <w:p w14:paraId="423AA2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4F9042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6DE9DE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444953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00FE28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010DF5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6DDB1A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55BF46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3A7BC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2" w:hRule="atLeast"/>
        </w:trPr>
        <w:tc>
          <w:tcPr>
            <w:tcW w:w="246" w:type="pct"/>
            <w:vMerge w:val="restart"/>
            <w:tcBorders>
              <w:top w:val="single" w:color="auto" w:sz="4" w:space="0"/>
              <w:left w:val="single" w:color="auto" w:sz="4" w:space="0"/>
              <w:bottom w:val="single" w:color="auto" w:sz="4" w:space="0"/>
              <w:right w:val="single" w:color="auto" w:sz="4" w:space="0"/>
            </w:tcBorders>
            <w:noWrap w:val="0"/>
            <w:vAlign w:val="center"/>
          </w:tcPr>
          <w:p w14:paraId="19377C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209" w:type="pct"/>
            <w:vMerge w:val="restart"/>
            <w:tcBorders>
              <w:top w:val="single" w:color="auto" w:sz="4" w:space="0"/>
              <w:left w:val="single" w:color="auto" w:sz="4" w:space="0"/>
              <w:bottom w:val="single" w:color="auto" w:sz="4" w:space="0"/>
              <w:right w:val="single" w:color="auto" w:sz="4" w:space="0"/>
            </w:tcBorders>
            <w:noWrap w:val="0"/>
            <w:vAlign w:val="center"/>
          </w:tcPr>
          <w:p w14:paraId="033D50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269" w:type="pct"/>
            <w:vMerge w:val="restart"/>
            <w:tcBorders>
              <w:top w:val="single" w:color="auto" w:sz="4" w:space="0"/>
              <w:left w:val="single" w:color="auto" w:sz="4" w:space="0"/>
              <w:bottom w:val="single" w:color="auto" w:sz="4" w:space="0"/>
              <w:right w:val="single" w:color="auto" w:sz="4" w:space="0"/>
            </w:tcBorders>
            <w:noWrap w:val="0"/>
            <w:vAlign w:val="center"/>
          </w:tcPr>
          <w:p w14:paraId="14DC87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184" w:type="pct"/>
            <w:vMerge w:val="restart"/>
            <w:tcBorders>
              <w:top w:val="single" w:color="auto" w:sz="4" w:space="0"/>
              <w:left w:val="single" w:color="auto" w:sz="4" w:space="0"/>
              <w:bottom w:val="single" w:color="auto" w:sz="4" w:space="0"/>
              <w:right w:val="single" w:color="auto" w:sz="4" w:space="0"/>
            </w:tcBorders>
            <w:noWrap w:val="0"/>
            <w:vAlign w:val="center"/>
          </w:tcPr>
          <w:p w14:paraId="326427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20696B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476956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58DA6D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44F0F8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4FAED8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192A97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610490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3B929C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44EA5F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688AD5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599BA8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7B64F6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4D367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4F6FFE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017A1D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continue"/>
            <w:tcBorders>
              <w:top w:val="single" w:color="auto" w:sz="4" w:space="0"/>
              <w:left w:val="single" w:color="auto" w:sz="4" w:space="0"/>
              <w:bottom w:val="single" w:color="auto" w:sz="4" w:space="0"/>
              <w:right w:val="single" w:color="auto" w:sz="4" w:space="0"/>
            </w:tcBorders>
            <w:noWrap w:val="0"/>
            <w:vAlign w:val="center"/>
          </w:tcPr>
          <w:p w14:paraId="57760C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vMerge w:val="continue"/>
            <w:tcBorders>
              <w:top w:val="single" w:color="auto" w:sz="4" w:space="0"/>
              <w:left w:val="single" w:color="auto" w:sz="4" w:space="0"/>
              <w:bottom w:val="single" w:color="auto" w:sz="4" w:space="0"/>
              <w:right w:val="single" w:color="auto" w:sz="4" w:space="0"/>
            </w:tcBorders>
            <w:noWrap w:val="0"/>
            <w:vAlign w:val="center"/>
          </w:tcPr>
          <w:p w14:paraId="1E62F0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4122C2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4677AA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08F688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2A4D8E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100C84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7CB7EC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3E63C8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2226BB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7FE592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22C2E4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43CDA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1"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756A2A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066334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restart"/>
            <w:tcBorders>
              <w:top w:val="single" w:color="auto" w:sz="4" w:space="0"/>
              <w:left w:val="single" w:color="auto" w:sz="4" w:space="0"/>
              <w:bottom w:val="single" w:color="auto" w:sz="4" w:space="0"/>
              <w:right w:val="single" w:color="auto" w:sz="4" w:space="0"/>
            </w:tcBorders>
            <w:noWrap w:val="0"/>
            <w:vAlign w:val="center"/>
          </w:tcPr>
          <w:p w14:paraId="73EAE8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184" w:type="pct"/>
            <w:vMerge w:val="restart"/>
            <w:tcBorders>
              <w:top w:val="single" w:color="auto" w:sz="4" w:space="0"/>
              <w:left w:val="single" w:color="auto" w:sz="4" w:space="0"/>
              <w:bottom w:val="single" w:color="auto" w:sz="4" w:space="0"/>
              <w:right w:val="single" w:color="auto" w:sz="4" w:space="0"/>
            </w:tcBorders>
            <w:noWrap w:val="0"/>
            <w:vAlign w:val="center"/>
          </w:tcPr>
          <w:p w14:paraId="4BEDC1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2E661E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643ED3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128C1D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0850F2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10B753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7EFB41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35F3F8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78226F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0C6A03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05DA66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5963F7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05EF0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3FF9BD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3011BC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continue"/>
            <w:tcBorders>
              <w:top w:val="single" w:color="auto" w:sz="4" w:space="0"/>
              <w:left w:val="single" w:color="auto" w:sz="4" w:space="0"/>
              <w:bottom w:val="single" w:color="auto" w:sz="4" w:space="0"/>
              <w:right w:val="single" w:color="auto" w:sz="4" w:space="0"/>
            </w:tcBorders>
            <w:noWrap w:val="0"/>
            <w:vAlign w:val="center"/>
          </w:tcPr>
          <w:p w14:paraId="5B4762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vMerge w:val="continue"/>
            <w:tcBorders>
              <w:top w:val="single" w:color="auto" w:sz="4" w:space="0"/>
              <w:left w:val="single" w:color="auto" w:sz="4" w:space="0"/>
              <w:bottom w:val="single" w:color="auto" w:sz="4" w:space="0"/>
              <w:right w:val="single" w:color="auto" w:sz="4" w:space="0"/>
            </w:tcBorders>
            <w:noWrap w:val="0"/>
            <w:vAlign w:val="center"/>
          </w:tcPr>
          <w:p w14:paraId="790FC8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2F63C2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10BA6D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7E5007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52EA47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56335A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6075BD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28BAB1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3BBB80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638F6C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5BA729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2071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269D1E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13A864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restart"/>
            <w:tcBorders>
              <w:top w:val="single" w:color="auto" w:sz="4" w:space="0"/>
              <w:left w:val="single" w:color="auto" w:sz="4" w:space="0"/>
              <w:bottom w:val="single" w:color="auto" w:sz="4" w:space="0"/>
              <w:right w:val="single" w:color="auto" w:sz="4" w:space="0"/>
            </w:tcBorders>
            <w:noWrap w:val="0"/>
            <w:vAlign w:val="center"/>
          </w:tcPr>
          <w:p w14:paraId="396FBD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184" w:type="pct"/>
            <w:vMerge w:val="restart"/>
            <w:tcBorders>
              <w:top w:val="single" w:color="auto" w:sz="4" w:space="0"/>
              <w:left w:val="single" w:color="auto" w:sz="4" w:space="0"/>
              <w:bottom w:val="single" w:color="auto" w:sz="4" w:space="0"/>
              <w:right w:val="single" w:color="auto" w:sz="4" w:space="0"/>
            </w:tcBorders>
            <w:noWrap w:val="0"/>
            <w:vAlign w:val="center"/>
          </w:tcPr>
          <w:p w14:paraId="386DAD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5D2DF3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53A474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10C94A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121D63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0BBCAD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4A264E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234FE5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7B483C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7705D0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21BCCC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5C8B95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6AC1F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07D272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555BC0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continue"/>
            <w:tcBorders>
              <w:top w:val="single" w:color="auto" w:sz="4" w:space="0"/>
              <w:left w:val="single" w:color="auto" w:sz="4" w:space="0"/>
              <w:bottom w:val="single" w:color="auto" w:sz="4" w:space="0"/>
              <w:right w:val="single" w:color="auto" w:sz="4" w:space="0"/>
            </w:tcBorders>
            <w:noWrap w:val="0"/>
            <w:vAlign w:val="center"/>
          </w:tcPr>
          <w:p w14:paraId="315FC5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vMerge w:val="continue"/>
            <w:tcBorders>
              <w:top w:val="single" w:color="auto" w:sz="4" w:space="0"/>
              <w:left w:val="single" w:color="auto" w:sz="4" w:space="0"/>
              <w:bottom w:val="single" w:color="auto" w:sz="4" w:space="0"/>
              <w:right w:val="single" w:color="auto" w:sz="4" w:space="0"/>
            </w:tcBorders>
            <w:noWrap w:val="0"/>
            <w:vAlign w:val="center"/>
          </w:tcPr>
          <w:p w14:paraId="163779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1586A3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7A14C2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6C9B19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0C45E2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102693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5E03F4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728368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14FF57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44BD4C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59C7C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 w:hRule="atLeast"/>
        </w:trPr>
        <w:tc>
          <w:tcPr>
            <w:tcW w:w="246" w:type="pct"/>
            <w:vMerge w:val="restart"/>
            <w:tcBorders>
              <w:top w:val="single" w:color="auto" w:sz="4" w:space="0"/>
              <w:left w:val="single" w:color="auto" w:sz="4" w:space="0"/>
              <w:bottom w:val="single" w:color="auto" w:sz="4" w:space="0"/>
              <w:right w:val="single" w:color="auto" w:sz="4" w:space="0"/>
            </w:tcBorders>
            <w:noWrap w:val="0"/>
            <w:vAlign w:val="center"/>
          </w:tcPr>
          <w:p w14:paraId="4DA5E7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209" w:type="pct"/>
            <w:vMerge w:val="restart"/>
            <w:tcBorders>
              <w:top w:val="single" w:color="auto" w:sz="4" w:space="0"/>
              <w:left w:val="single" w:color="auto" w:sz="4" w:space="0"/>
              <w:bottom w:val="single" w:color="auto" w:sz="4" w:space="0"/>
              <w:right w:val="single" w:color="auto" w:sz="4" w:space="0"/>
            </w:tcBorders>
            <w:noWrap w:val="0"/>
            <w:vAlign w:val="center"/>
          </w:tcPr>
          <w:p w14:paraId="4718C6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269" w:type="pct"/>
            <w:vMerge w:val="restart"/>
            <w:tcBorders>
              <w:top w:val="single" w:color="auto" w:sz="4" w:space="0"/>
              <w:left w:val="single" w:color="auto" w:sz="4" w:space="0"/>
              <w:bottom w:val="single" w:color="auto" w:sz="4" w:space="0"/>
              <w:right w:val="single" w:color="auto" w:sz="4" w:space="0"/>
            </w:tcBorders>
            <w:noWrap w:val="0"/>
            <w:vAlign w:val="center"/>
          </w:tcPr>
          <w:p w14:paraId="5967A1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184" w:type="pct"/>
            <w:vMerge w:val="restart"/>
            <w:tcBorders>
              <w:top w:val="single" w:color="auto" w:sz="4" w:space="0"/>
              <w:left w:val="single" w:color="auto" w:sz="4" w:space="0"/>
              <w:bottom w:val="single" w:color="auto" w:sz="4" w:space="0"/>
              <w:right w:val="single" w:color="auto" w:sz="4" w:space="0"/>
            </w:tcBorders>
            <w:noWrap w:val="0"/>
            <w:vAlign w:val="center"/>
          </w:tcPr>
          <w:p w14:paraId="6776F2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387441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5060FC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109CA6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17E747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3F2BFD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295C93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24EEBB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60AB9C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72503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14CB09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08C9B3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continue"/>
            <w:tcBorders>
              <w:top w:val="single" w:color="auto" w:sz="4" w:space="0"/>
              <w:left w:val="single" w:color="auto" w:sz="4" w:space="0"/>
              <w:bottom w:val="single" w:color="auto" w:sz="4" w:space="0"/>
              <w:right w:val="single" w:color="auto" w:sz="4" w:space="0"/>
            </w:tcBorders>
            <w:noWrap w:val="0"/>
            <w:vAlign w:val="center"/>
          </w:tcPr>
          <w:p w14:paraId="4A0B8F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vMerge w:val="continue"/>
            <w:tcBorders>
              <w:top w:val="single" w:color="auto" w:sz="4" w:space="0"/>
              <w:left w:val="single" w:color="auto" w:sz="4" w:space="0"/>
              <w:bottom w:val="single" w:color="auto" w:sz="4" w:space="0"/>
              <w:right w:val="single" w:color="auto" w:sz="4" w:space="0"/>
            </w:tcBorders>
            <w:noWrap w:val="0"/>
            <w:vAlign w:val="center"/>
          </w:tcPr>
          <w:p w14:paraId="07C456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2BB7E7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4C6A1C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50663F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7BF08E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01547B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7A9C52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52337F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397983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0.63</w:t>
            </w:r>
          </w:p>
        </w:tc>
      </w:tr>
      <w:tr w14:paraId="2CF5C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6"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3CCDF9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3F0390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continue"/>
            <w:tcBorders>
              <w:top w:val="single" w:color="auto" w:sz="4" w:space="0"/>
              <w:left w:val="single" w:color="auto" w:sz="4" w:space="0"/>
              <w:bottom w:val="single" w:color="auto" w:sz="4" w:space="0"/>
              <w:right w:val="single" w:color="auto" w:sz="4" w:space="0"/>
            </w:tcBorders>
            <w:noWrap w:val="0"/>
            <w:vAlign w:val="center"/>
          </w:tcPr>
          <w:p w14:paraId="7F3035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vMerge w:val="continue"/>
            <w:tcBorders>
              <w:top w:val="single" w:color="auto" w:sz="4" w:space="0"/>
              <w:left w:val="single" w:color="auto" w:sz="4" w:space="0"/>
              <w:bottom w:val="single" w:color="auto" w:sz="4" w:space="0"/>
              <w:right w:val="single" w:color="auto" w:sz="4" w:space="0"/>
            </w:tcBorders>
            <w:noWrap w:val="0"/>
            <w:vAlign w:val="center"/>
          </w:tcPr>
          <w:p w14:paraId="721414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111121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352EFB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6FE2C3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7C1E9A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7E5657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5358E8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0FBD4E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75AF9B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4A36B2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60BF0E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3320B7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1440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5C21AB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3A118C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restart"/>
            <w:tcBorders>
              <w:top w:val="single" w:color="auto" w:sz="4" w:space="0"/>
              <w:left w:val="single" w:color="auto" w:sz="4" w:space="0"/>
              <w:bottom w:val="single" w:color="auto" w:sz="4" w:space="0"/>
              <w:right w:val="single" w:color="auto" w:sz="4" w:space="0"/>
            </w:tcBorders>
            <w:noWrap w:val="0"/>
            <w:vAlign w:val="center"/>
          </w:tcPr>
          <w:p w14:paraId="2B35E1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184" w:type="pct"/>
            <w:vMerge w:val="restart"/>
            <w:tcBorders>
              <w:top w:val="single" w:color="auto" w:sz="4" w:space="0"/>
              <w:left w:val="single" w:color="auto" w:sz="4" w:space="0"/>
              <w:bottom w:val="single" w:color="auto" w:sz="4" w:space="0"/>
              <w:right w:val="single" w:color="auto" w:sz="4" w:space="0"/>
            </w:tcBorders>
            <w:noWrap w:val="0"/>
            <w:vAlign w:val="center"/>
          </w:tcPr>
          <w:p w14:paraId="3EF542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1A8308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534BB6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1285EC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35B6E4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411C9B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536B95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68E458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2AD94F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39A20B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46D2E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425B02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4D1458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continue"/>
            <w:tcBorders>
              <w:top w:val="single" w:color="auto" w:sz="4" w:space="0"/>
              <w:left w:val="single" w:color="auto" w:sz="4" w:space="0"/>
              <w:bottom w:val="single" w:color="auto" w:sz="4" w:space="0"/>
              <w:right w:val="single" w:color="auto" w:sz="4" w:space="0"/>
            </w:tcBorders>
            <w:noWrap w:val="0"/>
            <w:vAlign w:val="center"/>
          </w:tcPr>
          <w:p w14:paraId="2B15AA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vMerge w:val="continue"/>
            <w:tcBorders>
              <w:top w:val="single" w:color="auto" w:sz="4" w:space="0"/>
              <w:left w:val="single" w:color="auto" w:sz="4" w:space="0"/>
              <w:bottom w:val="single" w:color="auto" w:sz="4" w:space="0"/>
              <w:right w:val="single" w:color="auto" w:sz="4" w:space="0"/>
            </w:tcBorders>
            <w:noWrap w:val="0"/>
            <w:vAlign w:val="center"/>
          </w:tcPr>
          <w:p w14:paraId="17DBF7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23E483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4C5833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20B31F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3A4134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3F5FF3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71A54D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6A45A5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0F2B94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6770EC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18806D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33D5E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246" w:type="pct"/>
            <w:vMerge w:val="restart"/>
            <w:tcBorders>
              <w:top w:val="single" w:color="auto" w:sz="4" w:space="0"/>
              <w:left w:val="single" w:color="auto" w:sz="4" w:space="0"/>
              <w:bottom w:val="single" w:color="auto" w:sz="4" w:space="0"/>
              <w:right w:val="single" w:color="auto" w:sz="4" w:space="0"/>
            </w:tcBorders>
            <w:noWrap w:val="0"/>
            <w:vAlign w:val="center"/>
          </w:tcPr>
          <w:p w14:paraId="58B83F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209" w:type="pct"/>
            <w:vMerge w:val="restart"/>
            <w:tcBorders>
              <w:top w:val="single" w:color="auto" w:sz="4" w:space="0"/>
              <w:left w:val="single" w:color="auto" w:sz="4" w:space="0"/>
              <w:bottom w:val="single" w:color="auto" w:sz="4" w:space="0"/>
              <w:right w:val="single" w:color="auto" w:sz="4" w:space="0"/>
            </w:tcBorders>
            <w:noWrap w:val="0"/>
            <w:vAlign w:val="center"/>
          </w:tcPr>
          <w:p w14:paraId="2FE3DA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269" w:type="pct"/>
            <w:tcBorders>
              <w:top w:val="single" w:color="auto" w:sz="4" w:space="0"/>
              <w:left w:val="single" w:color="auto" w:sz="4" w:space="0"/>
              <w:bottom w:val="single" w:color="auto" w:sz="4" w:space="0"/>
              <w:right w:val="single" w:color="auto" w:sz="4" w:space="0"/>
            </w:tcBorders>
            <w:noWrap w:val="0"/>
            <w:vAlign w:val="center"/>
          </w:tcPr>
          <w:p w14:paraId="446FCD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184" w:type="pct"/>
            <w:tcBorders>
              <w:top w:val="single" w:color="auto" w:sz="4" w:space="0"/>
              <w:left w:val="single" w:color="auto" w:sz="4" w:space="0"/>
              <w:bottom w:val="single" w:color="auto" w:sz="4" w:space="0"/>
              <w:right w:val="single" w:color="auto" w:sz="4" w:space="0"/>
            </w:tcBorders>
            <w:noWrap w:val="0"/>
            <w:vAlign w:val="center"/>
          </w:tcPr>
          <w:p w14:paraId="225002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64EC3D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0DD83C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4A4530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创业担保贷款发放额</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651D22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≥2800万元</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3ED7F5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019328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880.16万元</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0EBA17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3.14</w:t>
            </w:r>
          </w:p>
        </w:tc>
      </w:tr>
      <w:tr w14:paraId="3205C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40FCDF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762AB8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restart"/>
            <w:tcBorders>
              <w:top w:val="single" w:color="auto" w:sz="4" w:space="0"/>
              <w:left w:val="single" w:color="auto" w:sz="4" w:space="0"/>
              <w:right w:val="single" w:color="auto" w:sz="4" w:space="0"/>
            </w:tcBorders>
            <w:noWrap w:val="0"/>
            <w:vAlign w:val="center"/>
          </w:tcPr>
          <w:p w14:paraId="192E72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184" w:type="pct"/>
            <w:vMerge w:val="restart"/>
            <w:tcBorders>
              <w:top w:val="single" w:color="auto" w:sz="4" w:space="0"/>
              <w:left w:val="single" w:color="auto" w:sz="4" w:space="0"/>
              <w:right w:val="single" w:color="auto" w:sz="4" w:space="0"/>
            </w:tcBorders>
            <w:noWrap w:val="0"/>
            <w:vAlign w:val="center"/>
          </w:tcPr>
          <w:p w14:paraId="2CE51F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59" w:type="pct"/>
            <w:vMerge w:val="restart"/>
            <w:tcBorders>
              <w:top w:val="single" w:color="auto" w:sz="4" w:space="0"/>
              <w:left w:val="single" w:color="auto" w:sz="4" w:space="0"/>
              <w:right w:val="single" w:color="auto" w:sz="4" w:space="0"/>
            </w:tcBorders>
            <w:noWrap w:val="0"/>
            <w:vAlign w:val="center"/>
          </w:tcPr>
          <w:p w14:paraId="5E1318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7B7793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37CB22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资金足额拨付率</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23C32A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630" w:type="pct"/>
            <w:vMerge w:val="restart"/>
            <w:tcBorders>
              <w:top w:val="single" w:color="auto" w:sz="4" w:space="0"/>
              <w:left w:val="single" w:color="auto" w:sz="4" w:space="0"/>
              <w:right w:val="single" w:color="auto" w:sz="4" w:space="0"/>
            </w:tcBorders>
            <w:noWrap w:val="0"/>
            <w:vAlign w:val="center"/>
          </w:tcPr>
          <w:p w14:paraId="21F65F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778AB7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10426F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454847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r>
      <w:tr w14:paraId="4A740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2DCC62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525192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69" w:type="pct"/>
            <w:vMerge w:val="continue"/>
            <w:tcBorders>
              <w:left w:val="single" w:color="auto" w:sz="4" w:space="0"/>
              <w:right w:val="single" w:color="auto" w:sz="4" w:space="0"/>
            </w:tcBorders>
            <w:noWrap w:val="0"/>
            <w:vAlign w:val="center"/>
          </w:tcPr>
          <w:p w14:paraId="734910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84" w:type="pct"/>
            <w:vMerge w:val="continue"/>
            <w:tcBorders>
              <w:left w:val="single" w:color="auto" w:sz="4" w:space="0"/>
              <w:right w:val="single" w:color="auto" w:sz="4" w:space="0"/>
            </w:tcBorders>
            <w:noWrap w:val="0"/>
            <w:vAlign w:val="center"/>
          </w:tcPr>
          <w:p w14:paraId="0D7CE7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59" w:type="pct"/>
            <w:vMerge w:val="continue"/>
            <w:tcBorders>
              <w:left w:val="single" w:color="auto" w:sz="4" w:space="0"/>
              <w:right w:val="single" w:color="auto" w:sz="4" w:space="0"/>
            </w:tcBorders>
            <w:noWrap w:val="0"/>
            <w:vAlign w:val="center"/>
          </w:tcPr>
          <w:p w14:paraId="471B90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09" w:type="pct"/>
            <w:tcBorders>
              <w:top w:val="single" w:color="auto" w:sz="4" w:space="0"/>
              <w:left w:val="single" w:color="auto" w:sz="4" w:space="0"/>
              <w:bottom w:val="single" w:color="auto" w:sz="4" w:space="0"/>
              <w:right w:val="single" w:color="auto" w:sz="4" w:space="0"/>
            </w:tcBorders>
            <w:noWrap w:val="0"/>
            <w:vAlign w:val="center"/>
          </w:tcPr>
          <w:p w14:paraId="3CB1CD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784D43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116EAF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630" w:type="pct"/>
            <w:vMerge w:val="continue"/>
            <w:tcBorders>
              <w:left w:val="single" w:color="auto" w:sz="4" w:space="0"/>
              <w:right w:val="single" w:color="auto" w:sz="4" w:space="0"/>
            </w:tcBorders>
            <w:noWrap w:val="0"/>
            <w:vAlign w:val="center"/>
          </w:tcPr>
          <w:p w14:paraId="4575BA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19" w:type="pct"/>
            <w:tcBorders>
              <w:top w:val="single" w:color="auto" w:sz="4" w:space="0"/>
              <w:left w:val="single" w:color="auto" w:sz="4" w:space="0"/>
              <w:bottom w:val="single" w:color="auto" w:sz="4" w:space="0"/>
              <w:right w:val="single" w:color="auto" w:sz="4" w:space="0"/>
            </w:tcBorders>
            <w:noWrap w:val="0"/>
            <w:vAlign w:val="center"/>
          </w:tcPr>
          <w:p w14:paraId="0496E9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7499D6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r>
      <w:tr w14:paraId="35E1F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1D3E35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52EBA1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continue"/>
            <w:tcBorders>
              <w:left w:val="single" w:color="auto" w:sz="4" w:space="0"/>
              <w:right w:val="single" w:color="auto" w:sz="4" w:space="0"/>
            </w:tcBorders>
            <w:noWrap w:val="0"/>
            <w:vAlign w:val="center"/>
          </w:tcPr>
          <w:p w14:paraId="5A7C22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vMerge w:val="continue"/>
            <w:tcBorders>
              <w:left w:val="single" w:color="auto" w:sz="4" w:space="0"/>
              <w:right w:val="single" w:color="auto" w:sz="4" w:space="0"/>
            </w:tcBorders>
            <w:noWrap w:val="0"/>
            <w:vAlign w:val="center"/>
          </w:tcPr>
          <w:p w14:paraId="5B288D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59" w:type="pct"/>
            <w:vMerge w:val="continue"/>
            <w:tcBorders>
              <w:left w:val="single" w:color="auto" w:sz="4" w:space="0"/>
              <w:right w:val="single" w:color="auto" w:sz="4" w:space="0"/>
            </w:tcBorders>
            <w:noWrap w:val="0"/>
            <w:vAlign w:val="center"/>
          </w:tcPr>
          <w:p w14:paraId="0D998E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tcBorders>
              <w:top w:val="single" w:color="auto" w:sz="4" w:space="0"/>
              <w:left w:val="single" w:color="auto" w:sz="4" w:space="0"/>
              <w:bottom w:val="single" w:color="auto" w:sz="4" w:space="0"/>
              <w:right w:val="single" w:color="auto" w:sz="4" w:space="0"/>
            </w:tcBorders>
            <w:noWrap w:val="0"/>
            <w:vAlign w:val="center"/>
          </w:tcPr>
          <w:p w14:paraId="55021F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521A21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7D4A7D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630" w:type="pct"/>
            <w:vMerge w:val="continue"/>
            <w:tcBorders>
              <w:left w:val="single" w:color="auto" w:sz="4" w:space="0"/>
              <w:right w:val="single" w:color="auto" w:sz="4" w:space="0"/>
            </w:tcBorders>
            <w:noWrap w:val="0"/>
            <w:vAlign w:val="center"/>
          </w:tcPr>
          <w:p w14:paraId="3AE74E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19" w:type="pct"/>
            <w:tcBorders>
              <w:top w:val="single" w:color="auto" w:sz="4" w:space="0"/>
              <w:left w:val="single" w:color="auto" w:sz="4" w:space="0"/>
              <w:bottom w:val="single" w:color="auto" w:sz="4" w:space="0"/>
              <w:right w:val="single" w:color="auto" w:sz="4" w:space="0"/>
            </w:tcBorders>
            <w:noWrap w:val="0"/>
            <w:vAlign w:val="center"/>
          </w:tcPr>
          <w:p w14:paraId="3C98D3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3CE1E4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r>
      <w:tr w14:paraId="36FA0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46" w:type="pct"/>
            <w:vMerge w:val="continue"/>
            <w:tcBorders>
              <w:left w:val="single" w:color="auto" w:sz="4" w:space="0"/>
              <w:bottom w:val="single" w:color="auto" w:sz="4" w:space="0"/>
              <w:right w:val="single" w:color="auto" w:sz="4" w:space="0"/>
            </w:tcBorders>
            <w:noWrap w:val="0"/>
            <w:vAlign w:val="center"/>
          </w:tcPr>
          <w:p w14:paraId="30DAD9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left w:val="single" w:color="auto" w:sz="4" w:space="0"/>
              <w:bottom w:val="single" w:color="auto" w:sz="4" w:space="0"/>
              <w:right w:val="single" w:color="auto" w:sz="4" w:space="0"/>
            </w:tcBorders>
            <w:noWrap w:val="0"/>
            <w:vAlign w:val="center"/>
          </w:tcPr>
          <w:p w14:paraId="7E90A3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continue"/>
            <w:tcBorders>
              <w:left w:val="single" w:color="auto" w:sz="4" w:space="0"/>
              <w:bottom w:val="single" w:color="auto" w:sz="4" w:space="0"/>
              <w:right w:val="single" w:color="auto" w:sz="4" w:space="0"/>
            </w:tcBorders>
            <w:noWrap w:val="0"/>
            <w:vAlign w:val="center"/>
          </w:tcPr>
          <w:p w14:paraId="57F15C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vMerge w:val="continue"/>
            <w:tcBorders>
              <w:left w:val="single" w:color="auto" w:sz="4" w:space="0"/>
              <w:bottom w:val="single" w:color="auto" w:sz="4" w:space="0"/>
              <w:right w:val="single" w:color="auto" w:sz="4" w:space="0"/>
            </w:tcBorders>
            <w:noWrap w:val="0"/>
            <w:vAlign w:val="center"/>
          </w:tcPr>
          <w:p w14:paraId="3B5206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59" w:type="pct"/>
            <w:vMerge w:val="continue"/>
            <w:tcBorders>
              <w:left w:val="single" w:color="auto" w:sz="4" w:space="0"/>
              <w:bottom w:val="single" w:color="auto" w:sz="4" w:space="0"/>
              <w:right w:val="single" w:color="auto" w:sz="4" w:space="0"/>
            </w:tcBorders>
            <w:noWrap w:val="0"/>
            <w:vAlign w:val="center"/>
          </w:tcPr>
          <w:p w14:paraId="2ABDD7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tcBorders>
              <w:top w:val="single" w:color="auto" w:sz="4" w:space="0"/>
              <w:left w:val="single" w:color="auto" w:sz="4" w:space="0"/>
              <w:bottom w:val="single" w:color="auto" w:sz="4" w:space="0"/>
              <w:right w:val="single" w:color="auto" w:sz="4" w:space="0"/>
            </w:tcBorders>
            <w:noWrap w:val="0"/>
            <w:vAlign w:val="center"/>
          </w:tcPr>
          <w:p w14:paraId="31D61D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2B49B5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26E8CF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630" w:type="pct"/>
            <w:vMerge w:val="continue"/>
            <w:tcBorders>
              <w:left w:val="single" w:color="auto" w:sz="4" w:space="0"/>
              <w:right w:val="single" w:color="auto" w:sz="4" w:space="0"/>
            </w:tcBorders>
            <w:noWrap w:val="0"/>
            <w:vAlign w:val="center"/>
          </w:tcPr>
          <w:p w14:paraId="1C903D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19" w:type="pct"/>
            <w:tcBorders>
              <w:top w:val="single" w:color="auto" w:sz="4" w:space="0"/>
              <w:left w:val="single" w:color="auto" w:sz="4" w:space="0"/>
              <w:bottom w:val="single" w:color="auto" w:sz="4" w:space="0"/>
              <w:right w:val="single" w:color="auto" w:sz="4" w:space="0"/>
            </w:tcBorders>
            <w:noWrap w:val="0"/>
            <w:vAlign w:val="center"/>
          </w:tcPr>
          <w:p w14:paraId="2E7561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128BBA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r>
      <w:tr w14:paraId="2B85C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26AED4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4A921D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restart"/>
            <w:tcBorders>
              <w:top w:val="single" w:color="auto" w:sz="4" w:space="0"/>
              <w:left w:val="single" w:color="auto" w:sz="4" w:space="0"/>
              <w:right w:val="single" w:color="auto" w:sz="4" w:space="0"/>
            </w:tcBorders>
            <w:noWrap w:val="0"/>
            <w:vAlign w:val="center"/>
          </w:tcPr>
          <w:p w14:paraId="1F2ECD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184" w:type="pct"/>
            <w:vMerge w:val="restart"/>
            <w:tcBorders>
              <w:top w:val="single" w:color="auto" w:sz="4" w:space="0"/>
              <w:left w:val="single" w:color="auto" w:sz="4" w:space="0"/>
              <w:right w:val="single" w:color="auto" w:sz="4" w:space="0"/>
            </w:tcBorders>
            <w:noWrap w:val="0"/>
            <w:vAlign w:val="center"/>
          </w:tcPr>
          <w:p w14:paraId="78D8BB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59" w:type="pct"/>
            <w:vMerge w:val="restart"/>
            <w:tcBorders>
              <w:top w:val="single" w:color="auto" w:sz="4" w:space="0"/>
              <w:left w:val="single" w:color="auto" w:sz="4" w:space="0"/>
              <w:right w:val="single" w:color="auto" w:sz="4" w:space="0"/>
            </w:tcBorders>
            <w:noWrap w:val="0"/>
            <w:vAlign w:val="center"/>
          </w:tcPr>
          <w:p w14:paraId="2CB1D8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7691A3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7FEF2D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项目资金及时率</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4FAB20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630" w:type="pct"/>
            <w:vMerge w:val="restart"/>
            <w:tcBorders>
              <w:top w:val="single" w:color="auto" w:sz="4" w:space="0"/>
              <w:left w:val="single" w:color="auto" w:sz="4" w:space="0"/>
              <w:right w:val="single" w:color="auto" w:sz="4" w:space="0"/>
            </w:tcBorders>
            <w:noWrap w:val="0"/>
            <w:vAlign w:val="center"/>
          </w:tcPr>
          <w:p w14:paraId="12D158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03FB27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4F25BB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6D1423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D605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6" w:type="pct"/>
            <w:vMerge w:val="continue"/>
            <w:tcBorders>
              <w:left w:val="single" w:color="auto" w:sz="4" w:space="0"/>
              <w:bottom w:val="single" w:color="auto" w:sz="4" w:space="0"/>
              <w:right w:val="single" w:color="auto" w:sz="4" w:space="0"/>
            </w:tcBorders>
            <w:noWrap w:val="0"/>
            <w:vAlign w:val="center"/>
          </w:tcPr>
          <w:p w14:paraId="277AEF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09" w:type="pct"/>
            <w:vMerge w:val="continue"/>
            <w:tcBorders>
              <w:left w:val="single" w:color="auto" w:sz="4" w:space="0"/>
              <w:bottom w:val="single" w:color="auto" w:sz="4" w:space="0"/>
              <w:right w:val="single" w:color="auto" w:sz="4" w:space="0"/>
            </w:tcBorders>
            <w:noWrap w:val="0"/>
            <w:vAlign w:val="center"/>
          </w:tcPr>
          <w:p w14:paraId="0A75C8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69" w:type="pct"/>
            <w:vMerge w:val="continue"/>
            <w:tcBorders>
              <w:left w:val="single" w:color="auto" w:sz="4" w:space="0"/>
              <w:bottom w:val="single" w:color="auto" w:sz="4" w:space="0"/>
              <w:right w:val="single" w:color="auto" w:sz="4" w:space="0"/>
            </w:tcBorders>
            <w:noWrap w:val="0"/>
            <w:vAlign w:val="center"/>
          </w:tcPr>
          <w:p w14:paraId="61169D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84" w:type="pct"/>
            <w:vMerge w:val="continue"/>
            <w:tcBorders>
              <w:left w:val="single" w:color="auto" w:sz="4" w:space="0"/>
              <w:bottom w:val="single" w:color="auto" w:sz="4" w:space="0"/>
              <w:right w:val="single" w:color="auto" w:sz="4" w:space="0"/>
            </w:tcBorders>
            <w:noWrap w:val="0"/>
            <w:vAlign w:val="center"/>
          </w:tcPr>
          <w:p w14:paraId="135C37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59" w:type="pct"/>
            <w:vMerge w:val="continue"/>
            <w:tcBorders>
              <w:left w:val="single" w:color="auto" w:sz="4" w:space="0"/>
              <w:bottom w:val="single" w:color="auto" w:sz="4" w:space="0"/>
              <w:right w:val="single" w:color="auto" w:sz="4" w:space="0"/>
            </w:tcBorders>
            <w:noWrap w:val="0"/>
            <w:vAlign w:val="center"/>
          </w:tcPr>
          <w:p w14:paraId="62E765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09" w:type="pct"/>
            <w:tcBorders>
              <w:top w:val="single" w:color="auto" w:sz="4" w:space="0"/>
              <w:left w:val="single" w:color="auto" w:sz="4" w:space="0"/>
              <w:bottom w:val="single" w:color="auto" w:sz="4" w:space="0"/>
              <w:right w:val="single" w:color="auto" w:sz="4" w:space="0"/>
            </w:tcBorders>
            <w:noWrap w:val="0"/>
            <w:vAlign w:val="center"/>
          </w:tcPr>
          <w:p w14:paraId="2BE1B1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6F5BF8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715C3B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1630" w:type="pct"/>
            <w:vMerge w:val="continue"/>
            <w:tcBorders>
              <w:left w:val="single" w:color="auto" w:sz="4" w:space="0"/>
              <w:right w:val="single" w:color="auto" w:sz="4" w:space="0"/>
            </w:tcBorders>
            <w:noWrap w:val="0"/>
            <w:vAlign w:val="center"/>
          </w:tcPr>
          <w:p w14:paraId="3E0035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19" w:type="pct"/>
            <w:tcBorders>
              <w:top w:val="single" w:color="auto" w:sz="4" w:space="0"/>
              <w:left w:val="single" w:color="auto" w:sz="4" w:space="0"/>
              <w:bottom w:val="single" w:color="auto" w:sz="4" w:space="0"/>
              <w:right w:val="single" w:color="auto" w:sz="4" w:space="0"/>
            </w:tcBorders>
            <w:noWrap w:val="0"/>
            <w:vAlign w:val="center"/>
          </w:tcPr>
          <w:p w14:paraId="4748D9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55EC9B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31A04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3FC71A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26FD1D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tcBorders>
              <w:top w:val="single" w:color="auto" w:sz="4" w:space="0"/>
              <w:left w:val="single" w:color="auto" w:sz="4" w:space="0"/>
              <w:bottom w:val="single" w:color="auto" w:sz="4" w:space="0"/>
              <w:right w:val="single" w:color="auto" w:sz="4" w:space="0"/>
            </w:tcBorders>
            <w:noWrap w:val="0"/>
            <w:vAlign w:val="center"/>
          </w:tcPr>
          <w:p w14:paraId="2DCC31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184" w:type="pct"/>
            <w:tcBorders>
              <w:top w:val="single" w:color="auto" w:sz="4" w:space="0"/>
              <w:left w:val="single" w:color="auto" w:sz="4" w:space="0"/>
              <w:bottom w:val="single" w:color="auto" w:sz="4" w:space="0"/>
              <w:right w:val="single" w:color="auto" w:sz="4" w:space="0"/>
            </w:tcBorders>
            <w:noWrap w:val="0"/>
            <w:vAlign w:val="center"/>
          </w:tcPr>
          <w:p w14:paraId="43A2D5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334AB2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7A1219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6EF48E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项目总成本</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1395D0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≤2800万元</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5ADCC8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476F6B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880.16万元</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4CC755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3.14</w:t>
            </w:r>
          </w:p>
        </w:tc>
      </w:tr>
      <w:tr w14:paraId="07552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4" w:hRule="atLeast"/>
        </w:trPr>
        <w:tc>
          <w:tcPr>
            <w:tcW w:w="246" w:type="pct"/>
            <w:vMerge w:val="restart"/>
            <w:tcBorders>
              <w:top w:val="single" w:color="auto" w:sz="4" w:space="0"/>
              <w:left w:val="single" w:color="auto" w:sz="4" w:space="0"/>
              <w:bottom w:val="single" w:color="auto" w:sz="4" w:space="0"/>
              <w:right w:val="single" w:color="auto" w:sz="4" w:space="0"/>
            </w:tcBorders>
            <w:noWrap w:val="0"/>
            <w:vAlign w:val="center"/>
          </w:tcPr>
          <w:p w14:paraId="4C06F9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209" w:type="pct"/>
            <w:vMerge w:val="restart"/>
            <w:tcBorders>
              <w:top w:val="single" w:color="auto" w:sz="4" w:space="0"/>
              <w:left w:val="single" w:color="auto" w:sz="4" w:space="0"/>
              <w:bottom w:val="single" w:color="auto" w:sz="4" w:space="0"/>
              <w:right w:val="single" w:color="auto" w:sz="4" w:space="0"/>
            </w:tcBorders>
            <w:noWrap w:val="0"/>
            <w:vAlign w:val="center"/>
          </w:tcPr>
          <w:p w14:paraId="7121C3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269" w:type="pct"/>
            <w:vMerge w:val="restart"/>
            <w:tcBorders>
              <w:top w:val="single" w:color="auto" w:sz="4" w:space="0"/>
              <w:left w:val="single" w:color="auto" w:sz="4" w:space="0"/>
              <w:bottom w:val="single" w:color="auto" w:sz="4" w:space="0"/>
              <w:right w:val="single" w:color="auto" w:sz="4" w:space="0"/>
            </w:tcBorders>
            <w:noWrap w:val="0"/>
            <w:vAlign w:val="center"/>
          </w:tcPr>
          <w:p w14:paraId="4FCDE8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184" w:type="pct"/>
            <w:vMerge w:val="restart"/>
            <w:tcBorders>
              <w:top w:val="single" w:color="auto" w:sz="4" w:space="0"/>
              <w:left w:val="single" w:color="auto" w:sz="4" w:space="0"/>
              <w:bottom w:val="single" w:color="auto" w:sz="4" w:space="0"/>
              <w:right w:val="single" w:color="auto" w:sz="4" w:space="0"/>
            </w:tcBorders>
            <w:noWrap w:val="0"/>
            <w:vAlign w:val="center"/>
          </w:tcPr>
          <w:p w14:paraId="24A76E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79B2F8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5DCF9C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289106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金融机构网点覆盖率</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023353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≥60%</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2A8372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587046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2E1450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3256F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6" w:type="pct"/>
            <w:vMerge w:val="continue"/>
            <w:tcBorders>
              <w:top w:val="single" w:color="auto" w:sz="4" w:space="0"/>
              <w:left w:val="single" w:color="auto" w:sz="4" w:space="0"/>
              <w:bottom w:val="single" w:color="auto" w:sz="4" w:space="0"/>
              <w:right w:val="single" w:color="auto" w:sz="4" w:space="0"/>
            </w:tcBorders>
            <w:noWrap w:val="0"/>
            <w:vAlign w:val="center"/>
          </w:tcPr>
          <w:p w14:paraId="345127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vMerge w:val="continue"/>
            <w:tcBorders>
              <w:top w:val="single" w:color="auto" w:sz="4" w:space="0"/>
              <w:left w:val="single" w:color="auto" w:sz="4" w:space="0"/>
              <w:bottom w:val="single" w:color="auto" w:sz="4" w:space="0"/>
              <w:right w:val="single" w:color="auto" w:sz="4" w:space="0"/>
            </w:tcBorders>
            <w:noWrap w:val="0"/>
            <w:vAlign w:val="center"/>
          </w:tcPr>
          <w:p w14:paraId="4DEBB0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9" w:type="pct"/>
            <w:vMerge w:val="continue"/>
            <w:tcBorders>
              <w:top w:val="single" w:color="auto" w:sz="4" w:space="0"/>
              <w:left w:val="single" w:color="auto" w:sz="4" w:space="0"/>
              <w:bottom w:val="single" w:color="auto" w:sz="4" w:space="0"/>
              <w:right w:val="single" w:color="auto" w:sz="4" w:space="0"/>
            </w:tcBorders>
            <w:noWrap w:val="0"/>
            <w:vAlign w:val="center"/>
          </w:tcPr>
          <w:p w14:paraId="4E2F55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vMerge w:val="continue"/>
            <w:tcBorders>
              <w:top w:val="single" w:color="auto" w:sz="4" w:space="0"/>
              <w:left w:val="single" w:color="auto" w:sz="4" w:space="0"/>
              <w:bottom w:val="single" w:color="auto" w:sz="4" w:space="0"/>
              <w:right w:val="single" w:color="auto" w:sz="4" w:space="0"/>
            </w:tcBorders>
            <w:noWrap w:val="0"/>
            <w:vAlign w:val="center"/>
          </w:tcPr>
          <w:p w14:paraId="64810B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047A10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135129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2085FC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申报创业担保贷款个人和小微企业满意度</w:t>
            </w:r>
          </w:p>
        </w:tc>
        <w:tc>
          <w:tcPr>
            <w:tcW w:w="349" w:type="pct"/>
            <w:tcBorders>
              <w:top w:val="single" w:color="auto" w:sz="4" w:space="0"/>
              <w:left w:val="single" w:color="auto" w:sz="4" w:space="0"/>
              <w:bottom w:val="single" w:color="auto" w:sz="4" w:space="0"/>
              <w:right w:val="single" w:color="auto" w:sz="4" w:space="0"/>
            </w:tcBorders>
            <w:noWrap w:val="0"/>
            <w:vAlign w:val="center"/>
          </w:tcPr>
          <w:p w14:paraId="29F542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≥90%</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3E5FFE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2AD7E3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90%</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7B624A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6D7F4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2F77A3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209" w:type="pct"/>
            <w:tcBorders>
              <w:top w:val="single" w:color="auto" w:sz="4" w:space="0"/>
              <w:left w:val="single" w:color="auto" w:sz="4" w:space="0"/>
              <w:bottom w:val="single" w:color="auto" w:sz="4" w:space="0"/>
              <w:right w:val="single" w:color="auto" w:sz="4" w:space="0"/>
            </w:tcBorders>
            <w:noWrap w:val="0"/>
            <w:vAlign w:val="center"/>
          </w:tcPr>
          <w:p w14:paraId="7FC03E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69" w:type="pct"/>
            <w:tcBorders>
              <w:top w:val="single" w:color="auto" w:sz="4" w:space="0"/>
              <w:left w:val="single" w:color="auto" w:sz="4" w:space="0"/>
              <w:bottom w:val="single" w:color="auto" w:sz="4" w:space="0"/>
              <w:right w:val="single" w:color="auto" w:sz="4" w:space="0"/>
            </w:tcBorders>
            <w:noWrap w:val="0"/>
            <w:vAlign w:val="center"/>
          </w:tcPr>
          <w:p w14:paraId="67204C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tcBorders>
              <w:top w:val="single" w:color="auto" w:sz="4" w:space="0"/>
              <w:left w:val="single" w:color="auto" w:sz="4" w:space="0"/>
              <w:bottom w:val="single" w:color="auto" w:sz="4" w:space="0"/>
              <w:right w:val="single" w:color="auto" w:sz="4" w:space="0"/>
            </w:tcBorders>
            <w:noWrap w:val="0"/>
            <w:vAlign w:val="center"/>
          </w:tcPr>
          <w:p w14:paraId="19588E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1B2445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9" w:type="pct"/>
            <w:tcBorders>
              <w:top w:val="single" w:color="auto" w:sz="4" w:space="0"/>
              <w:left w:val="single" w:color="auto" w:sz="4" w:space="0"/>
              <w:bottom w:val="single" w:color="auto" w:sz="4" w:space="0"/>
              <w:right w:val="single" w:color="auto" w:sz="4" w:space="0"/>
            </w:tcBorders>
            <w:noWrap w:val="0"/>
            <w:vAlign w:val="center"/>
          </w:tcPr>
          <w:p w14:paraId="53CE62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057" w:type="pct"/>
            <w:tcBorders>
              <w:top w:val="single" w:color="auto" w:sz="4" w:space="0"/>
              <w:left w:val="single" w:color="auto" w:sz="4" w:space="0"/>
              <w:bottom w:val="single" w:color="auto" w:sz="4" w:space="0"/>
              <w:right w:val="single" w:color="auto" w:sz="4" w:space="0"/>
            </w:tcBorders>
            <w:noWrap w:val="0"/>
            <w:vAlign w:val="center"/>
          </w:tcPr>
          <w:p w14:paraId="288596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49" w:type="pct"/>
            <w:tcBorders>
              <w:top w:val="single" w:color="auto" w:sz="4" w:space="0"/>
              <w:left w:val="single" w:color="auto" w:sz="4" w:space="0"/>
              <w:bottom w:val="single" w:color="auto" w:sz="4" w:space="0"/>
              <w:right w:val="single" w:color="auto" w:sz="4" w:space="0"/>
            </w:tcBorders>
            <w:noWrap w:val="0"/>
            <w:vAlign w:val="center"/>
          </w:tcPr>
          <w:p w14:paraId="02749D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1630" w:type="pct"/>
            <w:tcBorders>
              <w:top w:val="single" w:color="auto" w:sz="4" w:space="0"/>
              <w:left w:val="single" w:color="auto" w:sz="4" w:space="0"/>
              <w:bottom w:val="single" w:color="auto" w:sz="4" w:space="0"/>
              <w:right w:val="single" w:color="auto" w:sz="4" w:space="0"/>
            </w:tcBorders>
            <w:noWrap w:val="0"/>
            <w:vAlign w:val="center"/>
          </w:tcPr>
          <w:p w14:paraId="0AF627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19" w:type="pct"/>
            <w:tcBorders>
              <w:top w:val="single" w:color="auto" w:sz="4" w:space="0"/>
              <w:left w:val="single" w:color="auto" w:sz="4" w:space="0"/>
              <w:bottom w:val="single" w:color="auto" w:sz="4" w:space="0"/>
              <w:right w:val="single" w:color="auto" w:sz="4" w:space="0"/>
            </w:tcBorders>
            <w:noWrap w:val="0"/>
            <w:vAlign w:val="center"/>
          </w:tcPr>
          <w:p w14:paraId="51F34E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5" w:type="pct"/>
            <w:tcBorders>
              <w:top w:val="single" w:color="auto" w:sz="4" w:space="0"/>
              <w:left w:val="single" w:color="auto" w:sz="4" w:space="0"/>
              <w:bottom w:val="single" w:color="auto" w:sz="4" w:space="0"/>
              <w:right w:val="single" w:color="auto" w:sz="4" w:space="0"/>
            </w:tcBorders>
            <w:noWrap w:val="0"/>
            <w:vAlign w:val="center"/>
          </w:tcPr>
          <w:p w14:paraId="01EC05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84.91</w:t>
            </w:r>
          </w:p>
        </w:tc>
      </w:tr>
    </w:tbl>
    <w:p w14:paraId="49689D45">
      <w:pPr>
        <w:pStyle w:val="10"/>
        <w:rPr>
          <w:rFonts w:hint="eastAsia" w:ascii="宋体" w:hAnsi="宋体" w:eastAsia="宋体" w:cs="宋体"/>
          <w:sz w:val="24"/>
          <w:szCs w:val="24"/>
          <w:lang w:eastAsia="zh-CN"/>
        </w:rPr>
      </w:pPr>
    </w:p>
    <w:p w14:paraId="2782A802">
      <w:pPr>
        <w:pStyle w:val="10"/>
        <w:rPr>
          <w:rFonts w:hint="eastAsia" w:ascii="宋体" w:hAnsi="宋体" w:eastAsia="宋体" w:cs="宋体"/>
          <w:sz w:val="24"/>
          <w:szCs w:val="24"/>
          <w:lang w:eastAsia="zh-CN"/>
        </w:rPr>
      </w:pPr>
    </w:p>
    <w:p w14:paraId="296F026E">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4"/>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6B3B1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3E76FE21">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0D8AD614">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613D110F">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7070AC76">
            <w:pPr>
              <w:rPr>
                <w:rFonts w:hint="eastAsia" w:ascii="宋体" w:hAnsi="宋体" w:eastAsia="宋体" w:cs="宋体"/>
                <w:i w:val="0"/>
                <w:iCs w:val="0"/>
                <w:color w:val="000000"/>
                <w:sz w:val="22"/>
                <w:szCs w:val="22"/>
                <w:u w:val="none"/>
              </w:rPr>
            </w:pPr>
          </w:p>
        </w:tc>
        <w:tc>
          <w:tcPr>
            <w:tcW w:w="3449" w:type="dxa"/>
            <w:tcBorders>
              <w:top w:val="nil"/>
              <w:left w:val="nil"/>
              <w:bottom w:val="nil"/>
              <w:right w:val="nil"/>
            </w:tcBorders>
            <w:noWrap/>
            <w:vAlign w:val="center"/>
          </w:tcPr>
          <w:p w14:paraId="18018604">
            <w:pPr>
              <w:rPr>
                <w:rFonts w:hint="eastAsia" w:ascii="宋体" w:hAnsi="宋体" w:eastAsia="宋体" w:cs="宋体"/>
                <w:i w:val="0"/>
                <w:iCs w:val="0"/>
                <w:color w:val="000000"/>
                <w:sz w:val="22"/>
                <w:szCs w:val="22"/>
                <w:u w:val="none"/>
              </w:rPr>
            </w:pPr>
          </w:p>
        </w:tc>
        <w:tc>
          <w:tcPr>
            <w:tcW w:w="1331" w:type="dxa"/>
            <w:tcBorders>
              <w:top w:val="nil"/>
              <w:left w:val="nil"/>
              <w:bottom w:val="nil"/>
              <w:right w:val="nil"/>
            </w:tcBorders>
            <w:noWrap/>
            <w:vAlign w:val="center"/>
          </w:tcPr>
          <w:p w14:paraId="5AC469EF">
            <w:pPr>
              <w:rPr>
                <w:rFonts w:hint="eastAsia" w:ascii="宋体" w:hAnsi="宋体" w:eastAsia="宋体" w:cs="宋体"/>
                <w:i w:val="0"/>
                <w:iCs w:val="0"/>
                <w:color w:val="000000"/>
                <w:sz w:val="22"/>
                <w:szCs w:val="22"/>
                <w:u w:val="none"/>
              </w:rPr>
            </w:pPr>
          </w:p>
        </w:tc>
      </w:tr>
      <w:tr w14:paraId="23FAB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2ED9F06A">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36"/>
                <w:szCs w:val="36"/>
                <w:u w:val="none"/>
                <w:lang w:val="en-US" w:eastAsia="zh-CN"/>
              </w:rPr>
              <w:t>2024年中央财政普惠金融发展专项资金项目综合得分表</w:t>
            </w:r>
          </w:p>
        </w:tc>
      </w:tr>
      <w:tr w14:paraId="4AFA2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EB2695">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5423DC">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B8AB28">
            <w:pPr>
              <w:keepNext w:val="0"/>
              <w:keepLines w:val="0"/>
              <w:widowControl/>
              <w:suppressLineNumbers w:val="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31BD7B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477E64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1B411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324EA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BA9912">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E249F9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DDD91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FE21C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54432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536063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5F69C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07C303B">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DCFE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DDA5F5">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10.63</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FD0BED">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26.28</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31E5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811675F">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84.91</w:t>
            </w:r>
          </w:p>
        </w:tc>
      </w:tr>
      <w:tr w14:paraId="77CE1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C205A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5E197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BC11E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88.58%</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75BCC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65.70%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52521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4288B35">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84.91%</w:t>
            </w:r>
          </w:p>
        </w:tc>
      </w:tr>
    </w:tbl>
    <w:p w14:paraId="4C5D1C6E">
      <w:pPr>
        <w:pStyle w:val="10"/>
        <w:ind w:left="0" w:leftChars="0" w:firstLine="0" w:firstLineChars="0"/>
        <w:jc w:val="both"/>
        <w:rPr>
          <w:rFonts w:hint="default" w:ascii="宋体" w:hAnsi="宋体" w:eastAsia="宋体" w:cs="宋体"/>
          <w:sz w:val="24"/>
          <w:szCs w:val="24"/>
          <w:lang w:val="en-US" w:eastAsia="zh-CN"/>
        </w:rPr>
      </w:pPr>
    </w:p>
    <w:p w14:paraId="4107DF76">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0252996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1E44FE4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2024年中央财政普惠金融发展专项资金项目</w:t>
      </w:r>
    </w:p>
    <w:p w14:paraId="337A5F5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7DE90868">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方正仿宋_GBK" w:hAnsi="方正仿宋_GBK" w:eastAsia="方正仿宋_GBK" w:cs="方正仿宋_GBK"/>
          <w:b/>
          <w:bCs/>
          <w:sz w:val="32"/>
          <w:szCs w:val="32"/>
          <w:highlight w:val="none"/>
        </w:rPr>
      </w:pPr>
    </w:p>
    <w:p w14:paraId="2E81335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为客观评价该项目的社会效果，了解</w:t>
      </w:r>
      <w:r>
        <w:rPr>
          <w:rFonts w:hint="eastAsia" w:ascii="宋体" w:hAnsi="宋体" w:eastAsia="宋体" w:cs="宋体"/>
          <w:sz w:val="24"/>
          <w:szCs w:val="24"/>
          <w:highlight w:val="none"/>
          <w:lang w:val="en-US" w:eastAsia="zh-CN"/>
        </w:rPr>
        <w:t>项目受益群体</w:t>
      </w:r>
      <w:r>
        <w:rPr>
          <w:rFonts w:hint="eastAsia" w:ascii="宋体" w:hAnsi="宋体" w:eastAsia="宋体" w:cs="宋体"/>
          <w:sz w:val="24"/>
          <w:szCs w:val="24"/>
          <w:highlight w:val="none"/>
        </w:rPr>
        <w:t>对项目</w:t>
      </w:r>
      <w:r>
        <w:rPr>
          <w:rFonts w:hint="eastAsia" w:ascii="宋体" w:hAnsi="宋体" w:eastAsia="宋体" w:cs="宋体"/>
          <w:sz w:val="24"/>
          <w:szCs w:val="24"/>
          <w:highlight w:val="none"/>
          <w:lang w:val="en-US" w:eastAsia="zh-CN"/>
        </w:rPr>
        <w:t>实施后</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真实</w:t>
      </w:r>
      <w:r>
        <w:rPr>
          <w:rFonts w:hint="eastAsia" w:ascii="宋体" w:hAnsi="宋体" w:eastAsia="宋体" w:cs="宋体"/>
          <w:sz w:val="24"/>
          <w:szCs w:val="24"/>
          <w:highlight w:val="none"/>
        </w:rPr>
        <w:t>评价情况，对本项目</w:t>
      </w:r>
      <w:r>
        <w:rPr>
          <w:rFonts w:hint="eastAsia" w:ascii="宋体" w:hAnsi="宋体" w:eastAsia="宋体" w:cs="宋体"/>
          <w:sz w:val="24"/>
          <w:szCs w:val="24"/>
          <w:highlight w:val="none"/>
          <w:lang w:eastAsia="zh-CN"/>
        </w:rPr>
        <w:t>开展</w:t>
      </w:r>
      <w:r>
        <w:rPr>
          <w:rFonts w:hint="eastAsia" w:ascii="宋体" w:hAnsi="宋体" w:eastAsia="宋体" w:cs="宋体"/>
          <w:sz w:val="24"/>
          <w:szCs w:val="24"/>
          <w:highlight w:val="none"/>
        </w:rPr>
        <w:t>满意度问卷调查。问卷调查工作情况如下。问卷调查工作情况如下：</w:t>
      </w:r>
    </w:p>
    <w:p w14:paraId="00C2651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一、该问卷调查从2025年2月1日开始至2025年3月30日结束，调查问卷共设置3道题目。</w:t>
      </w:r>
    </w:p>
    <w:p w14:paraId="75895976">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2FD333B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本次</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的受益对象为</w:t>
      </w:r>
      <w:r>
        <w:rPr>
          <w:rFonts w:hint="eastAsia" w:ascii="宋体" w:hAnsi="宋体" w:eastAsia="宋体" w:cs="宋体"/>
          <w:sz w:val="24"/>
          <w:szCs w:val="24"/>
          <w:highlight w:val="none"/>
          <w:lang w:val="en-US" w:eastAsia="zh-CN"/>
        </w:rPr>
        <w:t>享受创业担保贷款人员</w:t>
      </w:r>
      <w:r>
        <w:rPr>
          <w:rFonts w:hint="eastAsia" w:ascii="宋体" w:hAnsi="宋体" w:eastAsia="宋体" w:cs="宋体"/>
          <w:sz w:val="24"/>
          <w:szCs w:val="24"/>
          <w:highlight w:val="none"/>
        </w:rPr>
        <w:t>。</w:t>
      </w:r>
    </w:p>
    <w:p w14:paraId="1FF22206">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5431E9A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①您对2024年中央财政普惠金融发展专项资金项目的创业担保贷款政策是否满意?</w:t>
      </w:r>
    </w:p>
    <w:p w14:paraId="65F6CA3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②</w:t>
      </w:r>
      <w:r>
        <w:rPr>
          <w:rFonts w:hint="eastAsia" w:ascii="宋体" w:hAnsi="宋体" w:eastAsia="宋体" w:cs="宋体"/>
          <w:sz w:val="24"/>
          <w:szCs w:val="24"/>
          <w:highlight w:val="none"/>
          <w:lang w:val="en-US" w:eastAsia="zh-CN"/>
        </w:rPr>
        <w:t>总的来说，您对目前2024年中央财政普惠金融发展专项资金项目实施后的整体满意程度如何？</w:t>
      </w:r>
    </w:p>
    <w:p w14:paraId="48511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③</w:t>
      </w:r>
      <w:r>
        <w:rPr>
          <w:rFonts w:hint="eastAsia" w:ascii="宋体" w:hAnsi="宋体" w:eastAsia="宋体" w:cs="宋体"/>
          <w:sz w:val="24"/>
          <w:szCs w:val="24"/>
          <w:highlight w:val="none"/>
          <w:lang w:val="en-US" w:eastAsia="zh-CN"/>
        </w:rPr>
        <w:t>您对2024年中央财政普惠金融发展专项资金项目的创业担保贷款贴息政策是否满意?</w:t>
      </w:r>
    </w:p>
    <w:p w14:paraId="353EA0B1">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05DC294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问卷调查采取</w:t>
      </w:r>
      <w:r>
        <w:rPr>
          <w:rFonts w:hint="eastAsia" w:ascii="宋体" w:hAnsi="宋体" w:eastAsia="宋体" w:cs="宋体"/>
          <w:sz w:val="24"/>
          <w:szCs w:val="24"/>
          <w:highlight w:val="none"/>
          <w:lang w:val="en-US" w:eastAsia="zh-CN"/>
        </w:rPr>
        <w:t>分层</w:t>
      </w:r>
      <w:r>
        <w:rPr>
          <w:rFonts w:hint="eastAsia" w:ascii="宋体" w:hAnsi="宋体" w:eastAsia="宋体" w:cs="宋体"/>
          <w:sz w:val="24"/>
          <w:szCs w:val="24"/>
          <w:highlight w:val="none"/>
        </w:rPr>
        <w:t>抽样和</w:t>
      </w:r>
      <w:r>
        <w:rPr>
          <w:rFonts w:hint="eastAsia" w:ascii="宋体" w:hAnsi="宋体" w:eastAsia="宋体" w:cs="宋体"/>
          <w:sz w:val="24"/>
          <w:szCs w:val="24"/>
          <w:highlight w:val="none"/>
          <w:lang w:val="en-US" w:eastAsia="zh-CN"/>
        </w:rPr>
        <w:t>随机抽样相结合</w:t>
      </w:r>
      <w:r>
        <w:rPr>
          <w:rFonts w:hint="eastAsia" w:ascii="宋体" w:hAnsi="宋体" w:eastAsia="宋体" w:cs="宋体"/>
          <w:sz w:val="24"/>
          <w:szCs w:val="24"/>
          <w:highlight w:val="none"/>
        </w:rPr>
        <w:t>的方式进行。在全面</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开展之前会先进行论证，依据论证结果对问卷和抽样方案再进行一次修改和调整</w:t>
      </w:r>
      <w:r>
        <w:rPr>
          <w:rFonts w:hint="eastAsia" w:ascii="宋体" w:hAnsi="宋体" w:eastAsia="宋体" w:cs="宋体"/>
          <w:sz w:val="24"/>
          <w:szCs w:val="24"/>
          <w:highlight w:val="none"/>
          <w:lang w:val="en-US" w:eastAsia="zh-CN"/>
        </w:rPr>
        <w:t>之后再付诸实施</w:t>
      </w:r>
      <w:r>
        <w:rPr>
          <w:rFonts w:hint="eastAsia" w:ascii="宋体" w:hAnsi="宋体" w:eastAsia="宋体" w:cs="宋体"/>
          <w:sz w:val="24"/>
          <w:szCs w:val="24"/>
          <w:highlight w:val="none"/>
        </w:rPr>
        <w:t>。</w:t>
      </w:r>
    </w:p>
    <w:p w14:paraId="6F8E8423">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1F81200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为确保问卷</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的全面性和代表性，本次</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问卷调查采取</w:t>
      </w:r>
      <w:r>
        <w:rPr>
          <w:rFonts w:hint="eastAsia" w:ascii="宋体" w:hAnsi="宋体" w:eastAsia="宋体" w:cs="宋体"/>
          <w:sz w:val="24"/>
          <w:szCs w:val="24"/>
          <w:highlight w:val="none"/>
          <w:lang w:val="en-US" w:eastAsia="zh-CN"/>
        </w:rPr>
        <w:t>随机</w:t>
      </w:r>
      <w:r>
        <w:rPr>
          <w:rFonts w:hint="eastAsia" w:ascii="宋体" w:hAnsi="宋体" w:eastAsia="宋体" w:cs="宋体"/>
          <w:sz w:val="24"/>
          <w:szCs w:val="24"/>
          <w:highlight w:val="none"/>
        </w:rPr>
        <w:t>抽样和</w:t>
      </w:r>
      <w:r>
        <w:rPr>
          <w:rFonts w:hint="eastAsia" w:ascii="宋体" w:hAnsi="宋体" w:eastAsia="宋体" w:cs="宋体"/>
          <w:sz w:val="24"/>
          <w:szCs w:val="24"/>
          <w:highlight w:val="none"/>
          <w:lang w:val="en-US" w:eastAsia="zh-CN"/>
        </w:rPr>
        <w:t>分层抽样相结合</w:t>
      </w:r>
      <w:r>
        <w:rPr>
          <w:rFonts w:hint="eastAsia" w:ascii="宋体" w:hAnsi="宋体" w:eastAsia="宋体" w:cs="宋体"/>
          <w:sz w:val="24"/>
          <w:szCs w:val="24"/>
          <w:highlight w:val="none"/>
        </w:rPr>
        <w:t>方式进行。</w:t>
      </w:r>
    </w:p>
    <w:p w14:paraId="2D76EC08">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5E0C15E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0AE016ED">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43B6EC6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本次调查过程中，评价小组实际发放问卷30份，回收问卷30份，问卷回收率为100.00%，有效问卷30份，有效回收率100.00%，本次调查的整体情况如下：</w:t>
      </w:r>
    </w:p>
    <w:p w14:paraId="0C84120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第一个问题：该项统计有效问卷数量10份，选择非常满意的人数为10人。选择比较满意的人数为0人，选择一般的人数0人，选择不满意的人数0人，选择非常不满意的人数0人。</w:t>
      </w:r>
    </w:p>
    <w:p w14:paraId="0B24C5A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第二个问题：该项统计有效问卷数量10份，选择非常满意的人数为10人。选择比较满意的人数为0人，选择一般的人数0人，选择不满意的人数0人，选择非常不满意的人数0人。</w:t>
      </w:r>
    </w:p>
    <w:p w14:paraId="038C00E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第二个问题：该项统计有效问卷数量10份，选择非常满意的人数为10人。选择比较满意的人数为0人，选择一般的人数0人，选择不满意的人数0人，选择非常不满意的人数0人。</w:t>
      </w:r>
    </w:p>
    <w:p w14:paraId="59ADE79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42AC3D5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2024年中央财政普惠金融发展专项资金项目针对受益人员发放30份调查问卷，最终统计受益人群满意度为100%。</w:t>
      </w:r>
    </w:p>
    <w:p w14:paraId="2583185F">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方正仿宋_GBK" w:hAnsi="方正仿宋_GBK" w:eastAsia="方正仿宋_GBK" w:cs="方正仿宋_GBK"/>
          <w:sz w:val="32"/>
          <w:szCs w:val="32"/>
          <w:highlight w:val="none"/>
          <w:lang w:val="en-US" w:eastAsia="zh-CN"/>
        </w:rPr>
      </w:pPr>
    </w:p>
    <w:p w14:paraId="13994AC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洛浦县人力资源和社会保障局</w:t>
      </w:r>
    </w:p>
    <w:p w14:paraId="1FDDD9B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2025年3月21日</w:t>
      </w:r>
    </w:p>
    <w:p w14:paraId="7334A651">
      <w:pPr>
        <w:pStyle w:val="10"/>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8175D4-391B-425B-928D-6506953CDBC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embedRegular r:id="rId2" w:fontKey="{B9359ABA-4A3A-49FA-8869-BE3AAC01CB6F}"/>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D9A84">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6CD56D7C">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B2A3A">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1"/>
      <w:numFmt w:val="decimal"/>
      <w:lvlText w:val="%1."/>
      <w:lvlJc w:val="left"/>
      <w:pPr>
        <w:tabs>
          <w:tab w:val="left" w:pos="312"/>
        </w:tabs>
      </w:p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01B32397"/>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5"/>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6"/>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3">
    <w:name w:val="Body Text First Indent 2"/>
    <w:basedOn w:val="4"/>
    <w:link w:val="34"/>
    <w:unhideWhenUsed/>
    <w:uiPriority w:val="0"/>
    <w:pPr>
      <w:ind w:firstLine="420"/>
    </w:pPr>
  </w:style>
  <w:style w:type="paragraph" w:styleId="4">
    <w:name w:val="Body Text Indent"/>
    <w:basedOn w:val="1"/>
    <w:link w:val="33"/>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8"/>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40"/>
    <w:unhideWhenUsed/>
    <w:uiPriority w:val="99"/>
    <w:rPr>
      <w:rFonts w:cs="Times New Roman"/>
      <w:kern w:val="0"/>
      <w:sz w:val="18"/>
      <w:szCs w:val="18"/>
    </w:rPr>
  </w:style>
  <w:style w:type="paragraph" w:styleId="15">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Normal (Web)"/>
    <w:basedOn w:val="1"/>
    <w:unhideWhenUsed/>
    <w:uiPriority w:val="99"/>
    <w:pPr>
      <w:spacing w:before="100" w:beforeAutospacing="1" w:after="100" w:afterAutospacing="1"/>
      <w:ind w:left="0" w:right="0"/>
      <w:jc w:val="left"/>
    </w:pPr>
    <w:rPr>
      <w:kern w:val="0"/>
      <w:sz w:val="24"/>
      <w:lang w:val="en-US" w:eastAsia="zh-CN"/>
    </w:rPr>
  </w:style>
  <w:style w:type="paragraph" w:styleId="23">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rPr>
  </w:style>
  <w:style w:type="character" w:styleId="28">
    <w:name w:val="Hyperlink"/>
    <w:unhideWhenUsed/>
    <w:uiPriority w:val="99"/>
    <w:rPr>
      <w:color w:val="0000FF"/>
      <w:u w:val="single"/>
    </w:rPr>
  </w:style>
  <w:style w:type="paragraph" w:customStyle="1" w:styleId="29">
    <w:name w:val="Comment Text"/>
    <w:basedOn w:val="1"/>
    <w:link w:val="39"/>
    <w:unhideWhenUsed/>
    <w:uiPriority w:val="99"/>
    <w:rPr>
      <w:rFonts w:cs="Times New Roman"/>
      <w:kern w:val="0"/>
      <w:sz w:val="20"/>
      <w:szCs w:val="20"/>
    </w:rPr>
  </w:style>
  <w:style w:type="paragraph" w:customStyle="1" w:styleId="30">
    <w:name w:val="Comment Subject"/>
    <w:basedOn w:val="29"/>
    <w:next w:val="29"/>
    <w:link w:val="44"/>
    <w:unhideWhenUsed/>
    <w:uiPriority w:val="99"/>
    <w:rPr>
      <w:b/>
      <w:bCs/>
    </w:rPr>
  </w:style>
  <w:style w:type="character" w:customStyle="1" w:styleId="31">
    <w:name w:val="Comment Reference"/>
    <w:unhideWhenUsed/>
    <w:uiPriority w:val="99"/>
    <w:rPr>
      <w:sz w:val="16"/>
      <w:szCs w:val="16"/>
    </w:rPr>
  </w:style>
  <w:style w:type="character" w:customStyle="1" w:styleId="32">
    <w:name w:val="标题 1 Char"/>
    <w:link w:val="2"/>
    <w:uiPriority w:val="9"/>
    <w:rPr>
      <w:rFonts w:ascii="Times New Roman" w:hAnsi="Times New Roman" w:eastAsia="仿宋_GB2312" w:cs="Times New Roman"/>
      <w:b/>
      <w:bCs/>
      <w:kern w:val="44"/>
      <w:sz w:val="32"/>
      <w:szCs w:val="44"/>
    </w:rPr>
  </w:style>
  <w:style w:type="character" w:customStyle="1" w:styleId="33">
    <w:name w:val="正文文本缩进 Char"/>
    <w:link w:val="4"/>
    <w:semiHidden/>
    <w:uiPriority w:val="99"/>
    <w:rPr>
      <w:rFonts w:ascii="Calibri" w:hAnsi="Calibri" w:eastAsia="仿宋_GB2312" w:cs="黑体"/>
      <w:sz w:val="28"/>
    </w:rPr>
  </w:style>
  <w:style w:type="character" w:customStyle="1" w:styleId="34">
    <w:name w:val="正文首行缩进 2 Char"/>
    <w:link w:val="3"/>
    <w:uiPriority w:val="0"/>
    <w:rPr>
      <w:rFonts w:ascii="Calibri" w:hAnsi="Calibri" w:eastAsia="仿宋_GB2312" w:cs="黑体"/>
      <w:sz w:val="28"/>
    </w:rPr>
  </w:style>
  <w:style w:type="character" w:customStyle="1" w:styleId="35">
    <w:name w:val="标题 2 Char"/>
    <w:link w:val="5"/>
    <w:uiPriority w:val="0"/>
    <w:rPr>
      <w:rFonts w:ascii="Cambria" w:hAnsi="Cambria" w:eastAsia="仿宋_GB2312" w:cs="Times New Roman"/>
      <w:b/>
      <w:bCs/>
      <w:kern w:val="0"/>
      <w:sz w:val="30"/>
      <w:szCs w:val="32"/>
    </w:rPr>
  </w:style>
  <w:style w:type="character" w:customStyle="1" w:styleId="36">
    <w:name w:val="标题 3 Char"/>
    <w:link w:val="6"/>
    <w:uiPriority w:val="9"/>
    <w:rPr>
      <w:rFonts w:ascii="Calibri" w:hAnsi="Calibri" w:eastAsia="仿宋_GB2312" w:cs="黑体"/>
      <w:bCs/>
      <w:sz w:val="28"/>
      <w:szCs w:val="32"/>
    </w:rPr>
  </w:style>
  <w:style w:type="character" w:customStyle="1" w:styleId="37">
    <w:name w:val="标题 4 Char"/>
    <w:link w:val="7"/>
    <w:semiHidden/>
    <w:uiPriority w:val="9"/>
    <w:rPr>
      <w:rFonts w:ascii="Cambria" w:hAnsi="Cambria" w:eastAsia="宋体" w:cs="Times New Roman"/>
      <w:b/>
      <w:bCs/>
      <w:sz w:val="28"/>
      <w:szCs w:val="28"/>
    </w:rPr>
  </w:style>
  <w:style w:type="character" w:customStyle="1" w:styleId="38">
    <w:name w:val="文档结构图 Char"/>
    <w:link w:val="9"/>
    <w:semiHidden/>
    <w:uiPriority w:val="99"/>
    <w:rPr>
      <w:rFonts w:ascii="宋体" w:hAnsi="Calibri" w:eastAsia="宋体" w:cs="黑体"/>
      <w:sz w:val="18"/>
      <w:szCs w:val="18"/>
    </w:rPr>
  </w:style>
  <w:style w:type="character" w:customStyle="1" w:styleId="39">
    <w:name w:val="批注文字 Char"/>
    <w:link w:val="29"/>
    <w:semiHidden/>
    <w:uiPriority w:val="99"/>
    <w:rPr>
      <w:rFonts w:ascii="Calibri" w:hAnsi="Calibri" w:eastAsia="仿宋_GB2312" w:cs="黑体"/>
      <w:sz w:val="20"/>
      <w:szCs w:val="20"/>
    </w:rPr>
  </w:style>
  <w:style w:type="character" w:customStyle="1" w:styleId="40">
    <w:name w:val="批注框文本 Char"/>
    <w:link w:val="14"/>
    <w:semiHidden/>
    <w:uiPriority w:val="99"/>
    <w:rPr>
      <w:rFonts w:ascii="Calibri" w:hAnsi="Calibri" w:eastAsia="仿宋_GB2312" w:cs="黑体"/>
      <w:sz w:val="18"/>
      <w:szCs w:val="18"/>
    </w:rPr>
  </w:style>
  <w:style w:type="character" w:customStyle="1" w:styleId="41">
    <w:name w:val="页脚 Char"/>
    <w:link w:val="15"/>
    <w:uiPriority w:val="99"/>
    <w:rPr>
      <w:rFonts w:ascii="Calibri" w:hAnsi="Calibri" w:eastAsia="仿宋_GB2312" w:cs="黑体"/>
      <w:sz w:val="18"/>
      <w:szCs w:val="18"/>
    </w:rPr>
  </w:style>
  <w:style w:type="character" w:customStyle="1" w:styleId="42">
    <w:name w:val="页眉 Char"/>
    <w:link w:val="16"/>
    <w:uiPriority w:val="99"/>
    <w:rPr>
      <w:rFonts w:ascii="Calibri" w:hAnsi="Calibri" w:eastAsia="仿宋_GB2312" w:cs="黑体"/>
      <w:sz w:val="18"/>
      <w:szCs w:val="18"/>
    </w:rPr>
  </w:style>
  <w:style w:type="character" w:customStyle="1" w:styleId="43">
    <w:name w:val="标题 Char"/>
    <w:link w:val="23"/>
    <w:uiPriority w:val="10"/>
    <w:rPr>
      <w:rFonts w:ascii="Cambria" w:hAnsi="Cambria"/>
      <w:b/>
      <w:bCs/>
      <w:kern w:val="2"/>
      <w:sz w:val="32"/>
      <w:szCs w:val="32"/>
    </w:rPr>
  </w:style>
  <w:style w:type="character" w:customStyle="1" w:styleId="44">
    <w:name w:val="批注主题 Char"/>
    <w:link w:val="30"/>
    <w:semiHidden/>
    <w:uiPriority w:val="99"/>
    <w:rPr>
      <w:rFonts w:ascii="Calibri" w:hAnsi="Calibri" w:eastAsia="仿宋_GB2312" w:cs="黑体"/>
      <w:b/>
      <w:bCs/>
      <w:sz w:val="20"/>
      <w:szCs w:val="20"/>
    </w:rPr>
  </w:style>
  <w:style w:type="character" w:customStyle="1" w:styleId="45">
    <w:name w:val="闻政-正文一级标题 Char"/>
    <w:link w:val="46"/>
    <w:uiPriority w:val="3"/>
    <w:rPr>
      <w:rFonts w:ascii="黑体" w:hAnsi="黑体" w:eastAsia="黑体"/>
      <w:bCs/>
      <w:sz w:val="32"/>
      <w:szCs w:val="32"/>
    </w:rPr>
  </w:style>
  <w:style w:type="paragraph" w:customStyle="1" w:styleId="46">
    <w:name w:val="闻政-正文一级标题"/>
    <w:basedOn w:val="6"/>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uiPriority w:val="3"/>
    <w:rPr>
      <w:rFonts w:ascii="Times New Roman" w:hAnsi="Times New Roman" w:eastAsia="仿宋_GB2312"/>
      <w:sz w:val="28"/>
      <w:szCs w:val="28"/>
    </w:rPr>
  </w:style>
  <w:style w:type="character" w:customStyle="1" w:styleId="49">
    <w:name w:val="闻政-正文二级标题 Char"/>
    <w:link w:val="50"/>
    <w:uiPriority w:val="3"/>
    <w:rPr>
      <w:rFonts w:ascii="Times New Roman" w:hAnsi="Times New Roman" w:eastAsia="仿宋_GB2312"/>
      <w:b/>
      <w:bCs/>
      <w:sz w:val="28"/>
      <w:szCs w:val="32"/>
    </w:rPr>
  </w:style>
  <w:style w:type="paragraph" w:customStyle="1" w:styleId="50">
    <w:name w:val="闻政-正文二级标题"/>
    <w:basedOn w:val="5"/>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uiPriority w:val="0"/>
    <w:rPr>
      <w:rFonts w:hint="default" w:ascii="Times New Roman" w:hAnsi="Times New Roman" w:cs="Times New Roman"/>
      <w:color w:val="000000"/>
      <w:sz w:val="24"/>
      <w:szCs w:val="24"/>
      <w:u w:val="none"/>
    </w:rPr>
  </w:style>
  <w:style w:type="character" w:customStyle="1" w:styleId="56">
    <w:name w:val="无间隔 Char"/>
    <w:link w:val="57"/>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basedOn w:val="26"/>
    <w:uiPriority w:val="0"/>
    <w:rPr>
      <w:rFonts w:hint="eastAsia" w:ascii="微软雅黑" w:hAnsi="微软雅黑" w:eastAsia="微软雅黑" w:cs="微软雅黑"/>
      <w:b/>
      <w:bCs/>
      <w:color w:val="000000"/>
      <w:sz w:val="32"/>
      <w:szCs w:val="32"/>
      <w:u w:val="none"/>
    </w:rPr>
  </w:style>
  <w:style w:type="paragraph" w:customStyle="1" w:styleId="61">
    <w:name w:val="Char"/>
    <w:basedOn w:val="1"/>
    <w:qFormat/>
    <w:uiPriority w:val="0"/>
    <w:rPr>
      <w:rFonts w:ascii="仿宋_GB2312" w:eastAsia="仿宋_GB2312" w:cs="黑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F705832A37184983A9B65213A25B37BF_13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72421-c245-4cc6-8842-8c52731dbd9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10259</Words>
  <Characters>10881</Characters>
  <Lines>44</Lines>
  <Paragraphs>12</Paragraphs>
  <TotalTime>14</TotalTime>
  <ScaleCrop>false</ScaleCrop>
  <LinksUpToDate>false</LinksUpToDate>
  <CharactersWithSpaces>10906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cp:lastPrinted>2025-03-21T03:43:00Z</cp:lastPrinted>
  <dcterms:modified xsi:type="dcterms:W3CDTF">2025-10-10T10:15:26Z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F705832A37184983A9B65213A25B37BF_13</vt:lpwstr>
  </property>
  <property fmtid="{D5CDD505-2E9C-101B-9397-08002B2CF9AE}" pid="4" name="KSOTemplateDocerSaveRecord">
    <vt:lpwstr>eyJoZGlkIjoiZDE5MGZhMTJhZDM2OTQwYzkzYWVjM2FhZDUxN2Q0M2IiLCJ1c2VySWQiOiI2NTE5NDIwMjYifQ_x003D__x003D_</vt:lpwstr>
  </property>
</Properties>
</file>