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D6B57B">
      <w:bookmarkStart w:id="21" w:name="_GoBack"/>
      <w:bookmarkEnd w:id="21"/>
    </w:p>
    <w:p w14:paraId="6BDB4D23">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default" w:ascii="黑体" w:hAnsi="黑体" w:eastAsia="黑体" w:cs="黑体"/>
          <w:b/>
          <w:color w:val="000000"/>
          <w:sz w:val="36"/>
          <w:szCs w:val="36"/>
          <w:highlight w:val="none"/>
          <w:lang w:val="en-US" w:eastAsia="zh-CN"/>
        </w:rPr>
      </w:pPr>
    </w:p>
    <w:p w14:paraId="6EF7208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和田地区2024年中央财政基本公共卫生</w:t>
      </w:r>
    </w:p>
    <w:p w14:paraId="792D33B4">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服务补助项目支出绩效评价报告</w:t>
      </w:r>
    </w:p>
    <w:p w14:paraId="51003636">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7A941F6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28491558">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5AD3EE91">
      <w:pPr>
        <w:pStyle w:val="6"/>
        <w:rPr>
          <w:rFonts w:hint="eastAsia" w:eastAsia="方正仿宋_GBK" w:cs="方正仿宋_GBK"/>
          <w:b/>
          <w:color w:val="auto"/>
          <w:kern w:val="0"/>
          <w:sz w:val="32"/>
          <w:szCs w:val="32"/>
          <w:highlight w:val="none"/>
          <w:lang w:bidi="en-US"/>
        </w:rPr>
      </w:pPr>
    </w:p>
    <w:p w14:paraId="7D4CE916">
      <w:pPr>
        <w:rPr>
          <w:rFonts w:hint="eastAsia" w:eastAsia="方正仿宋_GBK" w:cs="方正仿宋_GBK"/>
          <w:b/>
          <w:color w:val="auto"/>
          <w:kern w:val="0"/>
          <w:sz w:val="32"/>
          <w:szCs w:val="32"/>
          <w:highlight w:val="none"/>
          <w:lang w:bidi="en-US"/>
        </w:rPr>
      </w:pPr>
    </w:p>
    <w:p w14:paraId="4A5D3428">
      <w:pPr>
        <w:pStyle w:val="6"/>
        <w:rPr>
          <w:rFonts w:hint="eastAsia"/>
          <w:color w:val="auto"/>
          <w:highlight w:val="none"/>
        </w:rPr>
      </w:pPr>
    </w:p>
    <w:p w14:paraId="7CE6A97A">
      <w:pPr>
        <w:pageBreakBefore w:val="0"/>
        <w:widowControl w:val="0"/>
        <w:kinsoku/>
        <w:wordWrap/>
        <w:topLinePunct w:val="0"/>
        <w:autoSpaceDE/>
        <w:autoSpaceDN/>
        <w:bidi w:val="0"/>
        <w:spacing w:line="560" w:lineRule="exact"/>
        <w:ind w:left="0" w:leftChars="0" w:firstLine="0" w:firstLineChars="0"/>
        <w:textAlignment w:val="auto"/>
        <w:rPr>
          <w:rFonts w:hint="eastAsia" w:ascii="Times New Roman" w:hAnsi="Times New Roman" w:eastAsia="方正仿宋_GBK" w:cs="方正仿宋_GBK"/>
          <w:color w:val="000000"/>
          <w:kern w:val="0"/>
          <w:sz w:val="32"/>
          <w:szCs w:val="32"/>
          <w:highlight w:val="none"/>
          <w:lang w:bidi="en-US"/>
        </w:rPr>
      </w:pPr>
    </w:p>
    <w:p w14:paraId="1C688983">
      <w:pPr>
        <w:pageBreakBefore w:val="0"/>
        <w:widowControl w:val="0"/>
        <w:kinsoku/>
        <w:wordWrap/>
        <w:topLinePunct w:val="0"/>
        <w:autoSpaceDE/>
        <w:autoSpaceDN/>
        <w:bidi w:val="0"/>
        <w:spacing w:line="560" w:lineRule="exact"/>
        <w:ind w:left="0" w:leftChars="0" w:firstLine="0" w:firstLineChars="0"/>
        <w:textAlignment w:val="auto"/>
        <w:rPr>
          <w:rFonts w:hint="eastAsia" w:ascii="Times New Roman" w:hAnsi="Times New Roman" w:eastAsia="方正仿宋_GBK" w:cs="方正仿宋_GBK"/>
          <w:color w:val="000000"/>
          <w:kern w:val="0"/>
          <w:sz w:val="32"/>
          <w:szCs w:val="32"/>
          <w:highlight w:val="none"/>
          <w:lang w:bidi="en-US"/>
        </w:rPr>
      </w:pPr>
    </w:p>
    <w:p w14:paraId="5668E1CB">
      <w:pPr>
        <w:pageBreakBefore w:val="0"/>
        <w:widowControl w:val="0"/>
        <w:kinsoku/>
        <w:wordWrap/>
        <w:topLinePunct w:val="0"/>
        <w:autoSpaceDE/>
        <w:autoSpaceDN/>
        <w:bidi w:val="0"/>
        <w:spacing w:line="560" w:lineRule="exact"/>
        <w:ind w:left="0" w:leftChars="0" w:firstLine="0" w:firstLineChars="0"/>
        <w:textAlignment w:val="auto"/>
        <w:rPr>
          <w:rFonts w:hint="eastAsia" w:ascii="Times New Roman" w:hAnsi="Times New Roman" w:eastAsia="方正仿宋_GBK" w:cs="方正仿宋_GBK"/>
          <w:color w:val="000000"/>
          <w:kern w:val="0"/>
          <w:sz w:val="32"/>
          <w:szCs w:val="32"/>
          <w:highlight w:val="none"/>
          <w:lang w:bidi="en-US"/>
        </w:rPr>
      </w:pPr>
    </w:p>
    <w:p w14:paraId="563D8268">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项目名称：2024年中央基本公共卫生服务补助项目</w:t>
      </w:r>
    </w:p>
    <w:p w14:paraId="7EE59B9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洛浦县卫生健康委员会</w:t>
      </w:r>
    </w:p>
    <w:p w14:paraId="5519A666">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洛浦县卫生健康委员会</w:t>
      </w:r>
      <w:r>
        <w:rPr>
          <w:rFonts w:hint="eastAsia" w:ascii="宋体" w:hAnsi="宋体" w:eastAsia="宋体" w:cs="宋体"/>
          <w:b/>
          <w:bCs/>
          <w:color w:val="000000"/>
          <w:kern w:val="0"/>
          <w:sz w:val="28"/>
          <w:szCs w:val="28"/>
          <w:highlight w:val="none"/>
          <w:lang w:bidi="en-US"/>
        </w:rPr>
        <w:t>（本级）</w:t>
      </w:r>
    </w:p>
    <w:p w14:paraId="1832C010">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阿卜杜库都斯</w:t>
      </w:r>
    </w:p>
    <w:p w14:paraId="29C3954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5</w:t>
      </w:r>
      <w:r>
        <w:rPr>
          <w:rFonts w:hint="eastAsia" w:ascii="宋体" w:hAnsi="宋体" w:eastAsia="宋体" w:cs="宋体"/>
          <w:b/>
          <w:bCs/>
          <w:color w:val="000000"/>
          <w:kern w:val="0"/>
          <w:sz w:val="28"/>
          <w:szCs w:val="28"/>
          <w:highlight w:val="none"/>
          <w:lang w:bidi="en-US"/>
        </w:rPr>
        <w:t>日</w:t>
      </w:r>
    </w:p>
    <w:p w14:paraId="7E91FB9E">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highlight w:val="none"/>
          <w:lang w:bidi="en-US"/>
        </w:rPr>
      </w:pPr>
    </w:p>
    <w:p w14:paraId="29103608">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01ADB90B">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0FBA710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257455A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进一步加强妇幼卫生、职业卫生和地方病防治工作、城乡居民健康水平和生活质量进一步提高，健康意识明显增强，主要健康危险因素得到减少，传染病及慢性病的发生得到有效控制和预防。对辖区内常住人口(包括在本地连续居住6个月及以上的外来居民）按照国家《基本公共卫生服务规范（第三版）》要求提供建立居民健康档案，健康教育，预防接种，儿童健康管理，孕产妇健康管理，传染病和突发公共卫生事件报告和处理、卫生监督协管及家庭医生签约服务等服务。</w:t>
      </w:r>
    </w:p>
    <w:p w14:paraId="3206540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33ECBFD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6C133AA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项目总投资1744.2万元，用于卫健委、卫生监督所、疾控中心、妇幼保健院、县人民医院、各乡镇卫生院基本公共卫生服务支出，其中：原基本公共卫生1646万元、职业病防治2.1万元、地方病防治10.8万元、食品安全标准制定0.3万元、妇幼卫生77万元、政策宣传咨询8万元。通过本项目的实施，持续缩小城乡居民公共卫生差距，不断提高基本公共卫生服务水平，使受益对象满意度达95%以上。</w:t>
      </w:r>
    </w:p>
    <w:p w14:paraId="0C34C2D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46B0102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320D9DF9">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本项目主管部门为洛浦县卫生健康委员会，实施单位为洛浦县卫生健康委员会、洛浦县卫生监督所、洛浦县妇幼保健院、洛浦县疾控中心以及10个乡镇卫生院。</w:t>
      </w:r>
    </w:p>
    <w:p w14:paraId="582A48E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212F296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2024年1月-2024年12月</w:t>
      </w:r>
    </w:p>
    <w:p w14:paraId="170DBC2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1F28A91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项目</w:t>
      </w:r>
      <w:r>
        <w:rPr>
          <w:rFonts w:hint="default" w:ascii="宋体" w:hAnsi="宋体" w:eastAsia="宋体" w:cs="宋体"/>
          <w:sz w:val="24"/>
          <w:szCs w:val="24"/>
          <w:highlight w:val="none"/>
          <w:lang w:val="en-US" w:eastAsia="zh-CN"/>
        </w:rPr>
        <w:t>于2023年12月</w:t>
      </w:r>
      <w:r>
        <w:rPr>
          <w:rFonts w:hint="eastAsia" w:ascii="宋体" w:hAnsi="宋体" w:eastAsia="宋体" w:cs="宋体"/>
          <w:sz w:val="24"/>
          <w:szCs w:val="24"/>
          <w:highlight w:val="none"/>
          <w:lang w:val="en-US" w:eastAsia="zh-CN"/>
        </w:rPr>
        <w:t>31</w:t>
      </w:r>
      <w:r>
        <w:rPr>
          <w:rFonts w:hint="default" w:ascii="宋体" w:hAnsi="宋体" w:eastAsia="宋体" w:cs="宋体"/>
          <w:sz w:val="24"/>
          <w:szCs w:val="24"/>
          <w:highlight w:val="none"/>
          <w:lang w:val="en-US" w:eastAsia="zh-CN"/>
        </w:rPr>
        <w:t>日前全部</w:t>
      </w:r>
      <w:r>
        <w:rPr>
          <w:rFonts w:hint="eastAsia" w:ascii="宋体" w:hAnsi="宋体" w:eastAsia="宋体" w:cs="宋体"/>
          <w:sz w:val="24"/>
          <w:szCs w:val="24"/>
          <w:highlight w:val="none"/>
          <w:lang w:val="en-US" w:eastAsia="zh-CN"/>
        </w:rPr>
        <w:t>实施完毕</w:t>
      </w:r>
      <w:r>
        <w:rPr>
          <w:rFonts w:hint="default" w:ascii="宋体" w:hAnsi="宋体" w:eastAsia="宋体" w:cs="宋体"/>
          <w:sz w:val="24"/>
          <w:szCs w:val="24"/>
          <w:highlight w:val="none"/>
          <w:lang w:val="en-US" w:eastAsia="zh-CN"/>
        </w:rPr>
        <w:t>。</w:t>
      </w:r>
    </w:p>
    <w:p w14:paraId="0F02133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根据《关于提前下达2024年中央财政基本公共卫生服务补助资金预算的通知》（和地财社〔2023〕69号）文件实施，由洛浦县卫生健康委员会、洛浦县卫生监督所、洛浦县妇幼保健院、洛浦县疾控中心以及10个乡镇卫生院具体开展实施。主要职责严格按照《国家基本公共卫生服务项目规范(第三版)》的服务内容、服务流程等要求，认真组织好、做实、做细国家基本公共卫生服务12个项目的实施。</w:t>
      </w:r>
    </w:p>
    <w:p w14:paraId="5E09B60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65CBAB7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49923C8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预算安排总额为1744.2万元，资金来源为中央直达资金，其中：财政资金1744.2万元，其他资金（含自有资金、社会资金及以前年度结转结余资金）0.00万元，2024年实际收到预算资金1744.2万元，预算资金到位率为100.00%。</w:t>
      </w:r>
    </w:p>
    <w:p w14:paraId="20D2DDC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73CB426C">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本项目实际支付资金1605.09万元，预算执行率92%，结转资金139.11万元。本项目资金主要用于支付原基本公共卫生经费1511.74万元、职业病防治2.1万元、地方病防治10.8万元、食品安全标准制定0.3万元、妇幼卫生77万元</w:t>
      </w:r>
      <w:r>
        <w:rPr>
          <w:rFonts w:hint="eastAsia" w:ascii="宋体" w:hAnsi="宋体" w:eastAsia="宋体" w:cs="宋体"/>
          <w:sz w:val="24"/>
          <w:szCs w:val="24"/>
          <w:highlight w:val="none"/>
          <w:lang w:val="en-US" w:eastAsia="zh-CN"/>
        </w:rPr>
        <w:tab/>
      </w:r>
      <w:r>
        <w:rPr>
          <w:rFonts w:hint="eastAsia" w:ascii="宋体" w:hAnsi="宋体" w:eastAsia="宋体" w:cs="宋体"/>
          <w:sz w:val="24"/>
          <w:szCs w:val="24"/>
          <w:highlight w:val="none"/>
          <w:lang w:val="en-US" w:eastAsia="zh-CN"/>
        </w:rPr>
        <w:t>、政策宣传咨询3.15万元。</w:t>
      </w:r>
    </w:p>
    <w:p w14:paraId="2DF1B5AF">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bookmarkStart w:id="1" w:name="_Toc68364659"/>
      <w:r>
        <w:rPr>
          <w:rFonts w:hint="eastAsia" w:ascii="宋体" w:hAnsi="宋体" w:eastAsia="宋体" w:cs="宋体"/>
          <w:b/>
          <w:bCs/>
          <w:color w:val="000000"/>
          <w:sz w:val="24"/>
          <w:szCs w:val="24"/>
          <w:highlight w:val="none"/>
          <w:lang w:eastAsia="zh-CN"/>
        </w:rPr>
        <w:t>（二）项目绩效目标</w:t>
      </w:r>
      <w:bookmarkEnd w:id="1"/>
    </w:p>
    <w:p w14:paraId="6A728BD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4B1F5F7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1.总</w:t>
      </w:r>
      <w:r>
        <w:rPr>
          <w:rFonts w:hint="eastAsia" w:ascii="宋体" w:hAnsi="宋体" w:eastAsia="宋体" w:cs="宋体"/>
          <w:b/>
          <w:bCs/>
          <w:color w:val="000000"/>
          <w:sz w:val="24"/>
          <w:szCs w:val="24"/>
          <w:highlight w:val="none"/>
          <w:lang w:val="en-US" w:eastAsia="zh-CN"/>
        </w:rPr>
        <w:t>体</w:t>
      </w:r>
      <w:r>
        <w:rPr>
          <w:rFonts w:hint="eastAsia" w:ascii="宋体" w:hAnsi="宋体" w:eastAsia="宋体" w:cs="宋体"/>
          <w:b/>
          <w:bCs/>
          <w:color w:val="000000"/>
          <w:sz w:val="24"/>
          <w:szCs w:val="24"/>
          <w:highlight w:val="none"/>
        </w:rPr>
        <w:t>目标</w:t>
      </w:r>
    </w:p>
    <w:p w14:paraId="195FA24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根据《关于提前下达2024年中央财政基本公共卫生服务补助资金预算的通知》（和地财社〔2023〕69号）实施本项目。主要内容：项目总投资1744.2万元，用于卫健委、卫生监督所、疾控中心、妇幼保健院、县人民医院、各乡镇卫生院基本公共卫生服务支出，其中：原基本公共卫生1646万元、职业病防治2.1万元、地方病防治10.8万元、食品安全标准制定0.3万元、妇幼卫生77万元、政策宣传咨询8万元。通过本项目的实施，持续缩小城乡居民公共卫生差距，不断提高基本公共卫生服务水平，使受益对象满意度达95%以上。</w:t>
      </w:r>
    </w:p>
    <w:p w14:paraId="01A9F7CD">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2" w:name="_Toc68364660"/>
      <w:r>
        <w:rPr>
          <w:rFonts w:hint="eastAsia" w:ascii="宋体" w:hAnsi="宋体" w:eastAsia="宋体" w:cs="宋体"/>
          <w:b/>
          <w:bCs/>
          <w:color w:val="000000"/>
          <w:sz w:val="24"/>
          <w:szCs w:val="24"/>
          <w:highlight w:val="none"/>
        </w:rPr>
        <w:t>阶段性目标</w:t>
      </w:r>
    </w:p>
    <w:p w14:paraId="4C1BEFD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4A21EDA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1948140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18997C4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指标1：县级单位数量，预期指标值≥5个；</w:t>
      </w:r>
    </w:p>
    <w:p w14:paraId="51B262C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指标2：乡镇卫生院数量，预期指标值≥10个；</w:t>
      </w:r>
    </w:p>
    <w:p w14:paraId="3CA3B7E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4A76465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指标1：资金使用合规率，预期指标值=100%；</w:t>
      </w:r>
    </w:p>
    <w:p w14:paraId="33A1B8A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102CC0C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指标1：资金支付及时率，预期指标值=100%；</w:t>
      </w:r>
    </w:p>
    <w:p w14:paraId="6118A7F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指标2：项目完成时间，预期指标值2024年12月；</w:t>
      </w:r>
    </w:p>
    <w:p w14:paraId="401FD86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3674199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6A79E4F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指标1：原基本公共卫生经费，预期指标值≤1646万元；</w:t>
      </w:r>
    </w:p>
    <w:p w14:paraId="5F95EB8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指标2：职业病防治，用预期指标值≤2.10万元；</w:t>
      </w:r>
    </w:p>
    <w:p w14:paraId="57BA074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指标3：地方病防治，用预期指标值≤10.80万元；</w:t>
      </w:r>
    </w:p>
    <w:p w14:paraId="0E92C95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指标4：食品安全标准制定，预期指标值≤0.30万元；</w:t>
      </w:r>
    </w:p>
    <w:p w14:paraId="7457D1E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指标5：妇幼卫生，用预期指标值≤77万元；</w:t>
      </w:r>
    </w:p>
    <w:p w14:paraId="7CE9B4D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指标6：政策宣传咨询，用预期指标值≤8万元；</w:t>
      </w:r>
    </w:p>
    <w:p w14:paraId="21BB2DA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6CC3092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5414122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0BBD1B5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6994548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101E97C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53A7568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1EF760B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5E1C2A5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指标1：城乡居民公共卫生差距，预期指标值为持续缩小；</w:t>
      </w:r>
    </w:p>
    <w:p w14:paraId="7F034F9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指标2：提高基本公共卫生服务水平，预期指标值为不断提高；</w:t>
      </w:r>
    </w:p>
    <w:p w14:paraId="07AE37B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60C99DF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77D1456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279DB25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指标1：受益农民满意度，预期指标值≥95%。</w:t>
      </w:r>
    </w:p>
    <w:p w14:paraId="579F3347">
      <w:pPr>
        <w:pStyle w:val="4"/>
        <w:pageBreakBefore w:val="0"/>
        <w:widowControl w:val="0"/>
        <w:kinsoku/>
        <w:wordWrap/>
        <w:overflowPunct/>
        <w:topLinePunct w:val="0"/>
        <w:autoSpaceDE/>
        <w:autoSpaceDN/>
        <w:bidi w:val="0"/>
        <w:adjustRightInd/>
        <w:snapToGrid/>
        <w:spacing w:before="0" w:after="0" w:line="500" w:lineRule="exact"/>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2"/>
    </w:p>
    <w:p w14:paraId="03E5412E">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3" w:name="_Toc68364661"/>
      <w:r>
        <w:rPr>
          <w:rFonts w:hint="eastAsia" w:ascii="宋体" w:hAnsi="宋体" w:eastAsia="宋体" w:cs="宋体"/>
          <w:color w:val="auto"/>
          <w:sz w:val="24"/>
          <w:szCs w:val="24"/>
          <w:highlight w:val="none"/>
        </w:rPr>
        <w:t>（一）绩效评价目的、对象和范围</w:t>
      </w:r>
      <w:bookmarkEnd w:id="3"/>
    </w:p>
    <w:p w14:paraId="23A939D0">
      <w:pPr>
        <w:pStyle w:val="46"/>
        <w:pageBreakBefore w:val="0"/>
        <w:widowControl w:val="0"/>
        <w:kinsoku/>
        <w:wordWrap/>
        <w:overflowPunct/>
        <w:topLinePunct w:val="0"/>
        <w:autoSpaceDE/>
        <w:autoSpaceDN/>
        <w:bidi w:val="0"/>
        <w:adjustRightInd/>
        <w:snapToGrid/>
        <w:spacing w:line="500" w:lineRule="exact"/>
        <w:ind w:left="0" w:leftChars="0" w:firstLine="643"/>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1.绩效评价目的</w:t>
      </w:r>
    </w:p>
    <w:p w14:paraId="67099B7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2024年中央基本公共卫生服务补助项目开展本次部门项目支出绩效评价工作。全面了解2024年中央基本公共卫生服务补助项目预算编制合理性、资金使用合规性、项目管理的规范性、项目目标的实现情况、服务对象的满意度等项目实施前期、过程及实施效果情况。</w:t>
      </w:r>
    </w:p>
    <w:p w14:paraId="65CEDB6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20D466B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50E91B3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同时，通过部门项目支出绩效评价，可促进本单位发现预算项目管理中的问题、总结经验、改进工作，以提高财政预算资金使用的效率及效益。</w:t>
      </w:r>
    </w:p>
    <w:p w14:paraId="44FCA1BD">
      <w:pPr>
        <w:pStyle w:val="46"/>
        <w:keepNext w:val="0"/>
        <w:keepLines w:val="0"/>
        <w:pageBreakBefore w:val="0"/>
        <w:widowControl w:val="0"/>
        <w:kinsoku/>
        <w:wordWrap/>
        <w:overflowPunct/>
        <w:topLinePunct w:val="0"/>
        <w:autoSpaceDE/>
        <w:autoSpaceDN/>
        <w:bidi w:val="0"/>
        <w:adjustRightInd/>
        <w:snapToGrid/>
        <w:spacing w:line="500" w:lineRule="exact"/>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0F6C969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此次绩效评价遵循财政部《项目支出绩效评价管理办法》（财预〔2020〕10号）和《自治区财政支出绩效评价管理暂行办法》（新财预〔2018〕189号）等政策文件规定，以2024年中央基本公共卫生服务补助项目为评价对象，对该项目决策、项目资金管理、项目实施过程管理，以及项目实施所带来的产出和效果等内容，进行综合评价。</w:t>
      </w:r>
    </w:p>
    <w:p w14:paraId="3C66F6AA">
      <w:pPr>
        <w:pStyle w:val="46"/>
        <w:pageBreakBefore w:val="0"/>
        <w:widowControl w:val="0"/>
        <w:kinsoku/>
        <w:wordWrap/>
        <w:topLinePunct w:val="0"/>
        <w:autoSpaceDE/>
        <w:autoSpaceDN/>
        <w:bidi w:val="0"/>
        <w:spacing w:line="500" w:lineRule="exact"/>
        <w:ind w:left="0" w:leftChars="0" w:firstLine="64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3.绩效评价范围</w:t>
      </w:r>
    </w:p>
    <w:p w14:paraId="6C4A9D3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主要围绕2024年中央基本公共卫生服务补助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color w:val="000000"/>
          <w:sz w:val="24"/>
          <w:szCs w:val="24"/>
          <w:highlight w:val="none"/>
          <w:lang w:val="en-US" w:eastAsia="zh-CN"/>
        </w:rPr>
        <w:t>，覆盖预算资金支出项目的所有内容进行评价。</w:t>
      </w:r>
    </w:p>
    <w:p w14:paraId="69F52DF5">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4"/>
    </w:p>
    <w:p w14:paraId="001B980D">
      <w:pPr>
        <w:pStyle w:val="46"/>
        <w:pageBreakBefore w:val="0"/>
        <w:widowControl w:val="0"/>
        <w:kinsoku/>
        <w:wordWrap/>
        <w:overflowPunct/>
        <w:topLinePunct w:val="0"/>
        <w:autoSpaceDE/>
        <w:autoSpaceDN/>
        <w:bidi w:val="0"/>
        <w:adjustRightInd/>
        <w:snapToGrid/>
        <w:spacing w:line="500" w:lineRule="exact"/>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1.绩效评价原则</w:t>
      </w:r>
    </w:p>
    <w:p w14:paraId="580271E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753219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（1）科学公正。绩效评价应当运用科学合理的方法，按照规范的程序，对项目绩效进行客观、公正的反映。</w:t>
      </w:r>
    </w:p>
    <w:p w14:paraId="0F80864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40C3946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（3）激励约束。绩效评价结果应与预算安排、政策调整、改进管理实质性挂钩，体现奖优罚劣和激励相容导向，有效要安排、低效要压减、无效要问责。</w:t>
      </w:r>
    </w:p>
    <w:p w14:paraId="1D94995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（4）公开透明。绩效评价结果应依法依规公开，并自觉接受社会监督。</w:t>
      </w:r>
    </w:p>
    <w:p w14:paraId="57197D6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根据以上原则，绩效评价应遵循如下要求:</w:t>
      </w:r>
    </w:p>
    <w:p w14:paraId="567A958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433858EA">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289271E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36BF8AEB">
      <w:pPr>
        <w:pStyle w:val="46"/>
        <w:pageBreakBefore w:val="0"/>
        <w:widowControl w:val="0"/>
        <w:kinsoku/>
        <w:wordWrap/>
        <w:overflowPunct/>
        <w:topLinePunct w:val="0"/>
        <w:autoSpaceDE/>
        <w:autoSpaceDN/>
        <w:bidi w:val="0"/>
        <w:adjustRightInd/>
        <w:snapToGrid/>
        <w:spacing w:line="500" w:lineRule="exact"/>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2.绩效评价指标体系</w:t>
      </w:r>
    </w:p>
    <w:p w14:paraId="7F895CC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个二级指标。项目绩效评价体系</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详细指标体系见“附件1：项目支出绩效评价体系”。</w:t>
      </w:r>
    </w:p>
    <w:p w14:paraId="1C498ED8">
      <w:pPr>
        <w:pStyle w:val="46"/>
        <w:pageBreakBefore w:val="0"/>
        <w:widowControl w:val="0"/>
        <w:kinsoku/>
        <w:wordWrap/>
        <w:overflowPunct/>
        <w:topLinePunct w:val="0"/>
        <w:autoSpaceDE/>
        <w:autoSpaceDN/>
        <w:bidi w:val="0"/>
        <w:adjustRightInd/>
        <w:snapToGrid/>
        <w:spacing w:line="500" w:lineRule="exact"/>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3.绩效评价方法</w:t>
      </w:r>
    </w:p>
    <w:p w14:paraId="53547F6E">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3CC07F8">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具体</w:t>
      </w:r>
      <w:r>
        <w:rPr>
          <w:rFonts w:hint="eastAsia" w:ascii="宋体" w:hAnsi="宋体" w:eastAsia="宋体" w:cs="宋体"/>
          <w:color w:val="000000"/>
          <w:sz w:val="24"/>
          <w:szCs w:val="24"/>
          <w:highlight w:val="none"/>
        </w:rPr>
        <w:t>评价方法的应用如下:</w:t>
      </w:r>
    </w:p>
    <w:p w14:paraId="0B62259D">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立项依据充分性：比较法、文献法，查找法律法规政策以及规划，对比实际执行内容和政策支持内容是否匹配。</w:t>
      </w:r>
    </w:p>
    <w:p w14:paraId="6DC0AFC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立项程序规范性：比较法、文献法，查找相关项目设立的政策和文件要求，对比分析实际执行程序是否按照政策及文件要求执行，分析立项程序的规范性。</w:t>
      </w:r>
    </w:p>
    <w:p w14:paraId="7E7A4BFB">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绩效目标合理性：比较法，对比分析年初编制项目支出绩效目标表与项目内容的相关性、资金的匹配性等。</w:t>
      </w:r>
    </w:p>
    <w:p w14:paraId="57BD749E">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绩效指标明确性：比较法，比较分析年初编制项目支出绩效目标表是否符合双七原则，是否可衡量。</w:t>
      </w:r>
    </w:p>
    <w:p w14:paraId="67DD233D">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预算编制科学性</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成本效益分析法</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分析在产出一定的情况下，成本取值是否有依据，是否经过询价，是否按照市场最低成本编制。</w:t>
      </w:r>
    </w:p>
    <w:p w14:paraId="3C786372">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资金分配合理性：因素分析法，综合分析资金的分配依据是否充分，分配金额是否与项目实施单位需求金额一致</w:t>
      </w:r>
      <w:r>
        <w:rPr>
          <w:rFonts w:hint="eastAsia" w:ascii="宋体" w:hAnsi="宋体" w:eastAsia="宋体" w:cs="宋体"/>
          <w:color w:val="000000"/>
          <w:sz w:val="24"/>
          <w:szCs w:val="24"/>
          <w:highlight w:val="none"/>
          <w:lang w:eastAsia="zh-CN"/>
        </w:rPr>
        <w:t>。</w:t>
      </w:r>
    </w:p>
    <w:p w14:paraId="432E62E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资金到位率：比较法，资金到位率预期指标值应为100%，通过实际计算，分析实际完成值和预期指标值之间的差距和原因。</w:t>
      </w:r>
    </w:p>
    <w:p w14:paraId="75FCB232">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预算执行率：比较法，预算执行率预期指标值应为100%，通过实际计算，分析实际完成值和预期指标值之间的差距和原因。</w:t>
      </w:r>
    </w:p>
    <w:p w14:paraId="49FFB3E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09970447">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770E7AF0">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制度执行有效性：比较法，结合项目实际实施过程性文件，根据已建设的财务管理制度和项目管理制度综合分析制度执行的有效性。</w:t>
      </w:r>
    </w:p>
    <w:p w14:paraId="534BD739">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9326696">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定性指标：公众评判法，通过问卷及抽样调查等方式评价本项目实施后社会公众对于其实施效果的满意程度。</w:t>
      </w:r>
    </w:p>
    <w:p w14:paraId="395F1534">
      <w:pPr>
        <w:pStyle w:val="46"/>
        <w:pageBreakBefore w:val="0"/>
        <w:widowControl w:val="0"/>
        <w:kinsoku/>
        <w:wordWrap/>
        <w:overflowPunct/>
        <w:topLinePunct w:val="0"/>
        <w:autoSpaceDE/>
        <w:autoSpaceDN/>
        <w:bidi w:val="0"/>
        <w:adjustRightInd/>
        <w:snapToGrid/>
        <w:spacing w:line="500" w:lineRule="exact"/>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4.绩效评价标准</w:t>
      </w:r>
    </w:p>
    <w:p w14:paraId="7B025642">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bookmarkStart w:id="5" w:name="_Toc68364663"/>
      <w:r>
        <w:rPr>
          <w:rFonts w:hint="eastAsia" w:ascii="宋体" w:hAnsi="宋体" w:eastAsia="宋体" w:cs="宋体"/>
          <w:color w:val="000000"/>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000000"/>
          <w:sz w:val="24"/>
          <w:szCs w:val="24"/>
          <w:highlight w:val="none"/>
          <w:lang w:eastAsia="zh-CN"/>
        </w:rPr>
        <w:t>计划</w:t>
      </w:r>
      <w:r>
        <w:rPr>
          <w:rFonts w:hint="eastAsia" w:ascii="宋体" w:hAnsi="宋体" w:eastAsia="宋体" w:cs="宋体"/>
          <w:color w:val="000000"/>
          <w:sz w:val="24"/>
          <w:szCs w:val="24"/>
          <w:highlight w:val="none"/>
        </w:rPr>
        <w:t>标准</w:t>
      </w:r>
      <w:r>
        <w:rPr>
          <w:rFonts w:hint="eastAsia" w:ascii="宋体" w:hAnsi="宋体" w:eastAsia="宋体" w:cs="宋体"/>
          <w:color w:val="000000"/>
          <w:sz w:val="24"/>
          <w:szCs w:val="24"/>
          <w:highlight w:val="none"/>
          <w:lang w:eastAsia="zh-CN"/>
        </w:rPr>
        <w:t>、行业标准</w:t>
      </w:r>
      <w:r>
        <w:rPr>
          <w:rFonts w:hint="eastAsia" w:ascii="宋体" w:hAnsi="宋体" w:eastAsia="宋体" w:cs="宋体"/>
          <w:color w:val="000000"/>
          <w:sz w:val="24"/>
          <w:szCs w:val="24"/>
          <w:highlight w:val="none"/>
        </w:rPr>
        <w:t>。</w:t>
      </w:r>
    </w:p>
    <w:p w14:paraId="315A5F7F">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bookmarkStart w:id="6" w:name="_Toc17882"/>
      <w:bookmarkStart w:id="7" w:name="_Toc31464"/>
      <w:r>
        <w:rPr>
          <w:rFonts w:hint="eastAsia" w:ascii="宋体" w:hAnsi="宋体" w:eastAsia="宋体" w:cs="宋体"/>
          <w:color w:val="000000"/>
          <w:sz w:val="24"/>
          <w:szCs w:val="24"/>
          <w:highlight w:val="none"/>
        </w:rPr>
        <w:t>计划标准：指以预先制定的目标、计划、预算、定额等作为评价标准。</w:t>
      </w:r>
      <w:bookmarkEnd w:id="6"/>
      <w:bookmarkEnd w:id="7"/>
    </w:p>
    <w:p w14:paraId="67902869">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bookmarkStart w:id="8" w:name="_Toc2318"/>
      <w:bookmarkStart w:id="9" w:name="_Toc5633"/>
      <w:r>
        <w:rPr>
          <w:rFonts w:hint="eastAsia" w:ascii="宋体" w:hAnsi="宋体" w:eastAsia="宋体" w:cs="宋体"/>
          <w:color w:val="000000"/>
          <w:sz w:val="24"/>
          <w:szCs w:val="24"/>
          <w:highlight w:val="none"/>
        </w:rPr>
        <w:t>行业标准：指参照国家公布的行业指标数据制定的评价标准。</w:t>
      </w:r>
      <w:bookmarkEnd w:id="8"/>
      <w:bookmarkEnd w:id="9"/>
    </w:p>
    <w:p w14:paraId="03989401">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bookmarkStart w:id="10" w:name="_Toc430"/>
      <w:bookmarkStart w:id="11" w:name="_Toc16028"/>
      <w:r>
        <w:rPr>
          <w:rFonts w:hint="eastAsia" w:ascii="宋体" w:hAnsi="宋体" w:eastAsia="宋体" w:cs="宋体"/>
          <w:color w:val="000000"/>
          <w:sz w:val="24"/>
          <w:szCs w:val="24"/>
          <w:highlight w:val="none"/>
        </w:rPr>
        <w:t>历史标准：指参照历史数据制定的评价标准，为体现绩效改进的原则，在可实现的条件下应当确定相对较高的评价标准。</w:t>
      </w:r>
      <w:bookmarkEnd w:id="10"/>
      <w:bookmarkEnd w:id="11"/>
    </w:p>
    <w:p w14:paraId="197E6830">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5"/>
    </w:p>
    <w:p w14:paraId="1FC80DF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0E90CE46">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我单位于</w:t>
      </w: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E74E2C9">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赛麦提</w:t>
      </w:r>
      <w:r>
        <w:rPr>
          <w:rFonts w:hint="eastAsia" w:ascii="宋体" w:hAnsi="宋体" w:eastAsia="宋体" w:cs="宋体"/>
          <w:color w:val="000000"/>
          <w:sz w:val="24"/>
          <w:szCs w:val="24"/>
          <w:highlight w:val="none"/>
        </w:rPr>
        <w:t>（评价小组组长）：主要负责</w:t>
      </w:r>
      <w:r>
        <w:rPr>
          <w:rFonts w:hint="eastAsia" w:ascii="宋体" w:hAnsi="宋体" w:eastAsia="宋体" w:cs="宋体"/>
          <w:color w:val="000000"/>
          <w:sz w:val="24"/>
          <w:szCs w:val="24"/>
          <w:highlight w:val="none"/>
          <w:lang w:val="en-US" w:eastAsia="zh-CN"/>
        </w:rPr>
        <w:t>组织安排绩效评价工作</w:t>
      </w:r>
      <w:r>
        <w:rPr>
          <w:rFonts w:hint="eastAsia" w:ascii="宋体" w:hAnsi="宋体" w:eastAsia="宋体" w:cs="宋体"/>
          <w:color w:val="000000"/>
          <w:sz w:val="24"/>
          <w:szCs w:val="24"/>
          <w:highlight w:val="none"/>
        </w:rPr>
        <w:t>;</w:t>
      </w:r>
    </w:p>
    <w:p w14:paraId="0110B893">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阿丽屯古丽</w:t>
      </w:r>
      <w:r>
        <w:rPr>
          <w:rFonts w:hint="eastAsia" w:ascii="宋体" w:hAnsi="宋体" w:eastAsia="宋体" w:cs="宋体"/>
          <w:color w:val="000000"/>
          <w:sz w:val="24"/>
          <w:szCs w:val="24"/>
          <w:highlight w:val="none"/>
        </w:rPr>
        <w:t>（评价小组组员）：主要负责</w:t>
      </w:r>
      <w:r>
        <w:rPr>
          <w:rFonts w:hint="eastAsia" w:ascii="宋体" w:hAnsi="宋体" w:eastAsia="宋体" w:cs="宋体"/>
          <w:color w:val="000000"/>
          <w:sz w:val="24"/>
          <w:szCs w:val="24"/>
          <w:highlight w:val="none"/>
          <w:lang w:val="en-US" w:eastAsia="zh-CN"/>
        </w:rPr>
        <w:t>资料整理及信息汇总工作</w:t>
      </w:r>
      <w:r>
        <w:rPr>
          <w:rFonts w:hint="eastAsia" w:ascii="宋体" w:hAnsi="宋体" w:eastAsia="宋体" w:cs="宋体"/>
          <w:color w:val="000000"/>
          <w:sz w:val="24"/>
          <w:szCs w:val="24"/>
          <w:highlight w:val="none"/>
        </w:rPr>
        <w:t>;</w:t>
      </w:r>
    </w:p>
    <w:p w14:paraId="599B832F">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姚保利（评价小组组员）：主</w:t>
      </w:r>
      <w:r>
        <w:rPr>
          <w:rFonts w:hint="eastAsia" w:ascii="宋体" w:hAnsi="宋体" w:eastAsia="宋体" w:cs="宋体"/>
          <w:color w:val="000000"/>
          <w:sz w:val="24"/>
          <w:szCs w:val="24"/>
          <w:highlight w:val="none"/>
        </w:rPr>
        <w:t>要负责</w:t>
      </w:r>
      <w:r>
        <w:rPr>
          <w:rFonts w:hint="eastAsia" w:ascii="宋体" w:hAnsi="宋体" w:eastAsia="宋体" w:cs="宋体"/>
          <w:color w:val="000000"/>
          <w:sz w:val="24"/>
          <w:szCs w:val="24"/>
          <w:highlight w:val="none"/>
          <w:lang w:val="en-US" w:eastAsia="zh-CN"/>
        </w:rPr>
        <w:t>出具项目绩效评价报告</w:t>
      </w:r>
      <w:r>
        <w:rPr>
          <w:rFonts w:hint="eastAsia" w:ascii="宋体" w:hAnsi="宋体" w:eastAsia="宋体" w:cs="宋体"/>
          <w:color w:val="000000"/>
          <w:sz w:val="24"/>
          <w:szCs w:val="24"/>
          <w:highlight w:val="none"/>
        </w:rPr>
        <w:t>。</w:t>
      </w:r>
    </w:p>
    <w:p w14:paraId="6E05937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29039218">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25</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076AF5B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05B41AB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16</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日，评价小组按照绩效评价的原则和规范，对取得的资料进行审查核实，对采集的数据进行分析，按照绩效评价指标评分表逐项进行打分、分析、汇总各方评价结果。</w:t>
      </w:r>
    </w:p>
    <w:p w14:paraId="4AC5E06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9A4A5CA">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202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lang w:eastAsia="zh-CN"/>
        </w:rPr>
        <w:t>年</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lang w:val="en-US" w:eastAsia="zh-CN"/>
        </w:rPr>
        <w:t>15</w:t>
      </w:r>
      <w:r>
        <w:rPr>
          <w:rFonts w:hint="eastAsia" w:ascii="宋体" w:hAnsi="宋体" w:eastAsia="宋体" w:cs="宋体"/>
          <w:color w:val="000000"/>
          <w:sz w:val="24"/>
          <w:szCs w:val="24"/>
          <w:highlight w:val="none"/>
        </w:rPr>
        <w:t>日</w:t>
      </w:r>
      <w:r>
        <w:rPr>
          <w:rFonts w:hint="eastAsia" w:ascii="宋体" w:hAnsi="宋体" w:eastAsia="宋体" w:cs="宋体"/>
          <w:color w:val="000000"/>
          <w:sz w:val="24"/>
          <w:szCs w:val="24"/>
          <w:highlight w:val="none"/>
          <w:lang w:val="en-US" w:eastAsia="zh-CN"/>
        </w:rPr>
        <w:t>评价小组</w:t>
      </w:r>
      <w:r>
        <w:rPr>
          <w:rFonts w:hint="eastAsia" w:ascii="宋体" w:hAnsi="宋体" w:eastAsia="宋体" w:cs="宋体"/>
          <w:color w:val="000000"/>
          <w:sz w:val="24"/>
          <w:szCs w:val="24"/>
          <w:highlight w:val="none"/>
        </w:rPr>
        <w:t>撰写绩效评价报告，按照新疆</w:t>
      </w:r>
      <w:r>
        <w:rPr>
          <w:rFonts w:hint="eastAsia" w:ascii="宋体" w:hAnsi="宋体" w:eastAsia="宋体" w:cs="宋体"/>
          <w:color w:val="000000"/>
          <w:sz w:val="24"/>
          <w:szCs w:val="24"/>
          <w:highlight w:val="none"/>
          <w:lang w:eastAsia="zh-CN"/>
        </w:rPr>
        <w:t>维吾尔自治区财政绩效管理信息系统</w:t>
      </w:r>
      <w:r>
        <w:rPr>
          <w:rFonts w:hint="eastAsia" w:ascii="宋体" w:hAnsi="宋体" w:eastAsia="宋体" w:cs="宋体"/>
          <w:color w:val="000000"/>
          <w:sz w:val="24"/>
          <w:szCs w:val="24"/>
          <w:highlight w:val="none"/>
        </w:rPr>
        <w:t>绩效评价模块中统一格式和文本框架撰写绩效评价报告并提交审核。</w:t>
      </w:r>
    </w:p>
    <w:p w14:paraId="7A7619D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1DF01C84">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07551D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0C30CDAB">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建立和落实档案管理制度，将项目相关资料存档，包括但不限于：评价项目基本情况和相关文件、评价实施方案、项目支付资料等相关档案。</w:t>
      </w:r>
    </w:p>
    <w:p w14:paraId="3BE4C5B6">
      <w:pPr>
        <w:pStyle w:val="4"/>
        <w:pageBreakBefore w:val="0"/>
        <w:widowControl w:val="0"/>
        <w:kinsoku/>
        <w:wordWrap/>
        <w:overflowPunct/>
        <w:topLinePunct w:val="0"/>
        <w:autoSpaceDE/>
        <w:autoSpaceDN/>
        <w:bidi w:val="0"/>
        <w:adjustRightInd/>
        <w:snapToGrid/>
        <w:spacing w:before="0" w:after="0" w:line="500" w:lineRule="exact"/>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2"/>
    </w:p>
    <w:p w14:paraId="4A8BB572">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5"/>
      <w:r>
        <w:rPr>
          <w:rFonts w:hint="eastAsia" w:ascii="宋体" w:hAnsi="宋体" w:eastAsia="宋体" w:cs="宋体"/>
          <w:color w:val="auto"/>
          <w:sz w:val="24"/>
          <w:szCs w:val="24"/>
          <w:highlight w:val="none"/>
        </w:rPr>
        <w:t>（一）综合评价情况</w:t>
      </w:r>
      <w:bookmarkEnd w:id="13"/>
    </w:p>
    <w:p w14:paraId="018C4AFB">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bookmarkStart w:id="14" w:name="_Toc68364666"/>
      <w:r>
        <w:rPr>
          <w:rFonts w:hint="eastAsia" w:ascii="宋体" w:hAnsi="宋体" w:eastAsia="宋体" w:cs="宋体"/>
          <w:color w:val="000000"/>
          <w:sz w:val="24"/>
          <w:szCs w:val="24"/>
          <w:highlight w:val="none"/>
        </w:rPr>
        <w:t>通过实施2024年中央基本公共卫生服务补助项目产生城乡居民公共卫生差距</w:t>
      </w:r>
      <w:r>
        <w:rPr>
          <w:rFonts w:hint="eastAsia" w:ascii="宋体" w:hAnsi="宋体" w:eastAsia="宋体" w:cs="宋体"/>
          <w:color w:val="000000"/>
          <w:sz w:val="24"/>
          <w:szCs w:val="24"/>
          <w:highlight w:val="none"/>
          <w:lang w:eastAsia="zh-CN"/>
        </w:rPr>
        <w:t>持续缩小、基本公共卫生服务水平不断提高</w:t>
      </w:r>
      <w:r>
        <w:rPr>
          <w:rFonts w:hint="eastAsia" w:ascii="宋体" w:hAnsi="宋体" w:eastAsia="宋体" w:cs="宋体"/>
          <w:color w:val="000000"/>
          <w:sz w:val="24"/>
          <w:szCs w:val="24"/>
          <w:highlight w:val="none"/>
        </w:rPr>
        <w:t>效益。项目实施主要通过项目决策、项目过程、项目产出以及项目效益等方面进行评价，其中：</w:t>
      </w:r>
    </w:p>
    <w:p w14:paraId="3655E665">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项目决策：该项目主要通过《关于提前下达2024年中央财政基本公共卫生服务补助资金预算的通知》（和地财社〔2023〕69号）文件立项，项目实施符合</w:t>
      </w:r>
      <w:r>
        <w:rPr>
          <w:rFonts w:hint="eastAsia" w:ascii="宋体" w:hAnsi="宋体" w:eastAsia="宋体" w:cs="宋体"/>
          <w:color w:val="000000"/>
          <w:sz w:val="24"/>
          <w:szCs w:val="24"/>
          <w:highlight w:val="none"/>
          <w:lang w:eastAsia="zh-CN"/>
        </w:rPr>
        <w:t>县域内基本公共卫生</w:t>
      </w:r>
      <w:r>
        <w:rPr>
          <w:rFonts w:hint="eastAsia" w:ascii="宋体" w:hAnsi="宋体" w:eastAsia="宋体" w:cs="宋体"/>
          <w:color w:val="000000"/>
          <w:sz w:val="24"/>
          <w:szCs w:val="24"/>
          <w:highlight w:val="none"/>
        </w:rPr>
        <w:t>要求，项目立项依据充分，立项程序规范。</w:t>
      </w:r>
    </w:p>
    <w:p w14:paraId="007A7482">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项目过程：2024年中央基本公共卫生服务补助项目预算安排</w:t>
      </w:r>
      <w:r>
        <w:rPr>
          <w:rFonts w:hint="eastAsia" w:ascii="宋体" w:hAnsi="宋体" w:eastAsia="宋体" w:cs="宋体"/>
          <w:color w:val="000000"/>
          <w:sz w:val="24"/>
          <w:szCs w:val="24"/>
          <w:highlight w:val="none"/>
          <w:lang w:val="en-US" w:eastAsia="zh-CN"/>
        </w:rPr>
        <w:t>1744.2</w:t>
      </w:r>
      <w:r>
        <w:rPr>
          <w:rFonts w:hint="eastAsia" w:ascii="宋体" w:hAnsi="宋体" w:eastAsia="宋体" w:cs="宋体"/>
          <w:color w:val="000000"/>
          <w:sz w:val="24"/>
          <w:szCs w:val="24"/>
          <w:highlight w:val="none"/>
        </w:rPr>
        <w:t>万元，实际支出1605.09万元，预算执行率</w:t>
      </w:r>
      <w:r>
        <w:rPr>
          <w:rFonts w:hint="eastAsia" w:ascii="宋体" w:hAnsi="宋体" w:eastAsia="宋体" w:cs="宋体"/>
          <w:color w:val="000000"/>
          <w:sz w:val="24"/>
          <w:szCs w:val="24"/>
          <w:highlight w:val="none"/>
          <w:lang w:val="en-US" w:eastAsia="zh-CN"/>
        </w:rPr>
        <w:t>92</w:t>
      </w:r>
      <w:r>
        <w:rPr>
          <w:rFonts w:hint="eastAsia" w:ascii="宋体" w:hAnsi="宋体" w:eastAsia="宋体" w:cs="宋体"/>
          <w:color w:val="000000"/>
          <w:sz w:val="24"/>
          <w:szCs w:val="24"/>
          <w:highlight w:val="none"/>
        </w:rPr>
        <w:t>%。项目资金使用合规，项目财务管理制度健全，财务监控到位，所有资金支付均按照国库集中支付制度严格执行，现有项目管理制度执行情况良好。</w:t>
      </w:r>
    </w:p>
    <w:p w14:paraId="6449B1D3">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项目产出：</w:t>
      </w:r>
      <w:r>
        <w:rPr>
          <w:rFonts w:hint="eastAsia" w:ascii="宋体" w:hAnsi="宋体" w:eastAsia="宋体" w:cs="宋体"/>
          <w:color w:val="000000"/>
          <w:sz w:val="24"/>
          <w:szCs w:val="24"/>
          <w:highlight w:val="none"/>
          <w:lang w:val="en-US" w:eastAsia="zh-CN"/>
        </w:rPr>
        <w:t>该项目实际保障了5个县级单位、10个乡镇卫生院基本公共卫生服务补助资金，原基本公共卫生经费1512.05万元，职业病防治2.1万元，地方病防治10.8万元，食品安全0.3万元，妇幼卫生77万元，政策宣传3.15万元，</w:t>
      </w:r>
      <w:r>
        <w:rPr>
          <w:rFonts w:hint="eastAsia" w:ascii="宋体" w:hAnsi="宋体" w:eastAsia="宋体" w:cs="宋体"/>
          <w:color w:val="auto"/>
          <w:sz w:val="24"/>
          <w:szCs w:val="24"/>
          <w:highlight w:val="none"/>
          <w:lang w:val="en-US" w:eastAsia="zh-CN"/>
        </w:rPr>
        <w:t>指标达到预算目标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eastAsia="zh-CN"/>
        </w:rPr>
        <w:tab/>
      </w:r>
    </w:p>
    <w:p w14:paraId="7712899B">
      <w:pPr>
        <w:pStyle w:val="46"/>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项目效益：通过实施此项目产生持续缩小城乡居民公共卫生差距，提高基本公共卫生服务水平效益</w:t>
      </w:r>
      <w:r>
        <w:rPr>
          <w:rFonts w:hint="eastAsia" w:ascii="宋体" w:hAnsi="宋体" w:eastAsia="宋体" w:cs="宋体"/>
          <w:color w:val="000000"/>
          <w:sz w:val="24"/>
          <w:szCs w:val="24"/>
          <w:highlight w:val="none"/>
          <w:lang w:val="en-US" w:eastAsia="zh-CN"/>
        </w:rPr>
        <w:t>情况。</w:t>
      </w:r>
    </w:p>
    <w:p w14:paraId="23E28FFA">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1A6ED1C4">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2024年中央基本公共卫生服务补助项目进行客观评价，最终评分结果：评价总分</w:t>
      </w:r>
      <w:r>
        <w:rPr>
          <w:rFonts w:hint="eastAsia" w:ascii="宋体" w:hAnsi="宋体" w:eastAsia="宋体" w:cs="宋体"/>
          <w:color w:val="000000"/>
          <w:sz w:val="24"/>
          <w:szCs w:val="24"/>
          <w:highlight w:val="none"/>
          <w:lang w:val="en-US" w:eastAsia="zh-CN"/>
        </w:rPr>
        <w:t>99.24</w:t>
      </w:r>
      <w:r>
        <w:rPr>
          <w:rFonts w:hint="eastAsia" w:ascii="宋体" w:hAnsi="宋体" w:eastAsia="宋体" w:cs="宋体"/>
          <w:color w:val="000000"/>
          <w:sz w:val="24"/>
          <w:szCs w:val="24"/>
          <w:highlight w:val="none"/>
        </w:rPr>
        <w:t>分，绩效等级为“</w:t>
      </w:r>
      <w:r>
        <w:rPr>
          <w:rFonts w:hint="eastAsia" w:ascii="宋体" w:hAnsi="宋体" w:eastAsia="宋体" w:cs="宋体"/>
          <w:color w:val="000000"/>
          <w:sz w:val="24"/>
          <w:szCs w:val="24"/>
          <w:highlight w:val="none"/>
          <w:lang w:eastAsia="zh-CN"/>
        </w:rPr>
        <w:t>优</w:t>
      </w:r>
      <w:r>
        <w:rPr>
          <w:rFonts w:hint="eastAsia" w:ascii="宋体" w:hAnsi="宋体" w:eastAsia="宋体" w:cs="宋体"/>
          <w:color w:val="000000"/>
          <w:sz w:val="24"/>
          <w:szCs w:val="24"/>
          <w:highlight w:val="none"/>
        </w:rPr>
        <w:t>”。</w:t>
      </w:r>
      <w:bookmarkEnd w:id="14"/>
      <w:bookmarkStart w:id="15" w:name="_Toc68364667"/>
    </w:p>
    <w:p w14:paraId="2B8D5BD0">
      <w:pPr>
        <w:pStyle w:val="4"/>
        <w:pageBreakBefore w:val="0"/>
        <w:widowControl w:val="0"/>
        <w:kinsoku/>
        <w:wordWrap/>
        <w:topLinePunct w:val="0"/>
        <w:autoSpaceDE/>
        <w:autoSpaceDN/>
        <w:bidi w:val="0"/>
        <w:adjustRightInd/>
        <w:snapToGrid/>
        <w:spacing w:before="0" w:after="0" w:line="500" w:lineRule="exact"/>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5"/>
    </w:p>
    <w:p w14:paraId="7EE78967">
      <w:pPr>
        <w:pStyle w:val="49"/>
        <w:pageBreakBefore w:val="0"/>
        <w:widowControl w:val="0"/>
        <w:kinsoku/>
        <w:wordWrap/>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bookmarkStart w:id="16" w:name="_Toc68364668"/>
      <w:r>
        <w:rPr>
          <w:rFonts w:hint="eastAsia" w:ascii="宋体" w:hAnsi="宋体" w:eastAsia="宋体" w:cs="宋体"/>
          <w:color w:val="auto"/>
          <w:sz w:val="24"/>
          <w:szCs w:val="24"/>
          <w:highlight w:val="none"/>
        </w:rPr>
        <w:t>（一）项目决策情况</w:t>
      </w:r>
    </w:p>
    <w:p w14:paraId="3EB783E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项目决策类指标包括项目立项、绩效目标和资金投入三方面的内容，由6个三级指标构成，权重分为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2C68E55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9F43EA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eastAsia="zh-CN"/>
        </w:rPr>
        <w:t>地区财政局</w:t>
      </w:r>
      <w:r>
        <w:rPr>
          <w:rFonts w:hint="eastAsia" w:ascii="宋体" w:hAnsi="宋体" w:eastAsia="宋体" w:cs="宋体"/>
          <w:color w:val="000000"/>
          <w:sz w:val="24"/>
          <w:szCs w:val="24"/>
          <w:highlight w:val="none"/>
        </w:rPr>
        <w:t>颁发的关于提前下达2024年中央财政基本公共卫生服务补助资金预算的通知》（和地财社〔2023〕69号）中：“</w:t>
      </w:r>
      <w:r>
        <w:rPr>
          <w:rFonts w:hint="eastAsia" w:ascii="宋体" w:hAnsi="宋体" w:eastAsia="宋体" w:cs="宋体"/>
          <w:color w:val="000000"/>
          <w:sz w:val="24"/>
          <w:szCs w:val="24"/>
          <w:highlight w:val="none"/>
          <w:lang w:val="en-US" w:eastAsia="zh-CN"/>
        </w:rPr>
        <w:t>用于实施国家基本公共卫生服务</w:t>
      </w:r>
      <w:r>
        <w:rPr>
          <w:rFonts w:hint="eastAsia" w:ascii="宋体" w:hAnsi="宋体" w:eastAsia="宋体" w:cs="宋体"/>
          <w:color w:val="000000"/>
          <w:sz w:val="24"/>
          <w:szCs w:val="24"/>
          <w:highlight w:val="none"/>
        </w:rPr>
        <w:t>”，符合行业发展规划和政策要求；本项目立项符合《</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单位配置内设机构和人员编制规定》中职责范围中的“</w:t>
      </w:r>
      <w:r>
        <w:rPr>
          <w:rFonts w:hint="eastAsia" w:ascii="宋体" w:hAnsi="宋体" w:eastAsia="宋体" w:cs="宋体"/>
          <w:color w:val="000000"/>
          <w:sz w:val="24"/>
          <w:szCs w:val="24"/>
          <w:highlight w:val="none"/>
          <w:lang w:eastAsia="zh-CN"/>
        </w:rPr>
        <w:t>制定并组织实施卫生健康基本公共服务均等化、普惠化、便捷化和公共资源向基层延伸等政策措施</w:t>
      </w:r>
      <w:r>
        <w:rPr>
          <w:rFonts w:hint="eastAsia" w:ascii="宋体" w:hAnsi="宋体" w:eastAsia="宋体" w:cs="宋体"/>
          <w:color w:val="000000"/>
          <w:sz w:val="24"/>
          <w:szCs w:val="24"/>
          <w:highlight w:val="none"/>
        </w:rPr>
        <w:t>”，属于我单位履职所需；根据《财政资金直接支付申请书》，本项目资金性质为“公共财政预算”功能分类为“</w:t>
      </w:r>
      <w:r>
        <w:rPr>
          <w:rFonts w:hint="eastAsia" w:ascii="宋体" w:hAnsi="宋体" w:eastAsia="宋体" w:cs="宋体"/>
          <w:color w:val="000000"/>
          <w:sz w:val="24"/>
          <w:szCs w:val="24"/>
          <w:highlight w:val="none"/>
          <w:lang w:val="en-US" w:eastAsia="zh-CN"/>
        </w:rPr>
        <w:t>2100408</w:t>
      </w:r>
      <w:r>
        <w:rPr>
          <w:rFonts w:hint="eastAsia" w:ascii="宋体" w:hAnsi="宋体" w:eastAsia="宋体" w:cs="宋体"/>
          <w:color w:val="000000"/>
          <w:sz w:val="24"/>
          <w:szCs w:val="24"/>
          <w:highlight w:val="none"/>
        </w:rPr>
        <w:t>”经济分类为“</w:t>
      </w:r>
      <w:r>
        <w:rPr>
          <w:rFonts w:hint="eastAsia" w:ascii="宋体" w:hAnsi="宋体" w:eastAsia="宋体" w:cs="宋体"/>
          <w:color w:val="000000"/>
          <w:sz w:val="24"/>
          <w:szCs w:val="24"/>
          <w:highlight w:val="none"/>
          <w:lang w:val="en-US" w:eastAsia="zh-CN"/>
        </w:rPr>
        <w:t>1100249</w:t>
      </w:r>
      <w:r>
        <w:rPr>
          <w:rFonts w:hint="eastAsia" w:ascii="宋体" w:hAnsi="宋体" w:eastAsia="宋体" w:cs="宋体"/>
          <w:color w:val="000000"/>
          <w:sz w:val="24"/>
          <w:szCs w:val="24"/>
          <w:highlight w:val="none"/>
        </w:rPr>
        <w:t>”属于公共财政支持范围，符合中央、地方事权支出责任划分原则；经检查我单位财政应用平台指标，本项目不存在重复。</w:t>
      </w:r>
    </w:p>
    <w:p w14:paraId="09BE5E7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7A19830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52A2CFB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w:t>
      </w:r>
      <w:r>
        <w:rPr>
          <w:rFonts w:hint="eastAsia" w:ascii="宋体" w:hAnsi="宋体" w:eastAsia="宋体" w:cs="宋体"/>
          <w:color w:val="000000"/>
          <w:sz w:val="24"/>
          <w:szCs w:val="24"/>
          <w:highlight w:val="none"/>
          <w:lang w:eastAsia="zh-CN"/>
        </w:rPr>
        <w:t>立项程序规范</w:t>
      </w:r>
      <w:r>
        <w:rPr>
          <w:rFonts w:hint="eastAsia" w:ascii="宋体" w:hAnsi="宋体" w:eastAsia="宋体" w:cs="宋体"/>
          <w:color w:val="000000"/>
          <w:sz w:val="24"/>
          <w:szCs w:val="24"/>
          <w:highlight w:val="none"/>
        </w:rPr>
        <w:t>，项目立项过程中产生的文件均符合相关要求。本项目为</w:t>
      </w:r>
      <w:r>
        <w:rPr>
          <w:rFonts w:hint="eastAsia" w:ascii="宋体" w:hAnsi="宋体" w:eastAsia="宋体" w:cs="宋体"/>
          <w:color w:val="000000"/>
          <w:sz w:val="24"/>
          <w:szCs w:val="24"/>
          <w:highlight w:val="none"/>
          <w:lang w:eastAsia="zh-CN"/>
        </w:rPr>
        <w:t>特定目标</w:t>
      </w:r>
      <w:r>
        <w:rPr>
          <w:rFonts w:hint="eastAsia" w:ascii="宋体" w:hAnsi="宋体" w:eastAsia="宋体" w:cs="宋体"/>
          <w:color w:val="000000"/>
          <w:sz w:val="24"/>
          <w:szCs w:val="24"/>
          <w:highlight w:val="none"/>
        </w:rPr>
        <w:t>类项目，属于经常性项目，项目预算金额为</w:t>
      </w:r>
      <w:r>
        <w:rPr>
          <w:rFonts w:hint="eastAsia" w:ascii="宋体" w:hAnsi="宋体" w:eastAsia="宋体" w:cs="宋体"/>
          <w:color w:val="000000"/>
          <w:sz w:val="24"/>
          <w:szCs w:val="24"/>
          <w:highlight w:val="none"/>
          <w:lang w:val="en-US" w:eastAsia="zh-CN"/>
        </w:rPr>
        <w:t>1744.2</w:t>
      </w:r>
      <w:r>
        <w:rPr>
          <w:rFonts w:hint="eastAsia" w:ascii="宋体" w:hAnsi="宋体" w:eastAsia="宋体" w:cs="宋体"/>
          <w:color w:val="000000"/>
          <w:sz w:val="24"/>
          <w:szCs w:val="24"/>
          <w:highlight w:val="none"/>
        </w:rPr>
        <w:t>万元，不涉及事前绩效评估和风险评估，已委托</w:t>
      </w:r>
      <w:r>
        <w:rPr>
          <w:rFonts w:hint="eastAsia" w:ascii="宋体" w:hAnsi="宋体" w:eastAsia="宋体" w:cs="宋体"/>
          <w:color w:val="000000"/>
          <w:sz w:val="24"/>
          <w:szCs w:val="24"/>
          <w:highlight w:val="none"/>
          <w:lang w:eastAsia="zh-CN"/>
        </w:rPr>
        <w:t>洛浦县财政局</w:t>
      </w:r>
      <w:r>
        <w:rPr>
          <w:rFonts w:hint="eastAsia" w:ascii="宋体" w:hAnsi="宋体" w:eastAsia="宋体" w:cs="宋体"/>
          <w:color w:val="000000"/>
          <w:sz w:val="24"/>
          <w:szCs w:val="24"/>
          <w:highlight w:val="none"/>
        </w:rPr>
        <w:t>单位完成本项目可行性研究报告的编制，并经过专家论证。</w:t>
      </w:r>
    </w:p>
    <w:p w14:paraId="310651D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46B1502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3.绩效目标合理性</w:t>
      </w:r>
    </w:p>
    <w:p w14:paraId="71ADC7F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根据《关于提前下达2024年中央财政基本公共卫生服务补助资金预算的通知》（和地财社〔2023〕69号）实施本项目。主要内容：项目总投资1744.2万元，用于卫健委、卫生监督所、疾控中心、妇幼保健院、县人民医院、各乡镇卫生院基本公共卫生服务支出，其中：原基本公共卫生1646万元、职业病防治2.1万元、地方病防治10.8万元、食品安全标准制定0.3万元、妇幼卫生77万元、政策宣传咨询8万元。通过本项目的实施，持续缩小城乡居民公共卫生差距，不断提高基本公共卫生服务水平，使受益对象满意度达95%以上</w:t>
      </w:r>
      <w:r>
        <w:rPr>
          <w:rFonts w:hint="eastAsia" w:ascii="宋体" w:hAnsi="宋体" w:eastAsia="宋体" w:cs="宋体"/>
          <w:color w:val="000000"/>
          <w:sz w:val="24"/>
          <w:szCs w:val="24"/>
          <w:highlight w:val="none"/>
        </w:rPr>
        <w:t>。</w:t>
      </w:r>
    </w:p>
    <w:p w14:paraId="4BCD3E2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0B2488C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5FFA654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经检查我单位年初设置的《2024年中央财政基本公共卫生服务补助项目支出绩效目标表》，得出如下结论：本项目已将年度绩效目标进行细化为绩效指标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14</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85.71</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3AB1FFD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该《2024年中央财政基本公共卫生服务补助项目绩效目标申报表》中，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“县级单位数量、乡镇卫生院数量”</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资金支付及时率、项目完成时间</w:t>
      </w:r>
      <w:r>
        <w:rPr>
          <w:rFonts w:hint="eastAsia" w:ascii="宋体" w:hAnsi="宋体" w:eastAsia="宋体" w:cs="宋体"/>
          <w:color w:val="000000"/>
          <w:sz w:val="24"/>
          <w:szCs w:val="24"/>
          <w:highlight w:val="none"/>
        </w:rPr>
        <w:t>”。已设置的绩效目标具备明确性、可衡量性、可实现性、相关性、时限性。</w:t>
      </w:r>
    </w:p>
    <w:p w14:paraId="22F5BE1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3D6DF73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257889D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项目总投资1744.2万元，用于卫健委、卫生监督所、疾控中心、妇幼保健院、县人民医院、各乡镇卫生院基本公共卫生服务支出，其中：原基本公共卫生1646万元、职业病防治2.1万元、地方病防治10.8万元、食品安全标准制定0.3万元、妇幼卫生77万元、政策宣传咨询8万元，预算申请与《2024年中央基本公共卫生服务补助项目项目实施方案》中涉及的项目内容匹配；</w:t>
      </w:r>
    </w:p>
    <w:p w14:paraId="0CAAA38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1744.20</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val="en-US" w:eastAsia="zh-CN"/>
        </w:rPr>
        <w:t>原基本公共卫生1646万元、职业病防治2.1万元、地方病防治10.8万元、食品安全标准制定0.3万元、妇幼卫生77万元、政策宣传咨询8万元</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7839573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48A24F2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38394A7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2024年中央基本公共卫生服务补助项目资金的请示》和《2024年中央基本公共卫生服务补助项目实施方案》为依据进行资金分配，预算资金分配依据充分。根据《关于提前下达2024年中央财政基本公共卫生服务补助资金预算的通知》（和地财社〔2023〕69号）文件》，本项目实际到位资金</w:t>
      </w:r>
      <w:r>
        <w:rPr>
          <w:rFonts w:hint="eastAsia" w:ascii="宋体" w:hAnsi="宋体" w:eastAsia="宋体" w:cs="宋体"/>
          <w:color w:val="000000"/>
          <w:sz w:val="24"/>
          <w:szCs w:val="24"/>
          <w:highlight w:val="none"/>
          <w:lang w:val="en-US" w:eastAsia="zh-CN"/>
        </w:rPr>
        <w:t>1744.20</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4C3BB7D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3EFCD9F7">
      <w:pPr>
        <w:pStyle w:val="49"/>
        <w:pageBreakBefore w:val="0"/>
        <w:widowControl w:val="0"/>
        <w:kinsoku/>
        <w:wordWrap/>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379455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项目过程类指标包括资金管理和组织实施两方面的内容，由5个三级指标构成，权重分为</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11.84</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98.67</w:t>
      </w:r>
      <w:r>
        <w:rPr>
          <w:rFonts w:hint="eastAsia" w:ascii="宋体" w:hAnsi="宋体" w:eastAsia="宋体" w:cs="宋体"/>
          <w:color w:val="000000"/>
          <w:sz w:val="24"/>
          <w:szCs w:val="24"/>
          <w:highlight w:val="none"/>
        </w:rPr>
        <w:t>%。</w:t>
      </w:r>
    </w:p>
    <w:p w14:paraId="336BABD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3FB5DB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1744.20</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1744.20</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0.00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1744.20</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4F554EF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4301411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062157F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本项目实际支出资金1605.09万元，预算执行率=（实际支出资金/实际到位资金）×100.0%=</w:t>
      </w:r>
      <w:r>
        <w:rPr>
          <w:rFonts w:hint="eastAsia" w:ascii="宋体" w:hAnsi="宋体" w:eastAsia="宋体" w:cs="宋体"/>
          <w:color w:val="000000"/>
          <w:sz w:val="24"/>
          <w:szCs w:val="24"/>
          <w:highlight w:val="none"/>
          <w:lang w:val="en-US" w:eastAsia="zh-CN"/>
        </w:rPr>
        <w:t>92.02</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26F8B1D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根据评分标准，该指标扣分，得</w:t>
      </w:r>
      <w:r>
        <w:rPr>
          <w:rFonts w:hint="eastAsia" w:ascii="宋体" w:hAnsi="宋体" w:eastAsia="宋体" w:cs="宋体"/>
          <w:color w:val="000000"/>
          <w:sz w:val="24"/>
          <w:szCs w:val="24"/>
          <w:highlight w:val="none"/>
          <w:lang w:val="en-US" w:eastAsia="zh-CN"/>
        </w:rPr>
        <w:t>1.84</w:t>
      </w:r>
      <w:r>
        <w:rPr>
          <w:rFonts w:hint="eastAsia" w:ascii="宋体" w:hAnsi="宋体" w:eastAsia="宋体" w:cs="宋体"/>
          <w:color w:val="000000"/>
          <w:sz w:val="24"/>
          <w:szCs w:val="24"/>
          <w:highlight w:val="none"/>
        </w:rPr>
        <w:t>分。</w:t>
      </w:r>
    </w:p>
    <w:p w14:paraId="1656EA9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48790A5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63395D8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3067B2B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3DAFEB3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537C9E9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7F4BD044">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45D0689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办法》《</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管理制度》《</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采购业务管理制度》《</w:t>
      </w:r>
      <w:r>
        <w:rPr>
          <w:rFonts w:hint="eastAsia" w:ascii="宋体" w:hAnsi="宋体" w:eastAsia="宋体" w:cs="宋体"/>
          <w:color w:val="000000"/>
          <w:sz w:val="24"/>
          <w:szCs w:val="24"/>
          <w:highlight w:val="none"/>
          <w:lang w:eastAsia="zh-CN"/>
        </w:rPr>
        <w:t>洛浦县卫生健康委员会</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555379A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30CE9D4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3A2BE72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2024年中央基本公共卫生服务补助项目工作领导小组，由</w:t>
      </w:r>
      <w:r>
        <w:rPr>
          <w:rFonts w:hint="eastAsia" w:ascii="宋体" w:hAnsi="宋体" w:eastAsia="宋体" w:cs="宋体"/>
          <w:color w:val="000000"/>
          <w:sz w:val="24"/>
          <w:szCs w:val="24"/>
          <w:highlight w:val="none"/>
          <w:lang w:eastAsia="zh-CN"/>
        </w:rPr>
        <w:t>赛麦提</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阿丽屯古丽</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姚保利</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eastAsia="zh-CN"/>
        </w:rPr>
        <w:t>张凤琴</w:t>
      </w:r>
      <w:r>
        <w:rPr>
          <w:rFonts w:hint="eastAsia" w:ascii="宋体" w:hAnsi="宋体" w:eastAsia="宋体" w:cs="宋体"/>
          <w:color w:val="000000"/>
          <w:sz w:val="24"/>
          <w:szCs w:val="24"/>
          <w:highlight w:val="none"/>
        </w:rPr>
        <w:t>，主要负责项目监督管理、验收以及资金核拨等工作</w:t>
      </w:r>
      <w:r>
        <w:rPr>
          <w:rFonts w:hint="eastAsia" w:ascii="宋体" w:hAnsi="宋体" w:eastAsia="宋体" w:cs="宋体"/>
          <w:color w:val="000000"/>
          <w:sz w:val="24"/>
          <w:szCs w:val="24"/>
          <w:highlight w:val="none"/>
          <w:lang w:eastAsia="zh-CN"/>
        </w:rPr>
        <w:t>。</w:t>
      </w:r>
    </w:p>
    <w:p w14:paraId="1AF63AC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408F6425">
      <w:pPr>
        <w:pStyle w:val="49"/>
        <w:pageBreakBefore w:val="0"/>
        <w:widowControl w:val="0"/>
        <w:kinsoku/>
        <w:wordWrap/>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60CA930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项目产出类指标包括产出数量、产出质量、产出时效、产出成本四方面的内容，由</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4个三级指标构成，权重分为</w:t>
      </w:r>
      <w:r>
        <w:rPr>
          <w:rFonts w:hint="eastAsia" w:ascii="宋体" w:hAnsi="宋体" w:eastAsia="宋体" w:cs="宋体"/>
          <w:color w:val="000000"/>
          <w:sz w:val="24"/>
          <w:szCs w:val="24"/>
          <w:highlight w:val="none"/>
          <w:lang w:val="en-US" w:eastAsia="zh-CN"/>
        </w:rPr>
        <w:t>40</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39.84</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99.6</w:t>
      </w:r>
      <w:r>
        <w:rPr>
          <w:rFonts w:hint="eastAsia" w:ascii="宋体" w:hAnsi="宋体" w:eastAsia="宋体" w:cs="宋体"/>
          <w:color w:val="000000"/>
          <w:sz w:val="24"/>
          <w:szCs w:val="24"/>
          <w:highlight w:val="none"/>
        </w:rPr>
        <w:t>%。</w:t>
      </w:r>
    </w:p>
    <w:p w14:paraId="0C40A4E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5349EEF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县级单位数量，预期指标值</w:t>
      </w:r>
      <w:r>
        <w:rPr>
          <w:rFonts w:hint="eastAsia" w:ascii="宋体" w:hAnsi="宋体" w:eastAsia="宋体" w:cs="宋体"/>
          <w:color w:val="000000"/>
          <w:sz w:val="24"/>
          <w:szCs w:val="24"/>
          <w:highlight w:val="none"/>
          <w:lang w:val="en-US" w:eastAsia="zh-CN"/>
        </w:rPr>
        <w:t>大于等于5个</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5个</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w:t>
      </w:r>
      <w:r>
        <w:rPr>
          <w:rFonts w:hint="eastAsia" w:ascii="宋体" w:hAnsi="宋体" w:eastAsia="宋体" w:cs="宋体"/>
          <w:color w:val="000000"/>
          <w:sz w:val="24"/>
          <w:szCs w:val="24"/>
          <w:highlight w:val="none"/>
          <w:lang w:val="en-US" w:eastAsia="zh-CN"/>
        </w:rPr>
        <w:t>不</w:t>
      </w:r>
      <w:r>
        <w:rPr>
          <w:rFonts w:hint="eastAsia" w:ascii="宋体" w:hAnsi="宋体" w:eastAsia="宋体" w:cs="宋体"/>
          <w:color w:val="000000"/>
          <w:sz w:val="24"/>
          <w:szCs w:val="24"/>
          <w:highlight w:val="none"/>
        </w:rPr>
        <w:t>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3006723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乡镇卫生院数量，预期指标值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10个，实际完成值10个，指标完成率为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73323A5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639CA099">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665D209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42CC869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359B85C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58CE745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7AC9AA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F5403D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6947406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6152FF6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原基本公共卫生经费，预期指标值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1646万元，实际完成值1511.74万元，指标完成率</w:t>
      </w:r>
      <w:r>
        <w:rPr>
          <w:rFonts w:hint="eastAsia" w:ascii="宋体" w:hAnsi="宋体" w:eastAsia="宋体" w:cs="宋体"/>
          <w:color w:val="000000"/>
          <w:sz w:val="24"/>
          <w:szCs w:val="24"/>
          <w:highlight w:val="none"/>
          <w:lang w:val="en-US" w:eastAsia="zh-CN"/>
        </w:rPr>
        <w:t>91.84%，</w:t>
      </w:r>
      <w:r>
        <w:rPr>
          <w:rFonts w:hint="eastAsia" w:ascii="宋体" w:hAnsi="宋体" w:eastAsia="宋体" w:cs="宋体"/>
          <w:b w:val="0"/>
          <w:color w:val="000000"/>
          <w:sz w:val="24"/>
          <w:szCs w:val="24"/>
          <w:highlight w:val="none"/>
        </w:rPr>
        <w:t>与预期目标</w:t>
      </w:r>
      <w:r>
        <w:rPr>
          <w:rFonts w:hint="eastAsia" w:ascii="宋体" w:hAnsi="宋体" w:eastAsia="宋体" w:cs="宋体"/>
          <w:b w:val="0"/>
          <w:color w:val="000000"/>
          <w:sz w:val="24"/>
          <w:szCs w:val="24"/>
          <w:highlight w:val="none"/>
          <w:lang w:val="en-US" w:eastAsia="zh-CN"/>
        </w:rPr>
        <w:t>不</w:t>
      </w:r>
      <w:r>
        <w:rPr>
          <w:rFonts w:hint="eastAsia" w:ascii="宋体" w:hAnsi="宋体" w:eastAsia="宋体" w:cs="宋体"/>
          <w:b w:val="0"/>
          <w:color w:val="000000"/>
          <w:sz w:val="24"/>
          <w:szCs w:val="24"/>
          <w:highlight w:val="none"/>
        </w:rPr>
        <w:t>一致，根据评分标准，该指标扣分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1.84</w:t>
      </w:r>
      <w:r>
        <w:rPr>
          <w:rFonts w:hint="eastAsia" w:ascii="宋体" w:hAnsi="宋体" w:eastAsia="宋体" w:cs="宋体"/>
          <w:color w:val="000000"/>
          <w:sz w:val="24"/>
          <w:szCs w:val="24"/>
          <w:highlight w:val="none"/>
        </w:rPr>
        <w:t>分。</w:t>
      </w:r>
    </w:p>
    <w:p w14:paraId="3D1091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职业病防治，预期指标值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2.10万元，实际完成值2.10万元，指标完成率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15FB9A8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地方病防治，预期指标值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10.80万元，实际完成值为10.80万元，指标完成率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2D01A2B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食品安全标准制定，预期指标值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0.30万元，实际完成值0.30万元，指标完成率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w:t>
      </w:r>
      <w:r>
        <w:rPr>
          <w:rFonts w:hint="eastAsia" w:ascii="宋体" w:hAnsi="宋体" w:eastAsia="宋体" w:cs="宋体"/>
          <w:b w:val="0"/>
          <w:color w:val="000000"/>
          <w:sz w:val="24"/>
          <w:szCs w:val="24"/>
          <w:highlight w:val="none"/>
          <w:lang w:val="en-US" w:eastAsia="zh-CN"/>
        </w:rPr>
        <w:t>不</w:t>
      </w:r>
      <w:r>
        <w:rPr>
          <w:rFonts w:hint="eastAsia" w:ascii="宋体" w:hAnsi="宋体" w:eastAsia="宋体" w:cs="宋体"/>
          <w:b w:val="0"/>
          <w:color w:val="000000"/>
          <w:sz w:val="24"/>
          <w:szCs w:val="24"/>
          <w:highlight w:val="none"/>
        </w:rPr>
        <w:t>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w:t>
      </w:r>
    </w:p>
    <w:p w14:paraId="764FEAA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妇幼卫生，预期指标值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77万元，实际完成值77万元，指标完成率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315B0D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color w:val="000000"/>
          <w:sz w:val="24"/>
          <w:szCs w:val="24"/>
          <w:highlight w:val="none"/>
        </w:rPr>
        <w:t>政策宣传咨询，预期指标值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8万元，实际完成值为3.15万元，指标完成率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050F9F0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9.84</w:t>
      </w:r>
      <w:r>
        <w:rPr>
          <w:rFonts w:hint="eastAsia" w:ascii="宋体" w:hAnsi="宋体" w:eastAsia="宋体" w:cs="宋体"/>
          <w:b w:val="0"/>
          <w:bCs/>
          <w:color w:val="000000"/>
          <w:sz w:val="24"/>
          <w:szCs w:val="24"/>
          <w:highlight w:val="none"/>
        </w:rPr>
        <w:t>分。</w:t>
      </w:r>
      <w:bookmarkEnd w:id="16"/>
    </w:p>
    <w:p w14:paraId="1D0CCDA0">
      <w:pPr>
        <w:pStyle w:val="49"/>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（四）项目效益情况</w:t>
      </w:r>
    </w:p>
    <w:p w14:paraId="2CA86C5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项目效益类指标包括项目效益1个方面的内容，由</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个三级指标构成，权重分为2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分，实际得分2</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分，得分率为100%。</w:t>
      </w:r>
    </w:p>
    <w:p w14:paraId="2B780FA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3F5D2DF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城乡居民公共卫生差距，预期指标值为</w:t>
      </w:r>
      <w:r>
        <w:rPr>
          <w:rFonts w:hint="eastAsia" w:ascii="宋体" w:hAnsi="宋体" w:eastAsia="宋体" w:cs="宋体"/>
          <w:b w:val="0"/>
          <w:bCs w:val="0"/>
          <w:color w:val="000000"/>
          <w:sz w:val="24"/>
          <w:szCs w:val="24"/>
          <w:highlight w:val="none"/>
          <w:lang w:val="en-US" w:eastAsia="zh-CN"/>
        </w:rPr>
        <w:t>持续缩小</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持续缩小</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8</w:t>
      </w:r>
      <w:r>
        <w:rPr>
          <w:rFonts w:hint="eastAsia" w:ascii="宋体" w:hAnsi="宋体" w:eastAsia="宋体" w:cs="宋体"/>
          <w:b w:val="0"/>
          <w:bCs w:val="0"/>
          <w:color w:val="000000"/>
          <w:sz w:val="24"/>
          <w:szCs w:val="24"/>
          <w:highlight w:val="none"/>
        </w:rPr>
        <w:t>分。</w:t>
      </w:r>
    </w:p>
    <w:p w14:paraId="5811864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val="0"/>
          <w:bCs w:val="0"/>
          <w:color w:val="000000"/>
          <w:sz w:val="24"/>
          <w:szCs w:val="24"/>
          <w:highlight w:val="none"/>
        </w:rPr>
        <w:t>提高基本公共卫生服务水平，预期指标值为</w:t>
      </w:r>
      <w:r>
        <w:rPr>
          <w:rFonts w:hint="eastAsia" w:ascii="宋体" w:hAnsi="宋体" w:eastAsia="宋体" w:cs="宋体"/>
          <w:b w:val="0"/>
          <w:bCs w:val="0"/>
          <w:color w:val="000000"/>
          <w:sz w:val="24"/>
          <w:szCs w:val="24"/>
          <w:highlight w:val="none"/>
          <w:lang w:val="en-US" w:eastAsia="zh-CN"/>
        </w:rPr>
        <w:t>不断提高</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不断提高</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7</w:t>
      </w:r>
      <w:r>
        <w:rPr>
          <w:rFonts w:hint="eastAsia" w:ascii="宋体" w:hAnsi="宋体" w:eastAsia="宋体" w:cs="宋体"/>
          <w:b w:val="0"/>
          <w:bCs w:val="0"/>
          <w:color w:val="000000"/>
          <w:sz w:val="24"/>
          <w:szCs w:val="24"/>
          <w:highlight w:val="none"/>
        </w:rPr>
        <w:t>分。</w:t>
      </w:r>
    </w:p>
    <w:p w14:paraId="711104F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5AC3318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5D0DBEFD">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52B76CF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75AEC4D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65D1822D">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受益对象满意度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785DBCC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4C818836">
      <w:pPr>
        <w:pStyle w:val="4"/>
        <w:pageBreakBefore w:val="0"/>
        <w:widowControl w:val="0"/>
        <w:kinsoku/>
        <w:wordWrap/>
        <w:topLinePunct w:val="0"/>
        <w:autoSpaceDE/>
        <w:autoSpaceDN/>
        <w:bidi w:val="0"/>
        <w:adjustRightInd/>
        <w:snapToGrid/>
        <w:spacing w:before="0" w:after="0" w:line="500" w:lineRule="exact"/>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0DD550F1">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本项目年初预算资金总额为1744.20万元，全年预算数为1744.20万元，全年执行数为1605.09万元，预算执行率为92.02%。</w:t>
      </w:r>
    </w:p>
    <w:p w14:paraId="556D8D0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本项目共设置三级指标数量14个，满分指标数量13个，扣分指标数量1个，经分析计算所有三级指标完成率得出，本项目总体完成率为92.86%。</w:t>
      </w:r>
    </w:p>
    <w:p w14:paraId="05A321A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val="en-US" w:eastAsia="zh-CN"/>
        </w:rPr>
        <w:t>综上所述本项目预算执行率与总体完成率之间的偏差为0.84%。</w:t>
      </w:r>
    </w:p>
    <w:p w14:paraId="10F7055B">
      <w:pPr>
        <w:pStyle w:val="4"/>
        <w:pageBreakBefore w:val="0"/>
        <w:widowControl w:val="0"/>
        <w:kinsoku/>
        <w:wordWrap/>
        <w:overflowPunct/>
        <w:topLinePunct w:val="0"/>
        <w:autoSpaceDE/>
        <w:autoSpaceDN/>
        <w:bidi w:val="0"/>
        <w:adjustRightInd/>
        <w:snapToGrid/>
        <w:spacing w:before="0" w:after="0" w:line="500" w:lineRule="exact"/>
        <w:ind w:left="0" w:leftChars="0" w:firstLine="643"/>
        <w:jc w:val="both"/>
        <w:textAlignment w:val="auto"/>
        <w:rPr>
          <w:rFonts w:hint="eastAsia" w:ascii="宋体" w:hAnsi="宋体" w:eastAsia="宋体" w:cs="宋体"/>
          <w:color w:val="auto"/>
          <w:sz w:val="24"/>
          <w:szCs w:val="24"/>
          <w:highlight w:val="none"/>
        </w:rPr>
      </w:pPr>
      <w:bookmarkStart w:id="17" w:name="_Toc68364673"/>
      <w:r>
        <w:rPr>
          <w:rFonts w:hint="eastAsia" w:ascii="宋体" w:hAnsi="宋体" w:eastAsia="宋体" w:cs="宋体"/>
          <w:color w:val="auto"/>
          <w:sz w:val="24"/>
          <w:szCs w:val="24"/>
          <w:highlight w:val="none"/>
        </w:rPr>
        <w:t>六、主要经验及做法、存在的问题及原因分析</w:t>
      </w:r>
    </w:p>
    <w:p w14:paraId="417B5AE8">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（一）主要经验及做法</w:t>
      </w:r>
      <w:bookmarkEnd w:id="17"/>
    </w:p>
    <w:p w14:paraId="2485521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一是本项目能够严格按照《2024年中央基本公共卫生服务补助项目实施方案》执行，项目执行情况较好。</w:t>
      </w:r>
    </w:p>
    <w:p w14:paraId="1EE1A33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二是加强组织领导，本项目绩效评价工作，有主要领导亲自挂帅，分管领导具体负责，从项目到资金，均能够很好的执行。</w:t>
      </w:r>
    </w:p>
    <w:p w14:paraId="77B9446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三是加强沟通协调，我单位及时向领导汇报项目资金执行进度，加强与财政、具体实施单位的沟通，确保项目按期实施。</w:t>
      </w:r>
    </w:p>
    <w:p w14:paraId="26987D07">
      <w:pPr>
        <w:pStyle w:val="49"/>
        <w:pageBreakBefore w:val="0"/>
        <w:widowControl w:val="0"/>
        <w:kinsoku/>
        <w:wordWrap/>
        <w:overflowPunct/>
        <w:topLinePunct w:val="0"/>
        <w:autoSpaceDE/>
        <w:autoSpaceDN/>
        <w:bidi w:val="0"/>
        <w:adjustRightInd/>
        <w:snapToGrid/>
        <w:spacing w:before="0" w:after="0" w:line="500" w:lineRule="exact"/>
        <w:ind w:left="0" w:leftChars="0" w:firstLine="480" w:firstLineChars="200"/>
        <w:jc w:val="both"/>
        <w:textAlignment w:val="auto"/>
        <w:rPr>
          <w:rFonts w:hint="default" w:ascii="宋体" w:hAnsi="宋体" w:eastAsia="宋体" w:cs="宋体"/>
          <w:b/>
          <w:bCs/>
          <w:color w:val="auto"/>
          <w:sz w:val="24"/>
          <w:szCs w:val="24"/>
          <w:highlight w:val="none"/>
          <w:lang w:val="en-US" w:eastAsia="zh-CN"/>
        </w:rPr>
      </w:pPr>
      <w:bookmarkStart w:id="18" w:name="_Toc68364674"/>
      <w:r>
        <w:rPr>
          <w:rFonts w:hint="eastAsia" w:ascii="宋体" w:hAnsi="宋体" w:eastAsia="宋体" w:cs="宋体"/>
          <w:color w:val="auto"/>
          <w:sz w:val="24"/>
          <w:szCs w:val="24"/>
          <w:highlight w:val="none"/>
        </w:rPr>
        <w:t>（二）存在问题及原因分析</w:t>
      </w:r>
      <w:bookmarkEnd w:id="18"/>
    </w:p>
    <w:p w14:paraId="645CDBA8">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1.项目资金管理环节：</w:t>
      </w:r>
    </w:p>
    <w:p w14:paraId="0CCA202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个别医疗机构资金执行率未达到100%，办理支付手续较为缓慢，支付进度较为缓慢；原因分析：对于项目预算统筹谋划不到位，指导督促不到位。</w:t>
      </w:r>
    </w:p>
    <w:p w14:paraId="30E1B185">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2.项目绩效管理环节</w:t>
      </w:r>
    </w:p>
    <w:p w14:paraId="54220CFA">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项目开展过程中，虽根据实施进度定期进行绩效监控，但部分指标监控不到位。原因分析：对于资金支付金额、指标任务完成情况没能很好地统筹开展。</w:t>
      </w:r>
    </w:p>
    <w:p w14:paraId="3DBF4BE5">
      <w:pPr>
        <w:pStyle w:val="4"/>
        <w:pageBreakBefore w:val="0"/>
        <w:widowControl w:val="0"/>
        <w:kinsoku/>
        <w:wordWrap/>
        <w:overflowPunct/>
        <w:topLinePunct w:val="0"/>
        <w:autoSpaceDE/>
        <w:autoSpaceDN/>
        <w:bidi w:val="0"/>
        <w:adjustRightInd/>
        <w:snapToGrid/>
        <w:spacing w:before="0" w:after="0" w:line="500" w:lineRule="exact"/>
        <w:ind w:left="0" w:leftChars="0" w:firstLine="643"/>
        <w:jc w:val="both"/>
        <w:textAlignment w:val="auto"/>
        <w:rPr>
          <w:rFonts w:hint="eastAsia" w:ascii="宋体" w:hAnsi="宋体" w:eastAsia="宋体" w:cs="宋体"/>
          <w:b w:val="0"/>
          <w:bCs w:val="0"/>
          <w:color w:val="auto"/>
          <w:sz w:val="24"/>
          <w:szCs w:val="24"/>
          <w:highlight w:val="none"/>
        </w:rPr>
      </w:pPr>
      <w:bookmarkStart w:id="19" w:name="_Toc68364675"/>
      <w:r>
        <w:rPr>
          <w:rFonts w:hint="eastAsia" w:ascii="黑体" w:hAnsi="黑体" w:eastAsia="黑体" w:cs="黑体"/>
          <w:color w:val="auto"/>
          <w:sz w:val="24"/>
          <w:szCs w:val="24"/>
          <w:highlight w:val="none"/>
        </w:rPr>
        <w:t>七、有关建议</w:t>
      </w:r>
      <w:bookmarkEnd w:id="19"/>
    </w:p>
    <w:p w14:paraId="13D08262">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1.加强项目管理方面。根据项目实施方案、项目资金管理办法，合理、规范使用专项资金，严格按照方案内容、推进进度进行资金支付。</w:t>
      </w:r>
    </w:p>
    <w:p w14:paraId="2C762843">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2.项目绩效管理方面。加强2024年中央基本公共卫生服务补助项目资金管理；通过绩效管理，发现实施中存在漏洞，以后加强管理，及时掌握与之相关的各类信息，减少成本，使资金效益最大化。</w:t>
      </w:r>
      <w:bookmarkStart w:id="20" w:name="_Toc68364676"/>
    </w:p>
    <w:p w14:paraId="1E73516B">
      <w:pPr>
        <w:pStyle w:val="4"/>
        <w:pageBreakBefore w:val="0"/>
        <w:widowControl w:val="0"/>
        <w:kinsoku/>
        <w:wordWrap/>
        <w:overflowPunct/>
        <w:topLinePunct w:val="0"/>
        <w:autoSpaceDE/>
        <w:autoSpaceDN/>
        <w:bidi w:val="0"/>
        <w:adjustRightInd/>
        <w:snapToGrid/>
        <w:spacing w:before="0" w:after="0" w:line="500" w:lineRule="exact"/>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八、其他需要说明的问题</w:t>
      </w:r>
      <w:bookmarkEnd w:id="20"/>
    </w:p>
    <w:p w14:paraId="7C997DC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我单位对上述项目支出绩效评价报告内反映内容的真实性、完整性负责，愿接受上级部门及社会公众监督。</w:t>
      </w:r>
    </w:p>
    <w:p w14:paraId="1DEF2B1C">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46E44DB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附件1：2024年中央基本公共卫生服务补助项目绩效评价指标体系</w:t>
      </w:r>
    </w:p>
    <w:p w14:paraId="03DF046E">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附件2：2024年中央基本公共卫生服务补助项目综合得分表</w:t>
      </w:r>
    </w:p>
    <w:p w14:paraId="1CCAC448">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附件3：满意度调查问分析情况</w:t>
      </w:r>
    </w:p>
    <w:p w14:paraId="76382C2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54456607">
      <w:pPr>
        <w:pStyle w:val="10"/>
        <w:ind w:left="0" w:leftChars="0" w:firstLine="0" w:firstLineChars="0"/>
        <w:jc w:val="both"/>
        <w:rPr>
          <w:rFonts w:hint="eastAsia" w:ascii="宋体" w:hAnsi="宋体" w:eastAsia="宋体" w:cs="宋体"/>
          <w:color w:val="auto"/>
          <w:sz w:val="24"/>
          <w:szCs w:val="24"/>
          <w:highlight w:val="none"/>
        </w:rPr>
      </w:pPr>
    </w:p>
    <w:p w14:paraId="49867370">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52"/>
        <w:gridCol w:w="532"/>
        <w:gridCol w:w="586"/>
        <w:gridCol w:w="529"/>
        <w:gridCol w:w="666"/>
        <w:gridCol w:w="516"/>
        <w:gridCol w:w="2751"/>
        <w:gridCol w:w="1075"/>
        <w:gridCol w:w="4230"/>
        <w:gridCol w:w="1053"/>
        <w:gridCol w:w="778"/>
      </w:tblGrid>
      <w:tr w14:paraId="2258F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44" w:type="pct"/>
            <w:tcBorders>
              <w:top w:val="nil"/>
              <w:left w:val="nil"/>
              <w:bottom w:val="nil"/>
              <w:right w:val="nil"/>
            </w:tcBorders>
            <w:noWrap/>
            <w:vAlign w:val="center"/>
          </w:tcPr>
          <w:p w14:paraId="6CB1A4B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rPr>
              <w:t>附件1：</w:t>
            </w:r>
          </w:p>
        </w:tc>
        <w:tc>
          <w:tcPr>
            <w:tcW w:w="199" w:type="pct"/>
            <w:tcBorders>
              <w:top w:val="nil"/>
              <w:left w:val="nil"/>
              <w:bottom w:val="nil"/>
              <w:right w:val="nil"/>
            </w:tcBorders>
            <w:noWrap/>
            <w:vAlign w:val="center"/>
          </w:tcPr>
          <w:p w14:paraId="21D887B8">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219" w:type="pct"/>
            <w:tcBorders>
              <w:top w:val="nil"/>
              <w:left w:val="nil"/>
              <w:bottom w:val="nil"/>
              <w:right w:val="nil"/>
            </w:tcBorders>
            <w:noWrap/>
            <w:vAlign w:val="center"/>
          </w:tcPr>
          <w:p w14:paraId="5DD1ECEF">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198" w:type="pct"/>
            <w:tcBorders>
              <w:top w:val="nil"/>
              <w:left w:val="nil"/>
              <w:bottom w:val="nil"/>
              <w:right w:val="nil"/>
            </w:tcBorders>
            <w:noWrap/>
            <w:vAlign w:val="center"/>
          </w:tcPr>
          <w:p w14:paraId="6A569466">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249" w:type="pct"/>
            <w:tcBorders>
              <w:top w:val="nil"/>
              <w:left w:val="nil"/>
              <w:bottom w:val="nil"/>
              <w:right w:val="nil"/>
            </w:tcBorders>
            <w:noWrap/>
            <w:vAlign w:val="center"/>
          </w:tcPr>
          <w:p w14:paraId="37C1668B">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193" w:type="pct"/>
            <w:tcBorders>
              <w:top w:val="nil"/>
              <w:left w:val="nil"/>
              <w:bottom w:val="nil"/>
              <w:right w:val="nil"/>
            </w:tcBorders>
            <w:noWrap/>
            <w:vAlign w:val="center"/>
          </w:tcPr>
          <w:p w14:paraId="498C2A75">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1029" w:type="pct"/>
            <w:tcBorders>
              <w:top w:val="nil"/>
              <w:left w:val="nil"/>
              <w:bottom w:val="nil"/>
              <w:right w:val="nil"/>
            </w:tcBorders>
            <w:noWrap/>
            <w:vAlign w:val="center"/>
          </w:tcPr>
          <w:p w14:paraId="2226E3F9">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highlight w:val="none"/>
                <w:u w:val="none"/>
              </w:rPr>
            </w:pPr>
          </w:p>
        </w:tc>
        <w:tc>
          <w:tcPr>
            <w:tcW w:w="402" w:type="pct"/>
            <w:tcBorders>
              <w:top w:val="nil"/>
              <w:left w:val="nil"/>
              <w:bottom w:val="nil"/>
              <w:right w:val="nil"/>
            </w:tcBorders>
            <w:noWrap/>
            <w:vAlign w:val="center"/>
          </w:tcPr>
          <w:p w14:paraId="7C216C5D">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1582" w:type="pct"/>
            <w:tcBorders>
              <w:top w:val="nil"/>
              <w:left w:val="nil"/>
              <w:bottom w:val="nil"/>
              <w:right w:val="nil"/>
            </w:tcBorders>
            <w:noWrap/>
            <w:vAlign w:val="center"/>
          </w:tcPr>
          <w:p w14:paraId="242F262A">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394" w:type="pct"/>
            <w:tcBorders>
              <w:top w:val="nil"/>
              <w:left w:val="nil"/>
              <w:bottom w:val="nil"/>
              <w:right w:val="nil"/>
            </w:tcBorders>
            <w:noWrap/>
            <w:vAlign w:val="center"/>
          </w:tcPr>
          <w:p w14:paraId="5326971B">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c>
          <w:tcPr>
            <w:tcW w:w="283" w:type="pct"/>
            <w:tcBorders>
              <w:top w:val="nil"/>
              <w:left w:val="nil"/>
              <w:bottom w:val="nil"/>
              <w:right w:val="nil"/>
            </w:tcBorders>
            <w:noWrap/>
            <w:vAlign w:val="center"/>
          </w:tcPr>
          <w:p w14:paraId="6A50FC5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highlight w:val="none"/>
                <w:u w:val="none"/>
              </w:rPr>
            </w:pPr>
          </w:p>
        </w:tc>
      </w:tr>
      <w:tr w14:paraId="4AC01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26EFDE1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2024年中央基本公共卫生服务补助项目项目绩效评价指标体系综合评分表</w:t>
            </w:r>
          </w:p>
        </w:tc>
      </w:tr>
      <w:tr w14:paraId="108346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721F9D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6BA84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5A7DBD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98" w:type="pct"/>
            <w:tcBorders>
              <w:top w:val="single" w:color="auto" w:sz="4" w:space="0"/>
              <w:left w:val="single" w:color="auto" w:sz="4" w:space="0"/>
              <w:bottom w:val="single" w:color="auto" w:sz="4" w:space="0"/>
              <w:right w:val="single" w:color="auto" w:sz="4" w:space="0"/>
            </w:tcBorders>
            <w:noWrap w:val="0"/>
            <w:vAlign w:val="center"/>
          </w:tcPr>
          <w:p w14:paraId="4E5026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08BF5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460FB5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2EBF59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41965F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00C938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03B9A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0AF873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3D756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restart"/>
            <w:tcBorders>
              <w:top w:val="single" w:color="auto" w:sz="4" w:space="0"/>
              <w:left w:val="single" w:color="auto" w:sz="4" w:space="0"/>
              <w:bottom w:val="single" w:color="auto" w:sz="4" w:space="0"/>
              <w:right w:val="single" w:color="auto" w:sz="4" w:space="0"/>
            </w:tcBorders>
            <w:noWrap w:val="0"/>
            <w:vAlign w:val="center"/>
          </w:tcPr>
          <w:p w14:paraId="59A7FC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685AD8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219" w:type="pct"/>
            <w:vMerge w:val="restart"/>
            <w:tcBorders>
              <w:top w:val="single" w:color="auto" w:sz="4" w:space="0"/>
              <w:left w:val="single" w:color="auto" w:sz="4" w:space="0"/>
              <w:bottom w:val="single" w:color="auto" w:sz="4" w:space="0"/>
              <w:right w:val="single" w:color="auto" w:sz="4" w:space="0"/>
            </w:tcBorders>
            <w:noWrap w:val="0"/>
            <w:vAlign w:val="center"/>
          </w:tcPr>
          <w:p w14:paraId="2B7FD0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198" w:type="pct"/>
            <w:vMerge w:val="restart"/>
            <w:tcBorders>
              <w:top w:val="single" w:color="auto" w:sz="4" w:space="0"/>
              <w:left w:val="single" w:color="auto" w:sz="4" w:space="0"/>
              <w:bottom w:val="single" w:color="auto" w:sz="4" w:space="0"/>
              <w:right w:val="single" w:color="auto" w:sz="4" w:space="0"/>
            </w:tcBorders>
            <w:noWrap w:val="0"/>
            <w:vAlign w:val="center"/>
          </w:tcPr>
          <w:p w14:paraId="0C056D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036965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316D46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2431C4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E7D44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63814A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56E393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0F7AC0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505801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331996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1AE643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BF71D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7D4A3D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1D888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1ECE52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400862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288667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5E901F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35EC86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768FB9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3DC806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6B55C2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0E97FA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518718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4C85FA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6E86E3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151989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0ED5A7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627F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120830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3C1C6D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restart"/>
            <w:tcBorders>
              <w:top w:val="single" w:color="auto" w:sz="4" w:space="0"/>
              <w:left w:val="single" w:color="auto" w:sz="4" w:space="0"/>
              <w:bottom w:val="single" w:color="auto" w:sz="4" w:space="0"/>
              <w:right w:val="single" w:color="auto" w:sz="4" w:space="0"/>
            </w:tcBorders>
            <w:noWrap w:val="0"/>
            <w:vAlign w:val="center"/>
          </w:tcPr>
          <w:p w14:paraId="0F07D1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198" w:type="pct"/>
            <w:vMerge w:val="restart"/>
            <w:tcBorders>
              <w:top w:val="single" w:color="auto" w:sz="4" w:space="0"/>
              <w:left w:val="single" w:color="auto" w:sz="4" w:space="0"/>
              <w:bottom w:val="single" w:color="auto" w:sz="4" w:space="0"/>
              <w:right w:val="single" w:color="auto" w:sz="4" w:space="0"/>
            </w:tcBorders>
            <w:noWrap w:val="0"/>
            <w:vAlign w:val="center"/>
          </w:tcPr>
          <w:p w14:paraId="72299A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10EDA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695F07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6AB90E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7A9223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4BC15C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3C34BE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602A7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6E5AC2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2B5F9B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8D5F5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17C316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546E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58D296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4DF6D9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46C46B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7AB5D4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14D828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398A3E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3E2954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63FD3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5A54E5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51977D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337CC5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697B8E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336C76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577A49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EC0A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4A7E0E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5A22D6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restart"/>
            <w:tcBorders>
              <w:top w:val="single" w:color="auto" w:sz="4" w:space="0"/>
              <w:left w:val="single" w:color="auto" w:sz="4" w:space="0"/>
              <w:bottom w:val="single" w:color="auto" w:sz="4" w:space="0"/>
              <w:right w:val="single" w:color="auto" w:sz="4" w:space="0"/>
            </w:tcBorders>
            <w:noWrap w:val="0"/>
            <w:vAlign w:val="center"/>
          </w:tcPr>
          <w:p w14:paraId="20C44C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198" w:type="pct"/>
            <w:vMerge w:val="restart"/>
            <w:tcBorders>
              <w:top w:val="single" w:color="auto" w:sz="4" w:space="0"/>
              <w:left w:val="single" w:color="auto" w:sz="4" w:space="0"/>
              <w:bottom w:val="single" w:color="auto" w:sz="4" w:space="0"/>
              <w:right w:val="single" w:color="auto" w:sz="4" w:space="0"/>
            </w:tcBorders>
            <w:noWrap w:val="0"/>
            <w:vAlign w:val="center"/>
          </w:tcPr>
          <w:p w14:paraId="4C2494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20304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5ADB78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78E5E9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7017DA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6CEEA2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0C7017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08F847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1B94FA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62685B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A77A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2A1488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2B1B3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2431BA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0B1D36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0B4C29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0CC48E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7CE17C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23681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19C9A5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74CC3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0D2BE6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44434E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2C6655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467721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5E8BAC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14708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restart"/>
            <w:tcBorders>
              <w:top w:val="single" w:color="auto" w:sz="4" w:space="0"/>
              <w:left w:val="single" w:color="auto" w:sz="4" w:space="0"/>
              <w:bottom w:val="single" w:color="auto" w:sz="4" w:space="0"/>
              <w:right w:val="single" w:color="auto" w:sz="4" w:space="0"/>
            </w:tcBorders>
            <w:noWrap w:val="0"/>
            <w:vAlign w:val="center"/>
          </w:tcPr>
          <w:p w14:paraId="7D620F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199" w:type="pct"/>
            <w:vMerge w:val="restart"/>
            <w:tcBorders>
              <w:top w:val="single" w:color="auto" w:sz="4" w:space="0"/>
              <w:left w:val="single" w:color="auto" w:sz="4" w:space="0"/>
              <w:bottom w:val="single" w:color="auto" w:sz="4" w:space="0"/>
              <w:right w:val="single" w:color="auto" w:sz="4" w:space="0"/>
            </w:tcBorders>
            <w:noWrap w:val="0"/>
            <w:vAlign w:val="center"/>
          </w:tcPr>
          <w:p w14:paraId="1E8221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219" w:type="pct"/>
            <w:vMerge w:val="restart"/>
            <w:tcBorders>
              <w:top w:val="single" w:color="auto" w:sz="4" w:space="0"/>
              <w:left w:val="single" w:color="auto" w:sz="4" w:space="0"/>
              <w:bottom w:val="single" w:color="auto" w:sz="4" w:space="0"/>
              <w:right w:val="single" w:color="auto" w:sz="4" w:space="0"/>
            </w:tcBorders>
            <w:noWrap w:val="0"/>
            <w:vAlign w:val="center"/>
          </w:tcPr>
          <w:p w14:paraId="3A4790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198" w:type="pct"/>
            <w:vMerge w:val="restart"/>
            <w:tcBorders>
              <w:top w:val="single" w:color="auto" w:sz="4" w:space="0"/>
              <w:left w:val="single" w:color="auto" w:sz="4" w:space="0"/>
              <w:bottom w:val="single" w:color="auto" w:sz="4" w:space="0"/>
              <w:right w:val="single" w:color="auto" w:sz="4" w:space="0"/>
            </w:tcBorders>
            <w:noWrap w:val="0"/>
            <w:vAlign w:val="center"/>
          </w:tcPr>
          <w:p w14:paraId="4810B5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8DBF0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565F23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3967A2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399AC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5E8A44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2B185C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40C345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06CDC1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783B5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41DA51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6097CE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10D9D2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11FF64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2A43EE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19528D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207C8E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CC985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5EA19F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4D34F5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27407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92.02%</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28AFA2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1.84</w:t>
            </w:r>
          </w:p>
        </w:tc>
      </w:tr>
      <w:tr w14:paraId="5C318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5D455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12E6DA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1DFBC1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3A37EF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07CFE6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62DF6D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3F289F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7986A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2DCA59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613181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1784CA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3F6A51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5CA702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BD916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5AD189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0CBF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656310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2E9D9C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restart"/>
            <w:tcBorders>
              <w:top w:val="single" w:color="auto" w:sz="4" w:space="0"/>
              <w:left w:val="single" w:color="auto" w:sz="4" w:space="0"/>
              <w:bottom w:val="single" w:color="auto" w:sz="4" w:space="0"/>
              <w:right w:val="single" w:color="auto" w:sz="4" w:space="0"/>
            </w:tcBorders>
            <w:noWrap w:val="0"/>
            <w:vAlign w:val="center"/>
          </w:tcPr>
          <w:p w14:paraId="75D197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198" w:type="pct"/>
            <w:vMerge w:val="restart"/>
            <w:tcBorders>
              <w:top w:val="single" w:color="auto" w:sz="4" w:space="0"/>
              <w:left w:val="single" w:color="auto" w:sz="4" w:space="0"/>
              <w:bottom w:val="single" w:color="auto" w:sz="4" w:space="0"/>
              <w:right w:val="single" w:color="auto" w:sz="4" w:space="0"/>
            </w:tcBorders>
            <w:noWrap w:val="0"/>
            <w:vAlign w:val="center"/>
          </w:tcPr>
          <w:p w14:paraId="046558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2F5981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720B3E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52B7A5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15792D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574DED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7A91AD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706764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75786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51E718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0229D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11CE26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12DA10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6B2A8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5DFD99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5773E1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33106F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71E715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58D298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1C0D13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2C3B7B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4E9147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2F70BA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2AECA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6D396F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AA6D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44" w:type="pct"/>
            <w:vMerge w:val="restart"/>
            <w:tcBorders>
              <w:top w:val="single" w:color="auto" w:sz="4" w:space="0"/>
              <w:left w:val="single" w:color="auto" w:sz="4" w:space="0"/>
              <w:right w:val="single" w:color="auto" w:sz="4" w:space="0"/>
            </w:tcBorders>
            <w:noWrap w:val="0"/>
            <w:vAlign w:val="center"/>
          </w:tcPr>
          <w:p w14:paraId="60D269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199" w:type="pct"/>
            <w:vMerge w:val="restart"/>
            <w:tcBorders>
              <w:top w:val="single" w:color="auto" w:sz="4" w:space="0"/>
              <w:left w:val="single" w:color="auto" w:sz="4" w:space="0"/>
              <w:right w:val="single" w:color="auto" w:sz="4" w:space="0"/>
            </w:tcBorders>
            <w:noWrap w:val="0"/>
            <w:vAlign w:val="center"/>
          </w:tcPr>
          <w:p w14:paraId="1832D2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219" w:type="pct"/>
            <w:vMerge w:val="restart"/>
            <w:tcBorders>
              <w:top w:val="single" w:color="auto" w:sz="4" w:space="0"/>
              <w:left w:val="single" w:color="auto" w:sz="4" w:space="0"/>
              <w:right w:val="single" w:color="auto" w:sz="4" w:space="0"/>
            </w:tcBorders>
            <w:noWrap w:val="0"/>
            <w:vAlign w:val="center"/>
          </w:tcPr>
          <w:p w14:paraId="23D603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198" w:type="pct"/>
            <w:vMerge w:val="restart"/>
            <w:tcBorders>
              <w:top w:val="single" w:color="auto" w:sz="4" w:space="0"/>
              <w:left w:val="single" w:color="auto" w:sz="4" w:space="0"/>
              <w:right w:val="single" w:color="auto" w:sz="4" w:space="0"/>
            </w:tcBorders>
            <w:noWrap w:val="0"/>
            <w:vAlign w:val="center"/>
          </w:tcPr>
          <w:p w14:paraId="36661D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400E7A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343F80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2D4D8B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县级单位数量</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7250B1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&gt;=5个</w:t>
            </w:r>
          </w:p>
        </w:tc>
        <w:tc>
          <w:tcPr>
            <w:tcW w:w="1582" w:type="pct"/>
            <w:vMerge w:val="restart"/>
            <w:tcBorders>
              <w:top w:val="single" w:color="auto" w:sz="4" w:space="0"/>
              <w:left w:val="single" w:color="auto" w:sz="4" w:space="0"/>
              <w:right w:val="single" w:color="auto" w:sz="4" w:space="0"/>
            </w:tcBorders>
            <w:noWrap w:val="0"/>
            <w:vAlign w:val="center"/>
          </w:tcPr>
          <w:p w14:paraId="29D038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9D046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5个</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092762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3514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5" w:hRule="atLeast"/>
        </w:trPr>
        <w:tc>
          <w:tcPr>
            <w:tcW w:w="244" w:type="pct"/>
            <w:vMerge w:val="continue"/>
            <w:tcBorders>
              <w:left w:val="single" w:color="auto" w:sz="4" w:space="0"/>
              <w:bottom w:val="single" w:color="auto" w:sz="4" w:space="0"/>
              <w:right w:val="single" w:color="auto" w:sz="4" w:space="0"/>
            </w:tcBorders>
            <w:noWrap w:val="0"/>
            <w:vAlign w:val="center"/>
          </w:tcPr>
          <w:p w14:paraId="12A35C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9" w:type="pct"/>
            <w:vMerge w:val="continue"/>
            <w:tcBorders>
              <w:left w:val="single" w:color="auto" w:sz="4" w:space="0"/>
              <w:bottom w:val="single" w:color="auto" w:sz="4" w:space="0"/>
              <w:right w:val="single" w:color="auto" w:sz="4" w:space="0"/>
            </w:tcBorders>
            <w:noWrap w:val="0"/>
            <w:vAlign w:val="center"/>
          </w:tcPr>
          <w:p w14:paraId="3D6E33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19" w:type="pct"/>
            <w:vMerge w:val="continue"/>
            <w:tcBorders>
              <w:left w:val="single" w:color="auto" w:sz="4" w:space="0"/>
              <w:bottom w:val="single" w:color="auto" w:sz="4" w:space="0"/>
              <w:right w:val="single" w:color="auto" w:sz="4" w:space="0"/>
            </w:tcBorders>
            <w:noWrap w:val="0"/>
            <w:vAlign w:val="center"/>
          </w:tcPr>
          <w:p w14:paraId="32060E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8" w:type="pct"/>
            <w:vMerge w:val="continue"/>
            <w:tcBorders>
              <w:left w:val="single" w:color="auto" w:sz="4" w:space="0"/>
              <w:bottom w:val="single" w:color="auto" w:sz="4" w:space="0"/>
              <w:right w:val="single" w:color="auto" w:sz="4" w:space="0"/>
            </w:tcBorders>
            <w:noWrap w:val="0"/>
            <w:vAlign w:val="center"/>
          </w:tcPr>
          <w:p w14:paraId="44D320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7521C3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77680F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6B0792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乡镇卫生院数量</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6AFA79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&gt;=10个</w:t>
            </w:r>
          </w:p>
        </w:tc>
        <w:tc>
          <w:tcPr>
            <w:tcW w:w="1582" w:type="pct"/>
            <w:vMerge w:val="continue"/>
            <w:tcBorders>
              <w:left w:val="single" w:color="auto" w:sz="4" w:space="0"/>
              <w:bottom w:val="single" w:color="auto" w:sz="4" w:space="0"/>
              <w:right w:val="single" w:color="auto" w:sz="4" w:space="0"/>
            </w:tcBorders>
            <w:noWrap w:val="0"/>
            <w:vAlign w:val="center"/>
          </w:tcPr>
          <w:p w14:paraId="41AA2D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24B878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10个</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36F374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54AE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61AA69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7D1BC4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tcBorders>
              <w:top w:val="single" w:color="auto" w:sz="4" w:space="0"/>
              <w:left w:val="single" w:color="auto" w:sz="4" w:space="0"/>
              <w:bottom w:val="single" w:color="auto" w:sz="4" w:space="0"/>
              <w:right w:val="single" w:color="auto" w:sz="4" w:space="0"/>
            </w:tcBorders>
            <w:noWrap w:val="0"/>
            <w:vAlign w:val="center"/>
          </w:tcPr>
          <w:p w14:paraId="7EC746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198" w:type="pct"/>
            <w:tcBorders>
              <w:top w:val="single" w:color="auto" w:sz="4" w:space="0"/>
              <w:left w:val="single" w:color="auto" w:sz="4" w:space="0"/>
              <w:bottom w:val="single" w:color="auto" w:sz="4" w:space="0"/>
              <w:right w:val="single" w:color="auto" w:sz="4" w:space="0"/>
            </w:tcBorders>
            <w:noWrap w:val="0"/>
            <w:vAlign w:val="center"/>
          </w:tcPr>
          <w:p w14:paraId="08DC42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18504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70A24D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26F649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15C96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82" w:type="pct"/>
            <w:tcBorders>
              <w:top w:val="single" w:color="auto" w:sz="4" w:space="0"/>
              <w:left w:val="single" w:color="auto" w:sz="4" w:space="0"/>
              <w:right w:val="single" w:color="auto" w:sz="4" w:space="0"/>
            </w:tcBorders>
            <w:noWrap w:val="0"/>
            <w:vAlign w:val="center"/>
          </w:tcPr>
          <w:p w14:paraId="3CEF3D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00D67E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58031F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6F2E2F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73C03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5343E9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10BE3A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restart"/>
            <w:tcBorders>
              <w:top w:val="single" w:color="auto" w:sz="4" w:space="0"/>
              <w:left w:val="single" w:color="auto" w:sz="4" w:space="0"/>
              <w:right w:val="single" w:color="auto" w:sz="4" w:space="0"/>
            </w:tcBorders>
            <w:noWrap w:val="0"/>
            <w:vAlign w:val="center"/>
          </w:tcPr>
          <w:p w14:paraId="3195E5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198" w:type="pct"/>
            <w:vMerge w:val="restart"/>
            <w:tcBorders>
              <w:top w:val="single" w:color="auto" w:sz="4" w:space="0"/>
              <w:left w:val="single" w:color="auto" w:sz="4" w:space="0"/>
              <w:right w:val="single" w:color="auto" w:sz="4" w:space="0"/>
            </w:tcBorders>
            <w:noWrap w:val="0"/>
            <w:vAlign w:val="center"/>
          </w:tcPr>
          <w:p w14:paraId="69EEE2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3AE267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6ED571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390B15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63DF3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582" w:type="pct"/>
            <w:vMerge w:val="restart"/>
            <w:tcBorders>
              <w:top w:val="single" w:color="auto" w:sz="4" w:space="0"/>
              <w:left w:val="single" w:color="auto" w:sz="4" w:space="0"/>
              <w:right w:val="single" w:color="auto" w:sz="4" w:space="0"/>
            </w:tcBorders>
            <w:noWrap w:val="0"/>
            <w:vAlign w:val="center"/>
          </w:tcPr>
          <w:p w14:paraId="68DDAB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563532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232276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2AD246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5EE5C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44" w:type="pct"/>
            <w:vMerge w:val="continue"/>
            <w:tcBorders>
              <w:left w:val="single" w:color="auto" w:sz="4" w:space="0"/>
              <w:bottom w:val="single" w:color="auto" w:sz="4" w:space="0"/>
              <w:right w:val="single" w:color="auto" w:sz="4" w:space="0"/>
            </w:tcBorders>
            <w:noWrap w:val="0"/>
            <w:vAlign w:val="center"/>
          </w:tcPr>
          <w:p w14:paraId="590088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9" w:type="pct"/>
            <w:vMerge w:val="continue"/>
            <w:tcBorders>
              <w:left w:val="single" w:color="auto" w:sz="4" w:space="0"/>
              <w:bottom w:val="single" w:color="auto" w:sz="4" w:space="0"/>
              <w:right w:val="single" w:color="auto" w:sz="4" w:space="0"/>
            </w:tcBorders>
            <w:noWrap w:val="0"/>
            <w:vAlign w:val="center"/>
          </w:tcPr>
          <w:p w14:paraId="4B2C06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19" w:type="pct"/>
            <w:vMerge w:val="continue"/>
            <w:tcBorders>
              <w:left w:val="single" w:color="auto" w:sz="4" w:space="0"/>
              <w:bottom w:val="single" w:color="auto" w:sz="4" w:space="0"/>
              <w:right w:val="single" w:color="auto" w:sz="4" w:space="0"/>
            </w:tcBorders>
            <w:noWrap w:val="0"/>
            <w:vAlign w:val="center"/>
          </w:tcPr>
          <w:p w14:paraId="6292FC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8" w:type="pct"/>
            <w:vMerge w:val="continue"/>
            <w:tcBorders>
              <w:left w:val="single" w:color="auto" w:sz="4" w:space="0"/>
              <w:bottom w:val="single" w:color="auto" w:sz="4" w:space="0"/>
              <w:right w:val="single" w:color="auto" w:sz="4" w:space="0"/>
            </w:tcBorders>
            <w:noWrap w:val="0"/>
            <w:vAlign w:val="center"/>
          </w:tcPr>
          <w:p w14:paraId="4E7A1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4F817C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34FEE7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62E764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3D51EB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1582" w:type="pct"/>
            <w:vMerge w:val="continue"/>
            <w:tcBorders>
              <w:left w:val="single" w:color="auto" w:sz="4" w:space="0"/>
              <w:right w:val="single" w:color="auto" w:sz="4" w:space="0"/>
            </w:tcBorders>
            <w:noWrap w:val="0"/>
            <w:vAlign w:val="center"/>
          </w:tcPr>
          <w:p w14:paraId="12014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182BA3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59FBB5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8187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734504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578343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restart"/>
            <w:tcBorders>
              <w:top w:val="single" w:color="auto" w:sz="4" w:space="0"/>
              <w:left w:val="single" w:color="auto" w:sz="4" w:space="0"/>
              <w:right w:val="single" w:color="auto" w:sz="4" w:space="0"/>
            </w:tcBorders>
            <w:noWrap w:val="0"/>
            <w:vAlign w:val="center"/>
          </w:tcPr>
          <w:p w14:paraId="2E18C2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198" w:type="pct"/>
            <w:vMerge w:val="restart"/>
            <w:tcBorders>
              <w:top w:val="single" w:color="auto" w:sz="4" w:space="0"/>
              <w:left w:val="single" w:color="auto" w:sz="4" w:space="0"/>
              <w:right w:val="single" w:color="auto" w:sz="4" w:space="0"/>
            </w:tcBorders>
            <w:noWrap w:val="0"/>
            <w:vAlign w:val="center"/>
          </w:tcPr>
          <w:p w14:paraId="330790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49" w:type="pct"/>
            <w:vMerge w:val="restart"/>
            <w:tcBorders>
              <w:top w:val="single" w:color="auto" w:sz="4" w:space="0"/>
              <w:left w:val="single" w:color="auto" w:sz="4" w:space="0"/>
              <w:right w:val="single" w:color="auto" w:sz="4" w:space="0"/>
            </w:tcBorders>
            <w:noWrap w:val="0"/>
            <w:vAlign w:val="center"/>
          </w:tcPr>
          <w:p w14:paraId="022CDC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48448A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5C2E54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原基本公共卫生经费</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BD422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both"/>
              <w:textAlignment w:val="center"/>
              <w:rPr>
                <w:rFonts w:hint="eastAsia" w:ascii="宋体" w:hAnsi="宋体" w:eastAsia="宋体" w:cs="宋体"/>
                <w:i w:val="0"/>
                <w:iCs w:val="0"/>
                <w:color w:val="000000"/>
                <w:kern w:val="0"/>
                <w:sz w:val="18"/>
                <w:szCs w:val="18"/>
                <w:highlight w:val="none"/>
                <w:u w:val="none"/>
                <w:lang w:val="en-US" w:eastAsia="zh-CN"/>
              </w:rPr>
            </w:pPr>
          </w:p>
          <w:p w14:paraId="5D460C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&lt;=1646万元</w:t>
            </w:r>
          </w:p>
        </w:tc>
        <w:tc>
          <w:tcPr>
            <w:tcW w:w="1582" w:type="pct"/>
            <w:vMerge w:val="restart"/>
            <w:tcBorders>
              <w:top w:val="single" w:color="auto" w:sz="4" w:space="0"/>
              <w:left w:val="single" w:color="auto" w:sz="4" w:space="0"/>
              <w:right w:val="single" w:color="auto" w:sz="4" w:space="0"/>
            </w:tcBorders>
            <w:noWrap w:val="0"/>
            <w:vAlign w:val="center"/>
          </w:tcPr>
          <w:p w14:paraId="623AAE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394" w:type="pct"/>
            <w:tcBorders>
              <w:top w:val="single" w:color="auto" w:sz="4" w:space="0"/>
              <w:left w:val="single" w:color="auto" w:sz="4" w:space="0"/>
              <w:right w:val="single" w:color="auto" w:sz="4" w:space="0"/>
            </w:tcBorders>
            <w:noWrap w:val="0"/>
            <w:vAlign w:val="center"/>
          </w:tcPr>
          <w:p w14:paraId="2AFFB3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1511.74万元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040E99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1.84</w:t>
            </w:r>
          </w:p>
        </w:tc>
      </w:tr>
      <w:tr w14:paraId="5064E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5B355D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2BC5D8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19" w:type="pct"/>
            <w:vMerge w:val="continue"/>
            <w:tcBorders>
              <w:left w:val="single" w:color="auto" w:sz="4" w:space="0"/>
              <w:right w:val="single" w:color="auto" w:sz="4" w:space="0"/>
            </w:tcBorders>
            <w:noWrap w:val="0"/>
            <w:vAlign w:val="center"/>
          </w:tcPr>
          <w:p w14:paraId="28815D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8" w:type="pct"/>
            <w:vMerge w:val="continue"/>
            <w:tcBorders>
              <w:left w:val="single" w:color="auto" w:sz="4" w:space="0"/>
              <w:right w:val="single" w:color="auto" w:sz="4" w:space="0"/>
            </w:tcBorders>
            <w:noWrap w:val="0"/>
            <w:vAlign w:val="center"/>
          </w:tcPr>
          <w:p w14:paraId="1742DB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right w:val="single" w:color="auto" w:sz="4" w:space="0"/>
            </w:tcBorders>
            <w:noWrap w:val="0"/>
            <w:vAlign w:val="center"/>
          </w:tcPr>
          <w:p w14:paraId="7ADDBC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0C55FC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6CC4BE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职业病防治</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91218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&lt;=2.10万元</w:t>
            </w:r>
          </w:p>
        </w:tc>
        <w:tc>
          <w:tcPr>
            <w:tcW w:w="1582" w:type="pct"/>
            <w:vMerge w:val="continue"/>
            <w:tcBorders>
              <w:left w:val="single" w:color="auto" w:sz="4" w:space="0"/>
              <w:right w:val="single" w:color="auto" w:sz="4" w:space="0"/>
            </w:tcBorders>
            <w:noWrap w:val="0"/>
            <w:vAlign w:val="center"/>
          </w:tcPr>
          <w:p w14:paraId="2E493A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left w:val="single" w:color="auto" w:sz="4" w:space="0"/>
              <w:right w:val="single" w:color="auto" w:sz="4" w:space="0"/>
            </w:tcBorders>
            <w:noWrap w:val="0"/>
            <w:vAlign w:val="center"/>
          </w:tcPr>
          <w:p w14:paraId="01A8B7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2.1万元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3765FF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3521D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6498EA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2EA20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left w:val="single" w:color="auto" w:sz="4" w:space="0"/>
              <w:right w:val="single" w:color="auto" w:sz="4" w:space="0"/>
            </w:tcBorders>
            <w:noWrap w:val="0"/>
            <w:vAlign w:val="center"/>
          </w:tcPr>
          <w:p w14:paraId="44997B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left w:val="single" w:color="auto" w:sz="4" w:space="0"/>
              <w:right w:val="single" w:color="auto" w:sz="4" w:space="0"/>
            </w:tcBorders>
            <w:noWrap w:val="0"/>
            <w:vAlign w:val="center"/>
          </w:tcPr>
          <w:p w14:paraId="489371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left w:val="single" w:color="auto" w:sz="4" w:space="0"/>
              <w:right w:val="single" w:color="auto" w:sz="4" w:space="0"/>
            </w:tcBorders>
            <w:noWrap w:val="0"/>
            <w:vAlign w:val="center"/>
          </w:tcPr>
          <w:p w14:paraId="3A7582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23CD05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67F62D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地方病防治</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7BB57A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&lt;=10.8万元</w:t>
            </w:r>
          </w:p>
        </w:tc>
        <w:tc>
          <w:tcPr>
            <w:tcW w:w="1582" w:type="pct"/>
            <w:vMerge w:val="continue"/>
            <w:tcBorders>
              <w:left w:val="single" w:color="auto" w:sz="4" w:space="0"/>
              <w:right w:val="single" w:color="auto" w:sz="4" w:space="0"/>
            </w:tcBorders>
            <w:noWrap w:val="0"/>
            <w:vAlign w:val="center"/>
          </w:tcPr>
          <w:p w14:paraId="191670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left w:val="single" w:color="auto" w:sz="4" w:space="0"/>
              <w:right w:val="single" w:color="auto" w:sz="4" w:space="0"/>
            </w:tcBorders>
            <w:noWrap w:val="0"/>
            <w:vAlign w:val="center"/>
          </w:tcPr>
          <w:p w14:paraId="3CB01F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10.8万元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0D51AC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3DD0A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042122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4D7BEC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left w:val="single" w:color="auto" w:sz="4" w:space="0"/>
              <w:right w:val="single" w:color="auto" w:sz="4" w:space="0"/>
            </w:tcBorders>
            <w:noWrap w:val="0"/>
            <w:vAlign w:val="center"/>
          </w:tcPr>
          <w:p w14:paraId="29CF02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left w:val="single" w:color="auto" w:sz="4" w:space="0"/>
              <w:right w:val="single" w:color="auto" w:sz="4" w:space="0"/>
            </w:tcBorders>
            <w:noWrap w:val="0"/>
            <w:vAlign w:val="center"/>
          </w:tcPr>
          <w:p w14:paraId="14E376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left w:val="single" w:color="auto" w:sz="4" w:space="0"/>
              <w:right w:val="single" w:color="auto" w:sz="4" w:space="0"/>
            </w:tcBorders>
            <w:noWrap w:val="0"/>
            <w:vAlign w:val="center"/>
          </w:tcPr>
          <w:p w14:paraId="65987E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6360E0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76BC75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食品安全标准制定</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009174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&lt;=0.3万元</w:t>
            </w:r>
          </w:p>
        </w:tc>
        <w:tc>
          <w:tcPr>
            <w:tcW w:w="1582" w:type="pct"/>
            <w:vMerge w:val="continue"/>
            <w:tcBorders>
              <w:left w:val="single" w:color="auto" w:sz="4" w:space="0"/>
              <w:right w:val="single" w:color="auto" w:sz="4" w:space="0"/>
            </w:tcBorders>
            <w:noWrap w:val="0"/>
            <w:vAlign w:val="center"/>
          </w:tcPr>
          <w:p w14:paraId="77B34F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left w:val="single" w:color="auto" w:sz="4" w:space="0"/>
              <w:right w:val="single" w:color="auto" w:sz="4" w:space="0"/>
            </w:tcBorders>
            <w:noWrap w:val="0"/>
            <w:vAlign w:val="center"/>
          </w:tcPr>
          <w:p w14:paraId="2E4E75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0.3万元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7A4EDD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00771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529D0C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0CFBA2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left w:val="single" w:color="auto" w:sz="4" w:space="0"/>
              <w:right w:val="single" w:color="auto" w:sz="4" w:space="0"/>
            </w:tcBorders>
            <w:noWrap w:val="0"/>
            <w:vAlign w:val="center"/>
          </w:tcPr>
          <w:p w14:paraId="6CA27E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left w:val="single" w:color="auto" w:sz="4" w:space="0"/>
              <w:right w:val="single" w:color="auto" w:sz="4" w:space="0"/>
            </w:tcBorders>
            <w:noWrap w:val="0"/>
            <w:vAlign w:val="center"/>
          </w:tcPr>
          <w:p w14:paraId="4E4712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left w:val="single" w:color="auto" w:sz="4" w:space="0"/>
              <w:right w:val="single" w:color="auto" w:sz="4" w:space="0"/>
            </w:tcBorders>
            <w:noWrap w:val="0"/>
            <w:vAlign w:val="center"/>
          </w:tcPr>
          <w:p w14:paraId="3C2216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5C2D20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6FFF06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妇幼卫生</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E57AA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&lt;=77万元</w:t>
            </w:r>
          </w:p>
        </w:tc>
        <w:tc>
          <w:tcPr>
            <w:tcW w:w="1582" w:type="pct"/>
            <w:vMerge w:val="continue"/>
            <w:tcBorders>
              <w:left w:val="single" w:color="auto" w:sz="4" w:space="0"/>
              <w:right w:val="single" w:color="auto" w:sz="4" w:space="0"/>
            </w:tcBorders>
            <w:noWrap w:val="0"/>
            <w:vAlign w:val="center"/>
          </w:tcPr>
          <w:p w14:paraId="70E069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left w:val="single" w:color="auto" w:sz="4" w:space="0"/>
              <w:right w:val="single" w:color="auto" w:sz="4" w:space="0"/>
            </w:tcBorders>
            <w:noWrap w:val="0"/>
            <w:vAlign w:val="center"/>
          </w:tcPr>
          <w:p w14:paraId="0199C6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77万元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67A55D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69AC8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244" w:type="pct"/>
            <w:vMerge w:val="continue"/>
            <w:tcBorders>
              <w:left w:val="single" w:color="auto" w:sz="4" w:space="0"/>
              <w:bottom w:val="single" w:color="auto" w:sz="4" w:space="0"/>
              <w:right w:val="single" w:color="auto" w:sz="4" w:space="0"/>
            </w:tcBorders>
            <w:noWrap w:val="0"/>
            <w:vAlign w:val="center"/>
          </w:tcPr>
          <w:p w14:paraId="4951AD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left w:val="single" w:color="auto" w:sz="4" w:space="0"/>
              <w:bottom w:val="single" w:color="auto" w:sz="4" w:space="0"/>
              <w:right w:val="single" w:color="auto" w:sz="4" w:space="0"/>
            </w:tcBorders>
            <w:noWrap w:val="0"/>
            <w:vAlign w:val="center"/>
          </w:tcPr>
          <w:p w14:paraId="2E9348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left w:val="single" w:color="auto" w:sz="4" w:space="0"/>
              <w:bottom w:val="single" w:color="auto" w:sz="4" w:space="0"/>
              <w:right w:val="single" w:color="auto" w:sz="4" w:space="0"/>
            </w:tcBorders>
            <w:noWrap w:val="0"/>
            <w:vAlign w:val="center"/>
          </w:tcPr>
          <w:p w14:paraId="36EF23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left w:val="single" w:color="auto" w:sz="4" w:space="0"/>
              <w:bottom w:val="single" w:color="auto" w:sz="4" w:space="0"/>
              <w:right w:val="single" w:color="auto" w:sz="4" w:space="0"/>
            </w:tcBorders>
            <w:noWrap w:val="0"/>
            <w:vAlign w:val="center"/>
          </w:tcPr>
          <w:p w14:paraId="0871DF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vMerge w:val="continue"/>
            <w:tcBorders>
              <w:left w:val="single" w:color="auto" w:sz="4" w:space="0"/>
              <w:bottom w:val="single" w:color="auto" w:sz="4" w:space="0"/>
              <w:right w:val="single" w:color="auto" w:sz="4" w:space="0"/>
            </w:tcBorders>
            <w:noWrap w:val="0"/>
            <w:vAlign w:val="center"/>
          </w:tcPr>
          <w:p w14:paraId="77FB94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138ABC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10AAB5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政策宣传咨询</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2684B3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&lt;=8万元</w:t>
            </w:r>
          </w:p>
        </w:tc>
        <w:tc>
          <w:tcPr>
            <w:tcW w:w="1582" w:type="pct"/>
            <w:vMerge w:val="continue"/>
            <w:tcBorders>
              <w:left w:val="single" w:color="auto" w:sz="4" w:space="0"/>
              <w:bottom w:val="single" w:color="auto" w:sz="4" w:space="0"/>
              <w:right w:val="single" w:color="auto" w:sz="4" w:space="0"/>
            </w:tcBorders>
            <w:noWrap w:val="0"/>
            <w:vAlign w:val="center"/>
          </w:tcPr>
          <w:p w14:paraId="72F9E3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left w:val="single" w:color="auto" w:sz="4" w:space="0"/>
              <w:bottom w:val="single" w:color="auto" w:sz="4" w:space="0"/>
              <w:right w:val="single" w:color="auto" w:sz="4" w:space="0"/>
            </w:tcBorders>
            <w:noWrap w:val="0"/>
            <w:vAlign w:val="center"/>
          </w:tcPr>
          <w:p w14:paraId="44D881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3.15万元</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310B35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2229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244" w:type="pct"/>
            <w:vMerge w:val="restart"/>
            <w:tcBorders>
              <w:top w:val="single" w:color="auto" w:sz="4" w:space="0"/>
              <w:left w:val="single" w:color="auto" w:sz="4" w:space="0"/>
              <w:right w:val="single" w:color="auto" w:sz="4" w:space="0"/>
            </w:tcBorders>
            <w:noWrap w:val="0"/>
            <w:vAlign w:val="center"/>
          </w:tcPr>
          <w:p w14:paraId="2420E3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right w:val="single" w:color="auto" w:sz="4" w:space="0"/>
            </w:tcBorders>
            <w:noWrap w:val="0"/>
            <w:vAlign w:val="center"/>
          </w:tcPr>
          <w:p w14:paraId="051A1D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19" w:type="pct"/>
            <w:vMerge w:val="restart"/>
            <w:tcBorders>
              <w:top w:val="single" w:color="auto" w:sz="4" w:space="0"/>
              <w:left w:val="single" w:color="auto" w:sz="4" w:space="0"/>
              <w:right w:val="single" w:color="auto" w:sz="4" w:space="0"/>
            </w:tcBorders>
            <w:noWrap w:val="0"/>
            <w:vAlign w:val="center"/>
          </w:tcPr>
          <w:p w14:paraId="311DD7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198" w:type="pct"/>
            <w:vMerge w:val="restart"/>
            <w:tcBorders>
              <w:top w:val="single" w:color="auto" w:sz="4" w:space="0"/>
              <w:left w:val="single" w:color="auto" w:sz="4" w:space="0"/>
              <w:right w:val="single" w:color="auto" w:sz="4" w:space="0"/>
            </w:tcBorders>
            <w:noWrap w:val="0"/>
            <w:vAlign w:val="center"/>
          </w:tcPr>
          <w:p w14:paraId="0FF5E8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249" w:type="pct"/>
            <w:vMerge w:val="restart"/>
            <w:tcBorders>
              <w:top w:val="single" w:color="auto" w:sz="4" w:space="0"/>
              <w:left w:val="single" w:color="auto" w:sz="4" w:space="0"/>
              <w:right w:val="single" w:color="auto" w:sz="4" w:space="0"/>
            </w:tcBorders>
            <w:noWrap w:val="0"/>
            <w:vAlign w:val="center"/>
          </w:tcPr>
          <w:p w14:paraId="5D01A4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7D51867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1029" w:type="pct"/>
            <w:tcBorders>
              <w:top w:val="single" w:color="auto" w:sz="4" w:space="0"/>
              <w:left w:val="single" w:color="auto" w:sz="4" w:space="0"/>
              <w:right w:val="single" w:color="auto" w:sz="4" w:space="0"/>
            </w:tcBorders>
            <w:noWrap w:val="0"/>
            <w:vAlign w:val="center"/>
          </w:tcPr>
          <w:p w14:paraId="6D317A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城乡居民公共卫生差距</w:t>
            </w:r>
          </w:p>
          <w:p w14:paraId="5B005D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02" w:type="pct"/>
            <w:tcBorders>
              <w:top w:val="single" w:color="auto" w:sz="4" w:space="0"/>
              <w:left w:val="single" w:color="auto" w:sz="4" w:space="0"/>
              <w:right w:val="single" w:color="auto" w:sz="4" w:space="0"/>
            </w:tcBorders>
            <w:noWrap w:val="0"/>
            <w:vAlign w:val="center"/>
          </w:tcPr>
          <w:p w14:paraId="7051E4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持续缩小</w:t>
            </w:r>
          </w:p>
        </w:tc>
        <w:tc>
          <w:tcPr>
            <w:tcW w:w="1582" w:type="pct"/>
            <w:vMerge w:val="restart"/>
            <w:tcBorders>
              <w:top w:val="single" w:color="auto" w:sz="4" w:space="0"/>
              <w:left w:val="single" w:color="auto" w:sz="4" w:space="0"/>
              <w:right w:val="single" w:color="auto" w:sz="4" w:space="0"/>
            </w:tcBorders>
            <w:noWrap w:val="0"/>
            <w:vAlign w:val="center"/>
          </w:tcPr>
          <w:p w14:paraId="29AD49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394" w:type="pct"/>
            <w:tcBorders>
              <w:top w:val="single" w:color="auto" w:sz="4" w:space="0"/>
              <w:left w:val="single" w:color="auto" w:sz="4" w:space="0"/>
              <w:right w:val="single" w:color="auto" w:sz="4" w:space="0"/>
            </w:tcBorders>
            <w:noWrap w:val="0"/>
            <w:vAlign w:val="center"/>
          </w:tcPr>
          <w:p w14:paraId="5E6F93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持续缩小</w:t>
            </w:r>
          </w:p>
          <w:p w14:paraId="1A824F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83" w:type="pct"/>
            <w:tcBorders>
              <w:top w:val="single" w:color="auto" w:sz="4" w:space="0"/>
              <w:left w:val="single" w:color="auto" w:sz="4" w:space="0"/>
              <w:right w:val="single" w:color="auto" w:sz="4" w:space="0"/>
            </w:tcBorders>
            <w:noWrap w:val="0"/>
            <w:vAlign w:val="center"/>
          </w:tcPr>
          <w:p w14:paraId="6DAAEB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r>
      <w:tr w14:paraId="1C5C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244" w:type="pct"/>
            <w:vMerge w:val="continue"/>
            <w:tcBorders>
              <w:left w:val="single" w:color="auto" w:sz="4" w:space="0"/>
              <w:bottom w:val="single" w:color="auto" w:sz="4" w:space="0"/>
              <w:right w:val="single" w:color="auto" w:sz="4" w:space="0"/>
            </w:tcBorders>
            <w:noWrap w:val="0"/>
            <w:vAlign w:val="center"/>
          </w:tcPr>
          <w:p w14:paraId="7AD4C0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9" w:type="pct"/>
            <w:vMerge w:val="continue"/>
            <w:tcBorders>
              <w:left w:val="single" w:color="auto" w:sz="4" w:space="0"/>
              <w:bottom w:val="single" w:color="auto" w:sz="4" w:space="0"/>
              <w:right w:val="single" w:color="auto" w:sz="4" w:space="0"/>
            </w:tcBorders>
            <w:noWrap w:val="0"/>
            <w:vAlign w:val="center"/>
          </w:tcPr>
          <w:p w14:paraId="47E086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19" w:type="pct"/>
            <w:vMerge w:val="continue"/>
            <w:tcBorders>
              <w:left w:val="single" w:color="auto" w:sz="4" w:space="0"/>
              <w:bottom w:val="single" w:color="auto" w:sz="4" w:space="0"/>
              <w:right w:val="single" w:color="auto" w:sz="4" w:space="0"/>
            </w:tcBorders>
            <w:noWrap w:val="0"/>
            <w:vAlign w:val="center"/>
          </w:tcPr>
          <w:p w14:paraId="760C3B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8" w:type="pct"/>
            <w:vMerge w:val="continue"/>
            <w:tcBorders>
              <w:left w:val="single" w:color="auto" w:sz="4" w:space="0"/>
              <w:bottom w:val="single" w:color="auto" w:sz="4" w:space="0"/>
              <w:right w:val="single" w:color="auto" w:sz="4" w:space="0"/>
            </w:tcBorders>
            <w:noWrap w:val="0"/>
            <w:vAlign w:val="center"/>
          </w:tcPr>
          <w:p w14:paraId="52F044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249" w:type="pct"/>
            <w:vMerge w:val="continue"/>
            <w:tcBorders>
              <w:left w:val="single" w:color="auto" w:sz="4" w:space="0"/>
              <w:bottom w:val="single" w:color="auto" w:sz="4" w:space="0"/>
              <w:right w:val="single" w:color="auto" w:sz="4" w:space="0"/>
            </w:tcBorders>
            <w:noWrap w:val="0"/>
            <w:vAlign w:val="center"/>
          </w:tcPr>
          <w:p w14:paraId="69C9D9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5C1489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w:t>
            </w:r>
          </w:p>
        </w:tc>
        <w:tc>
          <w:tcPr>
            <w:tcW w:w="1029" w:type="pct"/>
            <w:tcBorders>
              <w:left w:val="single" w:color="auto" w:sz="4" w:space="0"/>
              <w:bottom w:val="single" w:color="auto" w:sz="4" w:space="0"/>
              <w:right w:val="single" w:color="auto" w:sz="4" w:space="0"/>
            </w:tcBorders>
            <w:noWrap w:val="0"/>
            <w:vAlign w:val="center"/>
          </w:tcPr>
          <w:p w14:paraId="0B14AD1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提高基本公共卫生服务水平</w:t>
            </w:r>
          </w:p>
        </w:tc>
        <w:tc>
          <w:tcPr>
            <w:tcW w:w="402" w:type="pct"/>
            <w:tcBorders>
              <w:left w:val="single" w:color="auto" w:sz="4" w:space="0"/>
              <w:bottom w:val="single" w:color="auto" w:sz="4" w:space="0"/>
              <w:right w:val="single" w:color="auto" w:sz="4" w:space="0"/>
            </w:tcBorders>
            <w:noWrap w:val="0"/>
            <w:vAlign w:val="center"/>
          </w:tcPr>
          <w:p w14:paraId="1A8703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不断提高</w:t>
            </w:r>
          </w:p>
        </w:tc>
        <w:tc>
          <w:tcPr>
            <w:tcW w:w="1582" w:type="pct"/>
            <w:vMerge w:val="continue"/>
            <w:tcBorders>
              <w:left w:val="single" w:color="auto" w:sz="4" w:space="0"/>
              <w:bottom w:val="single" w:color="auto" w:sz="4" w:space="0"/>
              <w:right w:val="single" w:color="auto" w:sz="4" w:space="0"/>
            </w:tcBorders>
            <w:noWrap w:val="0"/>
            <w:vAlign w:val="center"/>
          </w:tcPr>
          <w:p w14:paraId="340244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left w:val="single" w:color="auto" w:sz="4" w:space="0"/>
              <w:bottom w:val="single" w:color="auto" w:sz="4" w:space="0"/>
              <w:right w:val="single" w:color="auto" w:sz="4" w:space="0"/>
            </w:tcBorders>
            <w:noWrap w:val="0"/>
            <w:vAlign w:val="center"/>
          </w:tcPr>
          <w:p w14:paraId="7C7076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不断提高</w:t>
            </w:r>
          </w:p>
        </w:tc>
        <w:tc>
          <w:tcPr>
            <w:tcW w:w="283" w:type="pct"/>
            <w:tcBorders>
              <w:left w:val="single" w:color="auto" w:sz="4" w:space="0"/>
              <w:bottom w:val="single" w:color="auto" w:sz="4" w:space="0"/>
              <w:right w:val="single" w:color="auto" w:sz="4" w:space="0"/>
            </w:tcBorders>
            <w:noWrap w:val="0"/>
            <w:vAlign w:val="center"/>
          </w:tcPr>
          <w:p w14:paraId="4325BA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7</w:t>
            </w:r>
          </w:p>
        </w:tc>
      </w:tr>
      <w:tr w14:paraId="40A50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atLeast"/>
        </w:trPr>
        <w:tc>
          <w:tcPr>
            <w:tcW w:w="244" w:type="pct"/>
            <w:vMerge w:val="continue"/>
            <w:tcBorders>
              <w:top w:val="single" w:color="auto" w:sz="4" w:space="0"/>
              <w:left w:val="single" w:color="auto" w:sz="4" w:space="0"/>
              <w:bottom w:val="single" w:color="auto" w:sz="4" w:space="0"/>
              <w:right w:val="single" w:color="auto" w:sz="4" w:space="0"/>
            </w:tcBorders>
            <w:noWrap w:val="0"/>
            <w:vAlign w:val="center"/>
          </w:tcPr>
          <w:p w14:paraId="2AFD2C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9" w:type="pct"/>
            <w:vMerge w:val="continue"/>
            <w:tcBorders>
              <w:top w:val="single" w:color="auto" w:sz="4" w:space="0"/>
              <w:left w:val="single" w:color="auto" w:sz="4" w:space="0"/>
              <w:bottom w:val="single" w:color="auto" w:sz="4" w:space="0"/>
              <w:right w:val="single" w:color="auto" w:sz="4" w:space="0"/>
            </w:tcBorders>
            <w:noWrap w:val="0"/>
            <w:vAlign w:val="center"/>
          </w:tcPr>
          <w:p w14:paraId="3BA164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354D4A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vMerge w:val="continue"/>
            <w:tcBorders>
              <w:top w:val="single" w:color="auto" w:sz="4" w:space="0"/>
              <w:left w:val="single" w:color="auto" w:sz="4" w:space="0"/>
              <w:bottom w:val="single" w:color="auto" w:sz="4" w:space="0"/>
              <w:right w:val="single" w:color="auto" w:sz="4" w:space="0"/>
            </w:tcBorders>
            <w:noWrap w:val="0"/>
            <w:vAlign w:val="center"/>
          </w:tcPr>
          <w:p w14:paraId="5C5A55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178D82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3" w:type="pct"/>
            <w:tcBorders>
              <w:top w:val="single" w:color="auto" w:sz="4" w:space="0"/>
              <w:left w:val="single" w:color="auto" w:sz="4" w:space="0"/>
              <w:bottom w:val="single" w:color="auto" w:sz="4" w:space="0"/>
              <w:right w:val="single" w:color="auto" w:sz="4" w:space="0"/>
            </w:tcBorders>
            <w:noWrap w:val="0"/>
            <w:vAlign w:val="center"/>
          </w:tcPr>
          <w:p w14:paraId="183C60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772680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受益对象满意度</w:t>
            </w:r>
          </w:p>
        </w:tc>
        <w:tc>
          <w:tcPr>
            <w:tcW w:w="402" w:type="pct"/>
            <w:tcBorders>
              <w:top w:val="single" w:color="auto" w:sz="4" w:space="0"/>
              <w:left w:val="single" w:color="auto" w:sz="4" w:space="0"/>
              <w:bottom w:val="single" w:color="auto" w:sz="4" w:space="0"/>
              <w:right w:val="single" w:color="auto" w:sz="4" w:space="0"/>
            </w:tcBorders>
            <w:noWrap w:val="0"/>
            <w:vAlign w:val="center"/>
          </w:tcPr>
          <w:p w14:paraId="1782D6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36B7636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394" w:type="pct"/>
            <w:tcBorders>
              <w:top w:val="single" w:color="auto" w:sz="4" w:space="0"/>
              <w:left w:val="single" w:color="auto" w:sz="4" w:space="0"/>
              <w:bottom w:val="single" w:color="auto" w:sz="4" w:space="0"/>
              <w:right w:val="single" w:color="auto" w:sz="4" w:space="0"/>
            </w:tcBorders>
            <w:noWrap w:val="0"/>
            <w:vAlign w:val="center"/>
          </w:tcPr>
          <w:p w14:paraId="478E87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83" w:type="pct"/>
            <w:tcBorders>
              <w:top w:val="single" w:color="auto" w:sz="4" w:space="0"/>
              <w:left w:val="single" w:color="auto" w:sz="4" w:space="0"/>
              <w:bottom w:val="single" w:color="auto" w:sz="4" w:space="0"/>
              <w:right w:val="single" w:color="auto" w:sz="4" w:space="0"/>
            </w:tcBorders>
            <w:noWrap w:val="0"/>
            <w:vAlign w:val="center"/>
          </w:tcPr>
          <w:p w14:paraId="1D6686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67194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4" w:type="pct"/>
            <w:tcBorders>
              <w:top w:val="single" w:color="auto" w:sz="4" w:space="0"/>
              <w:left w:val="single" w:color="auto" w:sz="4" w:space="0"/>
              <w:bottom w:val="single" w:color="auto" w:sz="4" w:space="0"/>
              <w:right w:val="single" w:color="auto" w:sz="4" w:space="0"/>
            </w:tcBorders>
            <w:noWrap w:val="0"/>
            <w:vAlign w:val="center"/>
          </w:tcPr>
          <w:p w14:paraId="052A35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20BA1D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504198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8" w:type="pct"/>
            <w:tcBorders>
              <w:top w:val="single" w:color="auto" w:sz="4" w:space="0"/>
              <w:left w:val="single" w:color="auto" w:sz="4" w:space="0"/>
              <w:bottom w:val="single" w:color="auto" w:sz="4" w:space="0"/>
              <w:right w:val="single" w:color="auto" w:sz="4" w:space="0"/>
            </w:tcBorders>
            <w:noWrap w:val="0"/>
            <w:vAlign w:val="center"/>
          </w:tcPr>
          <w:p w14:paraId="101F1A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6A387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93" w:type="pct"/>
            <w:tcBorders>
              <w:top w:val="single" w:color="auto" w:sz="4" w:space="0"/>
              <w:left w:val="single" w:color="auto" w:sz="4" w:space="0"/>
              <w:bottom w:val="single" w:color="auto" w:sz="4" w:space="0"/>
              <w:right w:val="single" w:color="auto" w:sz="4" w:space="0"/>
            </w:tcBorders>
            <w:noWrap w:val="0"/>
            <w:vAlign w:val="center"/>
          </w:tcPr>
          <w:p w14:paraId="5F9B5B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1029" w:type="pct"/>
            <w:tcBorders>
              <w:top w:val="single" w:color="auto" w:sz="4" w:space="0"/>
              <w:left w:val="single" w:color="auto" w:sz="4" w:space="0"/>
              <w:bottom w:val="single" w:color="auto" w:sz="4" w:space="0"/>
              <w:right w:val="single" w:color="auto" w:sz="4" w:space="0"/>
            </w:tcBorders>
            <w:noWrap w:val="0"/>
            <w:vAlign w:val="center"/>
          </w:tcPr>
          <w:p w14:paraId="5D3039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02" w:type="pct"/>
            <w:tcBorders>
              <w:top w:val="single" w:color="auto" w:sz="4" w:space="0"/>
              <w:left w:val="single" w:color="auto" w:sz="4" w:space="0"/>
              <w:bottom w:val="single" w:color="auto" w:sz="4" w:space="0"/>
              <w:right w:val="single" w:color="auto" w:sz="4" w:space="0"/>
            </w:tcBorders>
            <w:noWrap w:val="0"/>
            <w:vAlign w:val="center"/>
          </w:tcPr>
          <w:p w14:paraId="13FD7D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1582" w:type="pct"/>
            <w:tcBorders>
              <w:top w:val="single" w:color="auto" w:sz="4" w:space="0"/>
              <w:left w:val="single" w:color="auto" w:sz="4" w:space="0"/>
              <w:bottom w:val="single" w:color="auto" w:sz="4" w:space="0"/>
              <w:right w:val="single" w:color="auto" w:sz="4" w:space="0"/>
            </w:tcBorders>
            <w:noWrap w:val="0"/>
            <w:vAlign w:val="center"/>
          </w:tcPr>
          <w:p w14:paraId="796FCD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394" w:type="pct"/>
            <w:tcBorders>
              <w:top w:val="single" w:color="auto" w:sz="4" w:space="0"/>
              <w:left w:val="single" w:color="auto" w:sz="4" w:space="0"/>
              <w:bottom w:val="single" w:color="auto" w:sz="4" w:space="0"/>
              <w:right w:val="single" w:color="auto" w:sz="4" w:space="0"/>
            </w:tcBorders>
            <w:noWrap w:val="0"/>
            <w:vAlign w:val="center"/>
          </w:tcPr>
          <w:p w14:paraId="55C4F5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283" w:type="pct"/>
            <w:tcBorders>
              <w:top w:val="single" w:color="auto" w:sz="4" w:space="0"/>
              <w:left w:val="single" w:color="auto" w:sz="4" w:space="0"/>
              <w:bottom w:val="single" w:color="auto" w:sz="4" w:space="0"/>
              <w:right w:val="single" w:color="auto" w:sz="4" w:space="0"/>
            </w:tcBorders>
            <w:noWrap w:val="0"/>
            <w:vAlign w:val="center"/>
          </w:tcPr>
          <w:p w14:paraId="00EF6F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99.24</w:t>
            </w:r>
          </w:p>
        </w:tc>
      </w:tr>
    </w:tbl>
    <w:p w14:paraId="586435CB">
      <w:pPr>
        <w:pStyle w:val="10"/>
        <w:rPr>
          <w:rFonts w:hint="eastAsia" w:ascii="宋体" w:hAnsi="宋体" w:eastAsia="宋体" w:cs="宋体"/>
          <w:color w:val="auto"/>
          <w:sz w:val="24"/>
          <w:szCs w:val="24"/>
          <w:highlight w:val="none"/>
          <w:lang w:eastAsia="zh-CN"/>
        </w:rPr>
      </w:pPr>
    </w:p>
    <w:p w14:paraId="00A29176">
      <w:pPr>
        <w:pStyle w:val="10"/>
        <w:rPr>
          <w:rFonts w:hint="eastAsia" w:ascii="宋体" w:hAnsi="宋体" w:eastAsia="宋体" w:cs="宋体"/>
          <w:color w:val="auto"/>
          <w:sz w:val="24"/>
          <w:szCs w:val="24"/>
          <w:highlight w:val="none"/>
          <w:lang w:eastAsia="zh-CN"/>
        </w:rPr>
      </w:pPr>
    </w:p>
    <w:p w14:paraId="36AF919B">
      <w:pPr>
        <w:pStyle w:val="10"/>
        <w:rPr>
          <w:rFonts w:hint="eastAsia" w:ascii="宋体" w:hAnsi="宋体" w:eastAsia="宋体" w:cs="宋体"/>
          <w:color w:val="auto"/>
          <w:sz w:val="24"/>
          <w:szCs w:val="24"/>
          <w:highlight w:val="none"/>
          <w:lang w:eastAsia="zh-CN"/>
        </w:rPr>
      </w:pPr>
    </w:p>
    <w:p w14:paraId="3792F3BE">
      <w:pPr>
        <w:pStyle w:val="10"/>
        <w:rPr>
          <w:rFonts w:hint="eastAsia" w:ascii="宋体" w:hAnsi="宋体" w:eastAsia="宋体" w:cs="宋体"/>
          <w:color w:val="auto"/>
          <w:sz w:val="24"/>
          <w:szCs w:val="24"/>
          <w:highlight w:val="none"/>
          <w:lang w:eastAsia="zh-CN"/>
        </w:rPr>
      </w:pPr>
    </w:p>
    <w:p w14:paraId="7EF6FA1E">
      <w:pPr>
        <w:pStyle w:val="10"/>
        <w:rPr>
          <w:rFonts w:hint="eastAsia" w:ascii="宋体" w:hAnsi="宋体" w:eastAsia="宋体" w:cs="宋体"/>
          <w:color w:val="auto"/>
          <w:sz w:val="24"/>
          <w:szCs w:val="24"/>
          <w:highlight w:val="none"/>
          <w:lang w:eastAsia="zh-CN"/>
        </w:rPr>
      </w:pPr>
    </w:p>
    <w:p w14:paraId="78191A9B">
      <w:pPr>
        <w:pStyle w:val="10"/>
        <w:rPr>
          <w:rFonts w:hint="eastAsia" w:ascii="宋体" w:hAnsi="宋体" w:eastAsia="宋体" w:cs="宋体"/>
          <w:color w:val="auto"/>
          <w:sz w:val="24"/>
          <w:szCs w:val="24"/>
          <w:highlight w:val="none"/>
          <w:lang w:eastAsia="zh-CN"/>
        </w:rPr>
      </w:pPr>
    </w:p>
    <w:p w14:paraId="69E7436E">
      <w:pPr>
        <w:pStyle w:val="10"/>
        <w:rPr>
          <w:rFonts w:hint="eastAsia" w:ascii="宋体" w:hAnsi="宋体" w:eastAsia="宋体" w:cs="宋体"/>
          <w:color w:val="auto"/>
          <w:sz w:val="24"/>
          <w:szCs w:val="24"/>
          <w:highlight w:val="none"/>
          <w:lang w:eastAsia="zh-CN"/>
        </w:rPr>
      </w:pPr>
    </w:p>
    <w:p w14:paraId="47A13F0E">
      <w:pPr>
        <w:pStyle w:val="10"/>
        <w:rPr>
          <w:rFonts w:hint="eastAsia" w:ascii="宋体" w:hAnsi="宋体" w:eastAsia="宋体" w:cs="宋体"/>
          <w:color w:val="auto"/>
          <w:sz w:val="24"/>
          <w:szCs w:val="24"/>
          <w:highlight w:val="none"/>
          <w:lang w:eastAsia="zh-CN"/>
        </w:rPr>
      </w:pPr>
    </w:p>
    <w:p w14:paraId="04A44504">
      <w:pPr>
        <w:pStyle w:val="10"/>
        <w:rPr>
          <w:rFonts w:hint="eastAsia" w:ascii="宋体" w:hAnsi="宋体" w:eastAsia="宋体" w:cs="宋体"/>
          <w:color w:val="auto"/>
          <w:sz w:val="24"/>
          <w:szCs w:val="24"/>
          <w:highlight w:val="none"/>
          <w:lang w:eastAsia="zh-CN"/>
        </w:rPr>
      </w:pPr>
    </w:p>
    <w:p w14:paraId="2E930A00">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17005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38480C7A">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5017E700">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63AFBD6D">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3F70C4B3">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5340EFE9">
            <w:pPr>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78B2F4CE">
            <w:pPr>
              <w:rPr>
                <w:rFonts w:hint="eastAsia" w:ascii="宋体" w:hAnsi="宋体" w:eastAsia="宋体" w:cs="宋体"/>
                <w:i w:val="0"/>
                <w:iCs w:val="0"/>
                <w:color w:val="auto"/>
                <w:sz w:val="22"/>
                <w:szCs w:val="22"/>
                <w:highlight w:val="none"/>
                <w:u w:val="none"/>
              </w:rPr>
            </w:pPr>
          </w:p>
        </w:tc>
      </w:tr>
      <w:tr w14:paraId="3D5F7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B35A1C0">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2024年中央基本公共卫生服务补助项目综合得分表</w:t>
            </w:r>
          </w:p>
        </w:tc>
      </w:tr>
      <w:tr w14:paraId="1F3B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D22B00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84A3A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E35FFA2">
            <w:pPr>
              <w:keepNext w:val="0"/>
              <w:keepLines w:val="0"/>
              <w:widowControl/>
              <w:suppressLineNumbers w:val="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F83D06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FD776F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88865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合计</w:t>
            </w:r>
          </w:p>
        </w:tc>
      </w:tr>
      <w:tr w14:paraId="3567F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CAADB7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61217FF">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0EF240B">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21B9232">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0E76B24">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F64D70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r>
      <w:tr w14:paraId="72315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EEF8F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6D65221">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0D4AE5">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11.84</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101D022">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39.84</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E921BE">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D1A67AE">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99.24</w:t>
            </w:r>
          </w:p>
        </w:tc>
      </w:tr>
      <w:tr w14:paraId="394AB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613CBA4">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3187C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339E2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98.67%</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FA676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99.6%</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DB444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1CCC64F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99.24%</w:t>
            </w:r>
          </w:p>
        </w:tc>
      </w:tr>
    </w:tbl>
    <w:p w14:paraId="0B5F10E7">
      <w:pPr>
        <w:pStyle w:val="10"/>
        <w:ind w:left="0" w:leftChars="0" w:firstLine="0" w:firstLineChars="0"/>
        <w:jc w:val="both"/>
        <w:rPr>
          <w:rFonts w:hint="default" w:ascii="宋体" w:hAnsi="宋体" w:eastAsia="宋体" w:cs="宋体"/>
          <w:color w:val="auto"/>
          <w:sz w:val="24"/>
          <w:szCs w:val="24"/>
          <w:highlight w:val="none"/>
          <w:lang w:val="en-US" w:eastAsia="zh-CN"/>
        </w:rPr>
      </w:pPr>
    </w:p>
    <w:p w14:paraId="3A3F080B">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3AEBA14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674503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2024年中央基本公共卫生服务补助项目满意度</w:t>
      </w:r>
    </w:p>
    <w:p w14:paraId="0B8F319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调查问卷分析报告</w:t>
      </w:r>
    </w:p>
    <w:p w14:paraId="3B933E9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0A4BD0C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211CD0E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一、该问卷调查从从2025年2月20日开始至2025年3月20日结束，调查问卷共设置3道题目。</w:t>
      </w:r>
    </w:p>
    <w:p w14:paraId="289017FF">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713DC6F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广大就医群众</w:t>
      </w:r>
      <w:r>
        <w:rPr>
          <w:rFonts w:hint="eastAsia" w:ascii="宋体" w:hAnsi="宋体" w:eastAsia="宋体" w:cs="宋体"/>
          <w:color w:val="000000"/>
          <w:sz w:val="24"/>
          <w:szCs w:val="24"/>
          <w:highlight w:val="none"/>
        </w:rPr>
        <w:t>。</w:t>
      </w:r>
    </w:p>
    <w:p w14:paraId="082171DD">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3A3B5CD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①您对2024年中央基本公共卫生服务补助项目的实施的及时性是否满意?</w:t>
      </w:r>
    </w:p>
    <w:p w14:paraId="0CA9348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②您对2024年中央基本公共卫生服务补助项目的社会效益是否满意？</w:t>
      </w:r>
    </w:p>
    <w:p w14:paraId="27AF6FA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③总的来说，您对目前2024年中央基本公共卫生服务补助项目实施后的整体满意程度如何？</w:t>
      </w:r>
    </w:p>
    <w:p w14:paraId="68A0E9D4">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13E7B14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39168D2F">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6B2ADC2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018F76B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6293EF7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AD414AD">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2A4F53D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232D742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0AF40D3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5A806F4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4E5E6FE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3EF2458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2024年中央基本公共卫生服务补助项目针对受益人员发放30份调查问卷，最终统计受益人群满意度为100%。</w:t>
      </w:r>
    </w:p>
    <w:p w14:paraId="6C3D780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286E7C8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洛浦县卫生健康委员会</w:t>
      </w:r>
    </w:p>
    <w:p w14:paraId="51F3EF4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2025年3月6日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E1E5E">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228A6E39">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BE56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D800FBE"/>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3"/>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4"/>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5"/>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6"/>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2"/>
    <w:unhideWhenUsed/>
    <w:uiPriority w:val="0"/>
    <w:pPr>
      <w:ind w:firstLine="420"/>
    </w:pPr>
  </w:style>
  <w:style w:type="paragraph" w:styleId="3">
    <w:name w:val="Body Text Indent"/>
    <w:basedOn w:val="1"/>
    <w:link w:val="31"/>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7"/>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9"/>
    <w:unhideWhenUsed/>
    <w:uiPriority w:val="99"/>
    <w:rPr>
      <w:rFonts w:cs="Times New Roman"/>
      <w:kern w:val="0"/>
      <w:sz w:val="18"/>
      <w:szCs w:val="18"/>
    </w:rPr>
  </w:style>
  <w:style w:type="paragraph" w:styleId="15">
    <w:name w:val="footer"/>
    <w:basedOn w:val="1"/>
    <w:link w:val="40"/>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1"/>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2"/>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0"/>
    <w:rPr>
      <w:b/>
      <w:bCs/>
    </w:rPr>
  </w:style>
  <w:style w:type="character" w:styleId="27">
    <w:name w:val="Hyperlink"/>
    <w:unhideWhenUsed/>
    <w:uiPriority w:val="99"/>
    <w:rPr>
      <w:color w:val="0000FF"/>
      <w:u w:val="single"/>
    </w:rPr>
  </w:style>
  <w:style w:type="paragraph" w:customStyle="1" w:styleId="28">
    <w:name w:val="Comment Text"/>
    <w:basedOn w:val="1"/>
    <w:link w:val="38"/>
    <w:unhideWhenUsed/>
    <w:uiPriority w:val="99"/>
    <w:rPr>
      <w:rFonts w:cs="Times New Roman"/>
      <w:kern w:val="0"/>
      <w:sz w:val="20"/>
      <w:szCs w:val="20"/>
    </w:rPr>
  </w:style>
  <w:style w:type="paragraph" w:customStyle="1" w:styleId="29">
    <w:name w:val="Comment Subject"/>
    <w:basedOn w:val="28"/>
    <w:next w:val="28"/>
    <w:link w:val="43"/>
    <w:unhideWhenUsed/>
    <w:uiPriority w:val="99"/>
    <w:rPr>
      <w:b/>
      <w:bCs/>
    </w:rPr>
  </w:style>
  <w:style w:type="character" w:customStyle="1" w:styleId="30">
    <w:name w:val="Comment Reference"/>
    <w:unhideWhenUsed/>
    <w:uiPriority w:val="99"/>
    <w:rPr>
      <w:sz w:val="16"/>
      <w:szCs w:val="16"/>
    </w:rPr>
  </w:style>
  <w:style w:type="character" w:customStyle="1" w:styleId="31">
    <w:name w:val="正文文本缩进 Char"/>
    <w:link w:val="3"/>
    <w:semiHidden/>
    <w:uiPriority w:val="99"/>
    <w:rPr>
      <w:rFonts w:ascii="Calibri" w:hAnsi="Calibri" w:eastAsia="仿宋_GB2312" w:cs="黑体"/>
      <w:sz w:val="28"/>
    </w:rPr>
  </w:style>
  <w:style w:type="character" w:customStyle="1" w:styleId="32">
    <w:name w:val="正文首行缩进 2 Char"/>
    <w:link w:val="2"/>
    <w:uiPriority w:val="0"/>
    <w:rPr>
      <w:rFonts w:ascii="Calibri" w:hAnsi="Calibri" w:eastAsia="仿宋_GB2312" w:cs="黑体"/>
      <w:sz w:val="28"/>
    </w:rPr>
  </w:style>
  <w:style w:type="character" w:customStyle="1" w:styleId="33">
    <w:name w:val="标题 1 Char"/>
    <w:link w:val="4"/>
    <w:uiPriority w:val="9"/>
    <w:rPr>
      <w:rFonts w:ascii="Times New Roman" w:hAnsi="Times New Roman" w:eastAsia="仿宋_GB2312" w:cs="Times New Roman"/>
      <w:b/>
      <w:bCs/>
      <w:kern w:val="44"/>
      <w:sz w:val="32"/>
      <w:szCs w:val="44"/>
    </w:rPr>
  </w:style>
  <w:style w:type="character" w:customStyle="1" w:styleId="34">
    <w:name w:val="标题 2 Char"/>
    <w:link w:val="5"/>
    <w:uiPriority w:val="0"/>
    <w:rPr>
      <w:rFonts w:ascii="Cambria" w:hAnsi="Cambria" w:eastAsia="仿宋_GB2312" w:cs="Times New Roman"/>
      <w:b/>
      <w:bCs/>
      <w:kern w:val="0"/>
      <w:sz w:val="30"/>
      <w:szCs w:val="32"/>
    </w:rPr>
  </w:style>
  <w:style w:type="character" w:customStyle="1" w:styleId="35">
    <w:name w:val="标题 3 Char"/>
    <w:link w:val="6"/>
    <w:uiPriority w:val="9"/>
    <w:rPr>
      <w:rFonts w:ascii="Calibri" w:hAnsi="Calibri" w:eastAsia="仿宋_GB2312" w:cs="黑体"/>
      <w:bCs/>
      <w:sz w:val="28"/>
      <w:szCs w:val="32"/>
    </w:rPr>
  </w:style>
  <w:style w:type="character" w:customStyle="1" w:styleId="36">
    <w:name w:val="标题 4 Char"/>
    <w:link w:val="7"/>
    <w:semiHidden/>
    <w:uiPriority w:val="9"/>
    <w:rPr>
      <w:rFonts w:ascii="Cambria" w:hAnsi="Cambria" w:eastAsia="宋体" w:cs="Times New Roman"/>
      <w:b/>
      <w:bCs/>
      <w:sz w:val="28"/>
      <w:szCs w:val="28"/>
    </w:rPr>
  </w:style>
  <w:style w:type="character" w:customStyle="1" w:styleId="37">
    <w:name w:val="文档结构图 Char"/>
    <w:link w:val="9"/>
    <w:semiHidden/>
    <w:uiPriority w:val="99"/>
    <w:rPr>
      <w:rFonts w:ascii="宋体" w:hAnsi="Calibri" w:eastAsia="宋体" w:cs="黑体"/>
      <w:sz w:val="18"/>
      <w:szCs w:val="18"/>
    </w:rPr>
  </w:style>
  <w:style w:type="character" w:customStyle="1" w:styleId="38">
    <w:name w:val="批注文字 Char"/>
    <w:link w:val="28"/>
    <w:semiHidden/>
    <w:uiPriority w:val="99"/>
    <w:rPr>
      <w:rFonts w:ascii="Calibri" w:hAnsi="Calibri" w:eastAsia="仿宋_GB2312" w:cs="黑体"/>
      <w:sz w:val="20"/>
      <w:szCs w:val="20"/>
    </w:rPr>
  </w:style>
  <w:style w:type="character" w:customStyle="1" w:styleId="39">
    <w:name w:val="批注框文本 Char"/>
    <w:link w:val="14"/>
    <w:semiHidden/>
    <w:uiPriority w:val="99"/>
    <w:rPr>
      <w:rFonts w:ascii="Calibri" w:hAnsi="Calibri" w:eastAsia="仿宋_GB2312" w:cs="黑体"/>
      <w:sz w:val="18"/>
      <w:szCs w:val="18"/>
    </w:rPr>
  </w:style>
  <w:style w:type="character" w:customStyle="1" w:styleId="40">
    <w:name w:val="页脚 Char"/>
    <w:link w:val="15"/>
    <w:uiPriority w:val="99"/>
    <w:rPr>
      <w:rFonts w:ascii="Calibri" w:hAnsi="Calibri" w:eastAsia="仿宋_GB2312" w:cs="黑体"/>
      <w:sz w:val="18"/>
      <w:szCs w:val="18"/>
    </w:rPr>
  </w:style>
  <w:style w:type="character" w:customStyle="1" w:styleId="41">
    <w:name w:val="页眉 Char"/>
    <w:link w:val="16"/>
    <w:uiPriority w:val="99"/>
    <w:rPr>
      <w:rFonts w:ascii="Calibri" w:hAnsi="Calibri" w:eastAsia="仿宋_GB2312" w:cs="黑体"/>
      <w:sz w:val="18"/>
      <w:szCs w:val="18"/>
    </w:rPr>
  </w:style>
  <w:style w:type="character" w:customStyle="1" w:styleId="42">
    <w:name w:val="标题 Char"/>
    <w:link w:val="22"/>
    <w:uiPriority w:val="10"/>
    <w:rPr>
      <w:rFonts w:ascii="Cambria" w:hAnsi="Cambria"/>
      <w:b/>
      <w:bCs/>
      <w:kern w:val="2"/>
      <w:sz w:val="32"/>
      <w:szCs w:val="32"/>
    </w:rPr>
  </w:style>
  <w:style w:type="character" w:customStyle="1" w:styleId="43">
    <w:name w:val="批注主题 Char"/>
    <w:link w:val="29"/>
    <w:semiHidden/>
    <w:uiPriority w:val="99"/>
    <w:rPr>
      <w:rFonts w:ascii="Calibri" w:hAnsi="Calibri" w:eastAsia="仿宋_GB2312" w:cs="黑体"/>
      <w:b/>
      <w:bCs/>
      <w:sz w:val="20"/>
      <w:szCs w:val="20"/>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font11"/>
    <w:uiPriority w:val="0"/>
    <w:rPr>
      <w:rFonts w:hint="eastAsia" w:ascii="方正仿宋_GBK" w:hAnsi="方正仿宋_GBK" w:eastAsia="方正仿宋_GBK" w:cs="方正仿宋_GBK"/>
      <w:color w:val="000000"/>
      <w:sz w:val="24"/>
      <w:szCs w:val="24"/>
      <w:u w:val="none"/>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6"/>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无间隔 Char"/>
    <w:link w:val="56"/>
    <w:uiPriority w:val="1"/>
    <w:rPr>
      <w:rFonts w:eastAsia="仿宋_GB2312" w:cs="黑体"/>
      <w:kern w:val="2"/>
      <w:sz w:val="28"/>
      <w:szCs w:val="22"/>
      <w:lang w:val="en-US" w:eastAsia="zh-CN" w:bidi="ar-SA"/>
    </w:rPr>
  </w:style>
  <w:style w:type="paragraph" w:styleId="56">
    <w:name w:val="No Spacing"/>
    <w:link w:val="55"/>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9">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77B0431409474257A1CB5289431E196D_13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4f9e0-268b-4d80-9515-00645cc8d18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5</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2025-10-10T11:01:04Z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77B0431409474257A1CB5289431E196D_13</vt:lpwstr>
  </property>
  <property fmtid="{D5CDD505-2E9C-101B-9397-08002B2CF9AE}" pid="4" name="KSOTemplateDocerSaveRecord">
    <vt:lpwstr>eyJoZGlkIjoiZDE5MGZhMTJhZDM2OTQwYzkzYWVjM2FhZDUxN2Q0M2IiLCJ1c2VySWQiOiI2NTE5NDIwMjYifQ_x003D__x003D_</vt:lpwstr>
  </property>
</Properties>
</file>