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5C772"/>
    <w:p w14:paraId="7A8102DF">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0"/>
          <w:szCs w:val="30"/>
          <w:highlight w:val="none"/>
          <w:lang w:val="en-US" w:eastAsia="zh-CN" w:bidi="en-US"/>
        </w:rPr>
      </w:pPr>
    </w:p>
    <w:p w14:paraId="6F1152C9">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color w:val="auto"/>
          <w:sz w:val="36"/>
          <w:szCs w:val="36"/>
          <w:highlight w:val="none"/>
          <w:lang w:val="en-US" w:eastAsia="zh-CN"/>
        </w:rPr>
      </w:pPr>
    </w:p>
    <w:p w14:paraId="39BF29F0">
      <w:pPr>
        <w:pStyle w:val="7"/>
        <w:spacing w:before="140" w:line="224" w:lineRule="auto"/>
        <w:ind w:left="156"/>
        <w:outlineLvl w:val="0"/>
        <w:rPr>
          <w:rFonts w:hint="eastAsia" w:ascii="黑体" w:hAnsi="黑体" w:eastAsia="黑体" w:cs="黑体"/>
          <w:b/>
          <w:color w:val="auto"/>
          <w:sz w:val="36"/>
          <w:szCs w:val="36"/>
          <w:highlight w:val="none"/>
          <w:lang w:val="en-US" w:eastAsia="zh-CN"/>
        </w:rPr>
      </w:pPr>
      <w:r>
        <w:rPr>
          <w:rFonts w:hint="eastAsia" w:ascii="黑体" w:hAnsi="黑体" w:eastAsia="黑体" w:cs="黑体"/>
          <w:b/>
          <w:color w:val="auto"/>
          <w:sz w:val="36"/>
          <w:szCs w:val="36"/>
          <w:highlight w:val="none"/>
          <w:lang w:val="en-US" w:eastAsia="zh-CN"/>
        </w:rPr>
        <w:t>和田地区洛浦县</w:t>
      </w:r>
      <w:r>
        <w:rPr>
          <w:rFonts w:hint="eastAsia" w:ascii="黑体" w:hAnsi="黑体" w:eastAsia="黑体" w:cs="黑体"/>
          <w:b/>
          <w:bCs/>
          <w:color w:val="auto"/>
          <w:sz w:val="36"/>
          <w:szCs w:val="36"/>
          <w:highlight w:val="none"/>
          <w:lang w:val="en-US" w:eastAsia="zh-CN"/>
        </w:rPr>
        <w:t>2024年度农业生产社会化服务项目</w:t>
      </w:r>
      <w:r>
        <w:rPr>
          <w:rFonts w:hint="eastAsia" w:ascii="黑体" w:hAnsi="黑体" w:eastAsia="黑体" w:cs="黑体"/>
          <w:b/>
          <w:color w:val="auto"/>
          <w:sz w:val="36"/>
          <w:szCs w:val="36"/>
          <w:highlight w:val="none"/>
          <w:lang w:val="en-US" w:eastAsia="zh-CN"/>
        </w:rPr>
        <w:t>绩效自评报告</w:t>
      </w:r>
    </w:p>
    <w:p w14:paraId="17FD21B6">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color w:val="auto"/>
          <w:sz w:val="36"/>
          <w:szCs w:val="36"/>
          <w:highlight w:val="none"/>
        </w:rPr>
      </w:pPr>
    </w:p>
    <w:p w14:paraId="1CC5ACCF">
      <w:pPr>
        <w:pStyle w:val="6"/>
        <w:ind w:left="0" w:leftChars="0" w:firstLine="0" w:firstLineChars="0"/>
        <w:jc w:val="center"/>
        <w:rPr>
          <w:rFonts w:hint="eastAsia" w:ascii="宋体" w:hAnsi="宋体" w:eastAsia="宋体" w:cs="宋体"/>
          <w:b/>
          <w:bCs w:val="0"/>
          <w:color w:val="auto"/>
          <w:sz w:val="28"/>
          <w:szCs w:val="28"/>
          <w:highlight w:val="none"/>
          <w:lang w:eastAsia="zh-CN"/>
        </w:rPr>
      </w:pPr>
      <w:r>
        <w:rPr>
          <w:rFonts w:hint="eastAsia" w:ascii="宋体" w:hAnsi="宋体" w:eastAsia="宋体" w:cs="宋体"/>
          <w:b/>
          <w:bCs w:val="0"/>
          <w:color w:val="auto"/>
          <w:sz w:val="28"/>
          <w:szCs w:val="28"/>
          <w:highlight w:val="none"/>
          <w:lang w:eastAsia="zh-CN"/>
        </w:rPr>
        <w:t>（</w:t>
      </w:r>
      <w:r>
        <w:rPr>
          <w:rFonts w:hint="eastAsia" w:ascii="宋体" w:hAnsi="宋体" w:eastAsia="宋体" w:cs="宋体"/>
          <w:b/>
          <w:bCs w:val="0"/>
          <w:color w:val="auto"/>
          <w:sz w:val="28"/>
          <w:szCs w:val="28"/>
          <w:highlight w:val="none"/>
          <w:lang w:val="en-US" w:eastAsia="zh-CN"/>
        </w:rPr>
        <w:t>2024年度</w:t>
      </w:r>
      <w:r>
        <w:rPr>
          <w:rFonts w:hint="eastAsia" w:ascii="宋体" w:hAnsi="宋体" w:eastAsia="宋体" w:cs="宋体"/>
          <w:b/>
          <w:bCs w:val="0"/>
          <w:color w:val="auto"/>
          <w:sz w:val="28"/>
          <w:szCs w:val="28"/>
          <w:highlight w:val="none"/>
          <w:lang w:eastAsia="zh-CN"/>
        </w:rPr>
        <w:t>）</w:t>
      </w:r>
    </w:p>
    <w:p w14:paraId="4799E03B">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highlight w:val="none"/>
          <w:lang w:bidi="en-US"/>
        </w:rPr>
      </w:pPr>
    </w:p>
    <w:p w14:paraId="7251CC26">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highlight w:val="none"/>
          <w:lang w:bidi="en-US"/>
        </w:rPr>
      </w:pPr>
    </w:p>
    <w:p w14:paraId="2BE559A2">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highlight w:val="none"/>
          <w:lang w:bidi="en-US"/>
        </w:rPr>
      </w:pPr>
    </w:p>
    <w:p w14:paraId="2D6006F3">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highlight w:val="none"/>
          <w:lang w:bidi="en-US"/>
        </w:rPr>
      </w:pPr>
    </w:p>
    <w:p w14:paraId="5D97D5AE">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highlight w:val="none"/>
          <w:lang w:bidi="en-US"/>
        </w:rPr>
      </w:pPr>
    </w:p>
    <w:p w14:paraId="0471B297">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highlight w:val="none"/>
          <w:lang w:bidi="en-US"/>
        </w:rPr>
      </w:pPr>
    </w:p>
    <w:p w14:paraId="666BA5D2">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highlight w:val="none"/>
          <w:lang w:bidi="en-US"/>
        </w:rPr>
      </w:pPr>
    </w:p>
    <w:p w14:paraId="5D42B67D">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highlight w:val="none"/>
          <w:lang w:bidi="en-US"/>
        </w:rPr>
      </w:pPr>
    </w:p>
    <w:p w14:paraId="131B5E75">
      <w:pPr>
        <w:spacing w:line="360" w:lineRule="auto"/>
        <w:rPr>
          <w:rFonts w:hint="eastAsia" w:ascii="新宋体" w:hAnsi="新宋体" w:eastAsia="新宋体" w:cs="新宋体"/>
          <w:color w:val="auto"/>
          <w:sz w:val="24"/>
          <w:szCs w:val="24"/>
          <w:lang w:eastAsia="zh-CN"/>
        </w:rPr>
      </w:pPr>
      <w:bookmarkStart w:id="0" w:name="_Toc68364657"/>
      <w:r>
        <w:rPr>
          <w:rFonts w:hint="eastAsia" w:ascii="新宋体" w:hAnsi="新宋体" w:eastAsia="新宋体" w:cs="新宋体"/>
          <w:color w:val="auto"/>
          <w:sz w:val="24"/>
          <w:szCs w:val="24"/>
        </w:rPr>
        <w:t>项目名称：</w:t>
      </w:r>
      <w:r>
        <w:rPr>
          <w:rFonts w:hint="eastAsia" w:ascii="新宋体" w:hAnsi="新宋体" w:eastAsia="新宋体" w:cs="新宋体"/>
          <w:color w:val="auto"/>
          <w:kern w:val="0"/>
          <w:sz w:val="24"/>
          <w:szCs w:val="24"/>
          <w:lang w:val="en-US" w:eastAsia="zh-CN"/>
        </w:rPr>
        <w:t>2024年度农业生产社会化服务项目</w:t>
      </w:r>
      <w:r>
        <w:rPr>
          <w:rFonts w:hint="eastAsia" w:ascii="新宋体" w:hAnsi="新宋体" w:eastAsia="新宋体" w:cs="新宋体"/>
          <w:color w:val="auto"/>
          <w:sz w:val="24"/>
          <w:szCs w:val="24"/>
        </w:rPr>
        <w:t>实施单位（公章）：</w:t>
      </w:r>
      <w:r>
        <w:rPr>
          <w:rFonts w:hint="eastAsia" w:ascii="新宋体" w:hAnsi="新宋体" w:eastAsia="新宋体" w:cs="新宋体"/>
          <w:color w:val="auto"/>
          <w:sz w:val="24"/>
          <w:szCs w:val="24"/>
          <w:lang w:eastAsia="zh-CN"/>
        </w:rPr>
        <w:t>洛浦县农村合作经济发展中心</w:t>
      </w:r>
    </w:p>
    <w:p w14:paraId="09A84338">
      <w:pPr>
        <w:spacing w:line="360" w:lineRule="auto"/>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主管部门（公章）：洛浦县农村合作经济发展中心</w:t>
      </w:r>
    </w:p>
    <w:p w14:paraId="7B526232">
      <w:pPr>
        <w:spacing w:line="360" w:lineRule="auto"/>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项目负责人（签章）：阿卜拉江·艾斯凯尔</w:t>
      </w:r>
    </w:p>
    <w:p w14:paraId="3DD4A032">
      <w:pPr>
        <w:spacing w:line="360" w:lineRule="auto"/>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 xml:space="preserve">填报时间： </w:t>
      </w:r>
      <w:r>
        <w:rPr>
          <w:rFonts w:hint="eastAsia" w:ascii="新宋体" w:hAnsi="新宋体" w:eastAsia="新宋体" w:cs="新宋体"/>
          <w:color w:val="auto"/>
          <w:sz w:val="24"/>
          <w:szCs w:val="24"/>
          <w:lang w:val="en-US" w:eastAsia="zh-CN"/>
        </w:rPr>
        <w:t>2025</w:t>
      </w:r>
      <w:r>
        <w:rPr>
          <w:rFonts w:hint="eastAsia" w:ascii="新宋体" w:hAnsi="新宋体" w:eastAsia="新宋体" w:cs="新宋体"/>
          <w:color w:val="auto"/>
          <w:sz w:val="24"/>
          <w:szCs w:val="24"/>
        </w:rPr>
        <w:t>年</w:t>
      </w:r>
      <w:r>
        <w:rPr>
          <w:rFonts w:hint="eastAsia" w:ascii="新宋体" w:hAnsi="新宋体" w:eastAsia="新宋体" w:cs="新宋体"/>
          <w:color w:val="auto"/>
          <w:sz w:val="24"/>
          <w:szCs w:val="24"/>
          <w:lang w:val="en-US" w:eastAsia="zh-CN"/>
        </w:rPr>
        <w:t>3</w:t>
      </w:r>
      <w:r>
        <w:rPr>
          <w:rFonts w:hint="eastAsia" w:ascii="新宋体" w:hAnsi="新宋体" w:eastAsia="新宋体" w:cs="新宋体"/>
          <w:color w:val="auto"/>
          <w:sz w:val="24"/>
          <w:szCs w:val="24"/>
        </w:rPr>
        <w:t>月</w:t>
      </w:r>
      <w:r>
        <w:rPr>
          <w:rFonts w:hint="eastAsia" w:ascii="新宋体" w:hAnsi="新宋体" w:eastAsia="新宋体" w:cs="新宋体"/>
          <w:color w:val="auto"/>
          <w:sz w:val="24"/>
          <w:szCs w:val="24"/>
          <w:lang w:val="en-US" w:eastAsia="zh-CN"/>
        </w:rPr>
        <w:t>15</w:t>
      </w:r>
      <w:r>
        <w:rPr>
          <w:rFonts w:hint="eastAsia" w:ascii="新宋体" w:hAnsi="新宋体" w:eastAsia="新宋体" w:cs="新宋体"/>
          <w:color w:val="auto"/>
          <w:sz w:val="24"/>
          <w:szCs w:val="24"/>
        </w:rPr>
        <w:t>日</w:t>
      </w:r>
    </w:p>
    <w:p w14:paraId="56749380">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新宋体" w:hAnsi="新宋体" w:eastAsia="新宋体" w:cs="新宋体"/>
          <w:color w:val="auto"/>
          <w:sz w:val="24"/>
          <w:szCs w:val="24"/>
          <w:highlight w:val="none"/>
          <w:lang w:val="en-US" w:eastAsia="zh-CN"/>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p w14:paraId="15DA230B">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en-US" w:eastAsia="zh-CN"/>
        </w:rPr>
        <w:t>一、</w:t>
      </w:r>
      <w:r>
        <w:rPr>
          <w:rFonts w:hint="eastAsia" w:ascii="新宋体" w:hAnsi="新宋体" w:eastAsia="新宋体" w:cs="新宋体"/>
          <w:color w:val="auto"/>
          <w:sz w:val="24"/>
          <w:szCs w:val="24"/>
          <w:highlight w:val="none"/>
        </w:rPr>
        <w:t>基本情况</w:t>
      </w:r>
      <w:bookmarkEnd w:id="0"/>
    </w:p>
    <w:p w14:paraId="43DF328D">
      <w:pPr>
        <w:pStyle w:val="15"/>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bookmarkStart w:id="1" w:name="_Toc68364658"/>
      <w:r>
        <w:rPr>
          <w:rFonts w:hint="eastAsia" w:ascii="新宋体" w:hAnsi="新宋体" w:eastAsia="新宋体" w:cs="新宋体"/>
          <w:color w:val="auto"/>
          <w:sz w:val="24"/>
          <w:szCs w:val="24"/>
          <w:highlight w:val="none"/>
          <w:lang w:eastAsia="zh-CN"/>
        </w:rPr>
        <w:t>（一）</w:t>
      </w:r>
      <w:r>
        <w:rPr>
          <w:rFonts w:hint="eastAsia" w:ascii="新宋体" w:hAnsi="新宋体" w:eastAsia="新宋体" w:cs="新宋体"/>
          <w:color w:val="auto"/>
          <w:sz w:val="24"/>
          <w:szCs w:val="24"/>
          <w:highlight w:val="none"/>
        </w:rPr>
        <w:t>项目概况</w:t>
      </w:r>
      <w:bookmarkEnd w:id="1"/>
    </w:p>
    <w:p w14:paraId="475253ED">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1.项目背景</w:t>
      </w:r>
    </w:p>
    <w:p w14:paraId="51A5B0DA">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新宋体" w:hAnsi="新宋体" w:eastAsia="新宋体" w:cs="新宋体"/>
          <w:b w:val="0"/>
          <w:bCs w:val="0"/>
          <w:color w:val="auto"/>
          <w:sz w:val="24"/>
          <w:szCs w:val="24"/>
          <w:highlight w:val="none"/>
          <w:lang w:val="en-US" w:eastAsia="zh-CN"/>
        </w:rPr>
      </w:pPr>
      <w:r>
        <w:rPr>
          <w:rFonts w:hint="eastAsia" w:ascii="新宋体" w:hAnsi="新宋体" w:eastAsia="新宋体" w:cs="新宋体"/>
          <w:b w:val="0"/>
          <w:bCs w:val="0"/>
          <w:color w:val="auto"/>
          <w:sz w:val="24"/>
          <w:szCs w:val="24"/>
          <w:highlight w:val="none"/>
          <w:lang w:val="en-US" w:eastAsia="zh-CN"/>
        </w:rPr>
        <w:t>洛浦县二轮承包土地农户39941户，户均承包地面积6.14亩；农用地面积为187.54万亩，按权属划分村集体农用地62.71万亩（其中：30年承包地面积24.55万亩、村集体机动地面积19.79万亩），国有农用地124.83万亩；按地类分类：耕地30.07万亩、林地53.24万亩、果园42.13亩、设施农用地1.45万亩、草地50.32万亩；全年农业用水量5.5亿立方，主要灌溉方式为地表水漫灌、地下水漫灌、地下水滴灌，其中地表水使用量，地下水用水量0.68亿立方米，地表水用水量4.82亿立方米。2024年小麦种植面积26.71万亩，玉米种植面积18万亩，棉花种植2万亩，油料作物2万亩。目前我县在社会化目录库内登记的社会化服务组织15家，其中3家有一定的社会化服务经验。</w:t>
      </w:r>
    </w:p>
    <w:p w14:paraId="226599ED">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lang w:val="en-US" w:eastAsia="zh-CN"/>
        </w:rPr>
        <w:t>2.</w:t>
      </w:r>
      <w:r>
        <w:rPr>
          <w:rFonts w:hint="eastAsia" w:ascii="新宋体" w:hAnsi="新宋体" w:eastAsia="新宋体" w:cs="新宋体"/>
          <w:b/>
          <w:bCs/>
          <w:color w:val="auto"/>
          <w:sz w:val="24"/>
          <w:szCs w:val="24"/>
          <w:highlight w:val="none"/>
        </w:rPr>
        <w:t>主要内容及实施情况</w:t>
      </w:r>
    </w:p>
    <w:p w14:paraId="63E94C63">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eastAsia="zh-CN"/>
        </w:rPr>
        <w:t>（</w:t>
      </w:r>
      <w:r>
        <w:rPr>
          <w:rFonts w:hint="eastAsia" w:ascii="新宋体" w:hAnsi="新宋体" w:eastAsia="新宋体" w:cs="新宋体"/>
          <w:b/>
          <w:bCs/>
          <w:color w:val="auto"/>
          <w:sz w:val="24"/>
          <w:szCs w:val="24"/>
          <w:highlight w:val="none"/>
          <w:lang w:val="en-US" w:eastAsia="zh-CN"/>
        </w:rPr>
        <w:t>1）主要内容</w:t>
      </w:r>
    </w:p>
    <w:p w14:paraId="6462B292">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b w:val="0"/>
          <w:bCs w:val="0"/>
          <w:color w:val="auto"/>
          <w:sz w:val="24"/>
          <w:szCs w:val="24"/>
          <w:highlight w:val="none"/>
          <w:lang w:val="en-US" w:eastAsia="zh-CN"/>
        </w:rPr>
      </w:pPr>
      <w:r>
        <w:rPr>
          <w:rFonts w:hint="eastAsia" w:ascii="新宋体" w:hAnsi="新宋体" w:eastAsia="新宋体" w:cs="新宋体"/>
          <w:b w:val="0"/>
          <w:bCs w:val="0"/>
          <w:color w:val="auto"/>
          <w:sz w:val="24"/>
          <w:szCs w:val="24"/>
          <w:highlight w:val="none"/>
          <w:lang w:val="en-US" w:eastAsia="zh-CN"/>
        </w:rPr>
        <w:t>（一）确定服务产业和关键环节。2024年农业社会化服务项目我县研究决定补助小麦的收（包括脱粒）、耕、种三个环节来实施，在测算任务面积时，对全程托管服务，即耕种防收全过程交由服务组织承担的按1亩计算，任务面积1万亩，项目资金为100万元。对部分环节托管服务，则“耕”环节按36%权重折算，“种”环节按27%权重折算，“防”环节按10%权重折算，“收”环节按27%权重折算，再累计面积。目前因我县只实施同一作物的三种环节，按照90%的折算比例，确定多鲁镇、杭桂镇等2个镇6个村11120亩（折算后面积）一共补助资金100万元，在6月进行小麦的收割、10月份进行翻耕及播种。</w:t>
      </w:r>
    </w:p>
    <w:p w14:paraId="68B45851">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b w:val="0"/>
          <w:bCs w:val="0"/>
          <w:color w:val="auto"/>
          <w:sz w:val="24"/>
          <w:szCs w:val="24"/>
          <w:highlight w:val="none"/>
          <w:lang w:val="en-US" w:eastAsia="zh-CN"/>
        </w:rPr>
      </w:pPr>
      <w:r>
        <w:rPr>
          <w:rFonts w:hint="eastAsia" w:ascii="新宋体" w:hAnsi="新宋体" w:eastAsia="新宋体" w:cs="新宋体"/>
          <w:b w:val="0"/>
          <w:bCs w:val="0"/>
          <w:color w:val="auto"/>
          <w:sz w:val="24"/>
          <w:szCs w:val="24"/>
          <w:highlight w:val="none"/>
          <w:lang w:val="en-US" w:eastAsia="zh-CN"/>
        </w:rPr>
        <w:t>（二）制定标准。通过深入调研，广泛了解小农户和农业生产规模经营主体的需求意愿，掌握当地农业生产托管服务组织及专业社会化服务组织的规模、能力、信誉、服务价格等基本条件通过招标方式选定服务组织。服务组织应具备以下条件：一是必须列入中国农业社会化服务平台主体名录库（详见新农办经〔2020〕56号），且在当地农业农村（农经）部门备案，以农业农村部门掌握情况为准；二是拥有与其服务内容、服务能力相匹配的专业农业机械和设备（优先选择安装作业监测终端设备），以及具备承担项目实施的其他能力，以服务组织提供农机购置发票、农机手签订协议、场地设备照片等印证材料为准;三是内部管理制度健全，财务管理规范，能够接受社会化服务行业管理部门的监管，以服务组织提供章程、制度、财务报表等印证材料和农业农村部门培训等证明为准；四是应有一定的社会化服务经验，原则上从事社会化服务达两年以上，使用规范的农业生产托管服务合同示范文本，围绕服务作物制定了服务标准和技术规范，以服务组织提供营业执照、服务合同、服务标准等印证材料为准；五是在农民群众中享有良好的信誉，其所提供的服务在质量和价格方面受到农户的认可和好评；以服务组织提供农户满意度佐证材料或服务对象出具证明等印证材料为准。</w:t>
      </w:r>
    </w:p>
    <w:p w14:paraId="1E4B11FE">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b w:val="0"/>
          <w:bCs w:val="0"/>
          <w:color w:val="auto"/>
          <w:sz w:val="24"/>
          <w:szCs w:val="24"/>
          <w:highlight w:val="none"/>
          <w:lang w:val="en-US" w:eastAsia="zh-CN"/>
        </w:rPr>
      </w:pPr>
      <w:r>
        <w:rPr>
          <w:rFonts w:hint="eastAsia" w:ascii="新宋体" w:hAnsi="新宋体" w:eastAsia="新宋体" w:cs="新宋体"/>
          <w:b w:val="0"/>
          <w:bCs w:val="0"/>
          <w:color w:val="auto"/>
          <w:sz w:val="24"/>
          <w:szCs w:val="24"/>
          <w:highlight w:val="none"/>
          <w:lang w:val="en-US" w:eastAsia="zh-CN"/>
        </w:rPr>
        <w:t>（三）补助方式和补助标准。采取先服务后补助的方式进行。对全程托管服务，即耕种防收环节全部交由服务组织承担的按1亩计算；对部分环节托管服务，则“耕”“种”“防”“收”各环节分别按36%、27%、10%、27%权重折算补助面积，防止简单机械的按照补助上限确定补助比例，通过了解我县小麦收（包括脱粒）平均费用为150元、土地翻耕平均费用为60元、小麦播种平均费用为50元,每亩地三个环节成本共为260元，财政补助占服务价格的比例为34.62%。（折算面积为准）</w:t>
      </w:r>
    </w:p>
    <w:p w14:paraId="4FFB579D">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b w:val="0"/>
          <w:bCs w:val="0"/>
          <w:color w:val="auto"/>
          <w:sz w:val="24"/>
          <w:szCs w:val="24"/>
          <w:highlight w:val="none"/>
          <w:lang w:val="en-US" w:eastAsia="zh-CN"/>
        </w:rPr>
      </w:pPr>
      <w:r>
        <w:rPr>
          <w:rFonts w:hint="eastAsia" w:ascii="新宋体" w:hAnsi="新宋体" w:eastAsia="新宋体" w:cs="新宋体"/>
          <w:b w:val="0"/>
          <w:bCs w:val="0"/>
          <w:color w:val="auto"/>
          <w:sz w:val="24"/>
          <w:szCs w:val="24"/>
          <w:highlight w:val="none"/>
          <w:lang w:val="en-US" w:eastAsia="zh-CN"/>
        </w:rPr>
        <w:t>（四）优选服务组织。通过招标优选确定服务组织后及时签订合同，服务组织在县、乡两级指导下开展服务，防止出现“政策垒关系户”</w:t>
      </w:r>
    </w:p>
    <w:p w14:paraId="670D0525">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b w:val="0"/>
          <w:bCs w:val="0"/>
          <w:color w:val="auto"/>
          <w:sz w:val="24"/>
          <w:szCs w:val="24"/>
          <w:highlight w:val="none"/>
          <w:lang w:val="en-US" w:eastAsia="zh-CN"/>
        </w:rPr>
      </w:pPr>
      <w:r>
        <w:rPr>
          <w:rFonts w:hint="eastAsia" w:ascii="新宋体" w:hAnsi="新宋体" w:eastAsia="新宋体" w:cs="新宋体"/>
          <w:b w:val="0"/>
          <w:bCs w:val="0"/>
          <w:color w:val="auto"/>
          <w:sz w:val="24"/>
          <w:szCs w:val="24"/>
          <w:highlight w:val="none"/>
          <w:lang w:val="en-US" w:eastAsia="zh-CN"/>
        </w:rPr>
        <w:t>（五）监督项目实施。农业农村局（农村经济合作发展中心）要监督项目的落实和实施，根据工作进度适时检查项目宣传发动、实施进展、实施成效等情况，对于检查中发现的问题，要督促及时整改。县农业农村局（农村经济合作发展中心）对项目的真实性负责，要按照财政项目管理要求，建立健全监督机制，加强对社会化服务主体履约情况的监管，将服务对象的满意度作为衡量服务质量的重要标准，对服务面积、服务质量等达不到合同要求的，取消服务资格、追究违约责任。</w:t>
      </w:r>
    </w:p>
    <w:p w14:paraId="27D01CC3">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b w:val="0"/>
          <w:bCs w:val="0"/>
          <w:color w:val="auto"/>
          <w:sz w:val="24"/>
          <w:szCs w:val="24"/>
          <w:highlight w:val="none"/>
          <w:lang w:val="en-US" w:eastAsia="zh-CN"/>
        </w:rPr>
      </w:pPr>
      <w:r>
        <w:rPr>
          <w:rFonts w:hint="eastAsia" w:ascii="新宋体" w:hAnsi="新宋体" w:eastAsia="新宋体" w:cs="新宋体"/>
          <w:b w:val="0"/>
          <w:bCs w:val="0"/>
          <w:color w:val="auto"/>
          <w:sz w:val="24"/>
          <w:szCs w:val="24"/>
          <w:highlight w:val="none"/>
          <w:lang w:val="en-US" w:eastAsia="zh-CN"/>
        </w:rPr>
        <w:t>（六）检查验收。</w:t>
      </w:r>
    </w:p>
    <w:p w14:paraId="60C54891">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3.实施情况</w:t>
      </w:r>
    </w:p>
    <w:p w14:paraId="308D43FB">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1）项目实施主体</w:t>
      </w:r>
    </w:p>
    <w:p w14:paraId="3683F59D">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b w:val="0"/>
          <w:bCs w:val="0"/>
          <w:color w:val="auto"/>
          <w:lang w:val="en-US" w:eastAsia="zh-CN"/>
        </w:rPr>
      </w:pPr>
      <w:r>
        <w:rPr>
          <w:rFonts w:hint="eastAsia" w:ascii="宋体" w:hAnsi="宋体" w:eastAsia="宋体" w:cs="宋体"/>
          <w:b w:val="0"/>
          <w:bCs w:val="0"/>
          <w:color w:val="auto"/>
          <w:sz w:val="24"/>
          <w:szCs w:val="24"/>
          <w:lang w:val="en-US" w:eastAsia="zh-CN"/>
        </w:rPr>
        <w:t>本项目主管部门为洛浦县农村合作经济发展中心，实施单位为洛浦县农村合作经济发展中心。</w:t>
      </w:r>
    </w:p>
    <w:p w14:paraId="78D07DD6">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新宋体" w:hAnsi="新宋体" w:eastAsia="新宋体" w:cs="新宋体"/>
          <w:b w:val="0"/>
          <w:bCs w:val="0"/>
          <w:color w:val="auto"/>
          <w:sz w:val="24"/>
          <w:szCs w:val="24"/>
          <w:highlight w:val="none"/>
          <w:lang w:val="en-US" w:eastAsia="zh-CN"/>
        </w:rPr>
      </w:pPr>
      <w:r>
        <w:rPr>
          <w:rFonts w:hint="eastAsia" w:ascii="新宋体" w:hAnsi="新宋体" w:eastAsia="新宋体" w:cs="新宋体"/>
          <w:b w:val="0"/>
          <w:bCs w:val="0"/>
          <w:color w:val="auto"/>
          <w:sz w:val="24"/>
          <w:szCs w:val="24"/>
          <w:highlight w:val="none"/>
          <w:lang w:val="en-US" w:eastAsia="zh-CN"/>
        </w:rPr>
        <w:t>2）项目实施时间：</w:t>
      </w:r>
    </w:p>
    <w:p w14:paraId="669EB261">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lang w:val="en-US" w:eastAsia="zh-CN"/>
        </w:rPr>
        <w:t>2024年1月-2024</w:t>
      </w:r>
      <w:r>
        <w:rPr>
          <w:rFonts w:hint="eastAsia" w:ascii="宋体" w:hAnsi="宋体" w:eastAsia="宋体" w:cs="宋体"/>
          <w:b w:val="0"/>
          <w:bCs w:val="0"/>
          <w:color w:val="auto"/>
          <w:sz w:val="24"/>
          <w:szCs w:val="24"/>
          <w:highlight w:val="none"/>
          <w:lang w:val="en-US" w:eastAsia="zh-CN"/>
        </w:rPr>
        <w:t>年12月</w:t>
      </w:r>
    </w:p>
    <w:p w14:paraId="2165F78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新宋体" w:hAnsi="新宋体" w:eastAsia="新宋体" w:cs="新宋体"/>
          <w:b w:val="0"/>
          <w:bCs w:val="0"/>
          <w:color w:val="auto"/>
          <w:sz w:val="24"/>
          <w:szCs w:val="24"/>
          <w:highlight w:val="none"/>
          <w:lang w:val="en-US" w:eastAsia="zh-CN"/>
        </w:rPr>
      </w:pPr>
      <w:r>
        <w:rPr>
          <w:rFonts w:hint="eastAsia" w:ascii="新宋体" w:hAnsi="新宋体" w:eastAsia="新宋体" w:cs="新宋体"/>
          <w:b w:val="0"/>
          <w:bCs w:val="0"/>
          <w:color w:val="auto"/>
          <w:sz w:val="24"/>
          <w:szCs w:val="24"/>
          <w:highlight w:val="none"/>
          <w:lang w:val="en-US" w:eastAsia="zh-CN"/>
        </w:rPr>
        <w:t>3）项目实施情况</w:t>
      </w:r>
    </w:p>
    <w:p w14:paraId="7CDEF9CD">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新宋体" w:hAnsi="新宋体" w:eastAsia="新宋体" w:cs="新宋体"/>
          <w:b w:val="0"/>
          <w:bCs w:val="0"/>
          <w:color w:val="auto"/>
          <w:kern w:val="2"/>
          <w:sz w:val="24"/>
          <w:szCs w:val="24"/>
          <w:highlight w:val="none"/>
          <w:lang w:val="en-US" w:eastAsia="zh-CN" w:bidi="ar-SA"/>
        </w:rPr>
      </w:pPr>
      <w:r>
        <w:rPr>
          <w:rFonts w:hint="eastAsia" w:ascii="新宋体" w:hAnsi="新宋体" w:eastAsia="新宋体" w:cs="新宋体"/>
          <w:b w:val="0"/>
          <w:bCs w:val="0"/>
          <w:color w:val="auto"/>
          <w:kern w:val="2"/>
          <w:sz w:val="24"/>
          <w:szCs w:val="24"/>
          <w:highlight w:val="none"/>
          <w:lang w:val="en-US" w:eastAsia="zh-CN" w:bidi="ar-SA"/>
        </w:rPr>
        <w:t>截止2024年12月31日，农业社会化服务项目任务面积1万亩，每亩补助100元，通过项目的实施，支持小麦病虫害防治、收割、脱粒的农业生产托管服务关键环节。，带动小农户发展现代农业，增加农民家庭收入。</w:t>
      </w:r>
    </w:p>
    <w:p w14:paraId="024E6A64">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新宋体" w:hAnsi="新宋体" w:eastAsia="新宋体" w:cs="新宋体"/>
          <w:b w:val="0"/>
          <w:bCs w:val="0"/>
          <w:color w:val="auto"/>
          <w:sz w:val="24"/>
          <w:szCs w:val="24"/>
          <w:highlight w:val="none"/>
        </w:rPr>
      </w:pPr>
      <w:r>
        <w:rPr>
          <w:rFonts w:hint="eastAsia" w:ascii="新宋体" w:hAnsi="新宋体" w:eastAsia="新宋体" w:cs="新宋体"/>
          <w:b w:val="0"/>
          <w:bCs w:val="0"/>
          <w:color w:val="auto"/>
          <w:sz w:val="24"/>
          <w:szCs w:val="24"/>
          <w:highlight w:val="none"/>
          <w:lang w:val="en-US" w:eastAsia="zh-CN"/>
        </w:rPr>
        <w:t>4</w:t>
      </w:r>
      <w:r>
        <w:rPr>
          <w:rFonts w:hint="eastAsia" w:ascii="新宋体" w:hAnsi="新宋体" w:eastAsia="新宋体" w:cs="新宋体"/>
          <w:b w:val="0"/>
          <w:bCs w:val="0"/>
          <w:color w:val="auto"/>
          <w:sz w:val="24"/>
          <w:szCs w:val="24"/>
          <w:highlight w:val="none"/>
        </w:rPr>
        <w:t>.资金投入和使用情况</w:t>
      </w:r>
    </w:p>
    <w:p w14:paraId="19772AD5">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（1）项目资金安排</w:t>
      </w:r>
      <w:r>
        <w:rPr>
          <w:rFonts w:hint="eastAsia" w:ascii="新宋体" w:hAnsi="新宋体" w:eastAsia="新宋体" w:cs="新宋体"/>
          <w:b/>
          <w:bCs/>
          <w:color w:val="auto"/>
          <w:sz w:val="24"/>
          <w:szCs w:val="24"/>
          <w:highlight w:val="none"/>
          <w:lang w:eastAsia="zh-CN"/>
        </w:rPr>
        <w:t>、</w:t>
      </w:r>
      <w:r>
        <w:rPr>
          <w:rFonts w:hint="eastAsia" w:ascii="新宋体" w:hAnsi="新宋体" w:eastAsia="新宋体" w:cs="新宋体"/>
          <w:b/>
          <w:bCs/>
          <w:color w:val="auto"/>
          <w:sz w:val="24"/>
          <w:szCs w:val="24"/>
          <w:highlight w:val="none"/>
        </w:rPr>
        <w:t>投入情况</w:t>
      </w:r>
    </w:p>
    <w:p w14:paraId="307D0EAE">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本项目预算安排总额项目总投资</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万元，其中：</w:t>
      </w:r>
      <w:r>
        <w:rPr>
          <w:rFonts w:hint="eastAsia" w:ascii="新宋体" w:hAnsi="新宋体" w:eastAsia="新宋体" w:cs="新宋体"/>
          <w:color w:val="auto"/>
          <w:sz w:val="24"/>
          <w:szCs w:val="24"/>
          <w:highlight w:val="none"/>
          <w:lang w:val="en-US" w:eastAsia="zh-CN"/>
        </w:rPr>
        <w:t>中央资金100</w:t>
      </w:r>
      <w:r>
        <w:rPr>
          <w:rFonts w:hint="eastAsia" w:ascii="新宋体" w:hAnsi="新宋体" w:eastAsia="新宋体" w:cs="新宋体"/>
          <w:color w:val="auto"/>
          <w:sz w:val="24"/>
          <w:szCs w:val="24"/>
          <w:highlight w:val="none"/>
        </w:rPr>
        <w:t>万元，预算资金到位率为</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w:t>
      </w:r>
    </w:p>
    <w:p w14:paraId="3C570FEF">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（2）项目资金实际使用情况分析</w:t>
      </w:r>
    </w:p>
    <w:p w14:paraId="77A88DB4">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本项目实际支付资金</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万元，预算执行率</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w:t>
      </w:r>
    </w:p>
    <w:p w14:paraId="22D7BE6D">
      <w:pPr>
        <w:pStyle w:val="15"/>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b/>
          <w:bCs/>
          <w:color w:val="auto"/>
          <w:sz w:val="24"/>
          <w:szCs w:val="24"/>
          <w:highlight w:val="none"/>
          <w:lang w:eastAsia="zh-CN"/>
        </w:rPr>
      </w:pPr>
      <w:bookmarkStart w:id="2" w:name="_Toc68364659"/>
      <w:r>
        <w:rPr>
          <w:rFonts w:hint="eastAsia" w:ascii="新宋体" w:hAnsi="新宋体" w:eastAsia="新宋体" w:cs="新宋体"/>
          <w:b/>
          <w:bCs/>
          <w:color w:val="auto"/>
          <w:sz w:val="24"/>
          <w:szCs w:val="24"/>
          <w:highlight w:val="none"/>
          <w:lang w:eastAsia="zh-CN"/>
        </w:rPr>
        <w:t>（二）项目绩效目标</w:t>
      </w:r>
      <w:bookmarkEnd w:id="2"/>
    </w:p>
    <w:p w14:paraId="4D707DB1">
      <w:pPr>
        <w:pStyle w:val="16"/>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rPr>
      </w:pPr>
      <w:bookmarkStart w:id="3" w:name="_Toc68364660"/>
      <w:r>
        <w:rPr>
          <w:rFonts w:hint="eastAsia" w:ascii="宋体" w:hAnsi="宋体" w:eastAsia="宋体" w:cs="宋体"/>
          <w:color w:val="auto"/>
          <w:sz w:val="21"/>
          <w:szCs w:val="21"/>
          <w:highlight w:val="none"/>
        </w:rPr>
        <w:t>项目绩效目标包括项目总</w:t>
      </w:r>
      <w:r>
        <w:rPr>
          <w:rFonts w:hint="eastAsia" w:ascii="宋体" w:hAnsi="宋体" w:eastAsia="宋体" w:cs="宋体"/>
          <w:color w:val="auto"/>
          <w:sz w:val="21"/>
          <w:szCs w:val="21"/>
          <w:highlight w:val="none"/>
          <w:lang w:val="en-US" w:eastAsia="zh-CN"/>
        </w:rPr>
        <w:t>体</w:t>
      </w:r>
      <w:r>
        <w:rPr>
          <w:rFonts w:hint="eastAsia" w:ascii="宋体" w:hAnsi="宋体" w:eastAsia="宋体" w:cs="宋体"/>
          <w:color w:val="auto"/>
          <w:sz w:val="21"/>
          <w:szCs w:val="21"/>
          <w:highlight w:val="none"/>
        </w:rPr>
        <w:t>目标和阶段性目标。</w:t>
      </w:r>
    </w:p>
    <w:p w14:paraId="55B569B9">
      <w:pPr>
        <w:pStyle w:val="1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总</w:t>
      </w:r>
      <w:r>
        <w:rPr>
          <w:rFonts w:hint="eastAsia" w:ascii="宋体" w:hAnsi="宋体" w:eastAsia="宋体" w:cs="宋体"/>
          <w:b/>
          <w:bCs/>
          <w:color w:val="auto"/>
          <w:sz w:val="24"/>
          <w:szCs w:val="24"/>
          <w:highlight w:val="none"/>
          <w:lang w:val="en-US" w:eastAsia="zh-CN"/>
        </w:rPr>
        <w:t>体</w:t>
      </w:r>
      <w:r>
        <w:rPr>
          <w:rFonts w:hint="eastAsia" w:ascii="宋体" w:hAnsi="宋体" w:eastAsia="宋体" w:cs="宋体"/>
          <w:b/>
          <w:bCs/>
          <w:color w:val="auto"/>
          <w:sz w:val="24"/>
          <w:szCs w:val="24"/>
          <w:highlight w:val="none"/>
        </w:rPr>
        <w:t>目标</w:t>
      </w:r>
    </w:p>
    <w:p w14:paraId="78D1C0B4">
      <w:pPr>
        <w:pStyle w:val="16"/>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outlineLvl w:val="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根据《关于下达2024年中央农业经营主体能力提升资金预算的通知》（和地财农〔2023〕55号）文件内容实施。项目主要内容：截止2024年12月31日，农业社会化服务项目任务面积1万亩，每亩补助100元，通过项目的实施，支持小麦病虫害防治、收割、脱粒的农业生产托管服务关键环节。，带动小农户发展现代农业，增加农民家庭收入。</w:t>
      </w:r>
    </w:p>
    <w:p w14:paraId="2B6079B0">
      <w:pPr>
        <w:pStyle w:val="16"/>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outlineLvl w:val="2"/>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阶段性目标</w:t>
      </w:r>
    </w:p>
    <w:p w14:paraId="572422D8">
      <w:pPr>
        <w:pStyle w:val="16"/>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1"/>
          <w:szCs w:val="21"/>
          <w:highlight w:val="none"/>
          <w:lang w:val="en-US" w:eastAsia="zh-CN"/>
        </w:rPr>
        <w:t>我</w:t>
      </w:r>
      <w:r>
        <w:rPr>
          <w:rFonts w:hint="eastAsia" w:ascii="宋体" w:hAnsi="宋体" w:eastAsia="宋体" w:cs="宋体"/>
          <w:color w:val="auto"/>
          <w:sz w:val="21"/>
          <w:szCs w:val="21"/>
          <w:highlight w:val="none"/>
        </w:rPr>
        <w:t>单位根据《项目支出绩效评价管理办法》（财预〔2020〕10号）《关于印发〈自治区财政支出</w:t>
      </w:r>
      <w:r>
        <w:rPr>
          <w:rFonts w:hint="eastAsia" w:ascii="宋体" w:hAnsi="宋体" w:eastAsia="宋体" w:cs="宋体"/>
          <w:color w:val="auto"/>
          <w:sz w:val="24"/>
          <w:szCs w:val="24"/>
          <w:highlight w:val="none"/>
        </w:rPr>
        <w:t>绩效评价管理暂行办法〉的通知》（新财预〔2018〕189号）以及自治区财政厅《关于印发〈自治区项目支出绩效目标设置指引〉的通知》（新财预〔2022〕42号）的规定，结合项目相关信息，设置了年度绩效目标如下：</w:t>
      </w:r>
    </w:p>
    <w:p w14:paraId="7E2FFCF6">
      <w:pPr>
        <w:pStyle w:val="16"/>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产出指标</w:t>
      </w:r>
    </w:p>
    <w:p w14:paraId="29AA15EC">
      <w:pPr>
        <w:pStyle w:val="16"/>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数量指标:</w:t>
      </w:r>
    </w:p>
    <w:p w14:paraId="71820F50">
      <w:pPr>
        <w:pStyle w:val="1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w:t>
      </w:r>
      <w:r>
        <w:rPr>
          <w:rFonts w:hint="eastAsia" w:ascii="宋体" w:hAnsi="宋体" w:eastAsia="宋体" w:cs="宋体"/>
          <w:color w:val="auto"/>
          <w:sz w:val="24"/>
          <w:szCs w:val="24"/>
          <w:highlight w:val="none"/>
          <w:lang w:eastAsia="zh-CN"/>
        </w:rPr>
        <w:t>补助耕地面积</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eastAsia="zh-CN"/>
        </w:rPr>
        <w:t>&gt;=1万亩</w:t>
      </w:r>
      <w:r>
        <w:rPr>
          <w:rFonts w:hint="eastAsia" w:ascii="宋体" w:hAnsi="宋体" w:eastAsia="宋体" w:cs="宋体"/>
          <w:color w:val="auto"/>
          <w:sz w:val="24"/>
          <w:szCs w:val="24"/>
          <w:highlight w:val="none"/>
        </w:rPr>
        <w:t>”</w:t>
      </w:r>
    </w:p>
    <w:p w14:paraId="497E1FBC">
      <w:pPr>
        <w:pStyle w:val="1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2）质量指标：</w:t>
      </w:r>
    </w:p>
    <w:p w14:paraId="4E586A17">
      <w:pPr>
        <w:pStyle w:val="1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w:t>
      </w:r>
      <w:r>
        <w:rPr>
          <w:rFonts w:hint="eastAsia" w:ascii="宋体" w:hAnsi="宋体" w:eastAsia="宋体" w:cs="宋体"/>
          <w:color w:val="auto"/>
          <w:sz w:val="24"/>
          <w:szCs w:val="24"/>
          <w:highlight w:val="none"/>
          <w:lang w:eastAsia="zh-CN"/>
        </w:rPr>
        <w:t>补助资金发放准确率</w:t>
      </w:r>
      <w:r>
        <w:rPr>
          <w:rFonts w:hint="eastAsia" w:ascii="宋体" w:hAnsi="宋体" w:eastAsia="宋体" w:cs="宋体"/>
          <w:color w:val="auto"/>
          <w:sz w:val="24"/>
          <w:szCs w:val="24"/>
          <w:highlight w:val="none"/>
        </w:rPr>
        <w:t>，预期指标值：“=100%”</w:t>
      </w:r>
    </w:p>
    <w:p w14:paraId="1CE3B597">
      <w:pPr>
        <w:pStyle w:val="1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3）时效目标：</w:t>
      </w:r>
    </w:p>
    <w:p w14:paraId="75F80D02">
      <w:pPr>
        <w:pStyle w:val="1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指标1:</w:t>
      </w:r>
      <w:r>
        <w:rPr>
          <w:rFonts w:hint="eastAsia" w:ascii="宋体" w:hAnsi="宋体" w:eastAsia="宋体" w:cs="宋体"/>
          <w:color w:val="auto"/>
          <w:sz w:val="24"/>
          <w:szCs w:val="24"/>
          <w:highlight w:val="none"/>
          <w:lang w:eastAsia="zh-CN"/>
        </w:rPr>
        <w:t>补助资金支付及时率</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eastAsia="zh-CN"/>
        </w:rPr>
        <w:t>“=100%”</w:t>
      </w:r>
    </w:p>
    <w:p w14:paraId="459122F2">
      <w:pPr>
        <w:pStyle w:val="1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指标2:</w:t>
      </w:r>
      <w:r>
        <w:rPr>
          <w:rFonts w:hint="eastAsia" w:ascii="宋体" w:hAnsi="宋体" w:eastAsia="宋体" w:cs="宋体"/>
          <w:color w:val="auto"/>
          <w:sz w:val="24"/>
          <w:szCs w:val="24"/>
          <w:highlight w:val="none"/>
          <w:lang w:eastAsia="zh-CN"/>
        </w:rPr>
        <w:t>项目完成时间</w:t>
      </w:r>
      <w:r>
        <w:rPr>
          <w:rFonts w:hint="eastAsia" w:ascii="宋体" w:hAnsi="宋体" w:eastAsia="宋体" w:cs="宋体"/>
          <w:color w:val="auto"/>
          <w:sz w:val="24"/>
          <w:szCs w:val="24"/>
          <w:highlight w:val="none"/>
        </w:rPr>
        <w:t>，预期指标值：“2024年12月”</w:t>
      </w:r>
    </w:p>
    <w:p w14:paraId="1C61CBC0">
      <w:pPr>
        <w:pStyle w:val="1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（2）成本指标： </w:t>
      </w:r>
    </w:p>
    <w:p w14:paraId="17C5CEC2">
      <w:pPr>
        <w:pStyle w:val="1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1）经济成本指标</w:t>
      </w:r>
    </w:p>
    <w:p w14:paraId="09616A99">
      <w:pPr>
        <w:pStyle w:val="1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指标1:项目资金总额，预期指标值：“</w:t>
      </w:r>
      <w:r>
        <w:rPr>
          <w:rFonts w:hint="eastAsia" w:ascii="宋体" w:hAnsi="宋体" w:eastAsia="宋体" w:cs="宋体"/>
          <w:color w:val="auto"/>
          <w:sz w:val="24"/>
          <w:szCs w:val="24"/>
          <w:highlight w:val="none"/>
          <w:lang w:eastAsia="zh-CN"/>
        </w:rPr>
        <w:t>&lt;=100万元</w:t>
      </w:r>
      <w:r>
        <w:rPr>
          <w:rFonts w:hint="eastAsia" w:ascii="宋体" w:hAnsi="宋体" w:eastAsia="宋体" w:cs="宋体"/>
          <w:color w:val="auto"/>
          <w:sz w:val="24"/>
          <w:szCs w:val="24"/>
          <w:highlight w:val="none"/>
        </w:rPr>
        <w:t>”</w:t>
      </w:r>
    </w:p>
    <w:p w14:paraId="3323B78C">
      <w:pPr>
        <w:pStyle w:val="1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（3）效益指标：</w:t>
      </w:r>
    </w:p>
    <w:p w14:paraId="1741E13A">
      <w:pPr>
        <w:pStyle w:val="1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）社会效益指标：</w:t>
      </w:r>
    </w:p>
    <w:p w14:paraId="7DE95EDB">
      <w:pPr>
        <w:pStyle w:val="1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w:t>
      </w:r>
      <w:r>
        <w:rPr>
          <w:rFonts w:hint="eastAsia" w:ascii="宋体" w:hAnsi="宋体" w:eastAsia="宋体" w:cs="宋体"/>
          <w:color w:val="auto"/>
          <w:sz w:val="24"/>
          <w:szCs w:val="24"/>
          <w:highlight w:val="none"/>
          <w:lang w:eastAsia="zh-CN"/>
        </w:rPr>
        <w:t>带动小农户发展现代农业，增加农民家庭收入</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eastAsia="zh-CN"/>
        </w:rPr>
        <w:t>效果显著</w:t>
      </w:r>
      <w:r>
        <w:rPr>
          <w:rFonts w:hint="eastAsia" w:ascii="宋体" w:hAnsi="宋体" w:eastAsia="宋体" w:cs="宋体"/>
          <w:color w:val="auto"/>
          <w:sz w:val="24"/>
          <w:szCs w:val="24"/>
          <w:highlight w:val="none"/>
        </w:rPr>
        <w:t>”</w:t>
      </w:r>
    </w:p>
    <w:p w14:paraId="719EC875">
      <w:pPr>
        <w:pStyle w:val="1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）服务对象满意度指标：</w:t>
      </w:r>
    </w:p>
    <w:p w14:paraId="5AE5D57A">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指标1:受益群众满意度，预期指标值：“&gt;=95%”</w:t>
      </w:r>
    </w:p>
    <w:p w14:paraId="1D4D55C7">
      <w:pPr>
        <w:pStyle w:val="2"/>
        <w:rPr>
          <w:rFonts w:hint="eastAsia" w:ascii="黑体" w:hAnsi="黑体" w:eastAsia="黑体" w:cs="黑体"/>
          <w:color w:val="auto"/>
          <w:lang w:val="en-US" w:eastAsia="zh-CN"/>
        </w:rPr>
      </w:pPr>
    </w:p>
    <w:p w14:paraId="3562D446">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b/>
          <w:bCs/>
          <w:color w:val="auto"/>
          <w:sz w:val="24"/>
          <w:szCs w:val="24"/>
          <w:highlight w:val="none"/>
          <w:lang w:val="en-US" w:eastAsia="zh-CN"/>
        </w:rPr>
      </w:pPr>
      <w:r>
        <w:rPr>
          <w:rFonts w:hint="eastAsia" w:ascii="黑体" w:hAnsi="黑体" w:eastAsia="黑体" w:cs="黑体"/>
          <w:b/>
          <w:bCs/>
          <w:color w:val="auto"/>
          <w:sz w:val="24"/>
          <w:szCs w:val="24"/>
          <w:highlight w:val="none"/>
          <w:lang w:val="en-US" w:eastAsia="zh-CN"/>
        </w:rPr>
        <w:t>二、绩效评价工作开展情况</w:t>
      </w:r>
      <w:bookmarkEnd w:id="3"/>
    </w:p>
    <w:p w14:paraId="315FBFE5">
      <w:pPr>
        <w:pStyle w:val="15"/>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bookmarkStart w:id="4" w:name="_Toc68364661"/>
      <w:r>
        <w:rPr>
          <w:rFonts w:hint="eastAsia" w:ascii="新宋体" w:hAnsi="新宋体" w:eastAsia="新宋体" w:cs="新宋体"/>
          <w:color w:val="auto"/>
          <w:sz w:val="24"/>
          <w:szCs w:val="24"/>
          <w:highlight w:val="none"/>
        </w:rPr>
        <w:t>（一）绩效评价目的、对象和范围</w:t>
      </w:r>
      <w:bookmarkEnd w:id="4"/>
    </w:p>
    <w:p w14:paraId="115BC1C3">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1.绩效评价目的</w:t>
      </w:r>
    </w:p>
    <w:p w14:paraId="54FF7014">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新宋体" w:hAnsi="新宋体" w:eastAsia="新宋体" w:cs="新宋体"/>
          <w:color w:val="auto"/>
          <w:sz w:val="24"/>
          <w:szCs w:val="24"/>
          <w:highlight w:val="none"/>
          <w:lang w:val="en-US" w:eastAsia="zh-CN"/>
        </w:rPr>
      </w:pPr>
      <w:r>
        <w:rPr>
          <w:rFonts w:hint="eastAsia" w:ascii="新宋体" w:hAnsi="新宋体" w:eastAsia="新宋体" w:cs="新宋体"/>
          <w:color w:val="auto"/>
          <w:sz w:val="24"/>
          <w:szCs w:val="24"/>
          <w:highlight w:val="none"/>
        </w:rPr>
        <w:t>本次绩效评价遵循财政部《项目支出绩效评价管理办法》（财预〔2020〕10号）《自治区财政支出绩效评价管理暂行办法》（新财预〔2018〕189号）</w:t>
      </w:r>
      <w:r>
        <w:rPr>
          <w:rFonts w:hint="eastAsia" w:ascii="新宋体" w:hAnsi="新宋体" w:eastAsia="新宋体" w:cs="新宋体"/>
          <w:color w:val="auto"/>
          <w:sz w:val="24"/>
          <w:szCs w:val="24"/>
          <w:highlight w:val="none"/>
          <w:lang w:val="en-US" w:eastAsia="zh-CN"/>
        </w:rPr>
        <w:t>及</w:t>
      </w:r>
      <w:r>
        <w:rPr>
          <w:rFonts w:hint="eastAsia" w:ascii="新宋体" w:hAnsi="新宋体" w:eastAsia="新宋体" w:cs="新宋体"/>
          <w:color w:val="auto"/>
          <w:sz w:val="24"/>
          <w:szCs w:val="24"/>
          <w:highlight w:val="none"/>
        </w:rPr>
        <w:t>自治区财政厅《关于印发〈自治区项目支出绩效目标设置指引〉的通知》（新财预〔2022〕42号）等相关政策文件与规定，对</w:t>
      </w:r>
      <w:r>
        <w:rPr>
          <w:rFonts w:hint="eastAsia" w:ascii="新宋体" w:hAnsi="新宋体" w:eastAsia="新宋体" w:cs="新宋体"/>
          <w:color w:val="auto"/>
          <w:sz w:val="24"/>
          <w:szCs w:val="24"/>
          <w:highlight w:val="none"/>
          <w:lang w:eastAsia="zh-CN"/>
        </w:rPr>
        <w:t>洛浦县2024年农业生产社会化服务项目</w:t>
      </w:r>
      <w:r>
        <w:rPr>
          <w:rFonts w:hint="eastAsia" w:ascii="新宋体" w:hAnsi="新宋体" w:eastAsia="新宋体" w:cs="新宋体"/>
          <w:color w:val="auto"/>
          <w:sz w:val="24"/>
          <w:szCs w:val="24"/>
          <w:highlight w:val="none"/>
        </w:rPr>
        <w:t>支出绩效评价工作。全面了解</w:t>
      </w:r>
      <w:r>
        <w:rPr>
          <w:rFonts w:hint="eastAsia" w:ascii="新宋体" w:hAnsi="新宋体" w:eastAsia="新宋体" w:cs="新宋体"/>
          <w:color w:val="auto"/>
          <w:sz w:val="24"/>
          <w:szCs w:val="24"/>
          <w:highlight w:val="none"/>
          <w:lang w:eastAsia="zh-CN"/>
        </w:rPr>
        <w:t>洛浦县2024年农业生产社会化服务项目</w:t>
      </w:r>
      <w:r>
        <w:rPr>
          <w:rFonts w:hint="eastAsia" w:ascii="新宋体" w:hAnsi="新宋体" w:eastAsia="新宋体" w:cs="新宋体"/>
          <w:color w:val="auto"/>
          <w:sz w:val="24"/>
          <w:szCs w:val="24"/>
          <w:highlight w:val="none"/>
        </w:rPr>
        <w:t>预算编制合理性、资金使用合规性、项目管理的规范性、项目目标的实现情况、服务对象的满意度等项目实施前期、过程及</w:t>
      </w:r>
      <w:r>
        <w:rPr>
          <w:rFonts w:hint="eastAsia" w:ascii="新宋体" w:hAnsi="新宋体" w:eastAsia="新宋体" w:cs="新宋体"/>
          <w:color w:val="auto"/>
          <w:sz w:val="24"/>
          <w:szCs w:val="24"/>
          <w:highlight w:val="none"/>
          <w:lang w:val="en-US" w:eastAsia="zh-CN"/>
        </w:rPr>
        <w:t>实施</w:t>
      </w:r>
      <w:r>
        <w:rPr>
          <w:rFonts w:hint="eastAsia" w:ascii="新宋体" w:hAnsi="新宋体" w:eastAsia="新宋体" w:cs="新宋体"/>
          <w:color w:val="auto"/>
          <w:sz w:val="24"/>
          <w:szCs w:val="24"/>
          <w:highlight w:val="none"/>
        </w:rPr>
        <w:t>效果</w:t>
      </w:r>
      <w:r>
        <w:rPr>
          <w:rFonts w:hint="eastAsia" w:ascii="新宋体" w:hAnsi="新宋体" w:eastAsia="新宋体" w:cs="新宋体"/>
          <w:color w:val="auto"/>
          <w:sz w:val="24"/>
          <w:szCs w:val="24"/>
          <w:highlight w:val="none"/>
          <w:lang w:val="en-US" w:eastAsia="zh-CN"/>
        </w:rPr>
        <w:t>情况。</w:t>
      </w:r>
    </w:p>
    <w:p w14:paraId="6B43125D">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新宋体" w:hAnsi="新宋体" w:eastAsia="新宋体" w:cs="新宋体"/>
          <w:color w:val="auto"/>
          <w:sz w:val="24"/>
          <w:szCs w:val="24"/>
          <w:highlight w:val="none"/>
          <w:lang w:val="en-US" w:eastAsia="zh-CN"/>
        </w:rPr>
      </w:pPr>
      <w:r>
        <w:rPr>
          <w:rFonts w:hint="eastAsia" w:ascii="新宋体" w:hAnsi="新宋体" w:eastAsia="新宋体" w:cs="新宋体"/>
          <w:color w:val="auto"/>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3D5B9AAC">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新宋体" w:hAnsi="新宋体" w:eastAsia="新宋体" w:cs="新宋体"/>
          <w:color w:val="auto"/>
          <w:sz w:val="24"/>
          <w:szCs w:val="24"/>
          <w:highlight w:val="none"/>
          <w:lang w:val="en-US" w:eastAsia="zh-CN"/>
        </w:rPr>
      </w:pPr>
      <w:r>
        <w:rPr>
          <w:rFonts w:hint="eastAsia" w:ascii="新宋体" w:hAnsi="新宋体" w:eastAsia="新宋体" w:cs="新宋体"/>
          <w:color w:val="auto"/>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15E005B5">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新宋体" w:hAnsi="新宋体" w:eastAsia="新宋体" w:cs="新宋体"/>
          <w:b/>
          <w:bCs/>
          <w:color w:val="auto"/>
          <w:sz w:val="24"/>
          <w:szCs w:val="24"/>
          <w:highlight w:val="none"/>
        </w:rPr>
      </w:pPr>
      <w:r>
        <w:rPr>
          <w:rFonts w:hint="eastAsia" w:ascii="新宋体" w:hAnsi="新宋体" w:eastAsia="新宋体" w:cs="新宋体"/>
          <w:color w:val="auto"/>
          <w:sz w:val="24"/>
          <w:szCs w:val="24"/>
          <w:highlight w:val="none"/>
          <w:lang w:val="en-US" w:eastAsia="zh-CN"/>
        </w:rPr>
        <w:t>同时，通过部门项目支出绩效评价，可促进本单位发现预算项目管理中的问题、总结经验、改进工作，以提高</w:t>
      </w:r>
      <w:r>
        <w:rPr>
          <w:rFonts w:hint="eastAsia" w:ascii="新宋体" w:hAnsi="新宋体" w:eastAsia="新宋体" w:cs="新宋体"/>
          <w:color w:val="auto"/>
          <w:sz w:val="24"/>
          <w:szCs w:val="24"/>
          <w:highlight w:val="none"/>
        </w:rPr>
        <w:t>财政预算资金使用的效率及效益。</w:t>
      </w:r>
    </w:p>
    <w:p w14:paraId="4231C7E7">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2.绩效评价对象</w:t>
      </w:r>
    </w:p>
    <w:p w14:paraId="3E4563CE">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lang w:val="en-US" w:eastAsia="zh-CN"/>
        </w:rPr>
      </w:pPr>
      <w:r>
        <w:rPr>
          <w:rFonts w:hint="eastAsia" w:ascii="新宋体" w:hAnsi="新宋体" w:eastAsia="新宋体" w:cs="新宋体"/>
          <w:color w:val="auto"/>
          <w:sz w:val="24"/>
          <w:szCs w:val="24"/>
          <w:highlight w:val="none"/>
          <w:lang w:val="en-US" w:eastAsia="zh-CN"/>
        </w:rPr>
        <w:t>此</w:t>
      </w:r>
      <w:r>
        <w:rPr>
          <w:rFonts w:hint="eastAsia" w:ascii="新宋体" w:hAnsi="新宋体" w:eastAsia="新宋体" w:cs="新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新宋体" w:hAnsi="新宋体" w:eastAsia="新宋体" w:cs="新宋体"/>
          <w:color w:val="auto"/>
          <w:sz w:val="24"/>
          <w:szCs w:val="24"/>
          <w:highlight w:val="none"/>
          <w:lang w:eastAsia="zh-CN"/>
        </w:rPr>
        <w:t>洛浦县2024年农业生产社会化服务项目</w:t>
      </w:r>
      <w:r>
        <w:rPr>
          <w:rFonts w:hint="eastAsia" w:ascii="新宋体" w:hAnsi="新宋体" w:eastAsia="新宋体" w:cs="新宋体"/>
          <w:color w:val="auto"/>
          <w:sz w:val="24"/>
          <w:szCs w:val="24"/>
          <w:highlight w:val="none"/>
        </w:rPr>
        <w:t>为</w:t>
      </w:r>
      <w:r>
        <w:rPr>
          <w:rFonts w:hint="eastAsia" w:ascii="新宋体" w:hAnsi="新宋体" w:eastAsia="新宋体" w:cs="新宋体"/>
          <w:color w:val="auto"/>
          <w:sz w:val="24"/>
          <w:szCs w:val="24"/>
          <w:highlight w:val="none"/>
          <w:lang w:val="en-US" w:eastAsia="zh-CN"/>
        </w:rPr>
        <w:t>评价</w:t>
      </w:r>
      <w:r>
        <w:rPr>
          <w:rFonts w:hint="eastAsia" w:ascii="新宋体" w:hAnsi="新宋体" w:eastAsia="新宋体" w:cs="新宋体"/>
          <w:color w:val="auto"/>
          <w:sz w:val="24"/>
          <w:szCs w:val="24"/>
          <w:highlight w:val="none"/>
        </w:rPr>
        <w:t>对象</w:t>
      </w:r>
      <w:r>
        <w:rPr>
          <w:rFonts w:hint="eastAsia" w:ascii="新宋体" w:hAnsi="新宋体" w:eastAsia="新宋体" w:cs="新宋体"/>
          <w:color w:val="auto"/>
          <w:sz w:val="24"/>
          <w:szCs w:val="24"/>
          <w:highlight w:val="none"/>
          <w:lang w:eastAsia="zh-CN"/>
        </w:rPr>
        <w:t>，</w:t>
      </w:r>
      <w:r>
        <w:rPr>
          <w:rFonts w:hint="eastAsia" w:ascii="新宋体" w:hAnsi="新宋体" w:eastAsia="新宋体" w:cs="新宋体"/>
          <w:color w:val="auto"/>
          <w:sz w:val="24"/>
          <w:szCs w:val="24"/>
          <w:highlight w:val="none"/>
        </w:rPr>
        <w:t>对该项目决策、</w:t>
      </w:r>
      <w:r>
        <w:rPr>
          <w:rFonts w:hint="eastAsia" w:ascii="新宋体" w:hAnsi="新宋体" w:eastAsia="新宋体" w:cs="新宋体"/>
          <w:color w:val="auto"/>
          <w:sz w:val="24"/>
          <w:szCs w:val="24"/>
          <w:highlight w:val="none"/>
          <w:lang w:val="en-US" w:eastAsia="zh-CN"/>
        </w:rPr>
        <w:t>项目资金管理、项目实施</w:t>
      </w:r>
      <w:r>
        <w:rPr>
          <w:rFonts w:hint="eastAsia" w:ascii="新宋体" w:hAnsi="新宋体" w:eastAsia="新宋体" w:cs="新宋体"/>
          <w:color w:val="auto"/>
          <w:sz w:val="24"/>
          <w:szCs w:val="24"/>
          <w:highlight w:val="none"/>
        </w:rPr>
        <w:t>过程</w:t>
      </w:r>
      <w:r>
        <w:rPr>
          <w:rFonts w:hint="eastAsia" w:ascii="新宋体" w:hAnsi="新宋体" w:eastAsia="新宋体" w:cs="新宋体"/>
          <w:color w:val="auto"/>
          <w:sz w:val="24"/>
          <w:szCs w:val="24"/>
          <w:highlight w:val="none"/>
          <w:lang w:val="en-US" w:eastAsia="zh-CN"/>
        </w:rPr>
        <w:t>管理</w:t>
      </w:r>
      <w:r>
        <w:rPr>
          <w:rFonts w:hint="eastAsia" w:ascii="新宋体" w:hAnsi="新宋体" w:eastAsia="新宋体" w:cs="新宋体"/>
          <w:color w:val="auto"/>
          <w:sz w:val="24"/>
          <w:szCs w:val="24"/>
          <w:highlight w:val="none"/>
        </w:rPr>
        <w:t>，</w:t>
      </w:r>
      <w:r>
        <w:rPr>
          <w:rFonts w:hint="eastAsia" w:ascii="新宋体" w:hAnsi="新宋体" w:eastAsia="新宋体" w:cs="新宋体"/>
          <w:color w:val="auto"/>
          <w:sz w:val="24"/>
          <w:szCs w:val="24"/>
          <w:highlight w:val="none"/>
          <w:lang w:val="en-US" w:eastAsia="zh-CN"/>
        </w:rPr>
        <w:t>以及</w:t>
      </w:r>
      <w:r>
        <w:rPr>
          <w:rFonts w:hint="eastAsia" w:ascii="新宋体" w:hAnsi="新宋体" w:eastAsia="新宋体" w:cs="新宋体"/>
          <w:color w:val="auto"/>
          <w:sz w:val="24"/>
          <w:szCs w:val="24"/>
          <w:highlight w:val="none"/>
        </w:rPr>
        <w:t>项目实施所带来的产出和效果</w:t>
      </w:r>
      <w:r>
        <w:rPr>
          <w:rFonts w:hint="eastAsia" w:ascii="新宋体" w:hAnsi="新宋体" w:eastAsia="新宋体" w:cs="新宋体"/>
          <w:color w:val="auto"/>
          <w:sz w:val="24"/>
          <w:szCs w:val="24"/>
          <w:highlight w:val="none"/>
          <w:lang w:val="en-US" w:eastAsia="zh-CN"/>
        </w:rPr>
        <w:t>等</w:t>
      </w:r>
      <w:r>
        <w:rPr>
          <w:rFonts w:hint="eastAsia" w:ascii="新宋体" w:hAnsi="新宋体" w:eastAsia="新宋体" w:cs="新宋体"/>
          <w:color w:val="auto"/>
          <w:sz w:val="24"/>
          <w:szCs w:val="24"/>
          <w:highlight w:val="none"/>
        </w:rPr>
        <w:t>内容，</w:t>
      </w:r>
      <w:r>
        <w:rPr>
          <w:rFonts w:hint="eastAsia" w:ascii="新宋体" w:hAnsi="新宋体" w:eastAsia="新宋体" w:cs="新宋体"/>
          <w:color w:val="auto"/>
          <w:sz w:val="24"/>
          <w:szCs w:val="24"/>
          <w:highlight w:val="none"/>
          <w:lang w:val="en-US" w:eastAsia="zh-CN"/>
        </w:rPr>
        <w:t>进行综合评价。</w:t>
      </w:r>
    </w:p>
    <w:p w14:paraId="04EAF40B">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outlineLvl w:val="2"/>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3.绩效评价范围</w:t>
      </w:r>
    </w:p>
    <w:p w14:paraId="2DD74A69">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本次绩效评价主要围绕</w:t>
      </w:r>
      <w:r>
        <w:rPr>
          <w:rFonts w:hint="eastAsia" w:ascii="新宋体" w:hAnsi="新宋体" w:eastAsia="新宋体" w:cs="新宋体"/>
          <w:color w:val="auto"/>
          <w:sz w:val="24"/>
          <w:szCs w:val="24"/>
          <w:highlight w:val="none"/>
          <w:lang w:eastAsia="zh-CN"/>
        </w:rPr>
        <w:t>洛浦县2024年农业生产社会化服务项目</w:t>
      </w:r>
      <w:r>
        <w:rPr>
          <w:rFonts w:hint="eastAsia" w:ascii="新宋体" w:hAnsi="新宋体" w:eastAsia="新宋体" w:cs="新宋体"/>
          <w:color w:val="auto"/>
          <w:sz w:val="24"/>
          <w:szCs w:val="24"/>
          <w:highlight w:val="none"/>
        </w:rPr>
        <w:t>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新宋体" w:hAnsi="新宋体" w:eastAsia="新宋体" w:cs="新宋体"/>
          <w:color w:val="auto"/>
          <w:sz w:val="24"/>
          <w:szCs w:val="24"/>
          <w:highlight w:val="none"/>
          <w:lang w:eastAsia="zh-CN"/>
        </w:rPr>
        <w:t>，</w:t>
      </w:r>
      <w:r>
        <w:rPr>
          <w:rFonts w:hint="eastAsia" w:ascii="新宋体" w:hAnsi="新宋体" w:eastAsia="新宋体" w:cs="新宋体"/>
          <w:color w:val="auto"/>
          <w:sz w:val="24"/>
          <w:szCs w:val="24"/>
          <w:highlight w:val="none"/>
        </w:rPr>
        <w:t>覆盖预算资金支出项目的所有内容进行评价。</w:t>
      </w:r>
    </w:p>
    <w:p w14:paraId="31C43950">
      <w:pPr>
        <w:pStyle w:val="15"/>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（二）绩效评价原则、评价指标体系、评价方法评价标准</w:t>
      </w:r>
      <w:bookmarkEnd w:id="5"/>
    </w:p>
    <w:p w14:paraId="17940506">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1.绩效评价原则</w:t>
      </w:r>
    </w:p>
    <w:p w14:paraId="46BD42F1">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110CBD56">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（1）科学公正。绩效评价应当运用科学合理的方法，按照规范的程序，对项目绩效进行客观、公正的反映。</w:t>
      </w:r>
    </w:p>
    <w:p w14:paraId="22DB9B0D">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70BC0C4E">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（3）激励约束。绩效评价结果应与预算安排、政策调整、改进管理实质性挂钩，有效要安排、低效要压减、无效要问责。</w:t>
      </w:r>
    </w:p>
    <w:p w14:paraId="38440B4F">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（4）公开透明。绩效评价结果应依法依规公开，并自觉接受社会监督。</w:t>
      </w:r>
    </w:p>
    <w:p w14:paraId="7FEEB609">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根据以上原则，绩效评价应遵循如下要求:</w:t>
      </w:r>
    </w:p>
    <w:p w14:paraId="4B9EDF63">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1）在数据采集时，采取客观数据，主管部门审查、</w:t>
      </w:r>
      <w:r>
        <w:rPr>
          <w:rFonts w:hint="eastAsia" w:ascii="新宋体" w:hAnsi="新宋体" w:eastAsia="新宋体" w:cs="新宋体"/>
          <w:color w:val="auto"/>
          <w:sz w:val="24"/>
          <w:szCs w:val="24"/>
          <w:highlight w:val="none"/>
          <w:lang w:val="en-US" w:eastAsia="zh-CN"/>
        </w:rPr>
        <w:t>乡镇核查、县级</w:t>
      </w:r>
      <w:r>
        <w:rPr>
          <w:rFonts w:hint="eastAsia" w:ascii="新宋体" w:hAnsi="新宋体" w:eastAsia="新宋体" w:cs="新宋体"/>
          <w:color w:val="auto"/>
          <w:sz w:val="24"/>
          <w:szCs w:val="24"/>
          <w:highlight w:val="none"/>
        </w:rPr>
        <w:t>复查，与问卷调查相结合的形式，以保证各项指标的真实性。</w:t>
      </w:r>
    </w:p>
    <w:p w14:paraId="3321DECC">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2）保证评价结果的真实性、公正性，提高评价报告的公信力。</w:t>
      </w:r>
    </w:p>
    <w:p w14:paraId="2840FD14">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3）绩</w:t>
      </w:r>
      <w:r>
        <w:rPr>
          <w:rFonts w:hint="eastAsia" w:ascii="新宋体" w:hAnsi="新宋体" w:eastAsia="新宋体" w:cs="新宋体"/>
          <w:color w:val="auto"/>
          <w:sz w:val="24"/>
          <w:szCs w:val="24"/>
          <w:highlight w:val="none"/>
          <w:lang w:val="en-US" w:eastAsia="zh-CN"/>
        </w:rPr>
        <w:t>效</w:t>
      </w:r>
      <w:r>
        <w:rPr>
          <w:rFonts w:hint="eastAsia" w:ascii="新宋体" w:hAnsi="新宋体" w:eastAsia="新宋体" w:cs="新宋体"/>
          <w:color w:val="auto"/>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26C13C33">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2.绩效评价指标体系</w:t>
      </w:r>
    </w:p>
    <w:p w14:paraId="36744C60">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新宋体" w:hAnsi="新宋体" w:eastAsia="新宋体" w:cs="新宋体"/>
          <w:color w:val="auto"/>
          <w:sz w:val="24"/>
          <w:szCs w:val="24"/>
          <w:highlight w:val="none"/>
          <w:lang w:val="en-US" w:eastAsia="zh-CN"/>
        </w:rPr>
        <w:t>2</w:t>
      </w:r>
      <w:r>
        <w:rPr>
          <w:rFonts w:hint="eastAsia" w:ascii="新宋体" w:hAnsi="新宋体" w:eastAsia="新宋体" w:cs="新宋体"/>
          <w:color w:val="auto"/>
          <w:sz w:val="24"/>
          <w:szCs w:val="24"/>
          <w:highlight w:val="none"/>
        </w:rPr>
        <w:t>个二级指标。项目绩效评价体系</w:t>
      </w:r>
      <w:r>
        <w:rPr>
          <w:rFonts w:hint="eastAsia" w:ascii="新宋体" w:hAnsi="新宋体" w:eastAsia="新宋体" w:cs="新宋体"/>
          <w:color w:val="auto"/>
          <w:sz w:val="24"/>
          <w:szCs w:val="24"/>
          <w:highlight w:val="none"/>
          <w:lang w:eastAsia="zh-CN"/>
        </w:rPr>
        <w:t>。</w:t>
      </w:r>
      <w:r>
        <w:rPr>
          <w:rFonts w:hint="eastAsia" w:ascii="新宋体" w:hAnsi="新宋体" w:eastAsia="新宋体" w:cs="新宋体"/>
          <w:color w:val="auto"/>
          <w:sz w:val="24"/>
          <w:szCs w:val="24"/>
          <w:highlight w:val="none"/>
        </w:rPr>
        <w:t>详细指标体系见“附件1：项目支出绩效评价体系”。</w:t>
      </w:r>
    </w:p>
    <w:p w14:paraId="2FB6D217">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3.绩效评价方法</w:t>
      </w:r>
    </w:p>
    <w:p w14:paraId="01FBAA2E">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7EE6BFE5">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en-US" w:eastAsia="zh-CN"/>
        </w:rPr>
        <w:t>具体</w:t>
      </w:r>
      <w:r>
        <w:rPr>
          <w:rFonts w:hint="eastAsia" w:ascii="新宋体" w:hAnsi="新宋体" w:eastAsia="新宋体" w:cs="新宋体"/>
          <w:color w:val="auto"/>
          <w:sz w:val="24"/>
          <w:szCs w:val="24"/>
          <w:highlight w:val="none"/>
        </w:rPr>
        <w:t>评价方法的应用如下:</w:t>
      </w:r>
    </w:p>
    <w:p w14:paraId="2BBD6E24">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立项依据充分性：比较法、文献法，查找法律法规政策以及规划，对比实际执行内容和政策支持内容是否匹配。</w:t>
      </w:r>
    </w:p>
    <w:p w14:paraId="6C922DB4">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立项程序规范性：比较法、文献法，查找相关项目设立的政策和文件要求，对比分析实际执行程序是否按照政策及文件要求执行，分析立项程序的规范性。</w:t>
      </w:r>
    </w:p>
    <w:p w14:paraId="5F25F9A2">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绩效目标合理性：比较法，对比分析年初编制项目支出绩效目标表与项目内容的相关性、资金的匹配性等。</w:t>
      </w:r>
    </w:p>
    <w:p w14:paraId="20235ED2">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绩效指标明确性：比较法，比较分析年初编制项目支出绩效目标表是否符合双七原则，是否可衡量。</w:t>
      </w:r>
    </w:p>
    <w:p w14:paraId="1F7E90B8">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预算编制科学性</w:t>
      </w:r>
      <w:r>
        <w:rPr>
          <w:rFonts w:hint="eastAsia" w:ascii="新宋体" w:hAnsi="新宋体" w:eastAsia="新宋体" w:cs="新宋体"/>
          <w:color w:val="auto"/>
          <w:sz w:val="24"/>
          <w:szCs w:val="24"/>
          <w:highlight w:val="none"/>
          <w:lang w:eastAsia="zh-CN"/>
        </w:rPr>
        <w:t>：</w:t>
      </w:r>
      <w:r>
        <w:rPr>
          <w:rFonts w:hint="eastAsia" w:ascii="新宋体" w:hAnsi="新宋体" w:eastAsia="新宋体" w:cs="新宋体"/>
          <w:color w:val="auto"/>
          <w:sz w:val="24"/>
          <w:szCs w:val="24"/>
          <w:highlight w:val="none"/>
        </w:rPr>
        <w:t>成本效益分析法</w:t>
      </w:r>
      <w:r>
        <w:rPr>
          <w:rFonts w:hint="eastAsia" w:ascii="新宋体" w:hAnsi="新宋体" w:eastAsia="新宋体" w:cs="新宋体"/>
          <w:color w:val="auto"/>
          <w:sz w:val="24"/>
          <w:szCs w:val="24"/>
          <w:highlight w:val="none"/>
          <w:lang w:eastAsia="zh-CN"/>
        </w:rPr>
        <w:t>，</w:t>
      </w:r>
      <w:r>
        <w:rPr>
          <w:rFonts w:hint="eastAsia" w:ascii="新宋体" w:hAnsi="新宋体" w:eastAsia="新宋体" w:cs="新宋体"/>
          <w:color w:val="auto"/>
          <w:sz w:val="24"/>
          <w:szCs w:val="24"/>
          <w:highlight w:val="none"/>
        </w:rPr>
        <w:t>分析在产出一定的情况下，成本取值是否有依据，是否经过询价，是否按照市场最低成本编制。</w:t>
      </w:r>
    </w:p>
    <w:p w14:paraId="6269E405">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lang w:eastAsia="zh-CN"/>
        </w:rPr>
      </w:pPr>
      <w:r>
        <w:rPr>
          <w:rFonts w:hint="eastAsia" w:ascii="新宋体" w:hAnsi="新宋体" w:eastAsia="新宋体" w:cs="新宋体"/>
          <w:color w:val="auto"/>
          <w:sz w:val="24"/>
          <w:szCs w:val="24"/>
          <w:highlight w:val="none"/>
        </w:rPr>
        <w:t>资金分配合理性：因素分析法，综合分析资金的分配依据是否充分，分配金额是否与项目实施单位需求金额一致</w:t>
      </w:r>
      <w:r>
        <w:rPr>
          <w:rFonts w:hint="eastAsia" w:ascii="新宋体" w:hAnsi="新宋体" w:eastAsia="新宋体" w:cs="新宋体"/>
          <w:color w:val="auto"/>
          <w:sz w:val="24"/>
          <w:szCs w:val="24"/>
          <w:highlight w:val="none"/>
          <w:lang w:eastAsia="zh-CN"/>
        </w:rPr>
        <w:t>。</w:t>
      </w:r>
    </w:p>
    <w:p w14:paraId="14F07BBE">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资金到位率：比较法，资金到位率预期指标值应为100%，通过实际计算，分析实际完成值和预期指标值之间的差距和原因。</w:t>
      </w:r>
    </w:p>
    <w:p w14:paraId="0260D6D2">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预算执行率：比较法，预算执行率预期指标值应为100%，通过实际计算，分析实际完成值和预期指标值之间的差距和原因。</w:t>
      </w:r>
    </w:p>
    <w:p w14:paraId="59E32E4C">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资金使用合规性：文献法、实地勘察法，一是查找资金管理办法，包括专项资金管理办法和单位自有资金管理办法；二是通过查账了解具体开支情况，是否专用专用，是否按照标准支出。</w:t>
      </w:r>
    </w:p>
    <w:p w14:paraId="501B09B4">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管理制度健全性：文献法、比较法，查阅项目实施人员提供的财务和业务管理制度，将已建立的制度与现行的法律法规和政策要求进行对比，分析项目制度的合法性、合规性、完整性。</w:t>
      </w:r>
    </w:p>
    <w:p w14:paraId="106A302C">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制度执行有效性：比较法，结合项目实际实施过程性文件，根据已建设的财务管理制度和项目管理制度综合分析制度执行的有效性。</w:t>
      </w:r>
    </w:p>
    <w:p w14:paraId="33DF1D95">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3D4BD0CD">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定性指标：公众评判法，通过问卷及抽样调查等方式评价本项目实施后社会公众对于其实施效果的满意程度。</w:t>
      </w:r>
    </w:p>
    <w:p w14:paraId="685C247C">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4.绩效评价标准</w:t>
      </w:r>
    </w:p>
    <w:p w14:paraId="20138723">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新宋体" w:hAnsi="新宋体" w:eastAsia="新宋体" w:cs="新宋体"/>
          <w:color w:val="auto"/>
          <w:sz w:val="24"/>
          <w:szCs w:val="24"/>
          <w:highlight w:val="none"/>
          <w:lang w:val="en-US" w:eastAsia="zh-CN"/>
        </w:rPr>
      </w:pPr>
      <w:bookmarkStart w:id="6" w:name="_Toc68364663"/>
      <w:r>
        <w:rPr>
          <w:rFonts w:hint="eastAsia" w:ascii="新宋体" w:hAnsi="新宋体" w:eastAsia="新宋体" w:cs="新宋体"/>
          <w:color w:val="auto"/>
          <w:sz w:val="24"/>
          <w:szCs w:val="24"/>
          <w:highlight w:val="none"/>
        </w:rPr>
        <w:t>绩效评价标准通常包括计划标准、行业标准、历史标准等，用于对绩效指标完成情况进行比较、分析、评价。本次评价主要采用了行业标准</w:t>
      </w:r>
      <w:r>
        <w:rPr>
          <w:rFonts w:hint="eastAsia" w:ascii="新宋体" w:hAnsi="新宋体" w:eastAsia="新宋体" w:cs="新宋体"/>
          <w:color w:val="auto"/>
          <w:sz w:val="24"/>
          <w:szCs w:val="24"/>
          <w:highlight w:val="none"/>
          <w:lang w:eastAsia="zh-CN"/>
        </w:rPr>
        <w:t>，</w:t>
      </w:r>
      <w:bookmarkStart w:id="7" w:name="_Toc17882"/>
      <w:bookmarkStart w:id="8" w:name="_Toc31464"/>
      <w:r>
        <w:rPr>
          <w:rFonts w:hint="eastAsia" w:ascii="新宋体" w:hAnsi="新宋体" w:eastAsia="新宋体" w:cs="新宋体"/>
          <w:color w:val="auto"/>
          <w:sz w:val="24"/>
          <w:szCs w:val="24"/>
          <w:highlight w:val="none"/>
          <w:lang w:val="en-US" w:eastAsia="zh-CN"/>
        </w:rPr>
        <w:t>指参照国家公布的行业指标数据制定的评价标准。</w:t>
      </w:r>
      <w:bookmarkEnd w:id="7"/>
      <w:bookmarkEnd w:id="8"/>
    </w:p>
    <w:p w14:paraId="505253BC">
      <w:pPr>
        <w:pStyle w:val="15"/>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（三）绩效评价工作过程</w:t>
      </w:r>
      <w:bookmarkEnd w:id="6"/>
    </w:p>
    <w:p w14:paraId="073818F4">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rPr>
      </w:pPr>
      <w:bookmarkStart w:id="9" w:name="_Toc68364664"/>
      <w:r>
        <w:rPr>
          <w:rFonts w:hint="eastAsia" w:ascii="新宋体" w:hAnsi="新宋体" w:eastAsia="新宋体" w:cs="新宋体"/>
          <w:b/>
          <w:bCs/>
          <w:color w:val="auto"/>
          <w:sz w:val="24"/>
          <w:szCs w:val="24"/>
          <w:highlight w:val="none"/>
        </w:rPr>
        <w:t>1.前期准备</w:t>
      </w:r>
    </w:p>
    <w:p w14:paraId="7D56C523">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我单位于</w:t>
      </w:r>
      <w:r>
        <w:rPr>
          <w:rFonts w:hint="eastAsia" w:ascii="新宋体" w:hAnsi="新宋体" w:eastAsia="新宋体" w:cs="新宋体"/>
          <w:color w:val="auto"/>
          <w:sz w:val="24"/>
          <w:szCs w:val="24"/>
          <w:highlight w:val="none"/>
          <w:lang w:eastAsia="zh-CN"/>
        </w:rPr>
        <w:t>202</w:t>
      </w:r>
      <w:r>
        <w:rPr>
          <w:rFonts w:hint="eastAsia" w:ascii="新宋体" w:hAnsi="新宋体" w:eastAsia="新宋体" w:cs="新宋体"/>
          <w:color w:val="auto"/>
          <w:sz w:val="24"/>
          <w:szCs w:val="24"/>
          <w:highlight w:val="none"/>
          <w:lang w:val="en-US" w:eastAsia="zh-CN"/>
        </w:rPr>
        <w:t>5</w:t>
      </w:r>
      <w:r>
        <w:rPr>
          <w:rFonts w:hint="eastAsia" w:ascii="新宋体" w:hAnsi="新宋体" w:eastAsia="新宋体" w:cs="新宋体"/>
          <w:color w:val="auto"/>
          <w:sz w:val="24"/>
          <w:szCs w:val="24"/>
          <w:highlight w:val="none"/>
          <w:lang w:eastAsia="zh-CN"/>
        </w:rPr>
        <w:t>年</w:t>
      </w:r>
      <w:r>
        <w:rPr>
          <w:rFonts w:hint="eastAsia" w:ascii="新宋体" w:hAnsi="新宋体" w:eastAsia="新宋体" w:cs="新宋体"/>
          <w:color w:val="auto"/>
          <w:sz w:val="24"/>
          <w:szCs w:val="24"/>
          <w:highlight w:val="none"/>
          <w:lang w:val="en-US" w:eastAsia="zh-CN"/>
        </w:rPr>
        <w:t>1</w:t>
      </w:r>
      <w:r>
        <w:rPr>
          <w:rFonts w:hint="eastAsia" w:ascii="新宋体" w:hAnsi="新宋体" w:eastAsia="新宋体" w:cs="新宋体"/>
          <w:color w:val="auto"/>
          <w:sz w:val="24"/>
          <w:szCs w:val="24"/>
          <w:highlight w:val="none"/>
        </w:rPr>
        <w:t>月</w:t>
      </w:r>
      <w:r>
        <w:rPr>
          <w:rFonts w:hint="eastAsia" w:ascii="新宋体" w:hAnsi="新宋体" w:eastAsia="新宋体" w:cs="新宋体"/>
          <w:color w:val="auto"/>
          <w:sz w:val="24"/>
          <w:szCs w:val="24"/>
          <w:highlight w:val="none"/>
          <w:lang w:val="en-US" w:eastAsia="zh-CN"/>
        </w:rPr>
        <w:t>1</w:t>
      </w:r>
      <w:r>
        <w:rPr>
          <w:rFonts w:hint="eastAsia" w:ascii="新宋体" w:hAnsi="新宋体" w:eastAsia="新宋体" w:cs="新宋体"/>
          <w:color w:val="auto"/>
          <w:sz w:val="24"/>
          <w:szCs w:val="24"/>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28445A19">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en-US" w:eastAsia="zh-CN"/>
        </w:rPr>
        <w:t>阿卜拉江·艾斯凯尔</w:t>
      </w:r>
      <w:r>
        <w:rPr>
          <w:rFonts w:hint="eastAsia" w:ascii="新宋体" w:hAnsi="新宋体" w:eastAsia="新宋体" w:cs="新宋体"/>
          <w:color w:val="auto"/>
          <w:sz w:val="24"/>
          <w:szCs w:val="24"/>
          <w:highlight w:val="none"/>
        </w:rPr>
        <w:t>：主要负责</w:t>
      </w:r>
      <w:r>
        <w:rPr>
          <w:rFonts w:hint="eastAsia" w:ascii="新宋体" w:hAnsi="新宋体" w:eastAsia="新宋体" w:cs="新宋体"/>
          <w:color w:val="auto"/>
          <w:sz w:val="24"/>
          <w:szCs w:val="24"/>
          <w:highlight w:val="none"/>
          <w:lang w:val="en-US" w:eastAsia="zh-CN"/>
        </w:rPr>
        <w:t>绩效评价工作</w:t>
      </w:r>
      <w:r>
        <w:rPr>
          <w:rFonts w:hint="eastAsia" w:ascii="新宋体" w:hAnsi="新宋体" w:eastAsia="新宋体" w:cs="新宋体"/>
          <w:color w:val="auto"/>
          <w:sz w:val="24"/>
          <w:szCs w:val="24"/>
          <w:highlight w:val="none"/>
        </w:rPr>
        <w:t>;</w:t>
      </w:r>
    </w:p>
    <w:p w14:paraId="2BDC8161">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2.组织实施</w:t>
      </w:r>
    </w:p>
    <w:p w14:paraId="55C80472">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eastAsia="zh-CN"/>
        </w:rPr>
        <w:t>202</w:t>
      </w:r>
      <w:r>
        <w:rPr>
          <w:rFonts w:hint="eastAsia" w:ascii="新宋体" w:hAnsi="新宋体" w:eastAsia="新宋体" w:cs="新宋体"/>
          <w:color w:val="auto"/>
          <w:sz w:val="24"/>
          <w:szCs w:val="24"/>
          <w:highlight w:val="none"/>
          <w:lang w:val="en-US" w:eastAsia="zh-CN"/>
        </w:rPr>
        <w:t>5</w:t>
      </w:r>
      <w:r>
        <w:rPr>
          <w:rFonts w:hint="eastAsia" w:ascii="新宋体" w:hAnsi="新宋体" w:eastAsia="新宋体" w:cs="新宋体"/>
          <w:color w:val="auto"/>
          <w:sz w:val="24"/>
          <w:szCs w:val="24"/>
          <w:highlight w:val="none"/>
          <w:lang w:eastAsia="zh-CN"/>
        </w:rPr>
        <w:t>年</w:t>
      </w:r>
      <w:r>
        <w:rPr>
          <w:rFonts w:hint="eastAsia" w:ascii="新宋体" w:hAnsi="新宋体" w:eastAsia="新宋体" w:cs="新宋体"/>
          <w:color w:val="auto"/>
          <w:sz w:val="24"/>
          <w:szCs w:val="24"/>
          <w:highlight w:val="none"/>
          <w:lang w:val="en-US" w:eastAsia="zh-CN"/>
        </w:rPr>
        <w:t>1</w:t>
      </w:r>
      <w:r>
        <w:rPr>
          <w:rFonts w:hint="eastAsia" w:ascii="新宋体" w:hAnsi="新宋体" w:eastAsia="新宋体" w:cs="新宋体"/>
          <w:color w:val="auto"/>
          <w:sz w:val="24"/>
          <w:szCs w:val="24"/>
          <w:highlight w:val="none"/>
        </w:rPr>
        <w:t>月</w:t>
      </w:r>
      <w:r>
        <w:rPr>
          <w:rFonts w:hint="eastAsia" w:ascii="新宋体" w:hAnsi="新宋体" w:eastAsia="新宋体" w:cs="新宋体"/>
          <w:color w:val="auto"/>
          <w:sz w:val="24"/>
          <w:szCs w:val="24"/>
          <w:highlight w:val="none"/>
          <w:lang w:val="en-US" w:eastAsia="zh-CN"/>
        </w:rPr>
        <w:t>15</w:t>
      </w:r>
      <w:r>
        <w:rPr>
          <w:rFonts w:hint="eastAsia" w:ascii="新宋体" w:hAnsi="新宋体" w:eastAsia="新宋体" w:cs="新宋体"/>
          <w:color w:val="auto"/>
          <w:sz w:val="24"/>
          <w:szCs w:val="24"/>
          <w:highlight w:val="none"/>
        </w:rPr>
        <w:t>日-</w:t>
      </w:r>
      <w:r>
        <w:rPr>
          <w:rFonts w:hint="eastAsia" w:ascii="新宋体" w:hAnsi="新宋体" w:eastAsia="新宋体" w:cs="新宋体"/>
          <w:color w:val="auto"/>
          <w:sz w:val="24"/>
          <w:szCs w:val="24"/>
          <w:highlight w:val="none"/>
          <w:lang w:val="en-US" w:eastAsia="zh-CN"/>
        </w:rPr>
        <w:t>1</w:t>
      </w:r>
      <w:r>
        <w:rPr>
          <w:rFonts w:hint="eastAsia" w:ascii="新宋体" w:hAnsi="新宋体" w:eastAsia="新宋体" w:cs="新宋体"/>
          <w:color w:val="auto"/>
          <w:sz w:val="24"/>
          <w:szCs w:val="24"/>
          <w:highlight w:val="none"/>
        </w:rPr>
        <w:t>月</w:t>
      </w:r>
      <w:r>
        <w:rPr>
          <w:rFonts w:hint="eastAsia" w:ascii="新宋体" w:hAnsi="新宋体" w:eastAsia="新宋体" w:cs="新宋体"/>
          <w:color w:val="auto"/>
          <w:sz w:val="24"/>
          <w:szCs w:val="24"/>
          <w:highlight w:val="none"/>
          <w:lang w:val="en-US" w:eastAsia="zh-CN"/>
        </w:rPr>
        <w:t>31</w:t>
      </w:r>
      <w:r>
        <w:rPr>
          <w:rFonts w:hint="eastAsia" w:ascii="新宋体" w:hAnsi="新宋体" w:eastAsia="新宋体" w:cs="新宋体"/>
          <w:color w:val="auto"/>
          <w:sz w:val="24"/>
          <w:szCs w:val="24"/>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5EC3FCDB">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3.分析评价</w:t>
      </w:r>
    </w:p>
    <w:p w14:paraId="2AD55673">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eastAsia="zh-CN"/>
        </w:rPr>
        <w:t>202</w:t>
      </w:r>
      <w:r>
        <w:rPr>
          <w:rFonts w:hint="eastAsia" w:ascii="新宋体" w:hAnsi="新宋体" w:eastAsia="新宋体" w:cs="新宋体"/>
          <w:color w:val="auto"/>
          <w:sz w:val="24"/>
          <w:szCs w:val="24"/>
          <w:highlight w:val="none"/>
          <w:lang w:val="en-US" w:eastAsia="zh-CN"/>
        </w:rPr>
        <w:t>5</w:t>
      </w:r>
      <w:r>
        <w:rPr>
          <w:rFonts w:hint="eastAsia" w:ascii="新宋体" w:hAnsi="新宋体" w:eastAsia="新宋体" w:cs="新宋体"/>
          <w:color w:val="auto"/>
          <w:sz w:val="24"/>
          <w:szCs w:val="24"/>
          <w:highlight w:val="none"/>
          <w:lang w:eastAsia="zh-CN"/>
        </w:rPr>
        <w:t>年</w:t>
      </w:r>
      <w:r>
        <w:rPr>
          <w:rFonts w:hint="eastAsia" w:ascii="新宋体" w:hAnsi="新宋体" w:eastAsia="新宋体" w:cs="新宋体"/>
          <w:color w:val="auto"/>
          <w:sz w:val="24"/>
          <w:szCs w:val="24"/>
          <w:highlight w:val="none"/>
          <w:lang w:val="en-US" w:eastAsia="zh-CN"/>
        </w:rPr>
        <w:t>2</w:t>
      </w:r>
      <w:r>
        <w:rPr>
          <w:rFonts w:hint="eastAsia" w:ascii="新宋体" w:hAnsi="新宋体" w:eastAsia="新宋体" w:cs="新宋体"/>
          <w:color w:val="auto"/>
          <w:sz w:val="24"/>
          <w:szCs w:val="24"/>
          <w:highlight w:val="none"/>
        </w:rPr>
        <w:t>月</w:t>
      </w:r>
      <w:r>
        <w:rPr>
          <w:rFonts w:hint="eastAsia" w:ascii="新宋体" w:hAnsi="新宋体" w:eastAsia="新宋体" w:cs="新宋体"/>
          <w:color w:val="auto"/>
          <w:sz w:val="24"/>
          <w:szCs w:val="24"/>
          <w:highlight w:val="none"/>
          <w:lang w:val="en-US" w:eastAsia="zh-CN"/>
        </w:rPr>
        <w:t>1</w:t>
      </w:r>
      <w:r>
        <w:rPr>
          <w:rFonts w:hint="eastAsia" w:ascii="新宋体" w:hAnsi="新宋体" w:eastAsia="新宋体" w:cs="新宋体"/>
          <w:color w:val="auto"/>
          <w:sz w:val="24"/>
          <w:szCs w:val="24"/>
          <w:highlight w:val="none"/>
        </w:rPr>
        <w:t>日-</w:t>
      </w:r>
      <w:r>
        <w:rPr>
          <w:rFonts w:hint="eastAsia" w:ascii="新宋体" w:hAnsi="新宋体" w:eastAsia="新宋体" w:cs="新宋体"/>
          <w:color w:val="auto"/>
          <w:sz w:val="24"/>
          <w:szCs w:val="24"/>
          <w:highlight w:val="none"/>
          <w:lang w:val="en-US" w:eastAsia="zh-CN"/>
        </w:rPr>
        <w:t>2</w:t>
      </w:r>
      <w:r>
        <w:rPr>
          <w:rFonts w:hint="eastAsia" w:ascii="新宋体" w:hAnsi="新宋体" w:eastAsia="新宋体" w:cs="新宋体"/>
          <w:color w:val="auto"/>
          <w:sz w:val="24"/>
          <w:szCs w:val="24"/>
          <w:highlight w:val="none"/>
        </w:rPr>
        <w:t>月</w:t>
      </w:r>
      <w:r>
        <w:rPr>
          <w:rFonts w:hint="eastAsia" w:ascii="新宋体" w:hAnsi="新宋体" w:eastAsia="新宋体" w:cs="新宋体"/>
          <w:color w:val="auto"/>
          <w:sz w:val="24"/>
          <w:szCs w:val="24"/>
          <w:highlight w:val="none"/>
          <w:lang w:val="en-US" w:eastAsia="zh-CN"/>
        </w:rPr>
        <w:t>28</w:t>
      </w:r>
      <w:r>
        <w:rPr>
          <w:rFonts w:hint="eastAsia" w:ascii="新宋体" w:hAnsi="新宋体" w:eastAsia="新宋体" w:cs="新宋体"/>
          <w:color w:val="auto"/>
          <w:sz w:val="24"/>
          <w:szCs w:val="24"/>
          <w:highlight w:val="none"/>
        </w:rPr>
        <w:t>日，评价小组按照绩效评价的原则和规范，对取得的资料进行审查核实，对采集的数据进行分析，按照绩效评价指标评分表逐项进行打分、分析、汇总各方评价结果。</w:t>
      </w:r>
    </w:p>
    <w:p w14:paraId="7DEAC051">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4.撰写与提交评价报告</w:t>
      </w:r>
    </w:p>
    <w:p w14:paraId="29E33C9D">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eastAsia="zh-CN"/>
        </w:rPr>
        <w:t>202</w:t>
      </w:r>
      <w:r>
        <w:rPr>
          <w:rFonts w:hint="eastAsia" w:ascii="新宋体" w:hAnsi="新宋体" w:eastAsia="新宋体" w:cs="新宋体"/>
          <w:color w:val="auto"/>
          <w:sz w:val="24"/>
          <w:szCs w:val="24"/>
          <w:highlight w:val="none"/>
          <w:lang w:val="en-US" w:eastAsia="zh-CN"/>
        </w:rPr>
        <w:t>5</w:t>
      </w:r>
      <w:r>
        <w:rPr>
          <w:rFonts w:hint="eastAsia" w:ascii="新宋体" w:hAnsi="新宋体" w:eastAsia="新宋体" w:cs="新宋体"/>
          <w:color w:val="auto"/>
          <w:sz w:val="24"/>
          <w:szCs w:val="24"/>
          <w:highlight w:val="none"/>
          <w:lang w:eastAsia="zh-CN"/>
        </w:rPr>
        <w:t>年</w:t>
      </w:r>
      <w:r>
        <w:rPr>
          <w:rFonts w:hint="eastAsia" w:ascii="新宋体" w:hAnsi="新宋体" w:eastAsia="新宋体" w:cs="新宋体"/>
          <w:color w:val="auto"/>
          <w:sz w:val="24"/>
          <w:szCs w:val="24"/>
          <w:highlight w:val="none"/>
          <w:lang w:val="en-US" w:eastAsia="zh-CN"/>
        </w:rPr>
        <w:t>3</w:t>
      </w:r>
      <w:r>
        <w:rPr>
          <w:rFonts w:hint="eastAsia" w:ascii="新宋体" w:hAnsi="新宋体" w:eastAsia="新宋体" w:cs="新宋体"/>
          <w:color w:val="auto"/>
          <w:sz w:val="24"/>
          <w:szCs w:val="24"/>
          <w:highlight w:val="none"/>
        </w:rPr>
        <w:t>月</w:t>
      </w:r>
      <w:r>
        <w:rPr>
          <w:rFonts w:hint="eastAsia" w:ascii="新宋体" w:hAnsi="新宋体" w:eastAsia="新宋体" w:cs="新宋体"/>
          <w:color w:val="auto"/>
          <w:sz w:val="24"/>
          <w:szCs w:val="24"/>
          <w:highlight w:val="none"/>
          <w:lang w:val="en-US" w:eastAsia="zh-CN"/>
        </w:rPr>
        <w:t>1</w:t>
      </w:r>
      <w:r>
        <w:rPr>
          <w:rFonts w:hint="eastAsia" w:ascii="新宋体" w:hAnsi="新宋体" w:eastAsia="新宋体" w:cs="新宋体"/>
          <w:color w:val="auto"/>
          <w:sz w:val="24"/>
          <w:szCs w:val="24"/>
          <w:highlight w:val="none"/>
        </w:rPr>
        <w:t>日</w:t>
      </w:r>
      <w:r>
        <w:rPr>
          <w:rFonts w:hint="eastAsia" w:ascii="新宋体" w:hAnsi="新宋体" w:eastAsia="新宋体" w:cs="新宋体"/>
          <w:color w:val="auto"/>
          <w:sz w:val="24"/>
          <w:szCs w:val="24"/>
          <w:highlight w:val="none"/>
          <w:lang w:eastAsia="zh-CN"/>
        </w:rPr>
        <w:t>—</w:t>
      </w:r>
      <w:bookmarkStart w:id="18" w:name="_GoBack"/>
      <w:bookmarkEnd w:id="18"/>
      <w:r>
        <w:rPr>
          <w:rFonts w:hint="eastAsia" w:ascii="新宋体" w:hAnsi="新宋体" w:eastAsia="新宋体" w:cs="新宋体"/>
          <w:color w:val="auto"/>
          <w:sz w:val="24"/>
          <w:szCs w:val="24"/>
          <w:highlight w:val="none"/>
          <w:lang w:val="en-US" w:eastAsia="zh-CN"/>
        </w:rPr>
        <w:t>2025年3月31日，</w:t>
      </w:r>
      <w:r>
        <w:rPr>
          <w:rFonts w:hint="eastAsia" w:ascii="新宋体" w:hAnsi="新宋体" w:eastAsia="新宋体" w:cs="新宋体"/>
          <w:color w:val="auto"/>
          <w:sz w:val="24"/>
          <w:szCs w:val="24"/>
          <w:highlight w:val="none"/>
        </w:rPr>
        <w:t>撰写绩效评价报告，按照新疆</w:t>
      </w:r>
      <w:r>
        <w:rPr>
          <w:rFonts w:hint="eastAsia" w:ascii="新宋体" w:hAnsi="新宋体" w:eastAsia="新宋体" w:cs="新宋体"/>
          <w:color w:val="auto"/>
          <w:sz w:val="24"/>
          <w:szCs w:val="24"/>
          <w:highlight w:val="none"/>
          <w:lang w:eastAsia="zh-CN"/>
        </w:rPr>
        <w:t>维吾尔自治区财政绩效管理信息系统</w:t>
      </w:r>
      <w:r>
        <w:rPr>
          <w:rFonts w:hint="eastAsia" w:ascii="新宋体" w:hAnsi="新宋体" w:eastAsia="新宋体" w:cs="新宋体"/>
          <w:color w:val="auto"/>
          <w:sz w:val="24"/>
          <w:szCs w:val="24"/>
          <w:highlight w:val="none"/>
        </w:rPr>
        <w:t>绩效评价模块中统一格式和文本框架撰写绩效评价报告并提交审核。</w:t>
      </w:r>
    </w:p>
    <w:p w14:paraId="7AECC8B6">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5.问题整改</w:t>
      </w:r>
    </w:p>
    <w:p w14:paraId="37894FD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45A8A8E6">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6.档案整理</w:t>
      </w:r>
    </w:p>
    <w:p w14:paraId="3DF9881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建立和落实档案管理制度，将项目相关资料存档，包括但不限于：评价项目基本情况和相关文件、评价实施方案、项目支付资料等相关档案。</w:t>
      </w:r>
    </w:p>
    <w:p w14:paraId="3944C4DD">
      <w:pPr>
        <w:pStyle w:val="4"/>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p>
    <w:p w14:paraId="7A25ECE8">
      <w:pPr>
        <w:pStyle w:val="4"/>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highlight w:val="none"/>
        </w:rPr>
      </w:pPr>
      <w:r>
        <w:rPr>
          <w:rFonts w:hint="eastAsia" w:ascii="黑体" w:hAnsi="黑体" w:eastAsia="黑体" w:cs="黑体"/>
          <w:b/>
          <w:bCs/>
          <w:color w:val="auto"/>
          <w:sz w:val="24"/>
          <w:szCs w:val="24"/>
          <w:highlight w:val="none"/>
        </w:rPr>
        <w:t>三、综合评价情况及评价结论</w:t>
      </w:r>
      <w:bookmarkEnd w:id="9"/>
    </w:p>
    <w:p w14:paraId="5DA865F5">
      <w:pPr>
        <w:pStyle w:val="15"/>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bookmarkStart w:id="10" w:name="_Toc68364665"/>
      <w:r>
        <w:rPr>
          <w:rFonts w:hint="eastAsia" w:ascii="新宋体" w:hAnsi="新宋体" w:eastAsia="新宋体" w:cs="新宋体"/>
          <w:color w:val="auto"/>
          <w:sz w:val="24"/>
          <w:szCs w:val="24"/>
          <w:highlight w:val="none"/>
        </w:rPr>
        <w:t>（一）综合评价情况</w:t>
      </w:r>
      <w:bookmarkEnd w:id="10"/>
    </w:p>
    <w:p w14:paraId="562B6E9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lang w:val="en-US" w:eastAsia="zh-CN"/>
        </w:rPr>
      </w:pPr>
      <w:bookmarkStart w:id="11" w:name="_Toc68364666"/>
      <w:r>
        <w:rPr>
          <w:rFonts w:hint="eastAsia" w:ascii="新宋体" w:hAnsi="新宋体" w:eastAsia="新宋体" w:cs="新宋体"/>
          <w:color w:val="auto"/>
          <w:sz w:val="24"/>
          <w:szCs w:val="24"/>
          <w:highlight w:val="none"/>
        </w:rPr>
        <w:t>通过实施</w:t>
      </w:r>
      <w:r>
        <w:rPr>
          <w:rFonts w:hint="eastAsia" w:ascii="新宋体" w:hAnsi="新宋体" w:eastAsia="新宋体" w:cs="新宋体"/>
          <w:color w:val="auto"/>
          <w:sz w:val="24"/>
          <w:szCs w:val="24"/>
          <w:highlight w:val="none"/>
          <w:lang w:eastAsia="zh-CN"/>
        </w:rPr>
        <w:t>洛浦县2024年农业生产社会化服务项目</w:t>
      </w:r>
      <w:r>
        <w:rPr>
          <w:rFonts w:hint="eastAsia" w:ascii="新宋体" w:hAnsi="新宋体" w:eastAsia="新宋体" w:cs="新宋体"/>
          <w:color w:val="auto"/>
          <w:sz w:val="24"/>
          <w:szCs w:val="24"/>
          <w:highlight w:val="none"/>
        </w:rPr>
        <w:t>产生</w:t>
      </w:r>
      <w:r>
        <w:rPr>
          <w:rFonts w:hint="eastAsia" w:ascii="新宋体" w:hAnsi="新宋体" w:eastAsia="新宋体" w:cs="新宋体"/>
          <w:color w:val="auto"/>
          <w:sz w:val="24"/>
          <w:szCs w:val="24"/>
          <w:highlight w:val="none"/>
          <w:lang w:val="en-US" w:eastAsia="zh-CN"/>
        </w:rPr>
        <w:t>社会效益，通过项目的实施，支持小麦病虫害防治、收割、脱粒的农业生产托管服务关键环节。，带动小农户发展现代农业，增加农民家庭收入</w:t>
      </w:r>
    </w:p>
    <w:p w14:paraId="7D46835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项目实施主要通过项目</w:t>
      </w:r>
      <w:r>
        <w:rPr>
          <w:rFonts w:hint="eastAsia" w:ascii="新宋体" w:hAnsi="新宋体" w:eastAsia="新宋体" w:cs="新宋体"/>
          <w:color w:val="auto"/>
          <w:sz w:val="24"/>
          <w:szCs w:val="24"/>
          <w:highlight w:val="none"/>
          <w:lang w:val="en-US" w:eastAsia="zh-CN"/>
        </w:rPr>
        <w:t>方案</w:t>
      </w:r>
      <w:r>
        <w:rPr>
          <w:rFonts w:hint="eastAsia" w:ascii="新宋体" w:hAnsi="新宋体" w:eastAsia="新宋体" w:cs="新宋体"/>
          <w:color w:val="auto"/>
          <w:sz w:val="24"/>
          <w:szCs w:val="24"/>
          <w:highlight w:val="none"/>
        </w:rPr>
        <w:t>、项目过程、项目产出以及项目效益等方面进行评价，其中：</w:t>
      </w:r>
    </w:p>
    <w:p w14:paraId="527A3E1B">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项目</w:t>
      </w:r>
      <w:r>
        <w:rPr>
          <w:rFonts w:hint="eastAsia" w:ascii="新宋体" w:hAnsi="新宋体" w:eastAsia="新宋体" w:cs="新宋体"/>
          <w:color w:val="auto"/>
          <w:sz w:val="24"/>
          <w:szCs w:val="24"/>
          <w:highlight w:val="none"/>
          <w:lang w:val="en-US" w:eastAsia="zh-CN"/>
        </w:rPr>
        <w:t>方案</w:t>
      </w:r>
      <w:r>
        <w:rPr>
          <w:rFonts w:hint="eastAsia" w:ascii="新宋体" w:hAnsi="新宋体" w:eastAsia="新宋体" w:cs="新宋体"/>
          <w:color w:val="auto"/>
          <w:sz w:val="24"/>
          <w:szCs w:val="24"/>
          <w:highlight w:val="none"/>
        </w:rPr>
        <w:t>：该项目主要通过关于对</w:t>
      </w:r>
      <w:r>
        <w:rPr>
          <w:rFonts w:hint="eastAsia" w:ascii="新宋体" w:hAnsi="新宋体" w:eastAsia="新宋体" w:cs="新宋体"/>
          <w:color w:val="auto"/>
          <w:sz w:val="24"/>
          <w:szCs w:val="24"/>
          <w:highlight w:val="none"/>
          <w:lang w:eastAsia="zh-CN"/>
        </w:rPr>
        <w:t>洛浦县2024年农业生产社会化服务项目</w:t>
      </w:r>
      <w:r>
        <w:rPr>
          <w:rFonts w:hint="eastAsia" w:ascii="新宋体" w:hAnsi="新宋体" w:eastAsia="新宋体" w:cs="新宋体"/>
          <w:color w:val="auto"/>
          <w:sz w:val="24"/>
          <w:szCs w:val="24"/>
          <w:highlight w:val="none"/>
        </w:rPr>
        <w:t>初步设</w:t>
      </w:r>
      <w:r>
        <w:rPr>
          <w:rFonts w:hint="eastAsia" w:ascii="新宋体" w:hAnsi="新宋体" w:eastAsia="新宋体" w:cs="新宋体"/>
          <w:color w:val="auto"/>
          <w:sz w:val="24"/>
          <w:szCs w:val="24"/>
          <w:highlight w:val="none"/>
          <w:lang w:val="en-US" w:eastAsia="zh-CN"/>
        </w:rPr>
        <w:t>写作实施方案审批实施</w:t>
      </w:r>
      <w:r>
        <w:rPr>
          <w:rFonts w:hint="eastAsia" w:ascii="新宋体" w:hAnsi="新宋体" w:eastAsia="新宋体" w:cs="新宋体"/>
          <w:color w:val="auto"/>
          <w:sz w:val="24"/>
          <w:szCs w:val="24"/>
          <w:highlight w:val="none"/>
        </w:rPr>
        <w:t>，项目实施符合</w:t>
      </w:r>
      <w:r>
        <w:rPr>
          <w:rFonts w:hint="eastAsia" w:ascii="新宋体" w:hAnsi="新宋体" w:eastAsia="新宋体" w:cs="新宋体"/>
          <w:color w:val="auto"/>
          <w:sz w:val="24"/>
          <w:szCs w:val="24"/>
          <w:highlight w:val="none"/>
          <w:lang w:val="en-US" w:eastAsia="zh-CN"/>
        </w:rPr>
        <w:t>上级部门</w:t>
      </w:r>
      <w:r>
        <w:rPr>
          <w:rFonts w:hint="eastAsia" w:ascii="新宋体" w:hAnsi="新宋体" w:eastAsia="新宋体" w:cs="新宋体"/>
          <w:color w:val="auto"/>
          <w:sz w:val="24"/>
          <w:szCs w:val="24"/>
          <w:highlight w:val="none"/>
        </w:rPr>
        <w:t>要求，项目</w:t>
      </w:r>
      <w:r>
        <w:rPr>
          <w:rFonts w:hint="eastAsia" w:ascii="新宋体" w:hAnsi="新宋体" w:eastAsia="新宋体" w:cs="新宋体"/>
          <w:color w:val="auto"/>
          <w:sz w:val="24"/>
          <w:szCs w:val="24"/>
          <w:highlight w:val="none"/>
          <w:lang w:val="en-US" w:eastAsia="zh-CN"/>
        </w:rPr>
        <w:t>方案</w:t>
      </w:r>
      <w:r>
        <w:rPr>
          <w:rFonts w:hint="eastAsia" w:ascii="新宋体" w:hAnsi="新宋体" w:eastAsia="新宋体" w:cs="新宋体"/>
          <w:color w:val="auto"/>
          <w:sz w:val="24"/>
          <w:szCs w:val="24"/>
          <w:highlight w:val="none"/>
        </w:rPr>
        <w:t>依据充分，立项程序规范。</w:t>
      </w:r>
    </w:p>
    <w:p w14:paraId="60C362B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项目过程：</w:t>
      </w:r>
      <w:r>
        <w:rPr>
          <w:rFonts w:hint="eastAsia" w:ascii="新宋体" w:hAnsi="新宋体" w:eastAsia="新宋体" w:cs="新宋体"/>
          <w:color w:val="auto"/>
          <w:sz w:val="24"/>
          <w:szCs w:val="24"/>
          <w:highlight w:val="none"/>
          <w:lang w:eastAsia="zh-CN"/>
        </w:rPr>
        <w:t>洛浦县2024年农业生产社会化服务项目</w:t>
      </w:r>
      <w:r>
        <w:rPr>
          <w:rFonts w:hint="eastAsia" w:ascii="新宋体" w:hAnsi="新宋体" w:eastAsia="新宋体" w:cs="新宋体"/>
          <w:color w:val="auto"/>
          <w:sz w:val="24"/>
          <w:szCs w:val="24"/>
          <w:highlight w:val="none"/>
        </w:rPr>
        <w:t>预算安排</w:t>
      </w:r>
      <w:r>
        <w:rPr>
          <w:rFonts w:hint="eastAsia" w:ascii="新宋体" w:hAnsi="新宋体" w:eastAsia="新宋体" w:cs="新宋体"/>
          <w:b w:val="0"/>
          <w:color w:val="auto"/>
          <w:kern w:val="2"/>
          <w:sz w:val="24"/>
          <w:szCs w:val="24"/>
          <w:highlight w:val="none"/>
          <w:lang w:val="en-US" w:eastAsia="zh-CN" w:bidi="ar-SA"/>
        </w:rPr>
        <w:t>100</w:t>
      </w:r>
      <w:r>
        <w:rPr>
          <w:rFonts w:hint="eastAsia" w:ascii="新宋体" w:hAnsi="新宋体" w:eastAsia="新宋体" w:cs="新宋体"/>
          <w:color w:val="auto"/>
          <w:sz w:val="24"/>
          <w:szCs w:val="24"/>
          <w:highlight w:val="none"/>
        </w:rPr>
        <w:t>万元，实际支出</w:t>
      </w:r>
      <w:r>
        <w:rPr>
          <w:rStyle w:val="13"/>
          <w:rFonts w:hint="eastAsia" w:ascii="新宋体" w:hAnsi="新宋体" w:eastAsia="新宋体" w:cs="新宋体"/>
          <w:b w:val="0"/>
          <w:bCs w:val="0"/>
          <w:color w:val="auto"/>
          <w:spacing w:val="-4"/>
          <w:kern w:val="2"/>
          <w:sz w:val="24"/>
          <w:szCs w:val="24"/>
          <w:highlight w:val="none"/>
          <w:lang w:val="en-US" w:eastAsia="zh-CN" w:bidi="ar-SA"/>
        </w:rPr>
        <w:t>100</w:t>
      </w:r>
      <w:r>
        <w:rPr>
          <w:rFonts w:hint="eastAsia" w:ascii="新宋体" w:hAnsi="新宋体" w:eastAsia="新宋体" w:cs="新宋体"/>
          <w:color w:val="auto"/>
          <w:sz w:val="24"/>
          <w:szCs w:val="24"/>
          <w:highlight w:val="none"/>
        </w:rPr>
        <w:t>万元，预算执行率</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%。项目资金使用合规，项目财务管理制度健全，财务监控到位，所有资金支付均按照国库集中支付制度严格执行，现有项目管理制度执行情况良好。</w:t>
      </w:r>
    </w:p>
    <w:p w14:paraId="56D8313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lang w:val="en-US" w:eastAsia="zh-CN"/>
        </w:rPr>
      </w:pPr>
      <w:r>
        <w:rPr>
          <w:rFonts w:hint="eastAsia" w:ascii="新宋体" w:hAnsi="新宋体" w:eastAsia="新宋体" w:cs="新宋体"/>
          <w:color w:val="auto"/>
          <w:sz w:val="24"/>
          <w:szCs w:val="24"/>
          <w:highlight w:val="none"/>
        </w:rPr>
        <w:t>项目产出：</w:t>
      </w:r>
      <w:r>
        <w:rPr>
          <w:rFonts w:hint="eastAsia" w:ascii="新宋体" w:hAnsi="新宋体" w:eastAsia="新宋体" w:cs="新宋体"/>
          <w:color w:val="auto"/>
          <w:sz w:val="24"/>
          <w:szCs w:val="24"/>
          <w:highlight w:val="none"/>
          <w:lang w:eastAsia="zh-CN"/>
        </w:rPr>
        <w:t>农业社会化服务项目任务面积1万亩，每亩补助100元。</w:t>
      </w:r>
      <w:r>
        <w:rPr>
          <w:rFonts w:hint="eastAsia" w:ascii="新宋体" w:hAnsi="新宋体" w:eastAsia="新宋体" w:cs="新宋体"/>
          <w:color w:val="auto"/>
          <w:sz w:val="24"/>
          <w:szCs w:val="24"/>
          <w:highlight w:val="none"/>
          <w:lang w:val="en-US" w:eastAsia="zh-CN"/>
        </w:rPr>
        <w:t>指标达到预算目标。</w:t>
      </w:r>
    </w:p>
    <w:p w14:paraId="3816CC8C">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lang w:val="en-US" w:eastAsia="zh-CN"/>
        </w:rPr>
      </w:pPr>
      <w:r>
        <w:rPr>
          <w:rFonts w:hint="eastAsia" w:ascii="新宋体" w:hAnsi="新宋体" w:eastAsia="新宋体" w:cs="新宋体"/>
          <w:color w:val="auto"/>
          <w:sz w:val="24"/>
          <w:szCs w:val="24"/>
          <w:highlight w:val="none"/>
        </w:rPr>
        <w:t>项目效益：通过项目的实施，支持小麦病虫害防治、收割、脱粒的农业生产托管服务关键环节。带动小农户发展现代农业，增加农民家庭收入。</w:t>
      </w:r>
    </w:p>
    <w:p w14:paraId="2043B2F0">
      <w:pPr>
        <w:pStyle w:val="15"/>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（二）综合评价结论</w:t>
      </w:r>
    </w:p>
    <w:p w14:paraId="1011A36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b/>
          <w:bCs/>
          <w:color w:val="auto"/>
          <w:sz w:val="24"/>
          <w:szCs w:val="24"/>
          <w:highlight w:val="none"/>
        </w:rPr>
      </w:pPr>
      <w:r>
        <w:rPr>
          <w:rFonts w:hint="eastAsia" w:ascii="新宋体" w:hAnsi="新宋体" w:eastAsia="新宋体" w:cs="新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洛</w:t>
      </w:r>
      <w:r>
        <w:rPr>
          <w:rFonts w:hint="eastAsia" w:ascii="新宋体" w:hAnsi="新宋体" w:eastAsia="新宋体" w:cs="新宋体"/>
          <w:color w:val="auto"/>
          <w:sz w:val="24"/>
          <w:szCs w:val="24"/>
          <w:highlight w:val="none"/>
          <w:lang w:eastAsia="zh-CN"/>
        </w:rPr>
        <w:t>洛浦县2024年农业生产社会化服务项目</w:t>
      </w:r>
      <w:r>
        <w:rPr>
          <w:rFonts w:hint="eastAsia" w:ascii="新宋体" w:hAnsi="新宋体" w:eastAsia="新宋体" w:cs="新宋体"/>
          <w:color w:val="auto"/>
          <w:sz w:val="24"/>
          <w:szCs w:val="24"/>
          <w:highlight w:val="none"/>
        </w:rPr>
        <w:t>进行客观评价，最终评分结果：评价总分</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分，绩效等级为“</w:t>
      </w:r>
      <w:r>
        <w:rPr>
          <w:rFonts w:hint="eastAsia" w:ascii="新宋体" w:hAnsi="新宋体" w:eastAsia="新宋体" w:cs="新宋体"/>
          <w:color w:val="auto"/>
          <w:sz w:val="24"/>
          <w:szCs w:val="24"/>
          <w:highlight w:val="none"/>
          <w:lang w:val="en-US" w:eastAsia="zh-CN"/>
        </w:rPr>
        <w:t>优</w:t>
      </w:r>
      <w:r>
        <w:rPr>
          <w:rFonts w:hint="eastAsia" w:ascii="新宋体" w:hAnsi="新宋体" w:eastAsia="新宋体" w:cs="新宋体"/>
          <w:color w:val="auto"/>
          <w:sz w:val="24"/>
          <w:szCs w:val="24"/>
          <w:highlight w:val="none"/>
        </w:rPr>
        <w:t>”。</w:t>
      </w:r>
      <w:bookmarkEnd w:id="11"/>
      <w:bookmarkStart w:id="12" w:name="_Toc68364667"/>
    </w:p>
    <w:p w14:paraId="03199111">
      <w:pPr>
        <w:pStyle w:val="4"/>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b/>
          <w:bCs/>
          <w:color w:val="auto"/>
          <w:sz w:val="24"/>
          <w:szCs w:val="24"/>
          <w:highlight w:val="none"/>
        </w:rPr>
      </w:pPr>
    </w:p>
    <w:p w14:paraId="61CF2C2C">
      <w:pPr>
        <w:pStyle w:val="4"/>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highlight w:val="none"/>
        </w:rPr>
      </w:pPr>
      <w:r>
        <w:rPr>
          <w:rFonts w:hint="eastAsia" w:ascii="黑体" w:hAnsi="黑体" w:eastAsia="黑体" w:cs="黑体"/>
          <w:b/>
          <w:bCs/>
          <w:color w:val="auto"/>
          <w:sz w:val="24"/>
          <w:szCs w:val="24"/>
          <w:highlight w:val="none"/>
        </w:rPr>
        <w:t>四、绩效评价指标分析</w:t>
      </w:r>
      <w:bookmarkEnd w:id="12"/>
      <w:bookmarkStart w:id="13" w:name="_Toc68364668"/>
    </w:p>
    <w:p w14:paraId="72EB532C">
      <w:pPr>
        <w:pStyle w:val="15"/>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（一）项目决策情况</w:t>
      </w:r>
    </w:p>
    <w:p w14:paraId="348B4BBD">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项目</w:t>
      </w:r>
      <w:r>
        <w:rPr>
          <w:rFonts w:hint="eastAsia" w:ascii="新宋体" w:hAnsi="新宋体" w:eastAsia="新宋体" w:cs="新宋体"/>
          <w:color w:val="auto"/>
          <w:sz w:val="24"/>
          <w:szCs w:val="24"/>
          <w:highlight w:val="none"/>
          <w:lang w:val="en-US" w:eastAsia="zh-CN"/>
        </w:rPr>
        <w:t>方案</w:t>
      </w:r>
      <w:r>
        <w:rPr>
          <w:rFonts w:hint="eastAsia" w:ascii="新宋体" w:hAnsi="新宋体" w:eastAsia="新宋体" w:cs="新宋体"/>
          <w:color w:val="auto"/>
          <w:sz w:val="24"/>
          <w:szCs w:val="24"/>
          <w:highlight w:val="none"/>
        </w:rPr>
        <w:t>指标包括项目</w:t>
      </w:r>
      <w:r>
        <w:rPr>
          <w:rFonts w:hint="eastAsia" w:ascii="新宋体" w:hAnsi="新宋体" w:eastAsia="新宋体" w:cs="新宋体"/>
          <w:color w:val="auto"/>
          <w:sz w:val="24"/>
          <w:szCs w:val="24"/>
          <w:highlight w:val="none"/>
          <w:lang w:val="en-US" w:eastAsia="zh-CN"/>
        </w:rPr>
        <w:t>方案</w:t>
      </w:r>
      <w:r>
        <w:rPr>
          <w:rFonts w:hint="eastAsia" w:ascii="新宋体" w:hAnsi="新宋体" w:eastAsia="新宋体" w:cs="新宋体"/>
          <w:color w:val="auto"/>
          <w:sz w:val="24"/>
          <w:szCs w:val="24"/>
          <w:highlight w:val="none"/>
        </w:rPr>
        <w:t>、绩效目标和资金投入三方面的内容，由</w:t>
      </w:r>
      <w:r>
        <w:rPr>
          <w:rFonts w:hint="eastAsia" w:ascii="新宋体" w:hAnsi="新宋体" w:eastAsia="新宋体" w:cs="新宋体"/>
          <w:color w:val="auto"/>
          <w:sz w:val="24"/>
          <w:szCs w:val="24"/>
          <w:highlight w:val="none"/>
          <w:lang w:val="en-US" w:eastAsia="zh-CN"/>
        </w:rPr>
        <w:t>6</w:t>
      </w:r>
      <w:r>
        <w:rPr>
          <w:rFonts w:hint="eastAsia" w:ascii="新宋体" w:hAnsi="新宋体" w:eastAsia="新宋体" w:cs="新宋体"/>
          <w:color w:val="auto"/>
          <w:sz w:val="24"/>
          <w:szCs w:val="24"/>
          <w:highlight w:val="none"/>
        </w:rPr>
        <w:t>个三级指标构成，权重分为</w:t>
      </w:r>
      <w:r>
        <w:rPr>
          <w:rFonts w:hint="eastAsia" w:ascii="新宋体" w:hAnsi="新宋体" w:eastAsia="新宋体" w:cs="新宋体"/>
          <w:color w:val="auto"/>
          <w:sz w:val="24"/>
          <w:szCs w:val="24"/>
          <w:highlight w:val="none"/>
          <w:lang w:val="en-US" w:eastAsia="zh-CN"/>
        </w:rPr>
        <w:t>23</w:t>
      </w:r>
      <w:r>
        <w:rPr>
          <w:rFonts w:hint="eastAsia" w:ascii="新宋体" w:hAnsi="新宋体" w:eastAsia="新宋体" w:cs="新宋体"/>
          <w:color w:val="auto"/>
          <w:sz w:val="24"/>
          <w:szCs w:val="24"/>
          <w:highlight w:val="none"/>
        </w:rPr>
        <w:t>分，实际得分</w:t>
      </w:r>
      <w:r>
        <w:rPr>
          <w:rFonts w:hint="eastAsia" w:ascii="新宋体" w:hAnsi="新宋体" w:eastAsia="新宋体" w:cs="新宋体"/>
          <w:color w:val="auto"/>
          <w:sz w:val="24"/>
          <w:szCs w:val="24"/>
          <w:highlight w:val="none"/>
          <w:lang w:val="en-US" w:eastAsia="zh-CN"/>
        </w:rPr>
        <w:t>23</w:t>
      </w:r>
      <w:r>
        <w:rPr>
          <w:rFonts w:hint="eastAsia" w:ascii="新宋体" w:hAnsi="新宋体" w:eastAsia="新宋体" w:cs="新宋体"/>
          <w:color w:val="auto"/>
          <w:sz w:val="24"/>
          <w:szCs w:val="24"/>
          <w:highlight w:val="none"/>
        </w:rPr>
        <w:t>分，得分率为</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w:t>
      </w:r>
    </w:p>
    <w:p w14:paraId="6A6EA71C">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lang w:val="en-US" w:eastAsia="zh-CN"/>
        </w:rPr>
        <w:t>1.实施方案</w:t>
      </w:r>
      <w:r>
        <w:rPr>
          <w:rFonts w:hint="eastAsia" w:ascii="新宋体" w:hAnsi="新宋体" w:eastAsia="新宋体" w:cs="新宋体"/>
          <w:b/>
          <w:bCs/>
          <w:color w:val="auto"/>
          <w:sz w:val="24"/>
          <w:szCs w:val="24"/>
          <w:highlight w:val="none"/>
        </w:rPr>
        <w:t>依据充分性</w:t>
      </w:r>
    </w:p>
    <w:p w14:paraId="01F47E74">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rPr>
          <w:rFonts w:hint="eastAsia" w:ascii="新宋体" w:hAnsi="新宋体" w:eastAsia="新宋体" w:cs="新宋体"/>
          <w:color w:val="auto"/>
          <w:sz w:val="24"/>
          <w:szCs w:val="24"/>
          <w:highlight w:val="none"/>
          <w:lang w:eastAsia="zh-CN"/>
        </w:rPr>
      </w:pPr>
      <w:r>
        <w:rPr>
          <w:rFonts w:hint="eastAsia" w:ascii="新宋体" w:hAnsi="新宋体" w:eastAsia="新宋体" w:cs="新宋体"/>
          <w:color w:val="auto"/>
          <w:sz w:val="24"/>
          <w:szCs w:val="24"/>
          <w:highlight w:val="none"/>
        </w:rPr>
        <w:t>本项目</w:t>
      </w:r>
      <w:r>
        <w:rPr>
          <w:rFonts w:hint="eastAsia" w:ascii="新宋体" w:hAnsi="新宋体" w:eastAsia="新宋体" w:cs="新宋体"/>
          <w:color w:val="auto"/>
          <w:sz w:val="24"/>
          <w:szCs w:val="24"/>
          <w:highlight w:val="none"/>
          <w:lang w:val="en-US" w:eastAsia="zh-CN"/>
        </w:rPr>
        <w:t>方案</w:t>
      </w:r>
      <w:r>
        <w:rPr>
          <w:rFonts w:hint="eastAsia" w:ascii="新宋体" w:hAnsi="新宋体" w:eastAsia="新宋体" w:cs="新宋体"/>
          <w:color w:val="auto"/>
          <w:sz w:val="24"/>
          <w:szCs w:val="24"/>
          <w:highlight w:val="none"/>
        </w:rPr>
        <w:t>符合根据</w:t>
      </w:r>
      <w:r>
        <w:rPr>
          <w:rFonts w:hint="eastAsia" w:ascii="新宋体" w:hAnsi="新宋体" w:eastAsia="新宋体" w:cs="新宋体"/>
          <w:color w:val="auto"/>
          <w:sz w:val="24"/>
          <w:szCs w:val="24"/>
          <w:highlight w:val="none"/>
          <w:lang w:eastAsia="zh-CN"/>
        </w:rPr>
        <w:t>《关于下达2024年中央农业经营主体能力提升资金预算的通知》（和地财农〔2023〕55号）</w:t>
      </w:r>
      <w:r>
        <w:rPr>
          <w:rFonts w:hint="eastAsia" w:ascii="新宋体" w:hAnsi="新宋体" w:eastAsia="新宋体" w:cs="新宋体"/>
          <w:color w:val="auto"/>
          <w:sz w:val="24"/>
          <w:szCs w:val="24"/>
          <w:highlight w:val="none"/>
        </w:rPr>
        <w:t>文件；本项目立项符合</w:t>
      </w:r>
      <w:r>
        <w:rPr>
          <w:rFonts w:hint="eastAsia" w:ascii="新宋体" w:hAnsi="新宋体" w:eastAsia="新宋体" w:cs="新宋体"/>
          <w:color w:val="auto"/>
          <w:sz w:val="24"/>
          <w:szCs w:val="24"/>
          <w:highlight w:val="none"/>
          <w:lang w:eastAsia="zh-CN"/>
        </w:rPr>
        <w:t>《关于下达2024年中央农业经营主体能力提升资金预算的通知》（和地财农〔2023〕55号）</w:t>
      </w:r>
      <w:r>
        <w:rPr>
          <w:rFonts w:hint="eastAsia" w:ascii="新宋体" w:hAnsi="新宋体" w:eastAsia="新宋体" w:cs="新宋体"/>
          <w:color w:val="auto"/>
          <w:sz w:val="24"/>
          <w:szCs w:val="24"/>
          <w:highlight w:val="none"/>
        </w:rPr>
        <w:t>文件内容，符合行业发展规划和政策要求</w:t>
      </w:r>
      <w:r>
        <w:rPr>
          <w:rFonts w:hint="eastAsia" w:ascii="新宋体" w:hAnsi="新宋体" w:eastAsia="新宋体" w:cs="新宋体"/>
          <w:color w:val="auto"/>
          <w:sz w:val="24"/>
          <w:szCs w:val="24"/>
          <w:highlight w:val="none"/>
          <w:lang w:eastAsia="zh-CN"/>
        </w:rPr>
        <w:t>。</w:t>
      </w:r>
    </w:p>
    <w:p w14:paraId="0A4DAE24">
      <w:pPr>
        <w:keepNext w:val="0"/>
        <w:keepLines w:val="0"/>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新宋体" w:hAnsi="新宋体" w:eastAsia="新宋体" w:cs="新宋体"/>
          <w:b/>
          <w:bCs/>
          <w:color w:val="auto"/>
          <w:sz w:val="24"/>
          <w:szCs w:val="24"/>
          <w:highlight w:val="none"/>
        </w:rPr>
      </w:pPr>
      <w:r>
        <w:rPr>
          <w:rFonts w:hint="eastAsia" w:ascii="新宋体" w:hAnsi="新宋体" w:eastAsia="新宋体" w:cs="新宋体"/>
          <w:color w:val="auto"/>
          <w:sz w:val="24"/>
          <w:szCs w:val="24"/>
          <w:highlight w:val="none"/>
        </w:rPr>
        <w:t>综上所述，本指标满分为</w:t>
      </w:r>
      <w:r>
        <w:rPr>
          <w:rFonts w:hint="eastAsia" w:ascii="新宋体" w:hAnsi="新宋体" w:eastAsia="新宋体" w:cs="新宋体"/>
          <w:color w:val="auto"/>
          <w:sz w:val="24"/>
          <w:szCs w:val="24"/>
          <w:highlight w:val="none"/>
          <w:lang w:val="en-US" w:eastAsia="zh-CN"/>
        </w:rPr>
        <w:t>2</w:t>
      </w:r>
      <w:r>
        <w:rPr>
          <w:rFonts w:hint="eastAsia" w:ascii="新宋体" w:hAnsi="新宋体" w:eastAsia="新宋体" w:cs="新宋体"/>
          <w:color w:val="auto"/>
          <w:sz w:val="24"/>
          <w:szCs w:val="24"/>
          <w:highlight w:val="none"/>
        </w:rPr>
        <w:t>分，根据评分标准得</w:t>
      </w:r>
      <w:r>
        <w:rPr>
          <w:rFonts w:hint="eastAsia" w:ascii="新宋体" w:hAnsi="新宋体" w:eastAsia="新宋体" w:cs="新宋体"/>
          <w:color w:val="auto"/>
          <w:sz w:val="24"/>
          <w:szCs w:val="24"/>
          <w:highlight w:val="none"/>
          <w:lang w:val="en-US" w:eastAsia="zh-CN"/>
        </w:rPr>
        <w:t>2</w:t>
      </w:r>
      <w:r>
        <w:rPr>
          <w:rFonts w:hint="eastAsia" w:ascii="新宋体" w:hAnsi="新宋体" w:eastAsia="新宋体" w:cs="新宋体"/>
          <w:color w:val="auto"/>
          <w:sz w:val="24"/>
          <w:szCs w:val="24"/>
          <w:highlight w:val="none"/>
        </w:rPr>
        <w:t>分，本项目立项依据充分。</w:t>
      </w:r>
    </w:p>
    <w:p w14:paraId="4E908913">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2.立项程序规范性</w:t>
      </w:r>
    </w:p>
    <w:p w14:paraId="4C0D889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本项目按照规定的程序申请设立，项目立项过程中产生的文件均符合相关要求。项目预算金额为</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万元。</w:t>
      </w:r>
    </w:p>
    <w:p w14:paraId="532B43D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综上所述，本指标满分为</w:t>
      </w:r>
      <w:r>
        <w:rPr>
          <w:rFonts w:hint="eastAsia" w:ascii="新宋体" w:hAnsi="新宋体" w:eastAsia="新宋体" w:cs="新宋体"/>
          <w:color w:val="auto"/>
          <w:sz w:val="24"/>
          <w:szCs w:val="24"/>
          <w:highlight w:val="none"/>
          <w:lang w:val="en-US" w:eastAsia="zh-CN"/>
        </w:rPr>
        <w:t>3</w:t>
      </w:r>
      <w:r>
        <w:rPr>
          <w:rFonts w:hint="eastAsia" w:ascii="新宋体" w:hAnsi="新宋体" w:eastAsia="新宋体" w:cs="新宋体"/>
          <w:color w:val="auto"/>
          <w:sz w:val="24"/>
          <w:szCs w:val="24"/>
          <w:highlight w:val="none"/>
        </w:rPr>
        <w:t>分，根据评分标准得</w:t>
      </w:r>
      <w:r>
        <w:rPr>
          <w:rFonts w:hint="eastAsia" w:ascii="新宋体" w:hAnsi="新宋体" w:eastAsia="新宋体" w:cs="新宋体"/>
          <w:color w:val="auto"/>
          <w:sz w:val="24"/>
          <w:szCs w:val="24"/>
          <w:highlight w:val="none"/>
          <w:lang w:val="en-US" w:eastAsia="zh-CN"/>
        </w:rPr>
        <w:t>3</w:t>
      </w:r>
      <w:r>
        <w:rPr>
          <w:rFonts w:hint="eastAsia" w:ascii="新宋体" w:hAnsi="新宋体" w:eastAsia="新宋体" w:cs="新宋体"/>
          <w:color w:val="auto"/>
          <w:sz w:val="24"/>
          <w:szCs w:val="24"/>
          <w:highlight w:val="none"/>
        </w:rPr>
        <w:t>分，本项目立项程序合规。</w:t>
      </w:r>
    </w:p>
    <w:p w14:paraId="1F8A57D7">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3.绩效目标合理性</w:t>
      </w:r>
    </w:p>
    <w:p w14:paraId="4E77F70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en-US" w:eastAsia="zh-CN"/>
        </w:rPr>
        <w:t>该项目年初设定绩效目标主要内容为：根据《关于下达2024年中央农业经营主体能力提升资金预算的通知》（和地财农〔2023〕55号）文件实施此项目，主要实施内容为：农业社会化服务项目任务面积1万亩，每亩补助100元。通过项目的实施，支持小麦病虫害防治、收割、脱粒的农业生产托管服务关键环节。，带动小农户发展现代农业，增加农民家庭收入。</w:t>
      </w:r>
    </w:p>
    <w:p w14:paraId="5DCC6A5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综上所述，本指标满分为</w:t>
      </w:r>
      <w:r>
        <w:rPr>
          <w:rFonts w:hint="eastAsia" w:ascii="新宋体" w:hAnsi="新宋体" w:eastAsia="新宋体" w:cs="新宋体"/>
          <w:color w:val="auto"/>
          <w:sz w:val="24"/>
          <w:szCs w:val="24"/>
          <w:highlight w:val="none"/>
          <w:lang w:val="en-US" w:eastAsia="zh-CN"/>
        </w:rPr>
        <w:t>5</w:t>
      </w:r>
      <w:r>
        <w:rPr>
          <w:rFonts w:hint="eastAsia" w:ascii="新宋体" w:hAnsi="新宋体" w:eastAsia="新宋体" w:cs="新宋体"/>
          <w:color w:val="auto"/>
          <w:sz w:val="24"/>
          <w:szCs w:val="24"/>
          <w:highlight w:val="none"/>
        </w:rPr>
        <w:t>分，根据评分标准得</w:t>
      </w:r>
      <w:r>
        <w:rPr>
          <w:rFonts w:hint="eastAsia" w:ascii="新宋体" w:hAnsi="新宋体" w:eastAsia="新宋体" w:cs="新宋体"/>
          <w:color w:val="auto"/>
          <w:sz w:val="24"/>
          <w:szCs w:val="24"/>
          <w:highlight w:val="none"/>
          <w:lang w:val="en-US" w:eastAsia="zh-CN"/>
        </w:rPr>
        <w:t>5</w:t>
      </w:r>
      <w:r>
        <w:rPr>
          <w:rFonts w:hint="eastAsia" w:ascii="新宋体" w:hAnsi="新宋体" w:eastAsia="新宋体" w:cs="新宋体"/>
          <w:color w:val="auto"/>
          <w:sz w:val="24"/>
          <w:szCs w:val="24"/>
          <w:highlight w:val="none"/>
        </w:rPr>
        <w:t>分，本项目</w:t>
      </w:r>
      <w:r>
        <w:rPr>
          <w:rFonts w:hint="eastAsia" w:ascii="新宋体" w:hAnsi="新宋体" w:eastAsia="新宋体" w:cs="新宋体"/>
          <w:color w:val="auto"/>
          <w:sz w:val="24"/>
          <w:szCs w:val="24"/>
          <w:highlight w:val="none"/>
          <w:lang w:val="en-US" w:eastAsia="zh-CN"/>
        </w:rPr>
        <w:t>绩效目标合理</w:t>
      </w:r>
      <w:r>
        <w:rPr>
          <w:rFonts w:hint="eastAsia" w:ascii="新宋体" w:hAnsi="新宋体" w:eastAsia="新宋体" w:cs="新宋体"/>
          <w:color w:val="auto"/>
          <w:sz w:val="24"/>
          <w:szCs w:val="24"/>
          <w:highlight w:val="none"/>
        </w:rPr>
        <w:t>。</w:t>
      </w:r>
    </w:p>
    <w:p w14:paraId="0B699550">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4.绩效指标明确性</w:t>
      </w:r>
    </w:p>
    <w:p w14:paraId="688AB95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lang w:val="en-US" w:eastAsia="zh-CN"/>
        </w:rPr>
      </w:pPr>
      <w:r>
        <w:rPr>
          <w:rFonts w:hint="eastAsia" w:ascii="新宋体" w:hAnsi="新宋体" w:eastAsia="新宋体" w:cs="新宋体"/>
          <w:color w:val="auto"/>
          <w:sz w:val="24"/>
          <w:szCs w:val="24"/>
          <w:highlight w:val="none"/>
          <w:lang w:val="en-US" w:eastAsia="zh-CN"/>
        </w:rPr>
        <w:t>经检查我单位年初设置的《洛浦县2024年农业生产社会化服务项目支出绩效目标表》，得出如下结论：本项目已将年度绩效目标进行细化为绩效指标体系，共设置一级指标4个，二级指标6个，三级指标7个，定量指标6个，定性指标1个，指标量化率为85.71%，量化率达70.0%以上，将项目绩效目标细化分解为具体的绩效指标。</w:t>
      </w:r>
    </w:p>
    <w:p w14:paraId="38B3C4C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该《</w:t>
      </w:r>
      <w:r>
        <w:rPr>
          <w:rFonts w:hint="eastAsia" w:ascii="新宋体" w:hAnsi="新宋体" w:eastAsia="新宋体" w:cs="新宋体"/>
          <w:color w:val="auto"/>
          <w:sz w:val="24"/>
          <w:szCs w:val="24"/>
          <w:highlight w:val="none"/>
          <w:lang w:eastAsia="zh-CN"/>
        </w:rPr>
        <w:t>洛浦县2024年农业生产社会化服务项目</w:t>
      </w:r>
      <w:r>
        <w:rPr>
          <w:rFonts w:hint="eastAsia" w:ascii="新宋体" w:hAnsi="新宋体" w:eastAsia="新宋体" w:cs="新宋体"/>
          <w:color w:val="auto"/>
          <w:sz w:val="24"/>
          <w:szCs w:val="24"/>
          <w:highlight w:val="none"/>
        </w:rPr>
        <w:t>绩效目标申报表》中，数量指标指标值为</w:t>
      </w:r>
      <w:r>
        <w:rPr>
          <w:rFonts w:hint="eastAsia" w:ascii="新宋体" w:hAnsi="新宋体" w:eastAsia="新宋体" w:cs="新宋体"/>
          <w:color w:val="auto"/>
          <w:sz w:val="24"/>
          <w:szCs w:val="24"/>
          <w:highlight w:val="none"/>
          <w:lang w:val="en-US" w:eastAsia="zh-CN"/>
        </w:rPr>
        <w:t>补助耕地面积、资金标准、完成率、项目对象满意度</w:t>
      </w:r>
      <w:r>
        <w:rPr>
          <w:rFonts w:hint="eastAsia" w:ascii="新宋体" w:hAnsi="新宋体" w:eastAsia="新宋体" w:cs="新宋体"/>
          <w:color w:val="auto"/>
          <w:sz w:val="24"/>
          <w:szCs w:val="24"/>
          <w:highlight w:val="none"/>
        </w:rPr>
        <w:t>，三级指标的年度指标值与年度绩效目标中任务数一致（或不完全一致），已设置时效指标“</w:t>
      </w:r>
      <w:r>
        <w:rPr>
          <w:rFonts w:hint="eastAsia" w:ascii="新宋体" w:hAnsi="新宋体" w:eastAsia="新宋体" w:cs="新宋体"/>
          <w:color w:val="auto"/>
          <w:sz w:val="24"/>
          <w:szCs w:val="24"/>
          <w:highlight w:val="none"/>
          <w:lang w:val="en-US" w:eastAsia="zh-CN"/>
        </w:rPr>
        <w:t>补助资金支付及时率、项目完成时间</w:t>
      </w:r>
      <w:r>
        <w:rPr>
          <w:rFonts w:hint="eastAsia" w:ascii="新宋体" w:hAnsi="新宋体" w:eastAsia="新宋体" w:cs="新宋体"/>
          <w:color w:val="auto"/>
          <w:sz w:val="24"/>
          <w:szCs w:val="24"/>
          <w:highlight w:val="none"/>
        </w:rPr>
        <w:t>”。已设置的绩效目标具备明确性、可衡量性、可实现性、相关性、时限性。</w:t>
      </w:r>
    </w:p>
    <w:p w14:paraId="2CC167D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综上所述，本指标满分为</w:t>
      </w:r>
      <w:r>
        <w:rPr>
          <w:rFonts w:hint="eastAsia" w:ascii="新宋体" w:hAnsi="新宋体" w:eastAsia="新宋体" w:cs="新宋体"/>
          <w:color w:val="auto"/>
          <w:sz w:val="24"/>
          <w:szCs w:val="24"/>
          <w:highlight w:val="none"/>
          <w:lang w:val="en-US" w:eastAsia="zh-CN"/>
        </w:rPr>
        <w:t>5</w:t>
      </w:r>
      <w:r>
        <w:rPr>
          <w:rFonts w:hint="eastAsia" w:ascii="新宋体" w:hAnsi="新宋体" w:eastAsia="新宋体" w:cs="新宋体"/>
          <w:color w:val="auto"/>
          <w:sz w:val="24"/>
          <w:szCs w:val="24"/>
          <w:highlight w:val="none"/>
        </w:rPr>
        <w:t>分，根据评分标准得</w:t>
      </w:r>
      <w:r>
        <w:rPr>
          <w:rFonts w:hint="eastAsia" w:ascii="新宋体" w:hAnsi="新宋体" w:eastAsia="新宋体" w:cs="新宋体"/>
          <w:color w:val="auto"/>
          <w:sz w:val="24"/>
          <w:szCs w:val="24"/>
          <w:highlight w:val="none"/>
          <w:lang w:val="en-US" w:eastAsia="zh-CN"/>
        </w:rPr>
        <w:t>5</w:t>
      </w:r>
      <w:r>
        <w:rPr>
          <w:rFonts w:hint="eastAsia" w:ascii="新宋体" w:hAnsi="新宋体" w:eastAsia="新宋体" w:cs="新宋体"/>
          <w:color w:val="auto"/>
          <w:sz w:val="24"/>
          <w:szCs w:val="24"/>
          <w:highlight w:val="none"/>
        </w:rPr>
        <w:t>分，本项目</w:t>
      </w:r>
      <w:r>
        <w:rPr>
          <w:rFonts w:hint="eastAsia" w:ascii="新宋体" w:hAnsi="新宋体" w:eastAsia="新宋体" w:cs="新宋体"/>
          <w:color w:val="auto"/>
          <w:sz w:val="24"/>
          <w:szCs w:val="24"/>
          <w:highlight w:val="none"/>
          <w:lang w:val="en-US" w:eastAsia="zh-CN"/>
        </w:rPr>
        <w:t>绩效目标明确</w:t>
      </w:r>
      <w:r>
        <w:rPr>
          <w:rFonts w:hint="eastAsia" w:ascii="新宋体" w:hAnsi="新宋体" w:eastAsia="新宋体" w:cs="新宋体"/>
          <w:color w:val="auto"/>
          <w:sz w:val="24"/>
          <w:szCs w:val="24"/>
          <w:highlight w:val="none"/>
        </w:rPr>
        <w:t>。</w:t>
      </w:r>
    </w:p>
    <w:p w14:paraId="09B99F21">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5.预算编制科学性</w:t>
      </w:r>
    </w:p>
    <w:p w14:paraId="099AB16D">
      <w:pPr>
        <w:pStyle w:val="5"/>
        <w:keepNext w:val="0"/>
        <w:keepLines w:val="0"/>
        <w:pageBreakBefore w:val="0"/>
        <w:kinsoku/>
        <w:wordWrap/>
        <w:overflowPunct/>
        <w:topLinePunct w:val="0"/>
        <w:autoSpaceDE/>
        <w:autoSpaceDN/>
        <w:bidi w:val="0"/>
        <w:spacing w:line="360" w:lineRule="auto"/>
        <w:ind w:firstLine="480" w:firstLineChars="200"/>
        <w:rPr>
          <w:rFonts w:hint="eastAsia" w:ascii="新宋体" w:hAnsi="新宋体" w:eastAsia="新宋体" w:cs="新宋体"/>
          <w:b w:val="0"/>
          <w:bCs w:val="0"/>
          <w:color w:val="auto"/>
          <w:sz w:val="24"/>
          <w:szCs w:val="24"/>
          <w:highlight w:val="none"/>
          <w:lang w:eastAsia="zh-CN"/>
        </w:rPr>
      </w:pPr>
      <w:r>
        <w:rPr>
          <w:rFonts w:hint="eastAsia" w:ascii="新宋体" w:hAnsi="新宋体" w:eastAsia="新宋体" w:cs="新宋体"/>
          <w:b w:val="0"/>
          <w:bCs w:val="0"/>
          <w:color w:val="auto"/>
          <w:sz w:val="24"/>
          <w:szCs w:val="24"/>
          <w:highlight w:val="none"/>
          <w:lang w:eastAsia="zh-CN"/>
        </w:rPr>
        <w:t>该</w:t>
      </w:r>
      <w:r>
        <w:rPr>
          <w:rFonts w:hint="eastAsia" w:ascii="新宋体" w:hAnsi="新宋体" w:eastAsia="新宋体" w:cs="新宋体"/>
          <w:b w:val="0"/>
          <w:bCs w:val="0"/>
          <w:color w:val="auto"/>
          <w:sz w:val="24"/>
          <w:szCs w:val="24"/>
          <w:highlight w:val="none"/>
        </w:rPr>
        <w:t>项目预算编制较科学且经过论证；预算申请内容为</w:t>
      </w:r>
      <w:r>
        <w:rPr>
          <w:rFonts w:hint="eastAsia" w:ascii="新宋体" w:hAnsi="新宋体" w:eastAsia="新宋体" w:cs="新宋体"/>
          <w:b w:val="0"/>
          <w:bCs w:val="0"/>
          <w:color w:val="auto"/>
          <w:sz w:val="24"/>
          <w:szCs w:val="24"/>
          <w:highlight w:val="none"/>
          <w:lang w:eastAsia="zh-CN"/>
        </w:rPr>
        <w:t>：</w:t>
      </w:r>
      <w:r>
        <w:rPr>
          <w:rFonts w:hint="eastAsia" w:ascii="新宋体" w:hAnsi="新宋体" w:eastAsia="新宋体" w:cs="新宋体"/>
          <w:b w:val="0"/>
          <w:bCs w:val="0"/>
          <w:color w:val="auto"/>
          <w:sz w:val="24"/>
          <w:szCs w:val="24"/>
          <w:highlight w:val="none"/>
        </w:rPr>
        <w:t>项目实际内容为</w:t>
      </w:r>
      <w:r>
        <w:rPr>
          <w:rFonts w:hint="eastAsia" w:ascii="新宋体" w:hAnsi="新宋体" w:eastAsia="新宋体" w:cs="新宋体"/>
          <w:b w:val="0"/>
          <w:bCs w:val="0"/>
          <w:color w:val="auto"/>
          <w:kern w:val="2"/>
          <w:sz w:val="24"/>
          <w:szCs w:val="24"/>
          <w:highlight w:val="none"/>
          <w:lang w:val="en-US" w:eastAsia="zh-CN" w:bidi="ar-SA"/>
        </w:rPr>
        <w:t>根据和田地区财政局下发《关于下达2024年中央农业经营主体能力提升资金预算的通知》（和地财农〔2023〕55号）文件要求，下达《关于下达2024年中央农业经营主体能力提升资金预算的通知》（和地财农〔2023〕55号）的中央补助资金100万元。项目建设内容为：根据《关于下达2024年中央农业经营主体能力提升资金预算的通知》（和地财农〔2023〕55号）文件实施此项目，主要实施内容为：农业社会化服务项目任务面积1万亩，每亩补助100元。通过项目的实施，支持小麦病虫害防治、收割、脱粒的农业生产托管服务关键环节。带动小农户发展现代农业，增加农民家庭收入。</w:t>
      </w:r>
      <w:r>
        <w:rPr>
          <w:rFonts w:hint="eastAsia" w:ascii="新宋体" w:hAnsi="新宋体" w:eastAsia="新宋体" w:cs="新宋体"/>
          <w:b w:val="0"/>
          <w:bCs w:val="0"/>
          <w:color w:val="auto"/>
          <w:sz w:val="24"/>
          <w:szCs w:val="24"/>
          <w:highlight w:val="none"/>
        </w:rPr>
        <w:t>本项目预算</w:t>
      </w:r>
      <w:r>
        <w:rPr>
          <w:rFonts w:hint="eastAsia" w:ascii="新宋体" w:hAnsi="新宋体" w:eastAsia="新宋体" w:cs="新宋体"/>
          <w:b w:val="0"/>
          <w:bCs w:val="0"/>
          <w:color w:val="auto"/>
          <w:sz w:val="24"/>
          <w:szCs w:val="24"/>
          <w:highlight w:val="none"/>
          <w:lang w:val="en-US" w:eastAsia="zh-CN"/>
        </w:rPr>
        <w:t>下达</w:t>
      </w:r>
      <w:r>
        <w:rPr>
          <w:rFonts w:hint="eastAsia" w:ascii="新宋体" w:hAnsi="新宋体" w:eastAsia="新宋体" w:cs="新宋体"/>
          <w:b w:val="0"/>
          <w:bCs w:val="0"/>
          <w:color w:val="auto"/>
          <w:sz w:val="24"/>
          <w:szCs w:val="24"/>
          <w:highlight w:val="none"/>
        </w:rPr>
        <w:t>资金</w:t>
      </w:r>
      <w:r>
        <w:rPr>
          <w:rFonts w:hint="eastAsia" w:ascii="新宋体" w:hAnsi="新宋体" w:eastAsia="新宋体" w:cs="新宋体"/>
          <w:b w:val="0"/>
          <w:bCs w:val="0"/>
          <w:color w:val="auto"/>
          <w:sz w:val="24"/>
          <w:szCs w:val="24"/>
          <w:highlight w:val="none"/>
          <w:lang w:val="en-US" w:eastAsia="zh-CN"/>
        </w:rPr>
        <w:t>100</w:t>
      </w:r>
      <w:r>
        <w:rPr>
          <w:rFonts w:hint="eastAsia" w:ascii="新宋体" w:hAnsi="新宋体" w:eastAsia="新宋体" w:cs="新宋体"/>
          <w:b w:val="0"/>
          <w:bCs w:val="0"/>
          <w:color w:val="auto"/>
          <w:sz w:val="24"/>
          <w:szCs w:val="24"/>
          <w:highlight w:val="none"/>
        </w:rPr>
        <w:t>万元，我单位按照项目实施内容及测算标准进行核算，其中：项目总投资</w:t>
      </w:r>
      <w:r>
        <w:rPr>
          <w:rFonts w:hint="eastAsia" w:ascii="新宋体" w:hAnsi="新宋体" w:eastAsia="新宋体" w:cs="新宋体"/>
          <w:b w:val="0"/>
          <w:bCs w:val="0"/>
          <w:color w:val="auto"/>
          <w:sz w:val="24"/>
          <w:szCs w:val="24"/>
          <w:highlight w:val="none"/>
          <w:lang w:val="en-US" w:eastAsia="zh-CN"/>
        </w:rPr>
        <w:t>100</w:t>
      </w:r>
      <w:r>
        <w:rPr>
          <w:rFonts w:hint="eastAsia" w:ascii="新宋体" w:hAnsi="新宋体" w:eastAsia="新宋体" w:cs="新宋体"/>
          <w:b w:val="0"/>
          <w:bCs w:val="0"/>
          <w:color w:val="auto"/>
          <w:sz w:val="24"/>
          <w:szCs w:val="24"/>
          <w:highlight w:val="none"/>
        </w:rPr>
        <w:t>万元。预算确定资金量与实际工作任务相匹配。本项目预算额度测算依据充分，严格按照标准编制，预算确定资金量与实际工作任务相匹配</w:t>
      </w:r>
      <w:r>
        <w:rPr>
          <w:rFonts w:hint="eastAsia" w:ascii="新宋体" w:hAnsi="新宋体" w:eastAsia="新宋体" w:cs="新宋体"/>
          <w:b w:val="0"/>
          <w:bCs w:val="0"/>
          <w:color w:val="auto"/>
          <w:sz w:val="24"/>
          <w:szCs w:val="24"/>
          <w:highlight w:val="none"/>
          <w:lang w:eastAsia="zh-CN"/>
        </w:rPr>
        <w:t>。</w:t>
      </w:r>
    </w:p>
    <w:p w14:paraId="58A838B7">
      <w:pPr>
        <w:pStyle w:val="5"/>
        <w:keepNext w:val="0"/>
        <w:keepLines w:val="0"/>
        <w:pageBreakBefore w:val="0"/>
        <w:kinsoku/>
        <w:wordWrap/>
        <w:overflowPunct/>
        <w:topLinePunct w:val="0"/>
        <w:autoSpaceDE/>
        <w:autoSpaceDN/>
        <w:bidi w:val="0"/>
        <w:spacing w:line="360" w:lineRule="auto"/>
        <w:ind w:firstLine="480" w:firstLineChars="200"/>
        <w:rPr>
          <w:rFonts w:hint="eastAsia" w:ascii="新宋体" w:hAnsi="新宋体" w:eastAsia="新宋体" w:cs="新宋体"/>
          <w:b w:val="0"/>
          <w:bCs w:val="0"/>
          <w:color w:val="auto"/>
          <w:sz w:val="24"/>
          <w:szCs w:val="24"/>
          <w:highlight w:val="none"/>
        </w:rPr>
      </w:pPr>
      <w:r>
        <w:rPr>
          <w:rFonts w:hint="eastAsia" w:ascii="新宋体" w:hAnsi="新宋体" w:eastAsia="新宋体" w:cs="新宋体"/>
          <w:b w:val="0"/>
          <w:bCs w:val="0"/>
          <w:color w:val="auto"/>
          <w:sz w:val="24"/>
          <w:szCs w:val="24"/>
          <w:highlight w:val="none"/>
        </w:rPr>
        <w:t>综上所述，本指标满分为</w:t>
      </w:r>
      <w:r>
        <w:rPr>
          <w:rFonts w:hint="eastAsia" w:ascii="新宋体" w:hAnsi="新宋体" w:eastAsia="新宋体" w:cs="新宋体"/>
          <w:b w:val="0"/>
          <w:bCs w:val="0"/>
          <w:color w:val="auto"/>
          <w:sz w:val="24"/>
          <w:szCs w:val="24"/>
          <w:highlight w:val="none"/>
          <w:lang w:val="en-US" w:eastAsia="zh-CN"/>
        </w:rPr>
        <w:t>4</w:t>
      </w:r>
      <w:r>
        <w:rPr>
          <w:rFonts w:hint="eastAsia" w:ascii="新宋体" w:hAnsi="新宋体" w:eastAsia="新宋体" w:cs="新宋体"/>
          <w:b w:val="0"/>
          <w:bCs w:val="0"/>
          <w:color w:val="auto"/>
          <w:sz w:val="24"/>
          <w:szCs w:val="24"/>
          <w:highlight w:val="none"/>
        </w:rPr>
        <w:t>分，根据评分标准得</w:t>
      </w:r>
      <w:r>
        <w:rPr>
          <w:rFonts w:hint="eastAsia" w:ascii="新宋体" w:hAnsi="新宋体" w:eastAsia="新宋体" w:cs="新宋体"/>
          <w:b w:val="0"/>
          <w:bCs w:val="0"/>
          <w:color w:val="auto"/>
          <w:sz w:val="24"/>
          <w:szCs w:val="24"/>
          <w:highlight w:val="none"/>
          <w:lang w:val="en-US" w:eastAsia="zh-CN"/>
        </w:rPr>
        <w:t>4</w:t>
      </w:r>
      <w:r>
        <w:rPr>
          <w:rFonts w:hint="eastAsia" w:ascii="新宋体" w:hAnsi="新宋体" w:eastAsia="新宋体" w:cs="新宋体"/>
          <w:b w:val="0"/>
          <w:bCs w:val="0"/>
          <w:color w:val="auto"/>
          <w:sz w:val="24"/>
          <w:szCs w:val="24"/>
          <w:highlight w:val="none"/>
        </w:rPr>
        <w:t>分，本项目</w:t>
      </w:r>
      <w:r>
        <w:rPr>
          <w:rFonts w:hint="eastAsia" w:ascii="新宋体" w:hAnsi="新宋体" w:eastAsia="新宋体" w:cs="新宋体"/>
          <w:b w:val="0"/>
          <w:bCs w:val="0"/>
          <w:color w:val="auto"/>
          <w:sz w:val="24"/>
          <w:szCs w:val="24"/>
          <w:highlight w:val="none"/>
          <w:lang w:val="en-US" w:eastAsia="zh-CN"/>
        </w:rPr>
        <w:t>预算编制科学</w:t>
      </w:r>
      <w:r>
        <w:rPr>
          <w:rFonts w:hint="eastAsia" w:ascii="新宋体" w:hAnsi="新宋体" w:eastAsia="新宋体" w:cs="新宋体"/>
          <w:b w:val="0"/>
          <w:bCs w:val="0"/>
          <w:color w:val="auto"/>
          <w:sz w:val="24"/>
          <w:szCs w:val="24"/>
          <w:highlight w:val="none"/>
        </w:rPr>
        <w:t>。</w:t>
      </w:r>
    </w:p>
    <w:p w14:paraId="1FAE9105">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6.资金分配合理性</w:t>
      </w:r>
    </w:p>
    <w:p w14:paraId="0E50556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lang w:eastAsia="zh-CN"/>
        </w:rPr>
      </w:pPr>
      <w:r>
        <w:rPr>
          <w:rFonts w:hint="eastAsia" w:ascii="新宋体" w:hAnsi="新宋体" w:eastAsia="新宋体" w:cs="新宋体"/>
          <w:color w:val="auto"/>
          <w:sz w:val="24"/>
          <w:szCs w:val="24"/>
          <w:highlight w:val="none"/>
        </w:rPr>
        <w:t>本项目实际分配资金以《关于申请</w:t>
      </w:r>
      <w:r>
        <w:rPr>
          <w:rFonts w:hint="eastAsia" w:ascii="新宋体" w:hAnsi="新宋体" w:eastAsia="新宋体" w:cs="新宋体"/>
          <w:color w:val="auto"/>
          <w:sz w:val="24"/>
          <w:szCs w:val="24"/>
          <w:highlight w:val="none"/>
          <w:lang w:eastAsia="zh-CN"/>
        </w:rPr>
        <w:t>洛浦县2024年农业生产社会化服务项目</w:t>
      </w:r>
      <w:r>
        <w:rPr>
          <w:rFonts w:hint="eastAsia" w:ascii="新宋体" w:hAnsi="新宋体" w:eastAsia="新宋体" w:cs="新宋体"/>
          <w:color w:val="auto"/>
          <w:sz w:val="24"/>
          <w:szCs w:val="24"/>
          <w:highlight w:val="none"/>
        </w:rPr>
        <w:t>资金的请示》和《</w:t>
      </w:r>
      <w:r>
        <w:rPr>
          <w:rFonts w:hint="eastAsia" w:ascii="新宋体" w:hAnsi="新宋体" w:eastAsia="新宋体" w:cs="新宋体"/>
          <w:color w:val="auto"/>
          <w:sz w:val="24"/>
          <w:szCs w:val="24"/>
          <w:highlight w:val="none"/>
          <w:lang w:eastAsia="zh-CN"/>
        </w:rPr>
        <w:t>洛浦县2024年农业生产社会化服务项目</w:t>
      </w:r>
      <w:r>
        <w:rPr>
          <w:rFonts w:hint="eastAsia" w:ascii="新宋体" w:hAnsi="新宋体" w:eastAsia="新宋体" w:cs="新宋体"/>
          <w:color w:val="auto"/>
          <w:sz w:val="24"/>
          <w:szCs w:val="24"/>
          <w:highlight w:val="none"/>
        </w:rPr>
        <w:t>实施方案》为依据进行资金分配，预算资金分配依据充分。根据</w:t>
      </w:r>
      <w:r>
        <w:rPr>
          <w:rFonts w:hint="eastAsia" w:ascii="新宋体" w:hAnsi="新宋体" w:eastAsia="新宋体" w:cs="新宋体"/>
          <w:color w:val="auto"/>
          <w:sz w:val="24"/>
          <w:szCs w:val="24"/>
          <w:highlight w:val="none"/>
          <w:lang w:eastAsia="zh-CN"/>
        </w:rPr>
        <w:t>《关于下达2024年中央农业经营主体能力提升资金预算的通知》（和地财农〔2023〕55号）</w:t>
      </w:r>
      <w:r>
        <w:rPr>
          <w:rFonts w:hint="eastAsia" w:ascii="新宋体" w:hAnsi="新宋体" w:eastAsia="新宋体" w:cs="新宋体"/>
          <w:color w:val="auto"/>
          <w:sz w:val="24"/>
          <w:szCs w:val="24"/>
          <w:highlight w:val="none"/>
        </w:rPr>
        <w:t>件，本项目实际到位资金</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万元，资金分配额度合理，与我单位实际需求相适应。资金分配与实际相适应</w:t>
      </w:r>
      <w:r>
        <w:rPr>
          <w:rFonts w:hint="eastAsia" w:ascii="新宋体" w:hAnsi="新宋体" w:eastAsia="新宋体" w:cs="新宋体"/>
          <w:color w:val="auto"/>
          <w:sz w:val="24"/>
          <w:szCs w:val="24"/>
          <w:highlight w:val="none"/>
          <w:lang w:eastAsia="zh-CN"/>
        </w:rPr>
        <w:t>。</w:t>
      </w:r>
    </w:p>
    <w:p w14:paraId="3C182D8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综上所述，本指标满分为</w:t>
      </w:r>
      <w:r>
        <w:rPr>
          <w:rFonts w:hint="eastAsia" w:ascii="新宋体" w:hAnsi="新宋体" w:eastAsia="新宋体" w:cs="新宋体"/>
          <w:color w:val="auto"/>
          <w:sz w:val="24"/>
          <w:szCs w:val="24"/>
          <w:highlight w:val="none"/>
          <w:lang w:val="en-US" w:eastAsia="zh-CN"/>
        </w:rPr>
        <w:t>4</w:t>
      </w:r>
      <w:r>
        <w:rPr>
          <w:rFonts w:hint="eastAsia" w:ascii="新宋体" w:hAnsi="新宋体" w:eastAsia="新宋体" w:cs="新宋体"/>
          <w:color w:val="auto"/>
          <w:sz w:val="24"/>
          <w:szCs w:val="24"/>
          <w:highlight w:val="none"/>
        </w:rPr>
        <w:t>分，根据评分标准得</w:t>
      </w:r>
      <w:r>
        <w:rPr>
          <w:rFonts w:hint="eastAsia" w:ascii="新宋体" w:hAnsi="新宋体" w:eastAsia="新宋体" w:cs="新宋体"/>
          <w:color w:val="auto"/>
          <w:sz w:val="24"/>
          <w:szCs w:val="24"/>
          <w:highlight w:val="none"/>
          <w:lang w:val="en-US" w:eastAsia="zh-CN"/>
        </w:rPr>
        <w:t>4</w:t>
      </w:r>
      <w:r>
        <w:rPr>
          <w:rFonts w:hint="eastAsia" w:ascii="新宋体" w:hAnsi="新宋体" w:eastAsia="新宋体" w:cs="新宋体"/>
          <w:color w:val="auto"/>
          <w:sz w:val="24"/>
          <w:szCs w:val="24"/>
          <w:highlight w:val="none"/>
        </w:rPr>
        <w:t>分，本项目</w:t>
      </w:r>
      <w:r>
        <w:rPr>
          <w:rFonts w:hint="eastAsia" w:ascii="新宋体" w:hAnsi="新宋体" w:eastAsia="新宋体" w:cs="新宋体"/>
          <w:color w:val="auto"/>
          <w:sz w:val="24"/>
          <w:szCs w:val="24"/>
          <w:highlight w:val="none"/>
          <w:lang w:val="en-US" w:eastAsia="zh-CN"/>
        </w:rPr>
        <w:t>资金分配合理</w:t>
      </w:r>
      <w:r>
        <w:rPr>
          <w:rFonts w:hint="eastAsia" w:ascii="新宋体" w:hAnsi="新宋体" w:eastAsia="新宋体" w:cs="新宋体"/>
          <w:color w:val="auto"/>
          <w:sz w:val="24"/>
          <w:szCs w:val="24"/>
          <w:highlight w:val="none"/>
        </w:rPr>
        <w:t>。</w:t>
      </w:r>
    </w:p>
    <w:p w14:paraId="2F6CC9FC">
      <w:pPr>
        <w:pStyle w:val="15"/>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（二）项目过程情况</w:t>
      </w:r>
    </w:p>
    <w:p w14:paraId="6E09953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项目过程类指标包括资金管理和组织实施两方面的内容，由</w:t>
      </w:r>
      <w:r>
        <w:rPr>
          <w:rFonts w:hint="eastAsia" w:ascii="新宋体" w:hAnsi="新宋体" w:eastAsia="新宋体" w:cs="新宋体"/>
          <w:color w:val="auto"/>
          <w:sz w:val="24"/>
          <w:szCs w:val="24"/>
          <w:highlight w:val="none"/>
          <w:lang w:val="en-US" w:eastAsia="zh-CN"/>
        </w:rPr>
        <w:t>5</w:t>
      </w:r>
      <w:r>
        <w:rPr>
          <w:rFonts w:hint="eastAsia" w:ascii="新宋体" w:hAnsi="新宋体" w:eastAsia="新宋体" w:cs="新宋体"/>
          <w:color w:val="auto"/>
          <w:sz w:val="24"/>
          <w:szCs w:val="24"/>
          <w:highlight w:val="none"/>
        </w:rPr>
        <w:t>个三级指标构成，权重分为</w:t>
      </w:r>
      <w:r>
        <w:rPr>
          <w:rFonts w:hint="eastAsia" w:ascii="新宋体" w:hAnsi="新宋体" w:eastAsia="新宋体" w:cs="新宋体"/>
          <w:color w:val="auto"/>
          <w:sz w:val="24"/>
          <w:szCs w:val="24"/>
          <w:highlight w:val="none"/>
          <w:lang w:val="en-US" w:eastAsia="zh-CN"/>
        </w:rPr>
        <w:t>12</w:t>
      </w:r>
      <w:r>
        <w:rPr>
          <w:rFonts w:hint="eastAsia" w:ascii="新宋体" w:hAnsi="新宋体" w:eastAsia="新宋体" w:cs="新宋体"/>
          <w:color w:val="auto"/>
          <w:sz w:val="24"/>
          <w:szCs w:val="24"/>
          <w:highlight w:val="none"/>
        </w:rPr>
        <w:t>分，实际得分</w:t>
      </w:r>
      <w:r>
        <w:rPr>
          <w:rFonts w:hint="eastAsia" w:ascii="新宋体" w:hAnsi="新宋体" w:eastAsia="新宋体" w:cs="新宋体"/>
          <w:color w:val="auto"/>
          <w:sz w:val="24"/>
          <w:szCs w:val="24"/>
          <w:highlight w:val="none"/>
          <w:lang w:val="en-US" w:eastAsia="zh-CN"/>
        </w:rPr>
        <w:t>12</w:t>
      </w:r>
      <w:r>
        <w:rPr>
          <w:rFonts w:hint="eastAsia" w:ascii="新宋体" w:hAnsi="新宋体" w:eastAsia="新宋体" w:cs="新宋体"/>
          <w:color w:val="auto"/>
          <w:sz w:val="24"/>
          <w:szCs w:val="24"/>
          <w:highlight w:val="none"/>
        </w:rPr>
        <w:t>分，得分率为</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w:t>
      </w:r>
    </w:p>
    <w:p w14:paraId="4A3FBBCC">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1.资金到位率：</w:t>
      </w:r>
    </w:p>
    <w:p w14:paraId="065BCC5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lang w:eastAsia="zh-CN"/>
        </w:rPr>
      </w:pPr>
      <w:r>
        <w:rPr>
          <w:rFonts w:hint="eastAsia" w:ascii="新宋体" w:hAnsi="新宋体" w:eastAsia="新宋体" w:cs="新宋体"/>
          <w:color w:val="auto"/>
          <w:sz w:val="24"/>
          <w:szCs w:val="24"/>
          <w:highlight w:val="none"/>
        </w:rPr>
        <w:t>本项目预算资金为</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万元，其中：财政安排资金</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万元，其他资金</w:t>
      </w:r>
      <w:r>
        <w:rPr>
          <w:rFonts w:hint="eastAsia" w:ascii="新宋体" w:hAnsi="新宋体" w:eastAsia="新宋体" w:cs="新宋体"/>
          <w:color w:val="auto"/>
          <w:sz w:val="24"/>
          <w:szCs w:val="24"/>
          <w:highlight w:val="none"/>
          <w:lang w:val="en-US" w:eastAsia="zh-CN"/>
        </w:rPr>
        <w:t>0</w:t>
      </w:r>
      <w:r>
        <w:rPr>
          <w:rFonts w:hint="eastAsia" w:ascii="新宋体" w:hAnsi="新宋体" w:eastAsia="新宋体" w:cs="新宋体"/>
          <w:color w:val="auto"/>
          <w:sz w:val="24"/>
          <w:szCs w:val="24"/>
          <w:highlight w:val="none"/>
        </w:rPr>
        <w:t>万元，实际到位资金</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万元，资金到位率</w:t>
      </w:r>
      <w:r>
        <w:rPr>
          <w:rFonts w:hint="eastAsia" w:ascii="新宋体" w:hAnsi="新宋体" w:eastAsia="新宋体" w:cs="新宋体"/>
          <w:color w:val="auto"/>
          <w:sz w:val="24"/>
          <w:szCs w:val="24"/>
          <w:highlight w:val="none"/>
          <w:lang w:val="en-US" w:eastAsia="zh-CN"/>
        </w:rPr>
        <w:t>100%。通过分析可知，该项目</w:t>
      </w:r>
      <w:r>
        <w:rPr>
          <w:rFonts w:hint="eastAsia" w:ascii="新宋体" w:hAnsi="新宋体" w:eastAsia="新宋体" w:cs="新宋体"/>
          <w:color w:val="auto"/>
          <w:sz w:val="24"/>
          <w:szCs w:val="24"/>
          <w:highlight w:val="none"/>
        </w:rPr>
        <w:t>财政资金足额拨付到位，能够及时足额</w:t>
      </w:r>
      <w:r>
        <w:rPr>
          <w:rFonts w:hint="eastAsia" w:ascii="新宋体" w:hAnsi="新宋体" w:eastAsia="新宋体" w:cs="新宋体"/>
          <w:color w:val="auto"/>
          <w:sz w:val="24"/>
          <w:szCs w:val="24"/>
          <w:highlight w:val="none"/>
          <w:lang w:val="en-US" w:eastAsia="zh-CN"/>
        </w:rPr>
        <w:t>支付</w:t>
      </w:r>
      <w:r>
        <w:rPr>
          <w:rFonts w:hint="eastAsia" w:ascii="新宋体" w:hAnsi="新宋体" w:eastAsia="新宋体" w:cs="新宋体"/>
          <w:color w:val="auto"/>
          <w:sz w:val="24"/>
          <w:szCs w:val="24"/>
          <w:highlight w:val="none"/>
        </w:rPr>
        <w:t>给</w:t>
      </w:r>
      <w:r>
        <w:rPr>
          <w:rFonts w:hint="eastAsia" w:ascii="新宋体" w:hAnsi="新宋体" w:eastAsia="新宋体" w:cs="新宋体"/>
          <w:color w:val="auto"/>
          <w:sz w:val="24"/>
          <w:szCs w:val="24"/>
          <w:highlight w:val="none"/>
          <w:lang w:val="en-US" w:eastAsia="zh-CN"/>
        </w:rPr>
        <w:t>实施</w:t>
      </w:r>
      <w:r>
        <w:rPr>
          <w:rFonts w:hint="eastAsia" w:ascii="新宋体" w:hAnsi="新宋体" w:eastAsia="新宋体" w:cs="新宋体"/>
          <w:color w:val="auto"/>
          <w:sz w:val="24"/>
          <w:szCs w:val="24"/>
          <w:highlight w:val="none"/>
        </w:rPr>
        <w:t>单位</w:t>
      </w:r>
      <w:r>
        <w:rPr>
          <w:rFonts w:hint="eastAsia" w:ascii="新宋体" w:hAnsi="新宋体" w:eastAsia="新宋体" w:cs="新宋体"/>
          <w:color w:val="auto"/>
          <w:sz w:val="24"/>
          <w:szCs w:val="24"/>
          <w:highlight w:val="none"/>
          <w:lang w:eastAsia="zh-CN"/>
        </w:rPr>
        <w:t>。</w:t>
      </w:r>
    </w:p>
    <w:p w14:paraId="69A9197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lang w:eastAsia="zh-CN"/>
        </w:rPr>
      </w:pPr>
      <w:r>
        <w:rPr>
          <w:rFonts w:hint="eastAsia" w:ascii="新宋体" w:hAnsi="新宋体" w:eastAsia="新宋体" w:cs="新宋体"/>
          <w:color w:val="auto"/>
          <w:sz w:val="24"/>
          <w:szCs w:val="24"/>
          <w:highlight w:val="none"/>
        </w:rPr>
        <w:t>根据评分标准，该指标不扣分，得</w:t>
      </w:r>
      <w:r>
        <w:rPr>
          <w:rFonts w:hint="eastAsia" w:ascii="新宋体" w:hAnsi="新宋体" w:eastAsia="新宋体" w:cs="新宋体"/>
          <w:color w:val="auto"/>
          <w:sz w:val="24"/>
          <w:szCs w:val="24"/>
          <w:highlight w:val="none"/>
          <w:lang w:val="en-US" w:eastAsia="zh-CN"/>
        </w:rPr>
        <w:t>1</w:t>
      </w:r>
      <w:r>
        <w:rPr>
          <w:rFonts w:hint="eastAsia" w:ascii="新宋体" w:hAnsi="新宋体" w:eastAsia="新宋体" w:cs="新宋体"/>
          <w:color w:val="auto"/>
          <w:sz w:val="24"/>
          <w:szCs w:val="24"/>
          <w:highlight w:val="none"/>
        </w:rPr>
        <w:t>分。</w:t>
      </w:r>
    </w:p>
    <w:p w14:paraId="37BD9D75">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2.预算执行率：</w:t>
      </w:r>
    </w:p>
    <w:p w14:paraId="5CEBEA8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lang w:eastAsia="zh-CN"/>
        </w:rPr>
      </w:pPr>
      <w:r>
        <w:rPr>
          <w:rFonts w:hint="eastAsia" w:ascii="新宋体" w:hAnsi="新宋体" w:eastAsia="新宋体" w:cs="新宋体"/>
          <w:b w:val="0"/>
          <w:bCs w:val="0"/>
          <w:color w:val="auto"/>
          <w:sz w:val="24"/>
          <w:szCs w:val="24"/>
          <w:highlight w:val="none"/>
          <w:lang w:eastAsia="zh-CN"/>
        </w:rPr>
        <w:t>该</w:t>
      </w:r>
      <w:r>
        <w:rPr>
          <w:rFonts w:hint="eastAsia" w:ascii="新宋体" w:hAnsi="新宋体" w:eastAsia="新宋体" w:cs="新宋体"/>
          <w:color w:val="auto"/>
          <w:sz w:val="24"/>
          <w:szCs w:val="24"/>
          <w:highlight w:val="none"/>
        </w:rPr>
        <w:t>项目</w:t>
      </w:r>
      <w:r>
        <w:rPr>
          <w:rFonts w:hint="eastAsia" w:ascii="新宋体" w:hAnsi="新宋体" w:eastAsia="新宋体" w:cs="新宋体"/>
          <w:color w:val="auto"/>
          <w:sz w:val="24"/>
          <w:szCs w:val="24"/>
          <w:highlight w:val="none"/>
          <w:lang w:eastAsia="zh-CN"/>
        </w:rPr>
        <w:t>于</w:t>
      </w:r>
      <w:r>
        <w:rPr>
          <w:rFonts w:hint="eastAsia" w:ascii="新宋体" w:hAnsi="新宋体" w:eastAsia="新宋体" w:cs="新宋体"/>
          <w:color w:val="auto"/>
          <w:sz w:val="24"/>
          <w:szCs w:val="24"/>
          <w:highlight w:val="none"/>
          <w:lang w:val="en-US" w:eastAsia="zh-CN"/>
        </w:rPr>
        <w:t>2024年1月开始，2024年12月结束，该项目全年安排预算资金100万元，</w:t>
      </w:r>
      <w:r>
        <w:rPr>
          <w:rFonts w:hint="eastAsia" w:ascii="新宋体" w:hAnsi="新宋体" w:eastAsia="新宋体" w:cs="新宋体"/>
          <w:color w:val="auto"/>
          <w:sz w:val="24"/>
          <w:szCs w:val="24"/>
          <w:highlight w:val="none"/>
        </w:rPr>
        <w:t>实际支出资金</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万元，预算编制较为详细，项目资金支出总体能够按照预算执行，</w:t>
      </w:r>
      <w:r>
        <w:rPr>
          <w:rFonts w:hint="eastAsia" w:ascii="新宋体" w:hAnsi="新宋体" w:eastAsia="新宋体" w:cs="新宋体"/>
          <w:color w:val="auto"/>
          <w:sz w:val="24"/>
          <w:szCs w:val="24"/>
          <w:highlight w:val="none"/>
          <w:lang w:eastAsia="zh-CN"/>
        </w:rPr>
        <w:t>预算执行率达到</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lang w:eastAsia="zh-CN"/>
        </w:rPr>
        <w:t>。</w:t>
      </w:r>
    </w:p>
    <w:p w14:paraId="4F97843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根据评分标准，该指标不扣分，得</w:t>
      </w:r>
      <w:r>
        <w:rPr>
          <w:rFonts w:hint="eastAsia" w:ascii="新宋体" w:hAnsi="新宋体" w:eastAsia="新宋体" w:cs="新宋体"/>
          <w:color w:val="auto"/>
          <w:sz w:val="24"/>
          <w:szCs w:val="24"/>
          <w:highlight w:val="none"/>
          <w:lang w:val="en-US" w:eastAsia="zh-CN"/>
        </w:rPr>
        <w:t>2</w:t>
      </w:r>
      <w:r>
        <w:rPr>
          <w:rFonts w:hint="eastAsia" w:ascii="新宋体" w:hAnsi="新宋体" w:eastAsia="新宋体" w:cs="新宋体"/>
          <w:color w:val="auto"/>
          <w:sz w:val="24"/>
          <w:szCs w:val="24"/>
          <w:highlight w:val="none"/>
        </w:rPr>
        <w:t>分。</w:t>
      </w:r>
    </w:p>
    <w:p w14:paraId="2BB96C76">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3.资金使用合规性：</w:t>
      </w:r>
    </w:p>
    <w:p w14:paraId="0EB0784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b w:val="0"/>
          <w:bCs w:val="0"/>
          <w:color w:val="auto"/>
          <w:sz w:val="24"/>
          <w:szCs w:val="24"/>
          <w:highlight w:val="none"/>
          <w:lang w:eastAsia="zh-CN"/>
        </w:rPr>
      </w:pPr>
      <w:r>
        <w:rPr>
          <w:rFonts w:hint="eastAsia" w:ascii="新宋体" w:hAnsi="新宋体" w:eastAsia="新宋体" w:cs="新宋体"/>
          <w:color w:val="auto"/>
          <w:sz w:val="24"/>
          <w:szCs w:val="24"/>
          <w:highlight w:val="none"/>
          <w:lang w:eastAsia="zh-CN"/>
        </w:rPr>
        <w:t>由该</w:t>
      </w:r>
      <w:r>
        <w:rPr>
          <w:rFonts w:hint="eastAsia" w:ascii="新宋体" w:hAnsi="新宋体" w:eastAsia="新宋体" w:cs="新宋体"/>
          <w:color w:val="auto"/>
          <w:sz w:val="24"/>
          <w:szCs w:val="24"/>
          <w:highlight w:val="none"/>
        </w:rPr>
        <w:t>项目资金</w:t>
      </w:r>
      <w:r>
        <w:rPr>
          <w:rFonts w:hint="eastAsia" w:ascii="新宋体" w:hAnsi="新宋体" w:eastAsia="新宋体" w:cs="新宋体"/>
          <w:color w:val="auto"/>
          <w:sz w:val="24"/>
          <w:szCs w:val="24"/>
          <w:highlight w:val="none"/>
          <w:lang w:val="en-US" w:eastAsia="zh-CN"/>
        </w:rPr>
        <w:t>实施方案</w:t>
      </w:r>
      <w:r>
        <w:rPr>
          <w:rFonts w:hint="eastAsia" w:ascii="新宋体" w:hAnsi="新宋体" w:eastAsia="新宋体" w:cs="新宋体"/>
          <w:color w:val="auto"/>
          <w:sz w:val="24"/>
          <w:szCs w:val="24"/>
          <w:highlight w:val="none"/>
        </w:rPr>
        <w:t>文件、</w:t>
      </w:r>
      <w:r>
        <w:rPr>
          <w:rFonts w:hint="eastAsia" w:ascii="新宋体" w:hAnsi="新宋体" w:eastAsia="新宋体" w:cs="新宋体"/>
          <w:color w:val="auto"/>
          <w:sz w:val="24"/>
          <w:szCs w:val="24"/>
          <w:highlight w:val="none"/>
          <w:lang w:val="en-US" w:eastAsia="zh-CN"/>
        </w:rPr>
        <w:t>国库支付凭证</w:t>
      </w:r>
      <w:r>
        <w:rPr>
          <w:rFonts w:hint="eastAsia" w:ascii="新宋体" w:hAnsi="新宋体" w:eastAsia="新宋体" w:cs="新宋体"/>
          <w:color w:val="auto"/>
          <w:sz w:val="24"/>
          <w:szCs w:val="24"/>
          <w:highlight w:val="none"/>
        </w:rPr>
        <w:t>等财务</w:t>
      </w:r>
      <w:r>
        <w:rPr>
          <w:rFonts w:hint="eastAsia" w:ascii="新宋体" w:hAnsi="新宋体" w:eastAsia="新宋体" w:cs="新宋体"/>
          <w:color w:val="auto"/>
          <w:sz w:val="24"/>
          <w:szCs w:val="24"/>
          <w:highlight w:val="none"/>
          <w:lang w:val="en-US" w:eastAsia="zh-CN"/>
        </w:rPr>
        <w:t>资料</w:t>
      </w:r>
      <w:r>
        <w:rPr>
          <w:rFonts w:hint="eastAsia" w:ascii="新宋体" w:hAnsi="新宋体" w:eastAsia="新宋体" w:cs="新宋体"/>
          <w:color w:val="auto"/>
          <w:sz w:val="24"/>
          <w:szCs w:val="24"/>
          <w:highlight w:val="none"/>
        </w:rPr>
        <w:t>，</w:t>
      </w:r>
      <w:r>
        <w:rPr>
          <w:rFonts w:hint="eastAsia" w:ascii="新宋体" w:hAnsi="新宋体" w:eastAsia="新宋体" w:cs="新宋体"/>
          <w:color w:val="auto"/>
          <w:sz w:val="24"/>
          <w:szCs w:val="24"/>
          <w:highlight w:val="none"/>
          <w:lang w:eastAsia="zh-CN"/>
        </w:rPr>
        <w:t>均</w:t>
      </w:r>
      <w:r>
        <w:rPr>
          <w:rFonts w:hint="eastAsia" w:ascii="新宋体" w:hAnsi="新宋体" w:eastAsia="新宋体" w:cs="新宋体"/>
          <w:color w:val="auto"/>
          <w:sz w:val="24"/>
          <w:szCs w:val="24"/>
          <w:highlight w:val="none"/>
        </w:rPr>
        <w:t>符合国家财经法规、《政府会计制度》《</w:t>
      </w:r>
      <w:r>
        <w:rPr>
          <w:rFonts w:hint="eastAsia" w:ascii="新宋体" w:hAnsi="新宋体" w:eastAsia="新宋体" w:cs="新宋体"/>
          <w:color w:val="auto"/>
          <w:sz w:val="24"/>
          <w:szCs w:val="24"/>
          <w:highlight w:val="none"/>
          <w:lang w:eastAsia="zh-CN"/>
        </w:rPr>
        <w:t>洛浦县农村合作经济发展中心</w:t>
      </w:r>
      <w:r>
        <w:rPr>
          <w:rFonts w:hint="eastAsia" w:ascii="新宋体" w:hAnsi="新宋体" w:eastAsia="新宋体" w:cs="新宋体"/>
          <w:color w:val="auto"/>
          <w:sz w:val="24"/>
          <w:szCs w:val="24"/>
          <w:highlight w:val="none"/>
        </w:rPr>
        <w:t>单位资金管理办法》《</w:t>
      </w:r>
      <w:r>
        <w:rPr>
          <w:rFonts w:hint="eastAsia" w:ascii="新宋体" w:hAnsi="新宋体" w:eastAsia="新宋体" w:cs="新宋体"/>
          <w:color w:val="auto"/>
          <w:sz w:val="24"/>
          <w:szCs w:val="24"/>
          <w:highlight w:val="none"/>
          <w:lang w:eastAsia="zh-CN"/>
        </w:rPr>
        <w:t>洛浦县农村合作经济发展中心</w:t>
      </w:r>
      <w:r>
        <w:rPr>
          <w:rFonts w:hint="eastAsia" w:ascii="新宋体" w:hAnsi="新宋体" w:eastAsia="新宋体" w:cs="新宋体"/>
          <w:color w:val="auto"/>
          <w:sz w:val="24"/>
          <w:szCs w:val="24"/>
          <w:highlight w:val="none"/>
        </w:rPr>
        <w:t>专项资金管理办法》</w:t>
      </w:r>
      <w:r>
        <w:rPr>
          <w:rFonts w:hint="eastAsia" w:ascii="新宋体" w:hAnsi="新宋体" w:eastAsia="新宋体" w:cs="新宋体"/>
          <w:color w:val="auto"/>
          <w:sz w:val="24"/>
          <w:szCs w:val="24"/>
          <w:highlight w:val="none"/>
          <w:lang w:eastAsia="zh-CN"/>
        </w:rPr>
        <w:t>规定；项目</w:t>
      </w:r>
      <w:r>
        <w:rPr>
          <w:rFonts w:hint="eastAsia" w:ascii="新宋体" w:hAnsi="新宋体" w:eastAsia="新宋体" w:cs="新宋体"/>
          <w:color w:val="auto"/>
          <w:sz w:val="24"/>
          <w:szCs w:val="24"/>
          <w:highlight w:val="none"/>
        </w:rPr>
        <w:t>资金</w:t>
      </w:r>
      <w:r>
        <w:rPr>
          <w:rFonts w:hint="eastAsia" w:ascii="新宋体" w:hAnsi="新宋体" w:eastAsia="新宋体" w:cs="新宋体"/>
          <w:color w:val="auto"/>
          <w:sz w:val="24"/>
          <w:szCs w:val="24"/>
          <w:highlight w:val="none"/>
          <w:lang w:eastAsia="zh-CN"/>
        </w:rPr>
        <w:t>严格按照财政相关相求进行申报，</w:t>
      </w:r>
      <w:r>
        <w:rPr>
          <w:rFonts w:hint="eastAsia" w:ascii="新宋体" w:hAnsi="新宋体" w:eastAsia="新宋体" w:cs="新宋体"/>
          <w:color w:val="auto"/>
          <w:sz w:val="24"/>
          <w:szCs w:val="24"/>
          <w:highlight w:val="none"/>
        </w:rPr>
        <w:t>有完整的审批程序和手续</w:t>
      </w:r>
      <w:r>
        <w:rPr>
          <w:rFonts w:hint="eastAsia" w:ascii="新宋体" w:hAnsi="新宋体" w:eastAsia="新宋体" w:cs="新宋体"/>
          <w:color w:val="auto"/>
          <w:sz w:val="24"/>
          <w:szCs w:val="24"/>
          <w:highlight w:val="none"/>
          <w:lang w:eastAsia="zh-CN"/>
        </w:rPr>
        <w:t>；按照年初制定《洛浦县2024年农业生产社会化服务项目</w:t>
      </w:r>
      <w:r>
        <w:rPr>
          <w:rFonts w:hint="eastAsia" w:ascii="新宋体" w:hAnsi="新宋体" w:eastAsia="新宋体" w:cs="新宋体"/>
          <w:color w:val="auto"/>
          <w:sz w:val="24"/>
          <w:szCs w:val="24"/>
          <w:highlight w:val="none"/>
          <w:lang w:val="en-US" w:eastAsia="zh-CN"/>
        </w:rPr>
        <w:t>实施方案</w:t>
      </w:r>
      <w:r>
        <w:rPr>
          <w:rFonts w:hint="eastAsia" w:ascii="新宋体" w:hAnsi="新宋体" w:eastAsia="新宋体" w:cs="新宋体"/>
          <w:color w:val="auto"/>
          <w:sz w:val="24"/>
          <w:szCs w:val="24"/>
          <w:highlight w:val="none"/>
          <w:lang w:eastAsia="zh-CN"/>
        </w:rPr>
        <w:t>》落实资金使用，</w:t>
      </w:r>
      <w:r>
        <w:rPr>
          <w:rFonts w:hint="eastAsia" w:ascii="新宋体" w:hAnsi="新宋体" w:eastAsia="新宋体" w:cs="新宋体"/>
          <w:color w:val="auto"/>
          <w:sz w:val="24"/>
          <w:szCs w:val="24"/>
          <w:highlight w:val="none"/>
        </w:rPr>
        <w:t>资金实际使用方向与预算批复用途一致</w:t>
      </w:r>
      <w:r>
        <w:rPr>
          <w:rFonts w:hint="eastAsia" w:ascii="新宋体" w:hAnsi="新宋体" w:eastAsia="新宋体" w:cs="新宋体"/>
          <w:color w:val="auto"/>
          <w:sz w:val="24"/>
          <w:szCs w:val="24"/>
          <w:highlight w:val="none"/>
          <w:lang w:eastAsia="zh-CN"/>
        </w:rPr>
        <w:t>；</w:t>
      </w:r>
      <w:r>
        <w:rPr>
          <w:rFonts w:hint="eastAsia" w:ascii="新宋体" w:hAnsi="新宋体" w:eastAsia="新宋体" w:cs="新宋体"/>
          <w:color w:val="auto"/>
          <w:sz w:val="24"/>
          <w:szCs w:val="24"/>
          <w:highlight w:val="none"/>
        </w:rPr>
        <w:t>不存在截留、挤占、挪用、虚列支出的情况</w:t>
      </w:r>
      <w:r>
        <w:rPr>
          <w:rFonts w:hint="eastAsia" w:ascii="新宋体" w:hAnsi="新宋体" w:eastAsia="新宋体" w:cs="新宋体"/>
          <w:b w:val="0"/>
          <w:bCs w:val="0"/>
          <w:color w:val="auto"/>
          <w:sz w:val="24"/>
          <w:szCs w:val="24"/>
          <w:highlight w:val="none"/>
          <w:lang w:eastAsia="zh-CN"/>
        </w:rPr>
        <w:t>。</w:t>
      </w:r>
    </w:p>
    <w:p w14:paraId="7FB6F99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b w:val="0"/>
          <w:bCs w:val="0"/>
          <w:color w:val="auto"/>
          <w:sz w:val="24"/>
          <w:szCs w:val="24"/>
          <w:highlight w:val="none"/>
          <w:lang w:eastAsia="zh-CN"/>
        </w:rPr>
      </w:pPr>
      <w:r>
        <w:rPr>
          <w:rFonts w:hint="eastAsia" w:ascii="新宋体" w:hAnsi="新宋体" w:eastAsia="新宋体" w:cs="新宋体"/>
          <w:b w:val="0"/>
          <w:bCs w:val="0"/>
          <w:color w:val="auto"/>
          <w:sz w:val="24"/>
          <w:szCs w:val="24"/>
          <w:highlight w:val="none"/>
          <w:lang w:eastAsia="zh-CN"/>
        </w:rPr>
        <w:t>根据评分标准，该指标不扣分，得</w:t>
      </w:r>
      <w:r>
        <w:rPr>
          <w:rFonts w:hint="eastAsia" w:ascii="新宋体" w:hAnsi="新宋体" w:eastAsia="新宋体" w:cs="新宋体"/>
          <w:b w:val="0"/>
          <w:bCs w:val="0"/>
          <w:color w:val="auto"/>
          <w:sz w:val="24"/>
          <w:szCs w:val="24"/>
          <w:highlight w:val="none"/>
          <w:lang w:val="en-US" w:eastAsia="zh-CN"/>
        </w:rPr>
        <w:t>3</w:t>
      </w:r>
      <w:r>
        <w:rPr>
          <w:rFonts w:hint="eastAsia" w:ascii="新宋体" w:hAnsi="新宋体" w:eastAsia="新宋体" w:cs="新宋体"/>
          <w:b w:val="0"/>
          <w:bCs w:val="0"/>
          <w:color w:val="auto"/>
          <w:sz w:val="24"/>
          <w:szCs w:val="24"/>
          <w:highlight w:val="none"/>
          <w:lang w:eastAsia="zh-CN"/>
        </w:rPr>
        <w:t>分。</w:t>
      </w:r>
    </w:p>
    <w:p w14:paraId="46B4A8DB">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4.管理制度健全性：</w:t>
      </w:r>
    </w:p>
    <w:p w14:paraId="4008AE0A">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b w:val="0"/>
          <w:bCs w:val="0"/>
          <w:color w:val="auto"/>
          <w:sz w:val="24"/>
          <w:szCs w:val="24"/>
          <w:highlight w:val="none"/>
          <w:lang w:val="en-US" w:eastAsia="zh-CN"/>
        </w:rPr>
        <w:t>我</w:t>
      </w:r>
      <w:r>
        <w:rPr>
          <w:rFonts w:hint="eastAsia" w:ascii="新宋体" w:hAnsi="新宋体" w:eastAsia="新宋体" w:cs="新宋体"/>
          <w:b w:val="0"/>
          <w:bCs w:val="0"/>
          <w:color w:val="auto"/>
          <w:sz w:val="24"/>
          <w:szCs w:val="24"/>
          <w:highlight w:val="none"/>
        </w:rPr>
        <w:t>单位已制定《</w:t>
      </w:r>
      <w:r>
        <w:rPr>
          <w:rFonts w:hint="eastAsia" w:ascii="新宋体" w:hAnsi="新宋体" w:eastAsia="新宋体" w:cs="新宋体"/>
          <w:b w:val="0"/>
          <w:bCs w:val="0"/>
          <w:color w:val="auto"/>
          <w:sz w:val="24"/>
          <w:szCs w:val="24"/>
          <w:highlight w:val="none"/>
          <w:lang w:eastAsia="zh-CN"/>
        </w:rPr>
        <w:t>洛浦县农村合作经济发展中心</w:t>
      </w:r>
      <w:r>
        <w:rPr>
          <w:rFonts w:hint="eastAsia" w:ascii="新宋体" w:hAnsi="新宋体" w:eastAsia="新宋体" w:cs="新宋体"/>
          <w:b w:val="0"/>
          <w:bCs w:val="0"/>
          <w:color w:val="auto"/>
          <w:sz w:val="24"/>
          <w:szCs w:val="24"/>
          <w:highlight w:val="none"/>
        </w:rPr>
        <w:t>资金管理办法》《</w:t>
      </w:r>
      <w:r>
        <w:rPr>
          <w:rFonts w:hint="eastAsia" w:ascii="新宋体" w:hAnsi="新宋体" w:eastAsia="新宋体" w:cs="新宋体"/>
          <w:b w:val="0"/>
          <w:bCs w:val="0"/>
          <w:color w:val="auto"/>
          <w:sz w:val="24"/>
          <w:szCs w:val="24"/>
          <w:highlight w:val="none"/>
          <w:lang w:eastAsia="zh-CN"/>
        </w:rPr>
        <w:t>洛浦县农村合作经济发展中心</w:t>
      </w:r>
      <w:r>
        <w:rPr>
          <w:rFonts w:hint="eastAsia" w:ascii="新宋体" w:hAnsi="新宋体" w:eastAsia="新宋体" w:cs="新宋体"/>
          <w:b w:val="0"/>
          <w:bCs w:val="0"/>
          <w:color w:val="auto"/>
          <w:sz w:val="24"/>
          <w:szCs w:val="24"/>
          <w:highlight w:val="none"/>
        </w:rPr>
        <w:t>收支业务管理制度》《</w:t>
      </w:r>
      <w:r>
        <w:rPr>
          <w:rFonts w:hint="eastAsia" w:ascii="新宋体" w:hAnsi="新宋体" w:eastAsia="新宋体" w:cs="新宋体"/>
          <w:b w:val="0"/>
          <w:bCs w:val="0"/>
          <w:color w:val="auto"/>
          <w:sz w:val="24"/>
          <w:szCs w:val="24"/>
          <w:highlight w:val="none"/>
          <w:lang w:eastAsia="zh-CN"/>
        </w:rPr>
        <w:t>洛浦县农村合作经济发展中心</w:t>
      </w:r>
      <w:r>
        <w:rPr>
          <w:rFonts w:hint="eastAsia" w:ascii="新宋体" w:hAnsi="新宋体" w:eastAsia="新宋体" w:cs="新宋体"/>
          <w:b w:val="0"/>
          <w:bCs w:val="0"/>
          <w:color w:val="auto"/>
          <w:sz w:val="24"/>
          <w:szCs w:val="24"/>
          <w:highlight w:val="none"/>
        </w:rPr>
        <w:t>政府采购业务管理制度》《</w:t>
      </w:r>
      <w:r>
        <w:rPr>
          <w:rFonts w:hint="eastAsia" w:ascii="新宋体" w:hAnsi="新宋体" w:eastAsia="新宋体" w:cs="新宋体"/>
          <w:b w:val="0"/>
          <w:bCs w:val="0"/>
          <w:color w:val="auto"/>
          <w:sz w:val="24"/>
          <w:szCs w:val="24"/>
          <w:highlight w:val="none"/>
          <w:lang w:eastAsia="zh-CN"/>
        </w:rPr>
        <w:t>洛浦县农村合作经济发展中心</w:t>
      </w:r>
      <w:r>
        <w:rPr>
          <w:rFonts w:hint="eastAsia" w:ascii="新宋体" w:hAnsi="新宋体" w:eastAsia="新宋体" w:cs="新宋体"/>
          <w:b w:val="0"/>
          <w:bCs w:val="0"/>
          <w:color w:val="auto"/>
          <w:sz w:val="24"/>
          <w:szCs w:val="24"/>
          <w:highlight w:val="none"/>
        </w:rPr>
        <w:t>合同管理制度》，</w:t>
      </w:r>
      <w:r>
        <w:rPr>
          <w:rFonts w:hint="eastAsia" w:ascii="新宋体" w:hAnsi="新宋体" w:eastAsia="新宋体" w:cs="新宋体"/>
          <w:b w:val="0"/>
          <w:bCs w:val="0"/>
          <w:color w:val="auto"/>
          <w:sz w:val="24"/>
          <w:szCs w:val="24"/>
          <w:highlight w:val="none"/>
          <w:lang w:val="en-US" w:eastAsia="zh-CN"/>
        </w:rPr>
        <w:t>相关</w:t>
      </w:r>
      <w:r>
        <w:rPr>
          <w:rFonts w:hint="eastAsia" w:ascii="新宋体" w:hAnsi="新宋体" w:eastAsia="新宋体" w:cs="新宋体"/>
          <w:b w:val="0"/>
          <w:bCs w:val="0"/>
          <w:color w:val="auto"/>
          <w:sz w:val="24"/>
          <w:szCs w:val="24"/>
          <w:highlight w:val="none"/>
        </w:rPr>
        <w:t>制度均符合行政事业单位内控管理要求，财务和业务管理制度合法、合规、完整</w:t>
      </w:r>
      <w:r>
        <w:rPr>
          <w:rFonts w:hint="eastAsia" w:ascii="新宋体" w:hAnsi="新宋体" w:eastAsia="新宋体" w:cs="新宋体"/>
          <w:color w:val="auto"/>
          <w:sz w:val="24"/>
          <w:szCs w:val="24"/>
          <w:highlight w:val="none"/>
        </w:rPr>
        <w:t>。</w:t>
      </w:r>
    </w:p>
    <w:p w14:paraId="29EEE18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根据评分标准，该指标不扣分，得</w:t>
      </w:r>
      <w:r>
        <w:rPr>
          <w:rFonts w:hint="eastAsia" w:ascii="新宋体" w:hAnsi="新宋体" w:eastAsia="新宋体" w:cs="新宋体"/>
          <w:color w:val="auto"/>
          <w:sz w:val="24"/>
          <w:szCs w:val="24"/>
          <w:highlight w:val="none"/>
          <w:lang w:val="en-US" w:eastAsia="zh-CN"/>
        </w:rPr>
        <w:t>3</w:t>
      </w:r>
      <w:r>
        <w:rPr>
          <w:rFonts w:hint="eastAsia" w:ascii="新宋体" w:hAnsi="新宋体" w:eastAsia="新宋体" w:cs="新宋体"/>
          <w:color w:val="auto"/>
          <w:sz w:val="24"/>
          <w:szCs w:val="24"/>
          <w:highlight w:val="none"/>
        </w:rPr>
        <w:t>分。</w:t>
      </w:r>
    </w:p>
    <w:p w14:paraId="23840915">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5.制度执行有效性：</w:t>
      </w:r>
    </w:p>
    <w:p w14:paraId="5DF19504">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新宋体" w:hAnsi="新宋体" w:eastAsia="新宋体" w:cs="新宋体"/>
          <w:b w:val="0"/>
          <w:bCs w:val="0"/>
          <w:color w:val="auto"/>
          <w:sz w:val="24"/>
          <w:szCs w:val="24"/>
          <w:highlight w:val="none"/>
          <w:lang w:eastAsia="zh-CN"/>
        </w:rPr>
      </w:pPr>
      <w:r>
        <w:rPr>
          <w:rFonts w:hint="eastAsia" w:ascii="新宋体" w:hAnsi="新宋体" w:eastAsia="新宋体" w:cs="新宋体"/>
          <w:color w:val="auto"/>
          <w:sz w:val="24"/>
          <w:szCs w:val="24"/>
          <w:highlight w:val="none"/>
        </w:rPr>
        <w:t>该项目的实施符合《</w:t>
      </w:r>
      <w:r>
        <w:rPr>
          <w:rFonts w:hint="eastAsia" w:ascii="新宋体" w:hAnsi="新宋体" w:eastAsia="新宋体" w:cs="新宋体"/>
          <w:color w:val="auto"/>
          <w:sz w:val="24"/>
          <w:szCs w:val="24"/>
          <w:highlight w:val="none"/>
          <w:lang w:eastAsia="zh-CN"/>
        </w:rPr>
        <w:t>洛浦县农村合作经济发展中心</w:t>
      </w:r>
      <w:r>
        <w:rPr>
          <w:rFonts w:hint="eastAsia" w:ascii="新宋体" w:hAnsi="新宋体" w:eastAsia="新宋体" w:cs="新宋体"/>
          <w:color w:val="auto"/>
          <w:sz w:val="24"/>
          <w:szCs w:val="24"/>
          <w:highlight w:val="none"/>
        </w:rPr>
        <w:t>资金管理办法》《</w:t>
      </w:r>
      <w:r>
        <w:rPr>
          <w:rFonts w:hint="eastAsia" w:ascii="新宋体" w:hAnsi="新宋体" w:eastAsia="新宋体" w:cs="新宋体"/>
          <w:color w:val="auto"/>
          <w:sz w:val="24"/>
          <w:szCs w:val="24"/>
          <w:highlight w:val="none"/>
          <w:lang w:eastAsia="zh-CN"/>
        </w:rPr>
        <w:t>洛浦县农村合作经济发展中心</w:t>
      </w:r>
      <w:r>
        <w:rPr>
          <w:rFonts w:hint="eastAsia" w:ascii="新宋体" w:hAnsi="新宋体" w:eastAsia="新宋体" w:cs="新宋体"/>
          <w:color w:val="auto"/>
          <w:sz w:val="24"/>
          <w:szCs w:val="24"/>
          <w:highlight w:val="none"/>
        </w:rPr>
        <w:t>管理制度》《</w:t>
      </w:r>
      <w:r>
        <w:rPr>
          <w:rFonts w:hint="eastAsia" w:ascii="新宋体" w:hAnsi="新宋体" w:eastAsia="新宋体" w:cs="新宋体"/>
          <w:color w:val="auto"/>
          <w:sz w:val="24"/>
          <w:szCs w:val="24"/>
          <w:highlight w:val="none"/>
          <w:lang w:eastAsia="zh-CN"/>
        </w:rPr>
        <w:t>洛浦县农村合作经济发展中心</w:t>
      </w:r>
      <w:r>
        <w:rPr>
          <w:rFonts w:hint="eastAsia" w:ascii="新宋体" w:hAnsi="新宋体" w:eastAsia="新宋体" w:cs="新宋体"/>
          <w:color w:val="auto"/>
          <w:sz w:val="24"/>
          <w:szCs w:val="24"/>
          <w:highlight w:val="none"/>
        </w:rPr>
        <w:t>采购业务管理制度》《</w:t>
      </w:r>
      <w:r>
        <w:rPr>
          <w:rFonts w:hint="eastAsia" w:ascii="新宋体" w:hAnsi="新宋体" w:eastAsia="新宋体" w:cs="新宋体"/>
          <w:color w:val="auto"/>
          <w:sz w:val="24"/>
          <w:szCs w:val="24"/>
          <w:highlight w:val="none"/>
          <w:lang w:eastAsia="zh-CN"/>
        </w:rPr>
        <w:t>洛浦县农村合作经济发展中心</w:t>
      </w:r>
      <w:r>
        <w:rPr>
          <w:rFonts w:hint="eastAsia" w:ascii="新宋体" w:hAnsi="新宋体" w:eastAsia="新宋体" w:cs="新宋体"/>
          <w:color w:val="auto"/>
          <w:sz w:val="24"/>
          <w:szCs w:val="24"/>
          <w:highlight w:val="none"/>
        </w:rPr>
        <w:t>合同管理制度》等相关法律法规及管理规定，项目具备完整规范的立项程序；项目采购、实施、验收等过程均按照采购管理办法和合同管理办法等相关制度执行，该项目实施过程中不存在调整事项</w:t>
      </w:r>
      <w:r>
        <w:rPr>
          <w:rFonts w:hint="eastAsia" w:ascii="新宋体" w:hAnsi="新宋体" w:eastAsia="新宋体" w:cs="新宋体"/>
          <w:color w:val="auto"/>
          <w:sz w:val="24"/>
          <w:szCs w:val="24"/>
          <w:highlight w:val="none"/>
          <w:lang w:val="en-US" w:eastAsia="zh-CN"/>
        </w:rPr>
        <w:t>；2024年12月项目结束，各类</w:t>
      </w:r>
      <w:r>
        <w:rPr>
          <w:rFonts w:hint="eastAsia" w:ascii="新宋体" w:hAnsi="新宋体" w:eastAsia="新宋体" w:cs="新宋体"/>
          <w:color w:val="auto"/>
          <w:sz w:val="24"/>
          <w:szCs w:val="24"/>
          <w:highlight w:val="none"/>
        </w:rPr>
        <w:t>会议纪要、项目资金支付审批表、</w:t>
      </w:r>
      <w:r>
        <w:rPr>
          <w:rFonts w:hint="eastAsia" w:ascii="新宋体" w:hAnsi="新宋体" w:eastAsia="新宋体" w:cs="新宋体"/>
          <w:color w:val="auto"/>
          <w:sz w:val="24"/>
          <w:szCs w:val="24"/>
          <w:highlight w:val="none"/>
          <w:lang w:eastAsia="zh-CN"/>
        </w:rPr>
        <w:t>合同、验收单、</w:t>
      </w:r>
      <w:r>
        <w:rPr>
          <w:rFonts w:hint="eastAsia" w:ascii="新宋体" w:hAnsi="新宋体" w:eastAsia="新宋体" w:cs="新宋体"/>
          <w:color w:val="auto"/>
          <w:sz w:val="24"/>
          <w:szCs w:val="24"/>
          <w:highlight w:val="none"/>
        </w:rPr>
        <w:t>记账凭证等</w:t>
      </w:r>
      <w:r>
        <w:rPr>
          <w:rFonts w:hint="eastAsia" w:ascii="新宋体" w:hAnsi="新宋体" w:eastAsia="新宋体" w:cs="新宋体"/>
          <w:color w:val="auto"/>
          <w:sz w:val="24"/>
          <w:szCs w:val="24"/>
          <w:highlight w:val="none"/>
          <w:lang w:eastAsia="zh-CN"/>
        </w:rPr>
        <w:t>财务</w:t>
      </w:r>
      <w:r>
        <w:rPr>
          <w:rFonts w:hint="eastAsia" w:ascii="新宋体" w:hAnsi="新宋体" w:eastAsia="新宋体" w:cs="新宋体"/>
          <w:color w:val="auto"/>
          <w:sz w:val="24"/>
          <w:szCs w:val="24"/>
          <w:highlight w:val="none"/>
        </w:rPr>
        <w:t>资料齐全并及时归档</w:t>
      </w:r>
      <w:r>
        <w:rPr>
          <w:rFonts w:hint="eastAsia" w:ascii="新宋体" w:hAnsi="新宋体" w:eastAsia="新宋体" w:cs="新宋体"/>
          <w:b w:val="0"/>
          <w:bCs w:val="0"/>
          <w:color w:val="auto"/>
          <w:sz w:val="24"/>
          <w:szCs w:val="24"/>
          <w:highlight w:val="none"/>
          <w:lang w:eastAsia="zh-CN"/>
        </w:rPr>
        <w:t>。</w:t>
      </w:r>
    </w:p>
    <w:p w14:paraId="12732176">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新宋体" w:hAnsi="新宋体" w:eastAsia="新宋体" w:cs="新宋体"/>
          <w:b w:val="0"/>
          <w:bCs w:val="0"/>
          <w:color w:val="auto"/>
          <w:sz w:val="24"/>
          <w:szCs w:val="24"/>
          <w:highlight w:val="none"/>
          <w:lang w:eastAsia="zh-CN"/>
        </w:rPr>
      </w:pPr>
      <w:r>
        <w:rPr>
          <w:rFonts w:hint="eastAsia" w:ascii="新宋体" w:hAnsi="新宋体" w:eastAsia="新宋体" w:cs="新宋体"/>
          <w:b w:val="0"/>
          <w:bCs w:val="0"/>
          <w:color w:val="auto"/>
          <w:sz w:val="24"/>
          <w:szCs w:val="24"/>
          <w:highlight w:val="none"/>
          <w:lang w:eastAsia="zh-CN"/>
        </w:rPr>
        <w:t>根据评分标准，该指标不扣分，得</w:t>
      </w:r>
      <w:r>
        <w:rPr>
          <w:rFonts w:hint="eastAsia" w:ascii="新宋体" w:hAnsi="新宋体" w:eastAsia="新宋体" w:cs="新宋体"/>
          <w:b w:val="0"/>
          <w:bCs w:val="0"/>
          <w:color w:val="auto"/>
          <w:sz w:val="24"/>
          <w:szCs w:val="24"/>
          <w:highlight w:val="none"/>
          <w:lang w:val="en-US" w:eastAsia="zh-CN"/>
        </w:rPr>
        <w:t>3</w:t>
      </w:r>
      <w:r>
        <w:rPr>
          <w:rFonts w:hint="eastAsia" w:ascii="新宋体" w:hAnsi="新宋体" w:eastAsia="新宋体" w:cs="新宋体"/>
          <w:b w:val="0"/>
          <w:bCs w:val="0"/>
          <w:color w:val="auto"/>
          <w:sz w:val="24"/>
          <w:szCs w:val="24"/>
          <w:highlight w:val="none"/>
          <w:lang w:eastAsia="zh-CN"/>
        </w:rPr>
        <w:t>分。</w:t>
      </w:r>
    </w:p>
    <w:p w14:paraId="79E12A29">
      <w:pPr>
        <w:pStyle w:val="15"/>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（三）项目产出情况</w:t>
      </w:r>
    </w:p>
    <w:p w14:paraId="773DE1F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项目产出类指标包括产出数量、产出质量、产出时效、产出成本四方面的内容，由</w:t>
      </w:r>
      <w:r>
        <w:rPr>
          <w:rFonts w:hint="eastAsia" w:ascii="新宋体" w:hAnsi="新宋体" w:eastAsia="新宋体" w:cs="新宋体"/>
          <w:color w:val="auto"/>
          <w:sz w:val="24"/>
          <w:szCs w:val="24"/>
          <w:highlight w:val="none"/>
          <w:lang w:val="en-US" w:eastAsia="zh-CN"/>
        </w:rPr>
        <w:t>8</w:t>
      </w:r>
      <w:r>
        <w:rPr>
          <w:rFonts w:hint="eastAsia" w:ascii="新宋体" w:hAnsi="新宋体" w:eastAsia="新宋体" w:cs="新宋体"/>
          <w:color w:val="auto"/>
          <w:sz w:val="24"/>
          <w:szCs w:val="24"/>
          <w:highlight w:val="none"/>
        </w:rPr>
        <w:t>个三级指标构成，权重分为</w:t>
      </w:r>
      <w:r>
        <w:rPr>
          <w:rFonts w:hint="eastAsia" w:ascii="新宋体" w:hAnsi="新宋体" w:eastAsia="新宋体" w:cs="新宋体"/>
          <w:color w:val="auto"/>
          <w:sz w:val="24"/>
          <w:szCs w:val="24"/>
          <w:highlight w:val="none"/>
          <w:lang w:val="en-US" w:eastAsia="zh-CN"/>
        </w:rPr>
        <w:t>40</w:t>
      </w:r>
      <w:r>
        <w:rPr>
          <w:rFonts w:hint="eastAsia" w:ascii="新宋体" w:hAnsi="新宋体" w:eastAsia="新宋体" w:cs="新宋体"/>
          <w:color w:val="auto"/>
          <w:sz w:val="24"/>
          <w:szCs w:val="24"/>
          <w:highlight w:val="none"/>
        </w:rPr>
        <w:t>分，实际得分</w:t>
      </w:r>
      <w:r>
        <w:rPr>
          <w:rFonts w:hint="eastAsia" w:ascii="新宋体" w:hAnsi="新宋体" w:eastAsia="新宋体" w:cs="新宋体"/>
          <w:color w:val="auto"/>
          <w:sz w:val="24"/>
          <w:szCs w:val="24"/>
          <w:highlight w:val="none"/>
          <w:lang w:val="en-US" w:eastAsia="zh-CN"/>
        </w:rPr>
        <w:t>40</w:t>
      </w:r>
      <w:r>
        <w:rPr>
          <w:rFonts w:hint="eastAsia" w:ascii="新宋体" w:hAnsi="新宋体" w:eastAsia="新宋体" w:cs="新宋体"/>
          <w:color w:val="auto"/>
          <w:sz w:val="24"/>
          <w:szCs w:val="24"/>
          <w:highlight w:val="none"/>
        </w:rPr>
        <w:t>分，得分率为</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w:t>
      </w:r>
    </w:p>
    <w:p w14:paraId="011E26FE">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1.对于“产出数量”</w:t>
      </w:r>
    </w:p>
    <w:p w14:paraId="432D1A7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default" w:ascii="新宋体" w:hAnsi="新宋体" w:eastAsia="新宋体" w:cs="新宋体"/>
          <w:color w:val="auto"/>
          <w:sz w:val="24"/>
          <w:szCs w:val="24"/>
          <w:highlight w:val="none"/>
          <w:lang w:val="en-US" w:eastAsia="zh-CN"/>
        </w:rPr>
      </w:pPr>
      <w:r>
        <w:rPr>
          <w:rFonts w:hint="eastAsia" w:ascii="新宋体" w:hAnsi="新宋体" w:eastAsia="新宋体" w:cs="新宋体"/>
          <w:color w:val="auto"/>
          <w:sz w:val="24"/>
          <w:szCs w:val="24"/>
          <w:highlight w:val="none"/>
          <w:lang w:eastAsia="zh-CN"/>
        </w:rPr>
        <w:t>补助耕地面积，</w:t>
      </w:r>
      <w:r>
        <w:rPr>
          <w:rFonts w:hint="eastAsia" w:ascii="新宋体" w:hAnsi="新宋体" w:eastAsia="新宋体" w:cs="新宋体"/>
          <w:color w:val="auto"/>
          <w:sz w:val="24"/>
          <w:szCs w:val="24"/>
          <w:highlight w:val="none"/>
          <w:lang w:val="en-US" w:eastAsia="zh-CN"/>
        </w:rPr>
        <w:t>预期指标值&gt;=1万亩，实际完成值1万亩，指标完成率100%，</w:t>
      </w:r>
      <w:r>
        <w:rPr>
          <w:rFonts w:hint="eastAsia" w:ascii="新宋体" w:hAnsi="新宋体" w:eastAsia="新宋体" w:cs="新宋体"/>
          <w:color w:val="auto"/>
          <w:sz w:val="24"/>
          <w:szCs w:val="24"/>
          <w:highlight w:val="none"/>
        </w:rPr>
        <w:t>与预期目标一致，根据评分标准，该指标不扣分，</w:t>
      </w:r>
      <w:r>
        <w:rPr>
          <w:rFonts w:hint="eastAsia" w:ascii="新宋体" w:hAnsi="新宋体" w:eastAsia="新宋体" w:cs="新宋体"/>
          <w:color w:val="auto"/>
          <w:sz w:val="24"/>
          <w:szCs w:val="24"/>
          <w:highlight w:val="none"/>
          <w:lang w:val="en-US" w:eastAsia="zh-CN"/>
        </w:rPr>
        <w:t>得5分。</w:t>
      </w:r>
    </w:p>
    <w:p w14:paraId="683DA6E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合计得</w:t>
      </w:r>
      <w:r>
        <w:rPr>
          <w:rFonts w:hint="eastAsia" w:ascii="新宋体" w:hAnsi="新宋体" w:eastAsia="新宋体" w:cs="新宋体"/>
          <w:color w:val="auto"/>
          <w:sz w:val="24"/>
          <w:szCs w:val="24"/>
          <w:highlight w:val="none"/>
          <w:lang w:val="en-US" w:eastAsia="zh-CN"/>
        </w:rPr>
        <w:t>10</w:t>
      </w:r>
      <w:r>
        <w:rPr>
          <w:rFonts w:hint="eastAsia" w:ascii="新宋体" w:hAnsi="新宋体" w:eastAsia="新宋体" w:cs="新宋体"/>
          <w:color w:val="auto"/>
          <w:sz w:val="24"/>
          <w:szCs w:val="24"/>
          <w:highlight w:val="none"/>
        </w:rPr>
        <w:t>分。</w:t>
      </w:r>
    </w:p>
    <w:p w14:paraId="5F1305AA">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2.对于“产出质量”</w:t>
      </w:r>
    </w:p>
    <w:p w14:paraId="1EE9ECB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lang w:eastAsia="zh-CN"/>
        </w:rPr>
      </w:pPr>
      <w:r>
        <w:rPr>
          <w:rFonts w:hint="eastAsia" w:ascii="新宋体" w:hAnsi="新宋体" w:eastAsia="新宋体" w:cs="新宋体"/>
          <w:color w:val="auto"/>
          <w:sz w:val="24"/>
          <w:szCs w:val="24"/>
          <w:highlight w:val="none"/>
          <w:lang w:eastAsia="zh-CN"/>
        </w:rPr>
        <w:t>补助资金发放准确率</w:t>
      </w:r>
      <w:r>
        <w:rPr>
          <w:rFonts w:hint="eastAsia" w:ascii="新宋体" w:hAnsi="新宋体" w:eastAsia="新宋体" w:cs="新宋体"/>
          <w:color w:val="auto"/>
          <w:sz w:val="24"/>
          <w:szCs w:val="24"/>
          <w:highlight w:val="none"/>
        </w:rPr>
        <w:t>，预期指标值</w:t>
      </w:r>
      <w:r>
        <w:rPr>
          <w:rFonts w:hint="eastAsia" w:ascii="新宋体" w:hAnsi="新宋体" w:eastAsia="新宋体" w:cs="新宋体"/>
          <w:color w:val="auto"/>
          <w:sz w:val="24"/>
          <w:szCs w:val="24"/>
          <w:highlight w:val="none"/>
          <w:lang w:val="en-US" w:eastAsia="zh-CN"/>
        </w:rPr>
        <w:t>等于100%</w:t>
      </w:r>
      <w:r>
        <w:rPr>
          <w:rFonts w:hint="eastAsia" w:ascii="新宋体" w:hAnsi="新宋体" w:eastAsia="新宋体" w:cs="新宋体"/>
          <w:color w:val="auto"/>
          <w:sz w:val="24"/>
          <w:szCs w:val="24"/>
          <w:highlight w:val="none"/>
        </w:rPr>
        <w:t>，实际完成值</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，指标完成率为</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，与预期目标一致，根据评分标准，该指标不扣分，得</w:t>
      </w:r>
      <w:r>
        <w:rPr>
          <w:rFonts w:hint="eastAsia" w:ascii="新宋体" w:hAnsi="新宋体" w:eastAsia="新宋体" w:cs="新宋体"/>
          <w:color w:val="auto"/>
          <w:sz w:val="24"/>
          <w:szCs w:val="24"/>
          <w:highlight w:val="none"/>
          <w:lang w:val="en-US" w:eastAsia="zh-CN"/>
        </w:rPr>
        <w:t>10</w:t>
      </w:r>
      <w:r>
        <w:rPr>
          <w:rFonts w:hint="eastAsia" w:ascii="新宋体" w:hAnsi="新宋体" w:eastAsia="新宋体" w:cs="新宋体"/>
          <w:color w:val="auto"/>
          <w:sz w:val="24"/>
          <w:szCs w:val="24"/>
          <w:highlight w:val="none"/>
        </w:rPr>
        <w:t>分</w:t>
      </w:r>
      <w:r>
        <w:rPr>
          <w:rFonts w:hint="eastAsia" w:ascii="新宋体" w:hAnsi="新宋体" w:eastAsia="新宋体" w:cs="新宋体"/>
          <w:color w:val="auto"/>
          <w:sz w:val="24"/>
          <w:szCs w:val="24"/>
          <w:highlight w:val="none"/>
          <w:lang w:eastAsia="zh-CN"/>
        </w:rPr>
        <w:t>。</w:t>
      </w:r>
    </w:p>
    <w:p w14:paraId="1405CCC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合计得</w:t>
      </w:r>
      <w:r>
        <w:rPr>
          <w:rFonts w:hint="eastAsia" w:ascii="新宋体" w:hAnsi="新宋体" w:eastAsia="新宋体" w:cs="新宋体"/>
          <w:color w:val="auto"/>
          <w:sz w:val="24"/>
          <w:szCs w:val="24"/>
          <w:highlight w:val="none"/>
          <w:lang w:val="en-US" w:eastAsia="zh-CN"/>
        </w:rPr>
        <w:t>10</w:t>
      </w:r>
      <w:r>
        <w:rPr>
          <w:rFonts w:hint="eastAsia" w:ascii="新宋体" w:hAnsi="新宋体" w:eastAsia="新宋体" w:cs="新宋体"/>
          <w:color w:val="auto"/>
          <w:sz w:val="24"/>
          <w:szCs w:val="24"/>
          <w:highlight w:val="none"/>
        </w:rPr>
        <w:t>分。</w:t>
      </w:r>
    </w:p>
    <w:p w14:paraId="0613DBBF">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3.对于“产出时效”</w:t>
      </w:r>
    </w:p>
    <w:p w14:paraId="78A8882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b w:val="0"/>
          <w:color w:val="auto"/>
          <w:sz w:val="24"/>
          <w:szCs w:val="24"/>
          <w:highlight w:val="none"/>
        </w:rPr>
      </w:pPr>
      <w:r>
        <w:rPr>
          <w:rFonts w:hint="eastAsia" w:ascii="新宋体" w:hAnsi="新宋体" w:eastAsia="新宋体" w:cs="新宋体"/>
          <w:b w:val="0"/>
          <w:color w:val="auto"/>
          <w:sz w:val="24"/>
          <w:szCs w:val="24"/>
          <w:highlight w:val="none"/>
        </w:rPr>
        <w:t>补助资金支付及时率，</w:t>
      </w:r>
      <w:r>
        <w:rPr>
          <w:rFonts w:hint="eastAsia" w:ascii="新宋体" w:hAnsi="新宋体" w:eastAsia="新宋体" w:cs="新宋体"/>
          <w:color w:val="auto"/>
          <w:sz w:val="24"/>
          <w:szCs w:val="24"/>
          <w:highlight w:val="none"/>
        </w:rPr>
        <w:t>预期指标值</w:t>
      </w:r>
      <w:r>
        <w:rPr>
          <w:rFonts w:hint="eastAsia" w:ascii="新宋体" w:hAnsi="新宋体" w:eastAsia="新宋体" w:cs="新宋体"/>
          <w:color w:val="auto"/>
          <w:sz w:val="24"/>
          <w:szCs w:val="24"/>
          <w:highlight w:val="none"/>
          <w:lang w:val="en-US" w:eastAsia="zh-CN"/>
        </w:rPr>
        <w:t>等于100%</w:t>
      </w:r>
      <w:r>
        <w:rPr>
          <w:rFonts w:hint="eastAsia" w:ascii="新宋体" w:hAnsi="新宋体" w:eastAsia="新宋体" w:cs="新宋体"/>
          <w:color w:val="auto"/>
          <w:sz w:val="24"/>
          <w:szCs w:val="24"/>
          <w:highlight w:val="none"/>
        </w:rPr>
        <w:t>，实际完成值</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，指标完成率为</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，与预期目标一致，根据评分标准，该指标不扣分，得</w:t>
      </w:r>
      <w:r>
        <w:rPr>
          <w:rFonts w:hint="eastAsia" w:ascii="新宋体" w:hAnsi="新宋体" w:eastAsia="新宋体" w:cs="新宋体"/>
          <w:color w:val="auto"/>
          <w:sz w:val="24"/>
          <w:szCs w:val="24"/>
          <w:highlight w:val="none"/>
          <w:lang w:val="en-US" w:eastAsia="zh-CN"/>
        </w:rPr>
        <w:t>5</w:t>
      </w:r>
      <w:r>
        <w:rPr>
          <w:rFonts w:hint="eastAsia" w:ascii="新宋体" w:hAnsi="新宋体" w:eastAsia="新宋体" w:cs="新宋体"/>
          <w:color w:val="auto"/>
          <w:sz w:val="24"/>
          <w:szCs w:val="24"/>
          <w:highlight w:val="none"/>
        </w:rPr>
        <w:t>分</w:t>
      </w:r>
      <w:r>
        <w:rPr>
          <w:rFonts w:hint="eastAsia" w:ascii="新宋体" w:hAnsi="新宋体" w:eastAsia="新宋体" w:cs="新宋体"/>
          <w:color w:val="auto"/>
          <w:sz w:val="24"/>
          <w:szCs w:val="24"/>
          <w:highlight w:val="none"/>
          <w:lang w:eastAsia="zh-CN"/>
        </w:rPr>
        <w:t>。</w:t>
      </w:r>
    </w:p>
    <w:p w14:paraId="21A889A4">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b w:val="0"/>
          <w:color w:val="auto"/>
          <w:sz w:val="24"/>
          <w:szCs w:val="24"/>
          <w:highlight w:val="none"/>
        </w:rPr>
      </w:pPr>
      <w:r>
        <w:rPr>
          <w:rFonts w:hint="eastAsia" w:ascii="新宋体" w:hAnsi="新宋体" w:eastAsia="新宋体" w:cs="新宋体"/>
          <w:b w:val="0"/>
          <w:color w:val="auto"/>
          <w:sz w:val="24"/>
          <w:szCs w:val="24"/>
          <w:highlight w:val="none"/>
          <w:lang w:eastAsia="zh-CN"/>
        </w:rPr>
        <w:t>项目完成时间</w:t>
      </w:r>
      <w:r>
        <w:rPr>
          <w:rFonts w:hint="eastAsia" w:ascii="新宋体" w:hAnsi="新宋体" w:eastAsia="新宋体" w:cs="新宋体"/>
          <w:b w:val="0"/>
          <w:color w:val="auto"/>
          <w:sz w:val="24"/>
          <w:szCs w:val="24"/>
          <w:highlight w:val="none"/>
        </w:rPr>
        <w:t>，预期指标值</w:t>
      </w:r>
      <w:r>
        <w:rPr>
          <w:rFonts w:hint="eastAsia" w:ascii="新宋体" w:hAnsi="新宋体" w:eastAsia="新宋体" w:cs="新宋体"/>
          <w:b w:val="0"/>
          <w:color w:val="auto"/>
          <w:sz w:val="24"/>
          <w:szCs w:val="24"/>
          <w:highlight w:val="none"/>
          <w:lang w:val="en-US" w:eastAsia="zh-CN"/>
        </w:rPr>
        <w:t>等于2024年</w:t>
      </w:r>
      <w:r>
        <w:rPr>
          <w:rFonts w:hint="eastAsia" w:ascii="新宋体" w:hAnsi="新宋体" w:eastAsia="新宋体" w:cs="新宋体"/>
          <w:b w:val="0"/>
          <w:color w:val="auto"/>
          <w:sz w:val="24"/>
          <w:szCs w:val="24"/>
          <w:highlight w:val="none"/>
        </w:rPr>
        <w:t>，实际完成值</w:t>
      </w:r>
      <w:r>
        <w:rPr>
          <w:rFonts w:hint="eastAsia" w:ascii="新宋体" w:hAnsi="新宋体" w:eastAsia="新宋体" w:cs="新宋体"/>
          <w:b w:val="0"/>
          <w:color w:val="auto"/>
          <w:sz w:val="24"/>
          <w:szCs w:val="24"/>
          <w:highlight w:val="none"/>
          <w:lang w:val="en-US" w:eastAsia="zh-CN"/>
        </w:rPr>
        <w:t>2024年12月</w:t>
      </w:r>
      <w:r>
        <w:rPr>
          <w:rFonts w:hint="eastAsia" w:ascii="新宋体" w:hAnsi="新宋体" w:eastAsia="新宋体" w:cs="新宋体"/>
          <w:b w:val="0"/>
          <w:color w:val="auto"/>
          <w:sz w:val="24"/>
          <w:szCs w:val="24"/>
          <w:highlight w:val="none"/>
        </w:rPr>
        <w:t>，指标完成率100</w:t>
      </w:r>
      <w:r>
        <w:rPr>
          <w:rFonts w:hint="eastAsia" w:ascii="新宋体" w:hAnsi="新宋体" w:eastAsia="新宋体" w:cs="新宋体"/>
          <w:b w:val="0"/>
          <w:color w:val="auto"/>
          <w:sz w:val="24"/>
          <w:szCs w:val="24"/>
          <w:highlight w:val="none"/>
          <w:lang w:val="en-US" w:eastAsia="zh-CN"/>
        </w:rPr>
        <w:t>%</w:t>
      </w:r>
      <w:r>
        <w:rPr>
          <w:rFonts w:hint="eastAsia" w:ascii="新宋体" w:hAnsi="新宋体" w:eastAsia="新宋体" w:cs="新宋体"/>
          <w:b w:val="0"/>
          <w:color w:val="auto"/>
          <w:sz w:val="24"/>
          <w:szCs w:val="24"/>
          <w:highlight w:val="none"/>
        </w:rPr>
        <w:t>，与预期目标一致，根据评分标准，该指标不扣分，</w:t>
      </w:r>
      <w:r>
        <w:rPr>
          <w:rFonts w:hint="eastAsia" w:ascii="新宋体" w:hAnsi="新宋体" w:eastAsia="新宋体" w:cs="新宋体"/>
          <w:b w:val="0"/>
          <w:bCs/>
          <w:color w:val="auto"/>
          <w:sz w:val="24"/>
          <w:szCs w:val="24"/>
          <w:highlight w:val="none"/>
        </w:rPr>
        <w:t>得</w:t>
      </w:r>
      <w:r>
        <w:rPr>
          <w:rFonts w:hint="eastAsia" w:ascii="新宋体" w:hAnsi="新宋体" w:eastAsia="新宋体" w:cs="新宋体"/>
          <w:b w:val="0"/>
          <w:bCs/>
          <w:color w:val="auto"/>
          <w:sz w:val="24"/>
          <w:szCs w:val="24"/>
          <w:highlight w:val="none"/>
          <w:lang w:val="en-US" w:eastAsia="zh-CN"/>
        </w:rPr>
        <w:t>5</w:t>
      </w:r>
      <w:r>
        <w:rPr>
          <w:rFonts w:hint="eastAsia" w:ascii="新宋体" w:hAnsi="新宋体" w:eastAsia="新宋体" w:cs="新宋体"/>
          <w:b w:val="0"/>
          <w:bCs/>
          <w:color w:val="auto"/>
          <w:sz w:val="24"/>
          <w:szCs w:val="24"/>
          <w:highlight w:val="none"/>
        </w:rPr>
        <w:t>分</w:t>
      </w:r>
      <w:r>
        <w:rPr>
          <w:rFonts w:hint="eastAsia" w:ascii="新宋体" w:hAnsi="新宋体" w:eastAsia="新宋体" w:cs="新宋体"/>
          <w:b w:val="0"/>
          <w:color w:val="auto"/>
          <w:sz w:val="24"/>
          <w:szCs w:val="24"/>
          <w:highlight w:val="none"/>
        </w:rPr>
        <w:t>。</w:t>
      </w:r>
    </w:p>
    <w:p w14:paraId="7CADED81">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b w:val="0"/>
          <w:bCs/>
          <w:color w:val="auto"/>
          <w:sz w:val="24"/>
          <w:szCs w:val="24"/>
          <w:highlight w:val="none"/>
        </w:rPr>
      </w:pPr>
      <w:r>
        <w:rPr>
          <w:rFonts w:hint="eastAsia" w:ascii="新宋体" w:hAnsi="新宋体" w:eastAsia="新宋体" w:cs="新宋体"/>
          <w:b w:val="0"/>
          <w:bCs/>
          <w:color w:val="auto"/>
          <w:sz w:val="24"/>
          <w:szCs w:val="24"/>
          <w:highlight w:val="none"/>
        </w:rPr>
        <w:t>合计得10分。</w:t>
      </w:r>
    </w:p>
    <w:p w14:paraId="1AA5FFD2">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4.对于“产出成本”</w:t>
      </w:r>
    </w:p>
    <w:p w14:paraId="4F31B07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项目资金总额，预期指标值</w:t>
      </w:r>
      <w:r>
        <w:rPr>
          <w:rFonts w:hint="eastAsia" w:ascii="新宋体" w:hAnsi="新宋体" w:eastAsia="新宋体" w:cs="新宋体"/>
          <w:color w:val="auto"/>
          <w:sz w:val="24"/>
          <w:szCs w:val="24"/>
          <w:highlight w:val="none"/>
          <w:lang w:val="en-US" w:eastAsia="zh-CN"/>
        </w:rPr>
        <w:t>≤100万元</w:t>
      </w:r>
      <w:r>
        <w:rPr>
          <w:rFonts w:hint="eastAsia" w:ascii="新宋体" w:hAnsi="新宋体" w:eastAsia="新宋体" w:cs="新宋体"/>
          <w:color w:val="auto"/>
          <w:sz w:val="24"/>
          <w:szCs w:val="24"/>
          <w:highlight w:val="none"/>
        </w:rPr>
        <w:t>，实际完成值</w:t>
      </w:r>
      <w:r>
        <w:rPr>
          <w:rFonts w:hint="eastAsia" w:ascii="新宋体" w:hAnsi="新宋体" w:eastAsia="新宋体" w:cs="新宋体"/>
          <w:color w:val="auto"/>
          <w:sz w:val="24"/>
          <w:szCs w:val="24"/>
          <w:highlight w:val="none"/>
          <w:lang w:val="en-US" w:eastAsia="zh-CN"/>
        </w:rPr>
        <w:t>100万元</w:t>
      </w:r>
      <w:r>
        <w:rPr>
          <w:rFonts w:hint="eastAsia" w:ascii="新宋体" w:hAnsi="新宋体" w:eastAsia="新宋体" w:cs="新宋体"/>
          <w:color w:val="auto"/>
          <w:sz w:val="24"/>
          <w:szCs w:val="24"/>
          <w:highlight w:val="none"/>
        </w:rPr>
        <w:t>，指标完成率</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b w:val="0"/>
          <w:color w:val="auto"/>
          <w:sz w:val="24"/>
          <w:szCs w:val="24"/>
          <w:highlight w:val="none"/>
        </w:rPr>
        <w:t>与预期目标一致，根据评分标准，该指标不扣分</w:t>
      </w:r>
      <w:r>
        <w:rPr>
          <w:rFonts w:hint="eastAsia" w:ascii="新宋体" w:hAnsi="新宋体" w:eastAsia="新宋体" w:cs="新宋体"/>
          <w:color w:val="auto"/>
          <w:sz w:val="24"/>
          <w:szCs w:val="24"/>
          <w:highlight w:val="none"/>
        </w:rPr>
        <w:t>，得</w:t>
      </w:r>
      <w:r>
        <w:rPr>
          <w:rFonts w:hint="eastAsia" w:ascii="新宋体" w:hAnsi="新宋体" w:eastAsia="新宋体" w:cs="新宋体"/>
          <w:color w:val="auto"/>
          <w:sz w:val="24"/>
          <w:szCs w:val="24"/>
          <w:highlight w:val="none"/>
          <w:lang w:val="en-US" w:eastAsia="zh-CN"/>
        </w:rPr>
        <w:t>10</w:t>
      </w:r>
      <w:r>
        <w:rPr>
          <w:rFonts w:hint="eastAsia" w:ascii="新宋体" w:hAnsi="新宋体" w:eastAsia="新宋体" w:cs="新宋体"/>
          <w:color w:val="auto"/>
          <w:sz w:val="24"/>
          <w:szCs w:val="24"/>
          <w:highlight w:val="none"/>
        </w:rPr>
        <w:t>分。</w:t>
      </w:r>
    </w:p>
    <w:p w14:paraId="0B306E07">
      <w:pPr>
        <w:pStyle w:val="15"/>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（四）项目效益情况</w:t>
      </w:r>
    </w:p>
    <w:p w14:paraId="4F15F14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项目效益类指标包括项目效益1个方面的内容，由2个三级指标构成，权重分为2</w:t>
      </w:r>
      <w:r>
        <w:rPr>
          <w:rFonts w:hint="eastAsia" w:ascii="新宋体" w:hAnsi="新宋体" w:eastAsia="新宋体" w:cs="新宋体"/>
          <w:color w:val="auto"/>
          <w:sz w:val="24"/>
          <w:szCs w:val="24"/>
          <w:highlight w:val="none"/>
          <w:lang w:val="en-US" w:eastAsia="zh-CN"/>
        </w:rPr>
        <w:t>5</w:t>
      </w:r>
      <w:r>
        <w:rPr>
          <w:rFonts w:hint="eastAsia" w:ascii="新宋体" w:hAnsi="新宋体" w:eastAsia="新宋体" w:cs="新宋体"/>
          <w:color w:val="auto"/>
          <w:sz w:val="24"/>
          <w:szCs w:val="24"/>
          <w:highlight w:val="none"/>
        </w:rPr>
        <w:t>分，实际得分2</w:t>
      </w:r>
      <w:r>
        <w:rPr>
          <w:rFonts w:hint="eastAsia" w:ascii="新宋体" w:hAnsi="新宋体" w:eastAsia="新宋体" w:cs="新宋体"/>
          <w:color w:val="auto"/>
          <w:sz w:val="24"/>
          <w:szCs w:val="24"/>
          <w:highlight w:val="none"/>
          <w:lang w:val="en-US" w:eastAsia="zh-CN"/>
        </w:rPr>
        <w:t>5</w:t>
      </w:r>
      <w:r>
        <w:rPr>
          <w:rFonts w:hint="eastAsia" w:ascii="新宋体" w:hAnsi="新宋体" w:eastAsia="新宋体" w:cs="新宋体"/>
          <w:color w:val="auto"/>
          <w:sz w:val="24"/>
          <w:szCs w:val="24"/>
          <w:highlight w:val="none"/>
        </w:rPr>
        <w:t>分，得分率为100%。</w:t>
      </w:r>
    </w:p>
    <w:p w14:paraId="770D5032">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1.对于“社会效益指标”</w:t>
      </w:r>
    </w:p>
    <w:p w14:paraId="22F8A01B">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b w:val="0"/>
          <w:color w:val="auto"/>
          <w:sz w:val="24"/>
          <w:szCs w:val="24"/>
          <w:highlight w:val="none"/>
        </w:rPr>
      </w:pPr>
      <w:r>
        <w:rPr>
          <w:rFonts w:hint="eastAsia" w:ascii="新宋体" w:hAnsi="新宋体" w:eastAsia="新宋体" w:cs="新宋体"/>
          <w:b w:val="0"/>
          <w:bCs w:val="0"/>
          <w:color w:val="auto"/>
          <w:sz w:val="24"/>
          <w:szCs w:val="24"/>
          <w:highlight w:val="none"/>
          <w:lang w:eastAsia="zh-CN"/>
        </w:rPr>
        <w:t>带动小农户发展现代农业，增加农民家庭收入</w:t>
      </w:r>
      <w:r>
        <w:rPr>
          <w:rFonts w:hint="eastAsia" w:ascii="新宋体" w:hAnsi="新宋体" w:eastAsia="新宋体" w:cs="新宋体"/>
          <w:b w:val="0"/>
          <w:bCs w:val="0"/>
          <w:color w:val="auto"/>
          <w:sz w:val="24"/>
          <w:szCs w:val="24"/>
          <w:highlight w:val="none"/>
        </w:rPr>
        <w:t>，预期指标值</w:t>
      </w:r>
      <w:r>
        <w:rPr>
          <w:rFonts w:hint="eastAsia" w:ascii="新宋体" w:hAnsi="新宋体" w:eastAsia="新宋体" w:cs="新宋体"/>
          <w:b w:val="0"/>
          <w:bCs w:val="0"/>
          <w:color w:val="auto"/>
          <w:sz w:val="24"/>
          <w:szCs w:val="24"/>
          <w:highlight w:val="none"/>
          <w:lang w:val="en-US" w:eastAsia="zh-CN"/>
        </w:rPr>
        <w:t>效果显著</w:t>
      </w:r>
      <w:r>
        <w:rPr>
          <w:rFonts w:hint="eastAsia" w:ascii="新宋体" w:hAnsi="新宋体" w:eastAsia="新宋体" w:cs="新宋体"/>
          <w:b w:val="0"/>
          <w:bCs w:val="0"/>
          <w:color w:val="auto"/>
          <w:sz w:val="24"/>
          <w:szCs w:val="24"/>
          <w:highlight w:val="none"/>
        </w:rPr>
        <w:t>，实际完成值为</w:t>
      </w:r>
      <w:r>
        <w:rPr>
          <w:rFonts w:hint="eastAsia" w:ascii="新宋体" w:hAnsi="新宋体" w:eastAsia="新宋体" w:cs="新宋体"/>
          <w:b w:val="0"/>
          <w:bCs w:val="0"/>
          <w:color w:val="auto"/>
          <w:sz w:val="24"/>
          <w:szCs w:val="24"/>
          <w:highlight w:val="none"/>
          <w:lang w:val="en-US" w:eastAsia="zh-CN"/>
        </w:rPr>
        <w:t>效果显著</w:t>
      </w:r>
      <w:r>
        <w:rPr>
          <w:rFonts w:hint="eastAsia" w:ascii="新宋体" w:hAnsi="新宋体" w:eastAsia="新宋体" w:cs="新宋体"/>
          <w:b w:val="0"/>
          <w:bCs w:val="0"/>
          <w:color w:val="auto"/>
          <w:sz w:val="24"/>
          <w:szCs w:val="24"/>
          <w:highlight w:val="none"/>
        </w:rPr>
        <w:t>，指标完成率为</w:t>
      </w:r>
      <w:r>
        <w:rPr>
          <w:rFonts w:hint="eastAsia" w:ascii="新宋体" w:hAnsi="新宋体" w:eastAsia="新宋体" w:cs="新宋体"/>
          <w:b w:val="0"/>
          <w:bCs w:val="0"/>
          <w:color w:val="auto"/>
          <w:sz w:val="24"/>
          <w:szCs w:val="24"/>
          <w:highlight w:val="none"/>
          <w:lang w:val="en-US" w:eastAsia="zh-CN"/>
        </w:rPr>
        <w:t>100%</w:t>
      </w:r>
      <w:r>
        <w:rPr>
          <w:rFonts w:hint="eastAsia" w:ascii="新宋体" w:hAnsi="新宋体" w:eastAsia="新宋体" w:cs="新宋体"/>
          <w:b w:val="0"/>
          <w:bCs w:val="0"/>
          <w:color w:val="auto"/>
          <w:sz w:val="24"/>
          <w:szCs w:val="24"/>
          <w:highlight w:val="none"/>
        </w:rPr>
        <w:t>，与预期指标一致，根据</w:t>
      </w:r>
      <w:r>
        <w:rPr>
          <w:rFonts w:hint="eastAsia" w:ascii="新宋体" w:hAnsi="新宋体" w:eastAsia="新宋体" w:cs="新宋体"/>
          <w:b w:val="0"/>
          <w:bCs w:val="0"/>
          <w:color w:val="auto"/>
          <w:sz w:val="24"/>
          <w:szCs w:val="24"/>
          <w:highlight w:val="none"/>
          <w:lang w:val="en-US" w:eastAsia="zh-CN"/>
        </w:rPr>
        <w:t>·</w:t>
      </w:r>
      <w:r>
        <w:rPr>
          <w:rFonts w:hint="eastAsia" w:ascii="新宋体" w:hAnsi="新宋体" w:eastAsia="新宋体" w:cs="新宋体"/>
          <w:b w:val="0"/>
          <w:bCs w:val="0"/>
          <w:color w:val="auto"/>
          <w:sz w:val="24"/>
          <w:szCs w:val="24"/>
          <w:highlight w:val="none"/>
        </w:rPr>
        <w:t>评分标准，该指标不扣分，得</w:t>
      </w:r>
      <w:r>
        <w:rPr>
          <w:rFonts w:hint="eastAsia" w:ascii="新宋体" w:hAnsi="新宋体" w:eastAsia="新宋体" w:cs="新宋体"/>
          <w:b w:val="0"/>
          <w:bCs w:val="0"/>
          <w:color w:val="auto"/>
          <w:sz w:val="24"/>
          <w:szCs w:val="24"/>
          <w:highlight w:val="none"/>
          <w:lang w:val="en-US" w:eastAsia="zh-CN"/>
        </w:rPr>
        <w:t>15</w:t>
      </w:r>
      <w:r>
        <w:rPr>
          <w:rFonts w:hint="eastAsia" w:ascii="新宋体" w:hAnsi="新宋体" w:eastAsia="新宋体" w:cs="新宋体"/>
          <w:b w:val="0"/>
          <w:bCs w:val="0"/>
          <w:color w:val="auto"/>
          <w:sz w:val="24"/>
          <w:szCs w:val="24"/>
          <w:highlight w:val="none"/>
        </w:rPr>
        <w:t>分。</w:t>
      </w:r>
    </w:p>
    <w:p w14:paraId="5E43A725">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2.对于“经济效益指标”</w:t>
      </w:r>
    </w:p>
    <w:p w14:paraId="6887371D">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b w:val="0"/>
          <w:bCs w:val="0"/>
          <w:color w:val="auto"/>
          <w:sz w:val="24"/>
          <w:szCs w:val="24"/>
          <w:highlight w:val="none"/>
        </w:rPr>
      </w:pPr>
      <w:r>
        <w:rPr>
          <w:rFonts w:hint="eastAsia" w:ascii="新宋体" w:hAnsi="新宋体" w:eastAsia="新宋体" w:cs="新宋体"/>
          <w:b w:val="0"/>
          <w:bCs w:val="0"/>
          <w:color w:val="auto"/>
          <w:sz w:val="24"/>
          <w:szCs w:val="24"/>
          <w:highlight w:val="none"/>
          <w:lang w:val="en-US" w:eastAsia="zh-CN"/>
        </w:rPr>
        <w:t>该项目不涉及</w:t>
      </w:r>
      <w:r>
        <w:rPr>
          <w:rFonts w:hint="eastAsia" w:ascii="新宋体" w:hAnsi="新宋体" w:eastAsia="新宋体" w:cs="新宋体"/>
          <w:b w:val="0"/>
          <w:bCs w:val="0"/>
          <w:color w:val="auto"/>
          <w:sz w:val="24"/>
          <w:szCs w:val="24"/>
          <w:highlight w:val="none"/>
        </w:rPr>
        <w:t>经济效益指标</w:t>
      </w:r>
      <w:r>
        <w:rPr>
          <w:rFonts w:hint="eastAsia" w:ascii="新宋体" w:hAnsi="新宋体" w:eastAsia="新宋体" w:cs="新宋体"/>
          <w:b w:val="0"/>
          <w:bCs w:val="0"/>
          <w:color w:val="auto"/>
          <w:sz w:val="24"/>
          <w:szCs w:val="24"/>
          <w:highlight w:val="none"/>
          <w:lang w:val="en-US" w:eastAsia="zh-CN"/>
        </w:rPr>
        <w:t>。</w:t>
      </w:r>
    </w:p>
    <w:p w14:paraId="23D403AD">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3.对于“生态效益指标”</w:t>
      </w:r>
    </w:p>
    <w:p w14:paraId="6DB02F70">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b w:val="0"/>
          <w:bCs w:val="0"/>
          <w:color w:val="auto"/>
          <w:sz w:val="24"/>
          <w:szCs w:val="24"/>
          <w:highlight w:val="none"/>
          <w:lang w:val="en-US" w:eastAsia="zh-CN"/>
        </w:rPr>
      </w:pPr>
      <w:r>
        <w:rPr>
          <w:rFonts w:hint="eastAsia" w:ascii="新宋体" w:hAnsi="新宋体" w:eastAsia="新宋体" w:cs="新宋体"/>
          <w:b w:val="0"/>
          <w:bCs w:val="0"/>
          <w:color w:val="auto"/>
          <w:sz w:val="24"/>
          <w:szCs w:val="24"/>
          <w:highlight w:val="none"/>
          <w:lang w:val="en-US" w:eastAsia="zh-CN"/>
        </w:rPr>
        <w:t>该项目不涉及生态效益指标。</w:t>
      </w:r>
    </w:p>
    <w:p w14:paraId="36D4A21E">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lang w:val="en-US" w:eastAsia="zh-CN"/>
        </w:rPr>
        <w:t>4.满意度指标分析</w:t>
      </w:r>
    </w:p>
    <w:p w14:paraId="447442B3">
      <w:pPr>
        <w:pStyle w:val="1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en-US" w:eastAsia="zh-CN"/>
        </w:rPr>
        <w:t>受益群众满意度</w:t>
      </w:r>
      <w:r>
        <w:rPr>
          <w:rFonts w:hint="eastAsia" w:ascii="新宋体" w:hAnsi="新宋体" w:eastAsia="新宋体" w:cs="新宋体"/>
          <w:color w:val="auto"/>
          <w:sz w:val="24"/>
          <w:szCs w:val="24"/>
          <w:highlight w:val="none"/>
        </w:rPr>
        <w:t>，预期指标值</w:t>
      </w:r>
      <w:r>
        <w:rPr>
          <w:rFonts w:hint="eastAsia" w:ascii="新宋体" w:hAnsi="新宋体" w:eastAsia="新宋体" w:cs="新宋体"/>
          <w:color w:val="auto"/>
          <w:sz w:val="24"/>
          <w:szCs w:val="24"/>
          <w:highlight w:val="none"/>
          <w:lang w:val="en-US" w:eastAsia="zh-CN"/>
        </w:rPr>
        <w:t>大于等于95%</w:t>
      </w:r>
      <w:r>
        <w:rPr>
          <w:rFonts w:hint="eastAsia" w:ascii="新宋体" w:hAnsi="新宋体" w:eastAsia="新宋体" w:cs="新宋体"/>
          <w:color w:val="auto"/>
          <w:sz w:val="24"/>
          <w:szCs w:val="24"/>
          <w:highlight w:val="none"/>
        </w:rPr>
        <w:t>，实际完成值</w:t>
      </w:r>
      <w:r>
        <w:rPr>
          <w:rFonts w:hint="eastAsia" w:ascii="新宋体" w:hAnsi="新宋体" w:eastAsia="新宋体" w:cs="新宋体"/>
          <w:color w:val="auto"/>
          <w:sz w:val="24"/>
          <w:szCs w:val="24"/>
          <w:highlight w:val="none"/>
          <w:lang w:val="en-US" w:eastAsia="zh-CN"/>
        </w:rPr>
        <w:t>95%</w:t>
      </w:r>
      <w:r>
        <w:rPr>
          <w:rFonts w:hint="eastAsia" w:ascii="新宋体" w:hAnsi="新宋体" w:eastAsia="新宋体" w:cs="新宋体"/>
          <w:color w:val="auto"/>
          <w:sz w:val="24"/>
          <w:szCs w:val="24"/>
          <w:highlight w:val="none"/>
        </w:rPr>
        <w:t>，指标完成率为</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，与预期目标一致，根据评分标准，该指标不扣分,得10分。</w:t>
      </w:r>
      <w:bookmarkEnd w:id="13"/>
    </w:p>
    <w:p w14:paraId="553ECE6C">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b w:val="0"/>
          <w:bCs/>
          <w:color w:val="auto"/>
          <w:sz w:val="24"/>
          <w:szCs w:val="24"/>
          <w:highlight w:val="none"/>
        </w:rPr>
        <w:t>合计得</w:t>
      </w:r>
      <w:r>
        <w:rPr>
          <w:rFonts w:hint="eastAsia" w:ascii="新宋体" w:hAnsi="新宋体" w:eastAsia="新宋体" w:cs="新宋体"/>
          <w:b w:val="0"/>
          <w:bCs/>
          <w:color w:val="auto"/>
          <w:sz w:val="24"/>
          <w:szCs w:val="24"/>
          <w:highlight w:val="none"/>
          <w:lang w:val="en-US" w:eastAsia="zh-CN"/>
        </w:rPr>
        <w:t>25</w:t>
      </w:r>
      <w:r>
        <w:rPr>
          <w:rFonts w:hint="eastAsia" w:ascii="新宋体" w:hAnsi="新宋体" w:eastAsia="新宋体" w:cs="新宋体"/>
          <w:b w:val="0"/>
          <w:bCs/>
          <w:color w:val="auto"/>
          <w:sz w:val="24"/>
          <w:szCs w:val="24"/>
          <w:highlight w:val="none"/>
        </w:rPr>
        <w:t>分。</w:t>
      </w:r>
    </w:p>
    <w:p w14:paraId="7E97E86B">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p>
    <w:p w14:paraId="5E8A03EB">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五、预算执行进度与绩效指标偏差情况</w:t>
      </w:r>
    </w:p>
    <w:p w14:paraId="6A697EC0">
      <w:pPr>
        <w:pStyle w:val="1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本项目预算</w:t>
      </w:r>
      <w:r>
        <w:rPr>
          <w:rFonts w:hint="eastAsia" w:ascii="新宋体" w:hAnsi="新宋体" w:eastAsia="新宋体" w:cs="新宋体"/>
          <w:color w:val="auto"/>
          <w:sz w:val="24"/>
          <w:szCs w:val="24"/>
          <w:highlight w:val="none"/>
          <w:lang w:val="en-US" w:eastAsia="zh-CN"/>
        </w:rPr>
        <w:t>下达</w:t>
      </w:r>
      <w:r>
        <w:rPr>
          <w:rFonts w:hint="eastAsia" w:ascii="新宋体" w:hAnsi="新宋体" w:eastAsia="新宋体" w:cs="新宋体"/>
          <w:color w:val="auto"/>
          <w:sz w:val="24"/>
          <w:szCs w:val="24"/>
          <w:highlight w:val="none"/>
        </w:rPr>
        <w:t>资金总额为</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万元，全年预算数为</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万元，全年执行数为</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万元，预算执行率为</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w:t>
      </w:r>
    </w:p>
    <w:p w14:paraId="0446A288">
      <w:pPr>
        <w:pStyle w:val="1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本项目共设置三级指标数量</w:t>
      </w:r>
      <w:r>
        <w:rPr>
          <w:rFonts w:hint="eastAsia" w:ascii="新宋体" w:hAnsi="新宋体" w:eastAsia="新宋体" w:cs="新宋体"/>
          <w:color w:val="auto"/>
          <w:sz w:val="24"/>
          <w:szCs w:val="24"/>
          <w:highlight w:val="none"/>
          <w:lang w:val="en-US" w:eastAsia="zh-CN"/>
        </w:rPr>
        <w:t>7</w:t>
      </w:r>
      <w:r>
        <w:rPr>
          <w:rFonts w:hint="eastAsia" w:ascii="新宋体" w:hAnsi="新宋体" w:eastAsia="新宋体" w:cs="新宋体"/>
          <w:color w:val="auto"/>
          <w:sz w:val="24"/>
          <w:szCs w:val="24"/>
          <w:highlight w:val="none"/>
        </w:rPr>
        <w:t>个，满分指标数量</w:t>
      </w:r>
      <w:r>
        <w:rPr>
          <w:rFonts w:hint="eastAsia" w:ascii="新宋体" w:hAnsi="新宋体" w:eastAsia="新宋体" w:cs="新宋体"/>
          <w:color w:val="auto"/>
          <w:sz w:val="24"/>
          <w:szCs w:val="24"/>
          <w:highlight w:val="none"/>
          <w:lang w:val="en-US" w:eastAsia="zh-CN"/>
        </w:rPr>
        <w:t>7</w:t>
      </w:r>
      <w:r>
        <w:rPr>
          <w:rFonts w:hint="eastAsia" w:ascii="新宋体" w:hAnsi="新宋体" w:eastAsia="新宋体" w:cs="新宋体"/>
          <w:color w:val="auto"/>
          <w:sz w:val="24"/>
          <w:szCs w:val="24"/>
          <w:highlight w:val="none"/>
        </w:rPr>
        <w:t>个，扣分指标数量</w:t>
      </w:r>
      <w:r>
        <w:rPr>
          <w:rFonts w:hint="eastAsia" w:ascii="新宋体" w:hAnsi="新宋体" w:eastAsia="新宋体" w:cs="新宋体"/>
          <w:color w:val="auto"/>
          <w:sz w:val="24"/>
          <w:szCs w:val="24"/>
          <w:highlight w:val="none"/>
          <w:lang w:val="en-US" w:eastAsia="zh-CN"/>
        </w:rPr>
        <w:t>无</w:t>
      </w:r>
      <w:r>
        <w:rPr>
          <w:rFonts w:hint="eastAsia" w:ascii="新宋体" w:hAnsi="新宋体" w:eastAsia="新宋体" w:cs="新宋体"/>
          <w:color w:val="auto"/>
          <w:sz w:val="24"/>
          <w:szCs w:val="24"/>
          <w:highlight w:val="none"/>
        </w:rPr>
        <w:t>个，经分析计算所有三级指标完成率得出，本项目总体完成率为</w:t>
      </w:r>
      <w:r>
        <w:rPr>
          <w:rFonts w:hint="eastAsia" w:ascii="新宋体" w:hAnsi="新宋体" w:eastAsia="新宋体" w:cs="新宋体"/>
          <w:color w:val="auto"/>
          <w:sz w:val="24"/>
          <w:szCs w:val="24"/>
          <w:highlight w:val="none"/>
          <w:lang w:val="en-US" w:eastAsia="zh-CN"/>
        </w:rPr>
        <w:t>100</w:t>
      </w:r>
      <w:r>
        <w:rPr>
          <w:rFonts w:hint="eastAsia" w:ascii="新宋体" w:hAnsi="新宋体" w:eastAsia="新宋体" w:cs="新宋体"/>
          <w:color w:val="auto"/>
          <w:sz w:val="24"/>
          <w:szCs w:val="24"/>
          <w:highlight w:val="none"/>
        </w:rPr>
        <w:t>%。</w:t>
      </w:r>
    </w:p>
    <w:p w14:paraId="4509389B">
      <w:pPr>
        <w:pStyle w:val="1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综上所述本项目预算执行率与总体完成率之间的偏差为</w:t>
      </w:r>
      <w:r>
        <w:rPr>
          <w:rFonts w:hint="eastAsia" w:ascii="新宋体" w:hAnsi="新宋体" w:eastAsia="新宋体" w:cs="新宋体"/>
          <w:color w:val="auto"/>
          <w:sz w:val="24"/>
          <w:szCs w:val="24"/>
          <w:highlight w:val="none"/>
          <w:lang w:val="en-US" w:eastAsia="zh-CN"/>
        </w:rPr>
        <w:t>0</w:t>
      </w:r>
      <w:r>
        <w:rPr>
          <w:rFonts w:hint="eastAsia" w:ascii="新宋体" w:hAnsi="新宋体" w:eastAsia="新宋体" w:cs="新宋体"/>
          <w:color w:val="auto"/>
          <w:sz w:val="24"/>
          <w:szCs w:val="24"/>
          <w:highlight w:val="none"/>
        </w:rPr>
        <w:t>%。</w:t>
      </w:r>
      <w:bookmarkStart w:id="14" w:name="_Toc68364673"/>
    </w:p>
    <w:p w14:paraId="6466B7A8">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b/>
          <w:bCs/>
          <w:color w:val="auto"/>
          <w:sz w:val="24"/>
          <w:szCs w:val="24"/>
          <w:highlight w:val="none"/>
        </w:rPr>
      </w:pPr>
    </w:p>
    <w:p w14:paraId="193017B9">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highlight w:val="none"/>
        </w:rPr>
      </w:pPr>
      <w:r>
        <w:rPr>
          <w:rFonts w:hint="eastAsia" w:ascii="黑体" w:hAnsi="黑体" w:eastAsia="黑体" w:cs="黑体"/>
          <w:b/>
          <w:bCs/>
          <w:color w:val="auto"/>
          <w:sz w:val="24"/>
          <w:szCs w:val="24"/>
          <w:highlight w:val="none"/>
        </w:rPr>
        <w:t>六、主要经验及做法、存在的问题及原因分析</w:t>
      </w:r>
    </w:p>
    <w:p w14:paraId="46B6F835">
      <w:pPr>
        <w:pStyle w:val="15"/>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b/>
          <w:bCs/>
          <w:color w:val="auto"/>
          <w:sz w:val="24"/>
          <w:szCs w:val="24"/>
          <w:highlight w:val="none"/>
          <w:lang w:val="en-US" w:eastAsia="zh-CN"/>
        </w:rPr>
      </w:pPr>
      <w:r>
        <w:rPr>
          <w:rFonts w:hint="eastAsia" w:ascii="新宋体" w:hAnsi="新宋体" w:eastAsia="新宋体" w:cs="新宋体"/>
          <w:b/>
          <w:bCs/>
          <w:color w:val="auto"/>
          <w:sz w:val="24"/>
          <w:szCs w:val="24"/>
          <w:highlight w:val="none"/>
        </w:rPr>
        <w:t>（一）主要经验及做法</w:t>
      </w:r>
      <w:bookmarkEnd w:id="14"/>
    </w:p>
    <w:p w14:paraId="2C1CF669">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b w:val="0"/>
          <w:bCs w:val="0"/>
          <w:color w:val="auto"/>
          <w:sz w:val="24"/>
          <w:szCs w:val="24"/>
          <w:highlight w:val="none"/>
          <w:lang w:val="en-US" w:eastAsia="zh-CN"/>
        </w:rPr>
      </w:pPr>
      <w:r>
        <w:rPr>
          <w:rFonts w:hint="eastAsia" w:ascii="新宋体" w:hAnsi="新宋体" w:eastAsia="新宋体" w:cs="新宋体"/>
          <w:b w:val="0"/>
          <w:bCs w:val="0"/>
          <w:color w:val="auto"/>
          <w:sz w:val="24"/>
          <w:szCs w:val="24"/>
          <w:highlight w:val="none"/>
          <w:lang w:val="en-US" w:eastAsia="zh-CN"/>
        </w:rPr>
        <w:t>1.项目实施后，将有效控制提升耕地质量，为建立和完善可持续发展的生态环境奠定基础。</w:t>
      </w:r>
    </w:p>
    <w:p w14:paraId="1466EE86">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b w:val="0"/>
          <w:bCs w:val="0"/>
          <w:color w:val="auto"/>
          <w:sz w:val="24"/>
          <w:szCs w:val="24"/>
          <w:highlight w:val="none"/>
          <w:lang w:val="en-US" w:eastAsia="zh-CN"/>
        </w:rPr>
      </w:pPr>
      <w:r>
        <w:rPr>
          <w:rFonts w:hint="eastAsia" w:ascii="新宋体" w:hAnsi="新宋体" w:eastAsia="新宋体" w:cs="新宋体"/>
          <w:b w:val="0"/>
          <w:bCs w:val="0"/>
          <w:color w:val="auto"/>
          <w:sz w:val="24"/>
          <w:szCs w:val="24"/>
          <w:highlight w:val="none"/>
          <w:lang w:val="en-US" w:eastAsia="zh-CN"/>
        </w:rPr>
        <w:t>2.增产增收，项目区将实现“增产、增收”，为当地农业发展注入新活力。</w:t>
      </w:r>
    </w:p>
    <w:p w14:paraId="57812110">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b w:val="0"/>
          <w:bCs w:val="0"/>
          <w:color w:val="auto"/>
          <w:sz w:val="24"/>
          <w:szCs w:val="24"/>
          <w:highlight w:val="none"/>
          <w:lang w:val="en-US" w:eastAsia="zh-CN"/>
        </w:rPr>
      </w:pPr>
      <w:r>
        <w:rPr>
          <w:rFonts w:hint="eastAsia" w:ascii="新宋体" w:hAnsi="新宋体" w:eastAsia="新宋体" w:cs="新宋体"/>
          <w:b w:val="0"/>
          <w:bCs w:val="0"/>
          <w:color w:val="auto"/>
          <w:sz w:val="24"/>
          <w:szCs w:val="24"/>
          <w:highlight w:val="none"/>
          <w:lang w:val="en-US" w:eastAsia="zh-CN"/>
        </w:rPr>
        <w:t>3.社会效益、生态效益和环境效益显著，项目在提高农业产出的同时，注重生态保护和环境建设，具有显著的社会、生态和环境效益。</w:t>
      </w:r>
    </w:p>
    <w:p w14:paraId="28323758">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b w:val="0"/>
          <w:bCs w:val="0"/>
          <w:color w:val="auto"/>
          <w:sz w:val="24"/>
          <w:szCs w:val="24"/>
          <w:highlight w:val="none"/>
          <w:lang w:val="en-US" w:eastAsia="zh-CN"/>
        </w:rPr>
      </w:pPr>
      <w:r>
        <w:rPr>
          <w:rFonts w:hint="eastAsia" w:ascii="新宋体" w:hAnsi="新宋体" w:eastAsia="新宋体" w:cs="新宋体"/>
          <w:b w:val="0"/>
          <w:bCs w:val="0"/>
          <w:color w:val="auto"/>
          <w:sz w:val="24"/>
          <w:szCs w:val="24"/>
          <w:highlight w:val="none"/>
          <w:lang w:val="en-US" w:eastAsia="zh-CN"/>
        </w:rPr>
        <w:t>精心规划，确保项目布局合理、高效运作；严格选材，确保建设质量；强化监管，确保项目进度与质量；注重技术创新，推动农业现代化进程。</w:t>
      </w:r>
    </w:p>
    <w:p w14:paraId="581ED356">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b w:val="0"/>
          <w:bCs w:val="0"/>
          <w:color w:val="auto"/>
          <w:sz w:val="24"/>
          <w:szCs w:val="24"/>
          <w:highlight w:val="none"/>
          <w:lang w:val="en-US" w:eastAsia="zh-CN"/>
        </w:rPr>
        <w:t>通过本项目的实施，为我国农业发展贡献一份力量，助力乡村振兴。</w:t>
      </w:r>
    </w:p>
    <w:p w14:paraId="4B214029">
      <w:pPr>
        <w:pStyle w:val="15"/>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b w:val="0"/>
          <w:bCs w:val="0"/>
          <w:color w:val="auto"/>
          <w:sz w:val="24"/>
          <w:szCs w:val="24"/>
          <w:highlight w:val="none"/>
        </w:rPr>
      </w:pPr>
      <w:bookmarkStart w:id="15" w:name="_Toc68364674"/>
      <w:r>
        <w:rPr>
          <w:rFonts w:hint="eastAsia" w:ascii="新宋体" w:hAnsi="新宋体" w:eastAsia="新宋体" w:cs="新宋体"/>
          <w:b/>
          <w:bCs/>
          <w:color w:val="auto"/>
          <w:sz w:val="24"/>
          <w:szCs w:val="24"/>
          <w:highlight w:val="none"/>
        </w:rPr>
        <w:t>（二）存在问题及原因分析</w:t>
      </w:r>
      <w:bookmarkEnd w:id="15"/>
    </w:p>
    <w:p w14:paraId="0099BA5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新宋体" w:hAnsi="新宋体" w:eastAsia="新宋体" w:cs="新宋体"/>
          <w:color w:val="auto"/>
          <w:sz w:val="24"/>
          <w:szCs w:val="24"/>
        </w:rPr>
      </w:pPr>
      <w:bookmarkStart w:id="16" w:name="_Toc68364675"/>
      <w:r>
        <w:rPr>
          <w:rFonts w:hint="eastAsia" w:ascii="新宋体" w:hAnsi="新宋体" w:eastAsia="新宋体" w:cs="新宋体"/>
          <w:color w:val="auto"/>
          <w:sz w:val="24"/>
          <w:szCs w:val="24"/>
        </w:rPr>
        <w:t>1、轮作物面积确定比较难。因我县分配任务</w:t>
      </w:r>
      <w:r>
        <w:rPr>
          <w:rFonts w:hint="eastAsia" w:ascii="新宋体" w:hAnsi="新宋体" w:eastAsia="新宋体" w:cs="新宋体"/>
          <w:color w:val="auto"/>
          <w:sz w:val="24"/>
          <w:szCs w:val="24"/>
          <w:lang w:val="en-US" w:eastAsia="zh-CN"/>
        </w:rPr>
        <w:t>5.0333</w:t>
      </w:r>
      <w:r>
        <w:rPr>
          <w:rFonts w:hint="eastAsia" w:ascii="新宋体" w:hAnsi="新宋体" w:eastAsia="新宋体" w:cs="新宋体"/>
          <w:color w:val="auto"/>
          <w:sz w:val="24"/>
          <w:szCs w:val="24"/>
        </w:rPr>
        <w:t>万亩， 但是全县轮作分配农作物种植面积合计大于或小于这个面积， 因资金不能结余，导致部分农作物无法发放补贴。</w:t>
      </w:r>
    </w:p>
    <w:p w14:paraId="06F2965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2、部门职责不明确，应完善相关制度。 由农业农村部  门负责核查种植面积、乡镇确认申报种植面积及农户、县财 政部门与乡镇农经部门负责补助资金的发放、审核；县乡纪 检部门对补助资金发放过程中识别不准、虚报漏报的给予严肃的处理。</w:t>
      </w:r>
    </w:p>
    <w:p w14:paraId="542AF75E">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新宋体" w:hAnsi="新宋体" w:eastAsia="新宋体" w:cs="新宋体"/>
          <w:b w:val="0"/>
          <w:bCs w:val="0"/>
          <w:color w:val="auto"/>
          <w:sz w:val="24"/>
          <w:szCs w:val="24"/>
          <w:lang w:eastAsia="zh-CN"/>
        </w:rPr>
      </w:pPr>
      <w:r>
        <w:rPr>
          <w:rFonts w:hint="eastAsia" w:ascii="新宋体" w:hAnsi="新宋体" w:eastAsia="新宋体" w:cs="新宋体"/>
          <w:b w:val="0"/>
          <w:bCs w:val="0"/>
          <w:color w:val="auto"/>
          <w:sz w:val="24"/>
          <w:szCs w:val="24"/>
        </w:rPr>
        <w:t>3、面积核实工具不到位。因没有面积核实工具，实地核实农作物面积、抽查核实面积等遇到困难，望农业农村厅匹配 GPS、航测无人机等实测工具，提高工作效率</w:t>
      </w:r>
      <w:r>
        <w:rPr>
          <w:rFonts w:hint="eastAsia" w:ascii="新宋体" w:hAnsi="新宋体" w:eastAsia="新宋体" w:cs="新宋体"/>
          <w:b w:val="0"/>
          <w:bCs w:val="0"/>
          <w:color w:val="auto"/>
          <w:sz w:val="24"/>
          <w:szCs w:val="24"/>
          <w:lang w:eastAsia="zh-CN"/>
        </w:rPr>
        <w:t>。</w:t>
      </w:r>
      <w:bookmarkEnd w:id="16"/>
    </w:p>
    <w:p w14:paraId="0E5D0714">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val="0"/>
          <w:bCs w:val="0"/>
          <w:color w:val="auto"/>
          <w:sz w:val="24"/>
          <w:szCs w:val="24"/>
        </w:rPr>
      </w:pPr>
      <w:r>
        <w:rPr>
          <w:rFonts w:hint="eastAsia" w:ascii="黑体" w:hAnsi="黑体" w:eastAsia="黑体" w:cs="黑体"/>
          <w:color w:val="auto"/>
          <w:sz w:val="24"/>
          <w:szCs w:val="24"/>
        </w:rPr>
        <w:t>七、有关建议</w:t>
      </w:r>
    </w:p>
    <w:p w14:paraId="46E3F39F">
      <w:pPr>
        <w:pStyle w:val="21"/>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color w:val="auto"/>
          <w:kern w:val="2"/>
          <w:sz w:val="24"/>
          <w:szCs w:val="24"/>
        </w:rPr>
      </w:pPr>
      <w:r>
        <w:rPr>
          <w:rFonts w:hint="eastAsia" w:ascii="宋体" w:hAnsi="宋体" w:eastAsia="宋体" w:cs="宋体"/>
          <w:b w:val="0"/>
          <w:color w:val="auto"/>
          <w:kern w:val="2"/>
          <w:sz w:val="24"/>
          <w:szCs w:val="24"/>
        </w:rPr>
        <w:t>预算编制工作，认真做好预算的编制。全面编制预算项目，优先保障固定性的、相对刚性的费用支出项目，尽量压缩变动性的、有控制空间的费用项目，进一步提高预算编制的科学性、严谨性和可控性。</w:t>
      </w:r>
    </w:p>
    <w:p w14:paraId="7FCA3700">
      <w:pPr>
        <w:pStyle w:val="17"/>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开展进度的跟踪，确保项目绩效目标的完成。规范程序，严格把关。进一步完善项目申报、审核、公示、审批等程序，严格审核切实做好项目信息公开，公开内容要及时、完整、真实，确保项目公平、公开、公正。</w:t>
      </w:r>
    </w:p>
    <w:p w14:paraId="3A040F26">
      <w:pPr>
        <w:pStyle w:val="21"/>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 w:val="0"/>
          <w:bCs w:val="0"/>
          <w:color w:val="auto"/>
          <w:kern w:val="2"/>
          <w:sz w:val="24"/>
          <w:szCs w:val="24"/>
          <w:lang w:val="en-US" w:eastAsia="zh-CN" w:bidi="ar-SA"/>
        </w:rPr>
        <w:t>健全制度，加强督促。针对项目实施中存在的问题，进一步完善相关制度，加强督促检查，确保质量安全和建设进度；同时及时完善资料。</w:t>
      </w:r>
      <w:bookmarkStart w:id="17" w:name="_Toc68364676"/>
    </w:p>
    <w:p w14:paraId="3F7A22B5">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p>
    <w:p w14:paraId="7E8F5765">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八、其他需要说明的问题</w:t>
      </w:r>
      <w:bookmarkEnd w:id="17"/>
    </w:p>
    <w:p w14:paraId="050C16D2">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我单位对上述项目支出绩效评价报告内反映内容的真实性、完整性负责，</w:t>
      </w:r>
      <w:r>
        <w:rPr>
          <w:rFonts w:hint="eastAsia" w:ascii="宋体" w:hAnsi="宋体" w:eastAsia="宋体" w:cs="宋体"/>
          <w:color w:val="auto"/>
          <w:sz w:val="24"/>
          <w:szCs w:val="24"/>
          <w:lang w:val="en-US" w:eastAsia="zh-CN"/>
        </w:rPr>
        <w:t>愿</w:t>
      </w:r>
      <w:r>
        <w:rPr>
          <w:rFonts w:hint="eastAsia" w:ascii="宋体" w:hAnsi="宋体" w:eastAsia="宋体" w:cs="宋体"/>
          <w:color w:val="auto"/>
          <w:sz w:val="24"/>
          <w:szCs w:val="24"/>
        </w:rPr>
        <w:t>接受上级部门及社会公众监督。</w:t>
      </w:r>
    </w:p>
    <w:p w14:paraId="3AC6C82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新宋体" w:hAnsi="新宋体" w:eastAsia="新宋体" w:cs="新宋体"/>
          <w:color w:val="auto"/>
          <w:sz w:val="24"/>
          <w:szCs w:val="24"/>
          <w:highlight w:val="none"/>
          <w:lang w:val="en-US" w:eastAsia="zh-CN"/>
        </w:rPr>
      </w:pPr>
    </w:p>
    <w:p w14:paraId="00EE01E5">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附件1：洛浦县2024年农业生产社会化服务项目绩效评价指标体系</w:t>
      </w:r>
    </w:p>
    <w:p w14:paraId="0518A385">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附件2：洛浦县2024年农业生产社会化服务项目综合得分表</w:t>
      </w:r>
    </w:p>
    <w:p w14:paraId="40E18044">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附件3：洛浦县2024年农业生产社会化服务项目满意度调查问卷分析报告</w:t>
      </w:r>
    </w:p>
    <w:p w14:paraId="7653ED79">
      <w:pPr>
        <w:pStyle w:val="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14E20608">
      <w:pPr>
        <w:pStyle w:val="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59592FF8">
      <w:pPr>
        <w:pStyle w:val="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5E53B941">
      <w:pPr>
        <w:pStyle w:val="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6A9C46B0">
      <w:pPr>
        <w:pStyle w:val="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67B502FC">
      <w:pPr>
        <w:pStyle w:val="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1D510BA4">
      <w:pPr>
        <w:pStyle w:val="7"/>
        <w:pageBreakBefore w:val="0"/>
        <w:widowControl w:val="0"/>
        <w:kinsoku/>
        <w:wordWrap/>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color w:val="auto"/>
          <w:sz w:val="24"/>
          <w:szCs w:val="24"/>
          <w:highlight w:val="none"/>
        </w:rPr>
      </w:pPr>
    </w:p>
    <w:p w14:paraId="001AC1A4">
      <w:pPr>
        <w:pStyle w:val="7"/>
        <w:pageBreakBefore w:val="0"/>
        <w:widowControl w:val="0"/>
        <w:kinsoku/>
        <w:wordWrap/>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color w:val="auto"/>
          <w:sz w:val="24"/>
          <w:szCs w:val="24"/>
          <w:highlight w:val="none"/>
        </w:rPr>
      </w:pPr>
    </w:p>
    <w:p w14:paraId="2597C528">
      <w:pPr>
        <w:pStyle w:val="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sectPr>
          <w:footerReference r:id="rId7" w:type="default"/>
          <w:pgSz w:w="11906" w:h="16838"/>
          <w:pgMar w:top="1985" w:right="1531" w:bottom="1701" w:left="1531" w:header="851" w:footer="992" w:gutter="0"/>
          <w:pgNumType w:fmt="decimal" w:start="1"/>
          <w:cols w:space="720" w:num="1"/>
          <w:docGrid w:type="linesAndChars" w:linePitch="386" w:charSpace="0"/>
        </w:sectPr>
      </w:pP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5"/>
        <w:gridCol w:w="553"/>
        <w:gridCol w:w="829"/>
        <w:gridCol w:w="567"/>
        <w:gridCol w:w="1142"/>
        <w:gridCol w:w="647"/>
        <w:gridCol w:w="1545"/>
        <w:gridCol w:w="979"/>
        <w:gridCol w:w="4553"/>
        <w:gridCol w:w="853"/>
        <w:gridCol w:w="885"/>
      </w:tblGrid>
      <w:tr w14:paraId="56C35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614571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附件1：</w:t>
            </w:r>
          </w:p>
        </w:tc>
      </w:tr>
      <w:tr w14:paraId="12077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5000" w:type="pct"/>
            <w:gridSpan w:val="11"/>
            <w:tcBorders>
              <w:top w:val="nil"/>
              <w:left w:val="nil"/>
              <w:bottom w:val="nil"/>
              <w:right w:val="nil"/>
            </w:tcBorders>
            <w:noWrap w:val="0"/>
            <w:vAlign w:val="center"/>
          </w:tcPr>
          <w:p w14:paraId="0C475D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Style w:val="22"/>
                <w:rFonts w:hint="eastAsia" w:ascii="宋体" w:hAnsi="宋体" w:eastAsia="宋体" w:cs="宋体"/>
                <w:color w:val="auto"/>
                <w:sz w:val="24"/>
                <w:szCs w:val="24"/>
                <w:highlight w:val="none"/>
                <w:lang w:val="en-US" w:eastAsia="zh-CN"/>
              </w:rPr>
              <w:t>洛浦县2024年农业生产社会化服务项目绩效评价指标体系综合评分表</w:t>
            </w:r>
          </w:p>
        </w:tc>
      </w:tr>
      <w:tr w14:paraId="24FB4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05" w:type="pct"/>
            <w:tcBorders>
              <w:top w:val="single" w:color="auto" w:sz="8" w:space="0"/>
              <w:left w:val="single" w:color="auto" w:sz="8" w:space="0"/>
              <w:bottom w:val="single" w:color="auto" w:sz="8" w:space="0"/>
              <w:right w:val="single" w:color="auto" w:sz="8" w:space="0"/>
            </w:tcBorders>
            <w:noWrap w:val="0"/>
            <w:vAlign w:val="center"/>
          </w:tcPr>
          <w:p w14:paraId="4C2342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一级指标</w:t>
            </w:r>
          </w:p>
        </w:tc>
        <w:tc>
          <w:tcPr>
            <w:tcW w:w="207" w:type="pct"/>
            <w:tcBorders>
              <w:top w:val="single" w:color="auto" w:sz="8" w:space="0"/>
              <w:left w:val="nil"/>
              <w:bottom w:val="single" w:color="auto" w:sz="8" w:space="0"/>
              <w:right w:val="single" w:color="auto" w:sz="8" w:space="0"/>
            </w:tcBorders>
            <w:noWrap w:val="0"/>
            <w:vAlign w:val="center"/>
          </w:tcPr>
          <w:p w14:paraId="5F20A1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分值</w:t>
            </w:r>
          </w:p>
        </w:tc>
        <w:tc>
          <w:tcPr>
            <w:tcW w:w="310" w:type="pct"/>
            <w:tcBorders>
              <w:top w:val="single" w:color="auto" w:sz="8" w:space="0"/>
              <w:left w:val="nil"/>
              <w:bottom w:val="single" w:color="auto" w:sz="8" w:space="0"/>
              <w:right w:val="single" w:color="auto" w:sz="8" w:space="0"/>
            </w:tcBorders>
            <w:noWrap w:val="0"/>
            <w:vAlign w:val="center"/>
          </w:tcPr>
          <w:p w14:paraId="074764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二级指标</w:t>
            </w:r>
          </w:p>
        </w:tc>
        <w:tc>
          <w:tcPr>
            <w:tcW w:w="212" w:type="pct"/>
            <w:tcBorders>
              <w:top w:val="single" w:color="auto" w:sz="8" w:space="0"/>
              <w:left w:val="nil"/>
              <w:bottom w:val="single" w:color="auto" w:sz="8" w:space="0"/>
              <w:right w:val="single" w:color="auto" w:sz="8" w:space="0"/>
            </w:tcBorders>
            <w:noWrap w:val="0"/>
            <w:vAlign w:val="center"/>
          </w:tcPr>
          <w:p w14:paraId="38665A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分值</w:t>
            </w:r>
          </w:p>
        </w:tc>
        <w:tc>
          <w:tcPr>
            <w:tcW w:w="427" w:type="pct"/>
            <w:tcBorders>
              <w:top w:val="single" w:color="auto" w:sz="8" w:space="0"/>
              <w:left w:val="nil"/>
              <w:bottom w:val="single" w:color="auto" w:sz="8" w:space="0"/>
              <w:right w:val="single" w:color="auto" w:sz="8" w:space="0"/>
            </w:tcBorders>
            <w:noWrap w:val="0"/>
            <w:vAlign w:val="center"/>
          </w:tcPr>
          <w:p w14:paraId="4AC54F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三级指标</w:t>
            </w:r>
          </w:p>
        </w:tc>
        <w:tc>
          <w:tcPr>
            <w:tcW w:w="242" w:type="pct"/>
            <w:tcBorders>
              <w:top w:val="single" w:color="auto" w:sz="8" w:space="0"/>
              <w:left w:val="nil"/>
              <w:bottom w:val="single" w:color="auto" w:sz="8" w:space="0"/>
              <w:right w:val="single" w:color="auto" w:sz="8" w:space="0"/>
            </w:tcBorders>
            <w:noWrap w:val="0"/>
            <w:vAlign w:val="center"/>
          </w:tcPr>
          <w:p w14:paraId="22EF6F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分值</w:t>
            </w:r>
          </w:p>
        </w:tc>
        <w:tc>
          <w:tcPr>
            <w:tcW w:w="578" w:type="pct"/>
            <w:tcBorders>
              <w:top w:val="single" w:color="auto" w:sz="8" w:space="0"/>
              <w:left w:val="nil"/>
              <w:bottom w:val="single" w:color="auto" w:sz="8" w:space="0"/>
              <w:right w:val="single" w:color="auto" w:sz="8" w:space="0"/>
            </w:tcBorders>
            <w:noWrap w:val="0"/>
            <w:vAlign w:val="center"/>
          </w:tcPr>
          <w:p w14:paraId="3E7D5E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指标解释</w:t>
            </w:r>
          </w:p>
        </w:tc>
        <w:tc>
          <w:tcPr>
            <w:tcW w:w="366" w:type="pct"/>
            <w:tcBorders>
              <w:top w:val="single" w:color="auto" w:sz="8" w:space="0"/>
              <w:left w:val="nil"/>
              <w:bottom w:val="single" w:color="auto" w:sz="8" w:space="0"/>
              <w:right w:val="single" w:color="auto" w:sz="8" w:space="0"/>
            </w:tcBorders>
            <w:noWrap w:val="0"/>
            <w:vAlign w:val="center"/>
          </w:tcPr>
          <w:p w14:paraId="165728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标杆值</w:t>
            </w:r>
          </w:p>
        </w:tc>
        <w:tc>
          <w:tcPr>
            <w:tcW w:w="1703" w:type="pct"/>
            <w:tcBorders>
              <w:top w:val="single" w:color="auto" w:sz="8" w:space="0"/>
              <w:left w:val="nil"/>
              <w:bottom w:val="single" w:color="auto" w:sz="8" w:space="0"/>
              <w:right w:val="single" w:color="auto" w:sz="8" w:space="0"/>
            </w:tcBorders>
            <w:noWrap w:val="0"/>
            <w:vAlign w:val="center"/>
          </w:tcPr>
          <w:p w14:paraId="4441BD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评分标准</w:t>
            </w:r>
          </w:p>
        </w:tc>
        <w:tc>
          <w:tcPr>
            <w:tcW w:w="319" w:type="pct"/>
            <w:tcBorders>
              <w:top w:val="single" w:color="auto" w:sz="8" w:space="0"/>
              <w:left w:val="nil"/>
              <w:bottom w:val="single" w:color="auto" w:sz="8" w:space="0"/>
              <w:right w:val="single" w:color="auto" w:sz="8" w:space="0"/>
            </w:tcBorders>
            <w:noWrap w:val="0"/>
            <w:vAlign w:val="center"/>
          </w:tcPr>
          <w:p w14:paraId="514F95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完成值</w:t>
            </w:r>
          </w:p>
        </w:tc>
        <w:tc>
          <w:tcPr>
            <w:tcW w:w="326" w:type="pct"/>
            <w:tcBorders>
              <w:top w:val="single" w:color="auto" w:sz="8" w:space="0"/>
              <w:left w:val="nil"/>
              <w:bottom w:val="single" w:color="auto" w:sz="8" w:space="0"/>
              <w:right w:val="single" w:color="auto" w:sz="8" w:space="0"/>
            </w:tcBorders>
            <w:noWrap w:val="0"/>
            <w:vAlign w:val="center"/>
          </w:tcPr>
          <w:p w14:paraId="6C0F98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得分</w:t>
            </w:r>
          </w:p>
        </w:tc>
      </w:tr>
      <w:tr w14:paraId="1964C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4" w:hRule="atLeast"/>
        </w:trPr>
        <w:tc>
          <w:tcPr>
            <w:tcW w:w="305" w:type="pct"/>
            <w:vMerge w:val="restart"/>
            <w:tcBorders>
              <w:top w:val="nil"/>
              <w:left w:val="single" w:color="auto" w:sz="4" w:space="0"/>
              <w:bottom w:val="single" w:color="auto" w:sz="8" w:space="0"/>
              <w:right w:val="single" w:color="auto" w:sz="8" w:space="0"/>
            </w:tcBorders>
            <w:noWrap w:val="0"/>
            <w:vAlign w:val="center"/>
          </w:tcPr>
          <w:p w14:paraId="6CE661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项目决策</w:t>
            </w:r>
          </w:p>
        </w:tc>
        <w:tc>
          <w:tcPr>
            <w:tcW w:w="207" w:type="pct"/>
            <w:vMerge w:val="restart"/>
            <w:tcBorders>
              <w:top w:val="nil"/>
              <w:left w:val="nil"/>
              <w:bottom w:val="single" w:color="auto" w:sz="8" w:space="0"/>
              <w:right w:val="single" w:color="auto" w:sz="8" w:space="0"/>
            </w:tcBorders>
            <w:noWrap w:val="0"/>
            <w:vAlign w:val="center"/>
          </w:tcPr>
          <w:p w14:paraId="31FCF7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23</w:t>
            </w:r>
          </w:p>
        </w:tc>
        <w:tc>
          <w:tcPr>
            <w:tcW w:w="310" w:type="pct"/>
            <w:vMerge w:val="restart"/>
            <w:tcBorders>
              <w:top w:val="nil"/>
              <w:left w:val="nil"/>
              <w:bottom w:val="single" w:color="auto" w:sz="8" w:space="0"/>
              <w:right w:val="single" w:color="auto" w:sz="8" w:space="0"/>
            </w:tcBorders>
            <w:noWrap w:val="0"/>
            <w:vAlign w:val="center"/>
          </w:tcPr>
          <w:p w14:paraId="1D2335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项目立项</w:t>
            </w:r>
          </w:p>
        </w:tc>
        <w:tc>
          <w:tcPr>
            <w:tcW w:w="212" w:type="pct"/>
            <w:vMerge w:val="restart"/>
            <w:tcBorders>
              <w:top w:val="nil"/>
              <w:left w:val="nil"/>
              <w:bottom w:val="single" w:color="auto" w:sz="8" w:space="0"/>
              <w:right w:val="single" w:color="auto" w:sz="8" w:space="0"/>
            </w:tcBorders>
            <w:noWrap w:val="0"/>
            <w:vAlign w:val="center"/>
          </w:tcPr>
          <w:p w14:paraId="69D8AD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5</w:t>
            </w:r>
          </w:p>
        </w:tc>
        <w:tc>
          <w:tcPr>
            <w:tcW w:w="427" w:type="pct"/>
            <w:tcBorders>
              <w:top w:val="nil"/>
              <w:left w:val="nil"/>
              <w:bottom w:val="single" w:color="auto" w:sz="8" w:space="0"/>
              <w:right w:val="single" w:color="auto" w:sz="8" w:space="0"/>
            </w:tcBorders>
            <w:noWrap w:val="0"/>
            <w:vAlign w:val="center"/>
          </w:tcPr>
          <w:p w14:paraId="01FCEC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立项依据充分性</w:t>
            </w:r>
          </w:p>
        </w:tc>
        <w:tc>
          <w:tcPr>
            <w:tcW w:w="242" w:type="pct"/>
            <w:tcBorders>
              <w:top w:val="nil"/>
              <w:left w:val="nil"/>
              <w:bottom w:val="single" w:color="auto" w:sz="8" w:space="0"/>
              <w:right w:val="single" w:color="auto" w:sz="8" w:space="0"/>
            </w:tcBorders>
            <w:noWrap w:val="0"/>
            <w:vAlign w:val="center"/>
          </w:tcPr>
          <w:p w14:paraId="1587A3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w:t>
            </w:r>
          </w:p>
        </w:tc>
        <w:tc>
          <w:tcPr>
            <w:tcW w:w="578" w:type="pct"/>
            <w:tcBorders>
              <w:top w:val="nil"/>
              <w:left w:val="nil"/>
              <w:bottom w:val="single" w:color="auto" w:sz="8" w:space="0"/>
              <w:right w:val="single" w:color="auto" w:sz="8" w:space="0"/>
            </w:tcBorders>
            <w:noWrap w:val="0"/>
            <w:vAlign w:val="center"/>
          </w:tcPr>
          <w:p w14:paraId="1F7235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项目立项是否符合法律法规、相关政策、发展规划以及部门职责，用以反映和考核项目立项依据情况。</w:t>
            </w:r>
          </w:p>
        </w:tc>
        <w:tc>
          <w:tcPr>
            <w:tcW w:w="366" w:type="pct"/>
            <w:tcBorders>
              <w:top w:val="nil"/>
              <w:left w:val="nil"/>
              <w:bottom w:val="single" w:color="auto" w:sz="8" w:space="0"/>
              <w:right w:val="single" w:color="auto" w:sz="8" w:space="0"/>
            </w:tcBorders>
            <w:noWrap w:val="0"/>
            <w:vAlign w:val="center"/>
          </w:tcPr>
          <w:p w14:paraId="78F75D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充分</w:t>
            </w:r>
          </w:p>
        </w:tc>
        <w:tc>
          <w:tcPr>
            <w:tcW w:w="1703" w:type="pct"/>
            <w:tcBorders>
              <w:top w:val="nil"/>
              <w:left w:val="nil"/>
              <w:bottom w:val="single" w:color="auto" w:sz="8" w:space="0"/>
              <w:right w:val="single" w:color="auto" w:sz="8" w:space="0"/>
            </w:tcBorders>
            <w:noWrap w:val="0"/>
            <w:vAlign w:val="center"/>
          </w:tcPr>
          <w:p w14:paraId="21EE44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①项目立项是否符合国家法律法规、国民经济发展规划和相关政策；</w:t>
            </w:r>
          </w:p>
          <w:p w14:paraId="347D9F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②项目立项是否符合行业发展规划和政策要求；</w:t>
            </w:r>
          </w:p>
          <w:p w14:paraId="22CEAD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③项目立项是否与部门职责范围相符，属于部门履职所需；</w:t>
            </w:r>
          </w:p>
          <w:p w14:paraId="656748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④项目是否属于公共财政支持范围，是否符合中央、地方事权支出责任划分原则；</w:t>
            </w:r>
          </w:p>
          <w:p w14:paraId="3E77B1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⑤项目是否与相关部门同类项目或部门内部相关项目重复。</w:t>
            </w:r>
          </w:p>
          <w:p w14:paraId="53F76F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以上每条要素占权重分的20%，每有一条不符合，扣除对应权重分，扣完为止。</w:t>
            </w:r>
          </w:p>
        </w:tc>
        <w:tc>
          <w:tcPr>
            <w:tcW w:w="319" w:type="pct"/>
            <w:tcBorders>
              <w:top w:val="nil"/>
              <w:left w:val="nil"/>
              <w:bottom w:val="single" w:color="auto" w:sz="8" w:space="0"/>
              <w:right w:val="single" w:color="auto" w:sz="8" w:space="0"/>
            </w:tcBorders>
            <w:noWrap w:val="0"/>
            <w:vAlign w:val="center"/>
          </w:tcPr>
          <w:p w14:paraId="6E5563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充分</w:t>
            </w:r>
          </w:p>
        </w:tc>
        <w:tc>
          <w:tcPr>
            <w:tcW w:w="326" w:type="pct"/>
            <w:tcBorders>
              <w:top w:val="nil"/>
              <w:left w:val="nil"/>
              <w:bottom w:val="single" w:color="auto" w:sz="8" w:space="0"/>
              <w:right w:val="single" w:color="auto" w:sz="8" w:space="0"/>
            </w:tcBorders>
            <w:noWrap w:val="0"/>
            <w:vAlign w:val="center"/>
          </w:tcPr>
          <w:p w14:paraId="356875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w:t>
            </w:r>
          </w:p>
        </w:tc>
      </w:tr>
      <w:tr w14:paraId="1CC60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305" w:type="pct"/>
            <w:vMerge w:val="continue"/>
            <w:tcBorders>
              <w:top w:val="nil"/>
              <w:left w:val="single" w:color="auto" w:sz="4" w:space="0"/>
              <w:bottom w:val="single" w:color="auto" w:sz="8" w:space="0"/>
              <w:right w:val="single" w:color="auto" w:sz="8" w:space="0"/>
            </w:tcBorders>
            <w:noWrap w:val="0"/>
            <w:vAlign w:val="center"/>
          </w:tcPr>
          <w:p w14:paraId="680B7D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07" w:type="pct"/>
            <w:vMerge w:val="continue"/>
            <w:tcBorders>
              <w:top w:val="nil"/>
              <w:left w:val="nil"/>
              <w:bottom w:val="single" w:color="auto" w:sz="8" w:space="0"/>
              <w:right w:val="single" w:color="auto" w:sz="8" w:space="0"/>
            </w:tcBorders>
            <w:noWrap w:val="0"/>
            <w:vAlign w:val="center"/>
          </w:tcPr>
          <w:p w14:paraId="7D45B3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310" w:type="pct"/>
            <w:vMerge w:val="continue"/>
            <w:tcBorders>
              <w:top w:val="nil"/>
              <w:left w:val="nil"/>
              <w:bottom w:val="single" w:color="auto" w:sz="8" w:space="0"/>
              <w:right w:val="single" w:color="auto" w:sz="8" w:space="0"/>
            </w:tcBorders>
            <w:noWrap w:val="0"/>
            <w:vAlign w:val="center"/>
          </w:tcPr>
          <w:p w14:paraId="6B6EB6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12" w:type="pct"/>
            <w:vMerge w:val="continue"/>
            <w:tcBorders>
              <w:top w:val="nil"/>
              <w:left w:val="nil"/>
              <w:bottom w:val="single" w:color="auto" w:sz="8" w:space="0"/>
              <w:right w:val="single" w:color="auto" w:sz="8" w:space="0"/>
            </w:tcBorders>
            <w:noWrap w:val="0"/>
            <w:vAlign w:val="center"/>
          </w:tcPr>
          <w:p w14:paraId="6915DA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427" w:type="pct"/>
            <w:tcBorders>
              <w:top w:val="nil"/>
              <w:left w:val="nil"/>
              <w:bottom w:val="single" w:color="auto" w:sz="8" w:space="0"/>
              <w:right w:val="single" w:color="auto" w:sz="8" w:space="0"/>
            </w:tcBorders>
            <w:noWrap w:val="0"/>
            <w:vAlign w:val="center"/>
          </w:tcPr>
          <w:p w14:paraId="1F3645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立项程序规范性</w:t>
            </w:r>
          </w:p>
        </w:tc>
        <w:tc>
          <w:tcPr>
            <w:tcW w:w="242" w:type="pct"/>
            <w:tcBorders>
              <w:top w:val="nil"/>
              <w:left w:val="nil"/>
              <w:bottom w:val="single" w:color="auto" w:sz="8" w:space="0"/>
              <w:right w:val="single" w:color="auto" w:sz="8" w:space="0"/>
            </w:tcBorders>
            <w:noWrap w:val="0"/>
            <w:vAlign w:val="center"/>
          </w:tcPr>
          <w:p w14:paraId="706BE0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3</w:t>
            </w:r>
          </w:p>
        </w:tc>
        <w:tc>
          <w:tcPr>
            <w:tcW w:w="578" w:type="pct"/>
            <w:tcBorders>
              <w:top w:val="nil"/>
              <w:left w:val="nil"/>
              <w:bottom w:val="single" w:color="auto" w:sz="8" w:space="0"/>
              <w:right w:val="single" w:color="auto" w:sz="8" w:space="0"/>
            </w:tcBorders>
            <w:noWrap w:val="0"/>
            <w:vAlign w:val="center"/>
          </w:tcPr>
          <w:p w14:paraId="19F398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项目申请、设立过程是否符合相关要求，用以反映和考核项目立项的规范情况。</w:t>
            </w:r>
          </w:p>
        </w:tc>
        <w:tc>
          <w:tcPr>
            <w:tcW w:w="366" w:type="pct"/>
            <w:tcBorders>
              <w:top w:val="nil"/>
              <w:left w:val="nil"/>
              <w:bottom w:val="single" w:color="auto" w:sz="8" w:space="0"/>
              <w:right w:val="single" w:color="auto" w:sz="8" w:space="0"/>
            </w:tcBorders>
            <w:noWrap w:val="0"/>
            <w:vAlign w:val="center"/>
          </w:tcPr>
          <w:p w14:paraId="5D9BD0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规范</w:t>
            </w:r>
          </w:p>
        </w:tc>
        <w:tc>
          <w:tcPr>
            <w:tcW w:w="1703" w:type="pct"/>
            <w:tcBorders>
              <w:top w:val="nil"/>
              <w:left w:val="nil"/>
              <w:bottom w:val="single" w:color="auto" w:sz="8" w:space="0"/>
              <w:right w:val="single" w:color="auto" w:sz="8" w:space="0"/>
            </w:tcBorders>
            <w:noWrap w:val="0"/>
            <w:vAlign w:val="center"/>
          </w:tcPr>
          <w:p w14:paraId="431AFE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①项目是否按照规定的程序申请设立；</w:t>
            </w:r>
          </w:p>
          <w:p w14:paraId="2184CE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②审批文件、材料是否符合相关要求；</w:t>
            </w:r>
          </w:p>
          <w:p w14:paraId="4CCB15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③事前是否已经过必要的可行性研究、专家论证、风险评估、绩效评估、集体决策。</w:t>
            </w:r>
          </w:p>
          <w:p w14:paraId="473A6C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①②③齐全得权重分的100%，缺①扣权重分的40%，缺②扣权重分的30%，缺③扣权重分的30%。</w:t>
            </w:r>
          </w:p>
        </w:tc>
        <w:tc>
          <w:tcPr>
            <w:tcW w:w="319" w:type="pct"/>
            <w:tcBorders>
              <w:top w:val="nil"/>
              <w:left w:val="nil"/>
              <w:bottom w:val="single" w:color="auto" w:sz="8" w:space="0"/>
              <w:right w:val="single" w:color="auto" w:sz="8" w:space="0"/>
            </w:tcBorders>
            <w:noWrap w:val="0"/>
            <w:vAlign w:val="center"/>
          </w:tcPr>
          <w:p w14:paraId="63B320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规范</w:t>
            </w:r>
          </w:p>
        </w:tc>
        <w:tc>
          <w:tcPr>
            <w:tcW w:w="326" w:type="pct"/>
            <w:tcBorders>
              <w:top w:val="nil"/>
              <w:left w:val="nil"/>
              <w:bottom w:val="single" w:color="auto" w:sz="8" w:space="0"/>
              <w:right w:val="single" w:color="auto" w:sz="8" w:space="0"/>
            </w:tcBorders>
            <w:noWrap w:val="0"/>
            <w:vAlign w:val="center"/>
          </w:tcPr>
          <w:p w14:paraId="18658F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3</w:t>
            </w:r>
          </w:p>
        </w:tc>
      </w:tr>
      <w:tr w14:paraId="7E6C4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305" w:type="pct"/>
            <w:vMerge w:val="continue"/>
            <w:tcBorders>
              <w:top w:val="nil"/>
              <w:left w:val="single" w:color="auto" w:sz="4" w:space="0"/>
              <w:bottom w:val="single" w:color="auto" w:sz="4" w:space="0"/>
              <w:right w:val="single" w:color="auto" w:sz="8" w:space="0"/>
            </w:tcBorders>
            <w:noWrap w:val="0"/>
            <w:vAlign w:val="center"/>
          </w:tcPr>
          <w:p w14:paraId="2C1D97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07" w:type="pct"/>
            <w:vMerge w:val="continue"/>
            <w:tcBorders>
              <w:top w:val="nil"/>
              <w:left w:val="nil"/>
              <w:bottom w:val="single" w:color="auto" w:sz="4" w:space="0"/>
              <w:right w:val="single" w:color="auto" w:sz="8" w:space="0"/>
            </w:tcBorders>
            <w:noWrap w:val="0"/>
            <w:vAlign w:val="center"/>
          </w:tcPr>
          <w:p w14:paraId="310602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310" w:type="pct"/>
            <w:vMerge w:val="restart"/>
            <w:tcBorders>
              <w:top w:val="nil"/>
              <w:left w:val="nil"/>
              <w:bottom w:val="single" w:color="auto" w:sz="4" w:space="0"/>
              <w:right w:val="single" w:color="auto" w:sz="8" w:space="0"/>
            </w:tcBorders>
            <w:noWrap w:val="0"/>
            <w:vAlign w:val="center"/>
          </w:tcPr>
          <w:p w14:paraId="2CD388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绩效目标</w:t>
            </w:r>
          </w:p>
        </w:tc>
        <w:tc>
          <w:tcPr>
            <w:tcW w:w="212" w:type="pct"/>
            <w:vMerge w:val="restart"/>
            <w:tcBorders>
              <w:top w:val="nil"/>
              <w:left w:val="nil"/>
              <w:bottom w:val="single" w:color="auto" w:sz="4" w:space="0"/>
              <w:right w:val="single" w:color="auto" w:sz="8" w:space="0"/>
            </w:tcBorders>
            <w:noWrap w:val="0"/>
            <w:vAlign w:val="center"/>
          </w:tcPr>
          <w:p w14:paraId="6FE7FA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w:t>
            </w:r>
          </w:p>
        </w:tc>
        <w:tc>
          <w:tcPr>
            <w:tcW w:w="427" w:type="pct"/>
            <w:tcBorders>
              <w:top w:val="nil"/>
              <w:left w:val="nil"/>
              <w:bottom w:val="single" w:color="auto" w:sz="4" w:space="0"/>
              <w:right w:val="single" w:color="auto" w:sz="8" w:space="0"/>
            </w:tcBorders>
            <w:noWrap w:val="0"/>
            <w:vAlign w:val="center"/>
          </w:tcPr>
          <w:p w14:paraId="16149D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绩效目标合理性</w:t>
            </w:r>
          </w:p>
        </w:tc>
        <w:tc>
          <w:tcPr>
            <w:tcW w:w="242" w:type="pct"/>
            <w:tcBorders>
              <w:top w:val="nil"/>
              <w:left w:val="nil"/>
              <w:bottom w:val="single" w:color="auto" w:sz="4" w:space="0"/>
              <w:right w:val="single" w:color="auto" w:sz="8" w:space="0"/>
            </w:tcBorders>
            <w:noWrap w:val="0"/>
            <w:vAlign w:val="center"/>
          </w:tcPr>
          <w:p w14:paraId="242E74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5</w:t>
            </w:r>
          </w:p>
        </w:tc>
        <w:tc>
          <w:tcPr>
            <w:tcW w:w="578" w:type="pct"/>
            <w:tcBorders>
              <w:top w:val="nil"/>
              <w:left w:val="nil"/>
              <w:bottom w:val="single" w:color="auto" w:sz="4" w:space="0"/>
              <w:right w:val="single" w:color="auto" w:sz="8" w:space="0"/>
            </w:tcBorders>
            <w:noWrap w:val="0"/>
            <w:vAlign w:val="center"/>
          </w:tcPr>
          <w:p w14:paraId="6B2E5E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项目所设定的绩效目标是否依据充分，是否符合客观实际，用以反映和考核项目绩效目标与项目实施的相符情况。</w:t>
            </w:r>
          </w:p>
        </w:tc>
        <w:tc>
          <w:tcPr>
            <w:tcW w:w="366" w:type="pct"/>
            <w:tcBorders>
              <w:top w:val="nil"/>
              <w:left w:val="nil"/>
              <w:bottom w:val="single" w:color="auto" w:sz="4" w:space="0"/>
              <w:right w:val="single" w:color="auto" w:sz="8" w:space="0"/>
            </w:tcBorders>
            <w:noWrap w:val="0"/>
            <w:vAlign w:val="center"/>
          </w:tcPr>
          <w:p w14:paraId="3FFC97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合理</w:t>
            </w:r>
          </w:p>
        </w:tc>
        <w:tc>
          <w:tcPr>
            <w:tcW w:w="1703" w:type="pct"/>
            <w:tcBorders>
              <w:top w:val="nil"/>
              <w:left w:val="nil"/>
              <w:bottom w:val="single" w:color="auto" w:sz="4" w:space="0"/>
              <w:right w:val="single" w:color="auto" w:sz="8" w:space="0"/>
            </w:tcBorders>
            <w:noWrap w:val="0"/>
            <w:vAlign w:val="center"/>
          </w:tcPr>
          <w:p w14:paraId="309B6A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①项目是否有绩效目标；</w:t>
            </w:r>
          </w:p>
          <w:p w14:paraId="366F45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②项目绩效目标与实际工作内容是否具有相关性；</w:t>
            </w:r>
          </w:p>
          <w:p w14:paraId="404F1A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③项目预期产出效益和效果是否符合正常的业绩水平；</w:t>
            </w:r>
          </w:p>
          <w:p w14:paraId="571A0E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④是否与预算确定的项目投资额或资金量相匹配。</w:t>
            </w:r>
          </w:p>
          <w:p w14:paraId="44F195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以上每条要素各占权重的25%，每有一条不符合，扣除对应的权重分，扣完为止。</w:t>
            </w:r>
          </w:p>
        </w:tc>
        <w:tc>
          <w:tcPr>
            <w:tcW w:w="319" w:type="pct"/>
            <w:tcBorders>
              <w:top w:val="nil"/>
              <w:left w:val="nil"/>
              <w:bottom w:val="single" w:color="auto" w:sz="4" w:space="0"/>
              <w:right w:val="single" w:color="auto" w:sz="8" w:space="0"/>
            </w:tcBorders>
            <w:noWrap w:val="0"/>
            <w:vAlign w:val="center"/>
          </w:tcPr>
          <w:p w14:paraId="6E2702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合理</w:t>
            </w:r>
          </w:p>
        </w:tc>
        <w:tc>
          <w:tcPr>
            <w:tcW w:w="326" w:type="pct"/>
            <w:tcBorders>
              <w:top w:val="nil"/>
              <w:left w:val="nil"/>
              <w:bottom w:val="single" w:color="auto" w:sz="4" w:space="0"/>
              <w:right w:val="single" w:color="auto" w:sz="8" w:space="0"/>
            </w:tcBorders>
            <w:noWrap w:val="0"/>
            <w:vAlign w:val="center"/>
          </w:tcPr>
          <w:p w14:paraId="4B5CBC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5</w:t>
            </w:r>
          </w:p>
        </w:tc>
      </w:tr>
      <w:tr w14:paraId="56A15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9" w:hRule="atLeast"/>
        </w:trPr>
        <w:tc>
          <w:tcPr>
            <w:tcW w:w="305" w:type="pct"/>
            <w:vMerge w:val="continue"/>
            <w:tcBorders>
              <w:top w:val="single" w:color="auto" w:sz="4" w:space="0"/>
              <w:left w:val="single" w:color="auto" w:sz="4" w:space="0"/>
              <w:bottom w:val="single" w:color="auto" w:sz="4" w:space="0"/>
              <w:right w:val="single" w:color="auto" w:sz="8" w:space="0"/>
            </w:tcBorders>
            <w:noWrap w:val="0"/>
            <w:vAlign w:val="center"/>
          </w:tcPr>
          <w:p w14:paraId="6E58DC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07" w:type="pct"/>
            <w:vMerge w:val="continue"/>
            <w:tcBorders>
              <w:top w:val="single" w:color="auto" w:sz="4" w:space="0"/>
              <w:left w:val="nil"/>
              <w:bottom w:val="single" w:color="auto" w:sz="4" w:space="0"/>
              <w:right w:val="single" w:color="auto" w:sz="8" w:space="0"/>
            </w:tcBorders>
            <w:noWrap w:val="0"/>
            <w:vAlign w:val="center"/>
          </w:tcPr>
          <w:p w14:paraId="470C34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310" w:type="pct"/>
            <w:vMerge w:val="continue"/>
            <w:tcBorders>
              <w:top w:val="single" w:color="auto" w:sz="4" w:space="0"/>
              <w:left w:val="nil"/>
              <w:bottom w:val="single" w:color="auto" w:sz="4" w:space="0"/>
              <w:right w:val="single" w:color="auto" w:sz="8" w:space="0"/>
            </w:tcBorders>
            <w:noWrap w:val="0"/>
            <w:vAlign w:val="center"/>
          </w:tcPr>
          <w:p w14:paraId="5DA7C8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12" w:type="pct"/>
            <w:vMerge w:val="continue"/>
            <w:tcBorders>
              <w:top w:val="single" w:color="auto" w:sz="4" w:space="0"/>
              <w:left w:val="nil"/>
              <w:bottom w:val="single" w:color="auto" w:sz="4" w:space="0"/>
              <w:right w:val="single" w:color="auto" w:sz="8" w:space="0"/>
            </w:tcBorders>
            <w:noWrap w:val="0"/>
            <w:vAlign w:val="center"/>
          </w:tcPr>
          <w:p w14:paraId="7F33C7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427" w:type="pct"/>
            <w:tcBorders>
              <w:top w:val="single" w:color="auto" w:sz="4" w:space="0"/>
              <w:left w:val="nil"/>
              <w:bottom w:val="single" w:color="auto" w:sz="4" w:space="0"/>
              <w:right w:val="single" w:color="auto" w:sz="8" w:space="0"/>
            </w:tcBorders>
            <w:noWrap w:val="0"/>
            <w:vAlign w:val="center"/>
          </w:tcPr>
          <w:p w14:paraId="4A122E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绩效指标明确性</w:t>
            </w:r>
          </w:p>
        </w:tc>
        <w:tc>
          <w:tcPr>
            <w:tcW w:w="242" w:type="pct"/>
            <w:tcBorders>
              <w:top w:val="single" w:color="auto" w:sz="4" w:space="0"/>
              <w:left w:val="nil"/>
              <w:bottom w:val="single" w:color="auto" w:sz="4" w:space="0"/>
              <w:right w:val="single" w:color="auto" w:sz="8" w:space="0"/>
            </w:tcBorders>
            <w:noWrap w:val="0"/>
            <w:vAlign w:val="center"/>
          </w:tcPr>
          <w:p w14:paraId="0A650F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5</w:t>
            </w:r>
          </w:p>
        </w:tc>
        <w:tc>
          <w:tcPr>
            <w:tcW w:w="578" w:type="pct"/>
            <w:tcBorders>
              <w:top w:val="single" w:color="auto" w:sz="4" w:space="0"/>
              <w:left w:val="nil"/>
              <w:bottom w:val="single" w:color="auto" w:sz="4" w:space="0"/>
              <w:right w:val="single" w:color="auto" w:sz="8" w:space="0"/>
            </w:tcBorders>
            <w:noWrap w:val="0"/>
            <w:vAlign w:val="center"/>
          </w:tcPr>
          <w:p w14:paraId="753DF0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依据绩效目标设定的绩效指标是否清晰、细化、可衡量等，用以反映和考核项目绩效目标的明细化情况。</w:t>
            </w:r>
          </w:p>
        </w:tc>
        <w:tc>
          <w:tcPr>
            <w:tcW w:w="366" w:type="pct"/>
            <w:tcBorders>
              <w:top w:val="single" w:color="auto" w:sz="4" w:space="0"/>
              <w:left w:val="nil"/>
              <w:bottom w:val="single" w:color="auto" w:sz="4" w:space="0"/>
              <w:right w:val="single" w:color="auto" w:sz="8" w:space="0"/>
            </w:tcBorders>
            <w:noWrap w:val="0"/>
            <w:vAlign w:val="center"/>
          </w:tcPr>
          <w:p w14:paraId="1E07BF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明确</w:t>
            </w:r>
          </w:p>
        </w:tc>
        <w:tc>
          <w:tcPr>
            <w:tcW w:w="1703" w:type="pct"/>
            <w:tcBorders>
              <w:top w:val="single" w:color="auto" w:sz="4" w:space="0"/>
              <w:left w:val="nil"/>
              <w:bottom w:val="single" w:color="auto" w:sz="4" w:space="0"/>
              <w:right w:val="single" w:color="auto" w:sz="8" w:space="0"/>
            </w:tcBorders>
            <w:noWrap w:val="0"/>
            <w:vAlign w:val="center"/>
          </w:tcPr>
          <w:p w14:paraId="6FCF3F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①是否将项目绩效目标细化分解为具体的绩效指标；</w:t>
            </w:r>
          </w:p>
          <w:p w14:paraId="576C11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②是否通过清晰、可衡量的指标值予以体现；</w:t>
            </w:r>
          </w:p>
          <w:p w14:paraId="2D4B1E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③是否与项目目标任务数或计划数相对应。</w:t>
            </w:r>
          </w:p>
          <w:p w14:paraId="070D3A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①②③齐全得权重分的100%，缺①扣权重分的20%，缺②扣权重分的50%，缺③扣权重分的30%。</w:t>
            </w:r>
          </w:p>
        </w:tc>
        <w:tc>
          <w:tcPr>
            <w:tcW w:w="319" w:type="pct"/>
            <w:tcBorders>
              <w:top w:val="single" w:color="auto" w:sz="4" w:space="0"/>
              <w:left w:val="nil"/>
              <w:bottom w:val="single" w:color="auto" w:sz="4" w:space="0"/>
              <w:right w:val="single" w:color="auto" w:sz="8" w:space="0"/>
            </w:tcBorders>
            <w:noWrap w:val="0"/>
            <w:vAlign w:val="center"/>
          </w:tcPr>
          <w:p w14:paraId="145536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明确</w:t>
            </w:r>
          </w:p>
        </w:tc>
        <w:tc>
          <w:tcPr>
            <w:tcW w:w="326" w:type="pct"/>
            <w:tcBorders>
              <w:top w:val="single" w:color="auto" w:sz="4" w:space="0"/>
              <w:left w:val="nil"/>
              <w:bottom w:val="single" w:color="auto" w:sz="4" w:space="0"/>
              <w:right w:val="single" w:color="auto" w:sz="4" w:space="0"/>
            </w:tcBorders>
            <w:noWrap w:val="0"/>
            <w:vAlign w:val="center"/>
          </w:tcPr>
          <w:p w14:paraId="5BB388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5</w:t>
            </w:r>
          </w:p>
        </w:tc>
      </w:tr>
      <w:tr w14:paraId="76CF2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6" w:hRule="atLeast"/>
        </w:trPr>
        <w:tc>
          <w:tcPr>
            <w:tcW w:w="305" w:type="pct"/>
            <w:vMerge w:val="continue"/>
            <w:tcBorders>
              <w:top w:val="single" w:color="auto" w:sz="4" w:space="0"/>
              <w:left w:val="single" w:color="auto" w:sz="4" w:space="0"/>
              <w:bottom w:val="single" w:color="auto" w:sz="8" w:space="0"/>
              <w:right w:val="single" w:color="auto" w:sz="8" w:space="0"/>
            </w:tcBorders>
            <w:noWrap w:val="0"/>
            <w:vAlign w:val="center"/>
          </w:tcPr>
          <w:p w14:paraId="4F04E3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07" w:type="pct"/>
            <w:vMerge w:val="continue"/>
            <w:tcBorders>
              <w:top w:val="single" w:color="auto" w:sz="4" w:space="0"/>
              <w:left w:val="nil"/>
              <w:bottom w:val="single" w:color="auto" w:sz="8" w:space="0"/>
              <w:right w:val="single" w:color="auto" w:sz="8" w:space="0"/>
            </w:tcBorders>
            <w:noWrap w:val="0"/>
            <w:vAlign w:val="center"/>
          </w:tcPr>
          <w:p w14:paraId="6FB538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310" w:type="pct"/>
            <w:vMerge w:val="restart"/>
            <w:tcBorders>
              <w:top w:val="single" w:color="auto" w:sz="4" w:space="0"/>
              <w:left w:val="nil"/>
              <w:bottom w:val="single" w:color="auto" w:sz="8" w:space="0"/>
              <w:right w:val="single" w:color="auto" w:sz="8" w:space="0"/>
            </w:tcBorders>
            <w:noWrap w:val="0"/>
            <w:vAlign w:val="center"/>
          </w:tcPr>
          <w:p w14:paraId="243479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资金投入</w:t>
            </w:r>
          </w:p>
        </w:tc>
        <w:tc>
          <w:tcPr>
            <w:tcW w:w="212" w:type="pct"/>
            <w:vMerge w:val="restart"/>
            <w:tcBorders>
              <w:top w:val="single" w:color="auto" w:sz="4" w:space="0"/>
              <w:left w:val="nil"/>
              <w:bottom w:val="single" w:color="auto" w:sz="8" w:space="0"/>
              <w:right w:val="single" w:color="auto" w:sz="8" w:space="0"/>
            </w:tcBorders>
            <w:noWrap w:val="0"/>
            <w:vAlign w:val="center"/>
          </w:tcPr>
          <w:p w14:paraId="4204DA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8</w:t>
            </w:r>
          </w:p>
        </w:tc>
        <w:tc>
          <w:tcPr>
            <w:tcW w:w="427" w:type="pct"/>
            <w:tcBorders>
              <w:top w:val="single" w:color="auto" w:sz="4" w:space="0"/>
              <w:left w:val="nil"/>
              <w:bottom w:val="single" w:color="auto" w:sz="8" w:space="0"/>
              <w:right w:val="single" w:color="auto" w:sz="8" w:space="0"/>
            </w:tcBorders>
            <w:noWrap w:val="0"/>
            <w:vAlign w:val="center"/>
          </w:tcPr>
          <w:p w14:paraId="253F3B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预算编制科学性</w:t>
            </w:r>
          </w:p>
        </w:tc>
        <w:tc>
          <w:tcPr>
            <w:tcW w:w="242" w:type="pct"/>
            <w:tcBorders>
              <w:top w:val="single" w:color="auto" w:sz="4" w:space="0"/>
              <w:left w:val="nil"/>
              <w:bottom w:val="single" w:color="auto" w:sz="8" w:space="0"/>
              <w:right w:val="single" w:color="auto" w:sz="8" w:space="0"/>
            </w:tcBorders>
            <w:noWrap w:val="0"/>
            <w:vAlign w:val="center"/>
          </w:tcPr>
          <w:p w14:paraId="0CE07E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4</w:t>
            </w:r>
          </w:p>
        </w:tc>
        <w:tc>
          <w:tcPr>
            <w:tcW w:w="578" w:type="pct"/>
            <w:tcBorders>
              <w:top w:val="single" w:color="auto" w:sz="4" w:space="0"/>
              <w:left w:val="nil"/>
              <w:bottom w:val="single" w:color="auto" w:sz="8" w:space="0"/>
              <w:right w:val="single" w:color="auto" w:sz="8" w:space="0"/>
            </w:tcBorders>
            <w:noWrap w:val="0"/>
            <w:vAlign w:val="center"/>
          </w:tcPr>
          <w:p w14:paraId="4DBAFB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项目预算编制是否经过科学论证、有明确标准，资金额度与年度目标是否相适应，用以反映和考核项目预算编制的科学性、合理性情况。</w:t>
            </w:r>
          </w:p>
        </w:tc>
        <w:tc>
          <w:tcPr>
            <w:tcW w:w="366" w:type="pct"/>
            <w:tcBorders>
              <w:top w:val="single" w:color="auto" w:sz="4" w:space="0"/>
              <w:left w:val="nil"/>
              <w:bottom w:val="single" w:color="auto" w:sz="8" w:space="0"/>
              <w:right w:val="single" w:color="auto" w:sz="8" w:space="0"/>
            </w:tcBorders>
            <w:noWrap w:val="0"/>
            <w:vAlign w:val="center"/>
          </w:tcPr>
          <w:p w14:paraId="27FC91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科学</w:t>
            </w:r>
          </w:p>
        </w:tc>
        <w:tc>
          <w:tcPr>
            <w:tcW w:w="1703" w:type="pct"/>
            <w:tcBorders>
              <w:top w:val="single" w:color="auto" w:sz="4" w:space="0"/>
              <w:left w:val="nil"/>
              <w:bottom w:val="single" w:color="auto" w:sz="8" w:space="0"/>
              <w:right w:val="single" w:color="auto" w:sz="8" w:space="0"/>
            </w:tcBorders>
            <w:noWrap w:val="0"/>
            <w:vAlign w:val="center"/>
          </w:tcPr>
          <w:p w14:paraId="1B5307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①预算编制是否经过科学论证；</w:t>
            </w:r>
          </w:p>
          <w:p w14:paraId="5A8E7E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②预算内容与项目内容是否匹配；</w:t>
            </w:r>
          </w:p>
          <w:p w14:paraId="583863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③预算额度测算依据是否充分，是否按照标准编制；</w:t>
            </w:r>
          </w:p>
          <w:p w14:paraId="39AFFA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④预算确定的项目投资额或资金量是否与工作任务相匹配。</w:t>
            </w:r>
          </w:p>
          <w:p w14:paraId="128E6A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以上每条要素各占权重的25%，每有一条不符合，扣除对应的权重分，扣完为止。</w:t>
            </w:r>
          </w:p>
        </w:tc>
        <w:tc>
          <w:tcPr>
            <w:tcW w:w="319" w:type="pct"/>
            <w:tcBorders>
              <w:top w:val="single" w:color="auto" w:sz="4" w:space="0"/>
              <w:left w:val="nil"/>
              <w:bottom w:val="single" w:color="auto" w:sz="8" w:space="0"/>
              <w:right w:val="single" w:color="auto" w:sz="8" w:space="0"/>
            </w:tcBorders>
            <w:noWrap w:val="0"/>
            <w:vAlign w:val="center"/>
          </w:tcPr>
          <w:p w14:paraId="13A925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科学</w:t>
            </w:r>
          </w:p>
        </w:tc>
        <w:tc>
          <w:tcPr>
            <w:tcW w:w="326" w:type="pct"/>
            <w:tcBorders>
              <w:top w:val="single" w:color="auto" w:sz="4" w:space="0"/>
              <w:left w:val="nil"/>
              <w:bottom w:val="single" w:color="auto" w:sz="8" w:space="0"/>
              <w:right w:val="single" w:color="auto" w:sz="8" w:space="0"/>
            </w:tcBorders>
            <w:noWrap w:val="0"/>
            <w:vAlign w:val="center"/>
          </w:tcPr>
          <w:p w14:paraId="3A14F6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4</w:t>
            </w:r>
          </w:p>
        </w:tc>
      </w:tr>
      <w:tr w14:paraId="3AE2C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0" w:hRule="atLeast"/>
        </w:trPr>
        <w:tc>
          <w:tcPr>
            <w:tcW w:w="305" w:type="pct"/>
            <w:vMerge w:val="continue"/>
            <w:tcBorders>
              <w:top w:val="nil"/>
              <w:left w:val="single" w:color="auto" w:sz="4" w:space="0"/>
              <w:bottom w:val="single" w:color="auto" w:sz="8" w:space="0"/>
              <w:right w:val="single" w:color="auto" w:sz="8" w:space="0"/>
            </w:tcBorders>
            <w:noWrap w:val="0"/>
            <w:vAlign w:val="center"/>
          </w:tcPr>
          <w:p w14:paraId="40E639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07" w:type="pct"/>
            <w:vMerge w:val="continue"/>
            <w:tcBorders>
              <w:top w:val="nil"/>
              <w:left w:val="nil"/>
              <w:bottom w:val="single" w:color="auto" w:sz="8" w:space="0"/>
              <w:right w:val="single" w:color="auto" w:sz="8" w:space="0"/>
            </w:tcBorders>
            <w:noWrap w:val="0"/>
            <w:vAlign w:val="center"/>
          </w:tcPr>
          <w:p w14:paraId="3CF89C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310" w:type="pct"/>
            <w:vMerge w:val="continue"/>
            <w:tcBorders>
              <w:top w:val="nil"/>
              <w:left w:val="nil"/>
              <w:bottom w:val="single" w:color="auto" w:sz="8" w:space="0"/>
              <w:right w:val="single" w:color="auto" w:sz="8" w:space="0"/>
            </w:tcBorders>
            <w:noWrap w:val="0"/>
            <w:vAlign w:val="center"/>
          </w:tcPr>
          <w:p w14:paraId="30294A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12" w:type="pct"/>
            <w:vMerge w:val="continue"/>
            <w:tcBorders>
              <w:top w:val="nil"/>
              <w:left w:val="nil"/>
              <w:bottom w:val="single" w:color="auto" w:sz="8" w:space="0"/>
              <w:right w:val="single" w:color="auto" w:sz="8" w:space="0"/>
            </w:tcBorders>
            <w:noWrap w:val="0"/>
            <w:vAlign w:val="center"/>
          </w:tcPr>
          <w:p w14:paraId="3E0E4D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427" w:type="pct"/>
            <w:tcBorders>
              <w:top w:val="nil"/>
              <w:left w:val="nil"/>
              <w:bottom w:val="single" w:color="auto" w:sz="8" w:space="0"/>
              <w:right w:val="single" w:color="auto" w:sz="8" w:space="0"/>
            </w:tcBorders>
            <w:noWrap w:val="0"/>
            <w:vAlign w:val="center"/>
          </w:tcPr>
          <w:p w14:paraId="20C553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资金分配合理性</w:t>
            </w:r>
          </w:p>
        </w:tc>
        <w:tc>
          <w:tcPr>
            <w:tcW w:w="242" w:type="pct"/>
            <w:tcBorders>
              <w:top w:val="nil"/>
              <w:left w:val="nil"/>
              <w:bottom w:val="single" w:color="auto" w:sz="8" w:space="0"/>
              <w:right w:val="single" w:color="auto" w:sz="8" w:space="0"/>
            </w:tcBorders>
            <w:noWrap w:val="0"/>
            <w:vAlign w:val="center"/>
          </w:tcPr>
          <w:p w14:paraId="62F29F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4</w:t>
            </w:r>
          </w:p>
        </w:tc>
        <w:tc>
          <w:tcPr>
            <w:tcW w:w="578" w:type="pct"/>
            <w:tcBorders>
              <w:top w:val="nil"/>
              <w:left w:val="nil"/>
              <w:bottom w:val="single" w:color="auto" w:sz="8" w:space="0"/>
              <w:right w:val="single" w:color="auto" w:sz="8" w:space="0"/>
            </w:tcBorders>
            <w:noWrap w:val="0"/>
            <w:vAlign w:val="center"/>
          </w:tcPr>
          <w:p w14:paraId="4CD424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项目预算资金分配是否有测算依据，与补助单位或地方实际是否相适应，用以反映和考核项目预算资金分配的科学性、合理性情况。</w:t>
            </w:r>
          </w:p>
        </w:tc>
        <w:tc>
          <w:tcPr>
            <w:tcW w:w="366" w:type="pct"/>
            <w:tcBorders>
              <w:top w:val="nil"/>
              <w:left w:val="nil"/>
              <w:bottom w:val="single" w:color="auto" w:sz="8" w:space="0"/>
              <w:right w:val="single" w:color="auto" w:sz="8" w:space="0"/>
            </w:tcBorders>
            <w:noWrap w:val="0"/>
            <w:vAlign w:val="center"/>
          </w:tcPr>
          <w:p w14:paraId="43B008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合理</w:t>
            </w:r>
          </w:p>
        </w:tc>
        <w:tc>
          <w:tcPr>
            <w:tcW w:w="1703" w:type="pct"/>
            <w:tcBorders>
              <w:top w:val="nil"/>
              <w:left w:val="nil"/>
              <w:bottom w:val="single" w:color="auto" w:sz="8" w:space="0"/>
              <w:right w:val="single" w:color="auto" w:sz="8" w:space="0"/>
            </w:tcBorders>
            <w:noWrap w:val="0"/>
            <w:vAlign w:val="center"/>
          </w:tcPr>
          <w:p w14:paraId="780690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①预算资金分配依据是否充分；</w:t>
            </w:r>
          </w:p>
          <w:p w14:paraId="0E38C4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②资金分配额度是否合理，与项目单位或地方实际是否相适应。</w:t>
            </w:r>
          </w:p>
          <w:p w14:paraId="32A8BA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以上每条要素各占权重的50%，每有一条不符合，扣除对应的权重分，扣完为止。</w:t>
            </w:r>
          </w:p>
        </w:tc>
        <w:tc>
          <w:tcPr>
            <w:tcW w:w="319" w:type="pct"/>
            <w:tcBorders>
              <w:top w:val="nil"/>
              <w:left w:val="nil"/>
              <w:bottom w:val="single" w:color="auto" w:sz="8" w:space="0"/>
              <w:right w:val="single" w:color="auto" w:sz="8" w:space="0"/>
            </w:tcBorders>
            <w:noWrap w:val="0"/>
            <w:vAlign w:val="center"/>
          </w:tcPr>
          <w:p w14:paraId="15578A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合理</w:t>
            </w:r>
          </w:p>
        </w:tc>
        <w:tc>
          <w:tcPr>
            <w:tcW w:w="326" w:type="pct"/>
            <w:tcBorders>
              <w:top w:val="nil"/>
              <w:left w:val="nil"/>
              <w:bottom w:val="single" w:color="auto" w:sz="8" w:space="0"/>
              <w:right w:val="single" w:color="auto" w:sz="8" w:space="0"/>
            </w:tcBorders>
            <w:noWrap w:val="0"/>
            <w:vAlign w:val="center"/>
          </w:tcPr>
          <w:p w14:paraId="3F9FEB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4</w:t>
            </w:r>
          </w:p>
        </w:tc>
      </w:tr>
      <w:tr w14:paraId="123F2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trPr>
        <w:tc>
          <w:tcPr>
            <w:tcW w:w="305" w:type="pct"/>
            <w:vMerge w:val="restart"/>
            <w:tcBorders>
              <w:top w:val="nil"/>
              <w:left w:val="single" w:color="auto" w:sz="4" w:space="0"/>
              <w:bottom w:val="single" w:color="auto" w:sz="8" w:space="0"/>
              <w:right w:val="single" w:color="auto" w:sz="8" w:space="0"/>
            </w:tcBorders>
            <w:noWrap w:val="0"/>
            <w:vAlign w:val="center"/>
          </w:tcPr>
          <w:p w14:paraId="450BFA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项目过程</w:t>
            </w:r>
          </w:p>
        </w:tc>
        <w:tc>
          <w:tcPr>
            <w:tcW w:w="207" w:type="pct"/>
            <w:vMerge w:val="restart"/>
            <w:tcBorders>
              <w:top w:val="nil"/>
              <w:left w:val="nil"/>
              <w:bottom w:val="single" w:color="auto" w:sz="8" w:space="0"/>
              <w:right w:val="single" w:color="auto" w:sz="8" w:space="0"/>
            </w:tcBorders>
            <w:noWrap w:val="0"/>
            <w:vAlign w:val="center"/>
          </w:tcPr>
          <w:p w14:paraId="5FE51C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12</w:t>
            </w:r>
          </w:p>
        </w:tc>
        <w:tc>
          <w:tcPr>
            <w:tcW w:w="310" w:type="pct"/>
            <w:vMerge w:val="restart"/>
            <w:tcBorders>
              <w:top w:val="nil"/>
              <w:left w:val="nil"/>
              <w:bottom w:val="single" w:color="auto" w:sz="8" w:space="0"/>
              <w:right w:val="single" w:color="auto" w:sz="8" w:space="0"/>
            </w:tcBorders>
            <w:noWrap w:val="0"/>
            <w:vAlign w:val="center"/>
          </w:tcPr>
          <w:p w14:paraId="74E645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资金管理</w:t>
            </w:r>
          </w:p>
        </w:tc>
        <w:tc>
          <w:tcPr>
            <w:tcW w:w="212" w:type="pct"/>
            <w:vMerge w:val="restart"/>
            <w:tcBorders>
              <w:top w:val="nil"/>
              <w:left w:val="nil"/>
              <w:bottom w:val="single" w:color="auto" w:sz="8" w:space="0"/>
              <w:right w:val="single" w:color="auto" w:sz="8" w:space="0"/>
            </w:tcBorders>
            <w:noWrap w:val="0"/>
            <w:vAlign w:val="center"/>
          </w:tcPr>
          <w:p w14:paraId="1F4633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6</w:t>
            </w:r>
          </w:p>
        </w:tc>
        <w:tc>
          <w:tcPr>
            <w:tcW w:w="427" w:type="pct"/>
            <w:tcBorders>
              <w:top w:val="nil"/>
              <w:left w:val="nil"/>
              <w:bottom w:val="single" w:color="auto" w:sz="8" w:space="0"/>
              <w:right w:val="single" w:color="auto" w:sz="8" w:space="0"/>
            </w:tcBorders>
            <w:noWrap w:val="0"/>
            <w:vAlign w:val="center"/>
          </w:tcPr>
          <w:p w14:paraId="657A0B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资金到位率</w:t>
            </w:r>
          </w:p>
        </w:tc>
        <w:tc>
          <w:tcPr>
            <w:tcW w:w="242" w:type="pct"/>
            <w:tcBorders>
              <w:top w:val="nil"/>
              <w:left w:val="nil"/>
              <w:bottom w:val="single" w:color="auto" w:sz="8" w:space="0"/>
              <w:right w:val="single" w:color="auto" w:sz="8" w:space="0"/>
            </w:tcBorders>
            <w:noWrap w:val="0"/>
            <w:vAlign w:val="center"/>
          </w:tcPr>
          <w:p w14:paraId="371D6D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w:t>
            </w:r>
          </w:p>
        </w:tc>
        <w:tc>
          <w:tcPr>
            <w:tcW w:w="578" w:type="pct"/>
            <w:tcBorders>
              <w:top w:val="nil"/>
              <w:left w:val="nil"/>
              <w:bottom w:val="single" w:color="auto" w:sz="8" w:space="0"/>
              <w:right w:val="single" w:color="auto" w:sz="8" w:space="0"/>
            </w:tcBorders>
            <w:noWrap w:val="0"/>
            <w:vAlign w:val="center"/>
          </w:tcPr>
          <w:p w14:paraId="0D7F4F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实际到位资金与预算资金的比率，用以反映和考核资金落实情况对项目实施的总体保障程度。</w:t>
            </w:r>
          </w:p>
        </w:tc>
        <w:tc>
          <w:tcPr>
            <w:tcW w:w="366" w:type="pct"/>
            <w:tcBorders>
              <w:top w:val="nil"/>
              <w:left w:val="nil"/>
              <w:bottom w:val="single" w:color="auto" w:sz="8" w:space="0"/>
              <w:right w:val="single" w:color="auto" w:sz="8" w:space="0"/>
            </w:tcBorders>
            <w:noWrap w:val="0"/>
            <w:vAlign w:val="center"/>
          </w:tcPr>
          <w:p w14:paraId="787086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w:t>
            </w:r>
          </w:p>
        </w:tc>
        <w:tc>
          <w:tcPr>
            <w:tcW w:w="1703" w:type="pct"/>
            <w:tcBorders>
              <w:top w:val="nil"/>
              <w:left w:val="nil"/>
              <w:bottom w:val="single" w:color="auto" w:sz="8" w:space="0"/>
              <w:right w:val="single" w:color="auto" w:sz="8" w:space="0"/>
            </w:tcBorders>
            <w:noWrap w:val="0"/>
            <w:vAlign w:val="center"/>
          </w:tcPr>
          <w:p w14:paraId="57AA4A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资金到位率=（实际到位资金/预算资金）×100%。</w:t>
            </w:r>
          </w:p>
          <w:p w14:paraId="2F78B4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资金到位率=100%，得权重分满分，每降低1%，扣除5%权重分，扣完为止。</w:t>
            </w:r>
          </w:p>
        </w:tc>
        <w:tc>
          <w:tcPr>
            <w:tcW w:w="319" w:type="pct"/>
            <w:tcBorders>
              <w:top w:val="nil"/>
              <w:left w:val="nil"/>
              <w:bottom w:val="single" w:color="auto" w:sz="8" w:space="0"/>
              <w:right w:val="single" w:color="auto" w:sz="8" w:space="0"/>
            </w:tcBorders>
            <w:noWrap w:val="0"/>
            <w:vAlign w:val="center"/>
          </w:tcPr>
          <w:p w14:paraId="6BBD81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w:t>
            </w:r>
          </w:p>
        </w:tc>
        <w:tc>
          <w:tcPr>
            <w:tcW w:w="326" w:type="pct"/>
            <w:tcBorders>
              <w:top w:val="nil"/>
              <w:left w:val="nil"/>
              <w:bottom w:val="single" w:color="auto" w:sz="8" w:space="0"/>
              <w:right w:val="single" w:color="auto" w:sz="8" w:space="0"/>
            </w:tcBorders>
            <w:noWrap w:val="0"/>
            <w:vAlign w:val="center"/>
          </w:tcPr>
          <w:p w14:paraId="4016A6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w:t>
            </w:r>
          </w:p>
        </w:tc>
      </w:tr>
      <w:tr w14:paraId="1BC49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05" w:type="pct"/>
            <w:vMerge w:val="continue"/>
            <w:tcBorders>
              <w:top w:val="nil"/>
              <w:left w:val="single" w:color="auto" w:sz="4" w:space="0"/>
              <w:bottom w:val="single" w:color="auto" w:sz="4" w:space="0"/>
              <w:right w:val="single" w:color="auto" w:sz="8" w:space="0"/>
            </w:tcBorders>
            <w:noWrap w:val="0"/>
            <w:vAlign w:val="center"/>
          </w:tcPr>
          <w:p w14:paraId="6DBFA1C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07" w:type="pct"/>
            <w:vMerge w:val="continue"/>
            <w:tcBorders>
              <w:top w:val="nil"/>
              <w:left w:val="nil"/>
              <w:bottom w:val="single" w:color="auto" w:sz="4" w:space="0"/>
              <w:right w:val="single" w:color="auto" w:sz="8" w:space="0"/>
            </w:tcBorders>
            <w:noWrap w:val="0"/>
            <w:vAlign w:val="center"/>
          </w:tcPr>
          <w:p w14:paraId="584E7C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310" w:type="pct"/>
            <w:vMerge w:val="continue"/>
            <w:tcBorders>
              <w:top w:val="nil"/>
              <w:left w:val="nil"/>
              <w:bottom w:val="single" w:color="auto" w:sz="4" w:space="0"/>
              <w:right w:val="single" w:color="auto" w:sz="8" w:space="0"/>
            </w:tcBorders>
            <w:noWrap w:val="0"/>
            <w:vAlign w:val="center"/>
          </w:tcPr>
          <w:p w14:paraId="0B16BF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12" w:type="pct"/>
            <w:vMerge w:val="continue"/>
            <w:tcBorders>
              <w:top w:val="nil"/>
              <w:left w:val="nil"/>
              <w:bottom w:val="single" w:color="auto" w:sz="4" w:space="0"/>
              <w:right w:val="single" w:color="auto" w:sz="8" w:space="0"/>
            </w:tcBorders>
            <w:noWrap w:val="0"/>
            <w:vAlign w:val="center"/>
          </w:tcPr>
          <w:p w14:paraId="427DC2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427" w:type="pct"/>
            <w:tcBorders>
              <w:top w:val="nil"/>
              <w:left w:val="nil"/>
              <w:bottom w:val="single" w:color="auto" w:sz="4" w:space="0"/>
              <w:right w:val="single" w:color="auto" w:sz="8" w:space="0"/>
            </w:tcBorders>
            <w:noWrap w:val="0"/>
            <w:vAlign w:val="center"/>
          </w:tcPr>
          <w:p w14:paraId="4886F7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预算执行率</w:t>
            </w:r>
          </w:p>
        </w:tc>
        <w:tc>
          <w:tcPr>
            <w:tcW w:w="242" w:type="pct"/>
            <w:tcBorders>
              <w:top w:val="nil"/>
              <w:left w:val="nil"/>
              <w:bottom w:val="single" w:color="auto" w:sz="4" w:space="0"/>
              <w:right w:val="single" w:color="auto" w:sz="8" w:space="0"/>
            </w:tcBorders>
            <w:noWrap w:val="0"/>
            <w:vAlign w:val="center"/>
          </w:tcPr>
          <w:p w14:paraId="52DFB5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w:t>
            </w:r>
          </w:p>
        </w:tc>
        <w:tc>
          <w:tcPr>
            <w:tcW w:w="578" w:type="pct"/>
            <w:tcBorders>
              <w:top w:val="nil"/>
              <w:left w:val="nil"/>
              <w:bottom w:val="single" w:color="auto" w:sz="4" w:space="0"/>
              <w:right w:val="single" w:color="auto" w:sz="8" w:space="0"/>
            </w:tcBorders>
            <w:noWrap w:val="0"/>
            <w:vAlign w:val="center"/>
          </w:tcPr>
          <w:p w14:paraId="249814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项目预算资金是否按照计划执行，用以反映或考核项目预算执行情况。</w:t>
            </w:r>
          </w:p>
        </w:tc>
        <w:tc>
          <w:tcPr>
            <w:tcW w:w="366" w:type="pct"/>
            <w:tcBorders>
              <w:top w:val="nil"/>
              <w:left w:val="nil"/>
              <w:bottom w:val="single" w:color="auto" w:sz="4" w:space="0"/>
              <w:right w:val="single" w:color="auto" w:sz="8" w:space="0"/>
            </w:tcBorders>
            <w:noWrap w:val="0"/>
            <w:vAlign w:val="center"/>
          </w:tcPr>
          <w:p w14:paraId="5329D6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w:t>
            </w:r>
          </w:p>
        </w:tc>
        <w:tc>
          <w:tcPr>
            <w:tcW w:w="1703" w:type="pct"/>
            <w:tcBorders>
              <w:top w:val="nil"/>
              <w:left w:val="nil"/>
              <w:bottom w:val="single" w:color="auto" w:sz="4" w:space="0"/>
              <w:right w:val="single" w:color="auto" w:sz="8" w:space="0"/>
            </w:tcBorders>
            <w:noWrap w:val="0"/>
            <w:vAlign w:val="center"/>
          </w:tcPr>
          <w:p w14:paraId="4E42AF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预算执行率=（实际支出资金/实际到位资金）×100%。</w:t>
            </w:r>
          </w:p>
          <w:p w14:paraId="763BB8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预算执行率=100%，得权重分满分；若预算执行率＜100%，得分=预算执行率*分值；若执行率≤60%，则不得分。</w:t>
            </w:r>
          </w:p>
        </w:tc>
        <w:tc>
          <w:tcPr>
            <w:tcW w:w="319" w:type="pct"/>
            <w:tcBorders>
              <w:top w:val="nil"/>
              <w:left w:val="nil"/>
              <w:bottom w:val="single" w:color="auto" w:sz="4" w:space="0"/>
              <w:right w:val="single" w:color="auto" w:sz="8" w:space="0"/>
            </w:tcBorders>
            <w:noWrap w:val="0"/>
            <w:vAlign w:val="center"/>
          </w:tcPr>
          <w:p w14:paraId="3FB689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100%</w:t>
            </w:r>
          </w:p>
        </w:tc>
        <w:tc>
          <w:tcPr>
            <w:tcW w:w="326" w:type="pct"/>
            <w:tcBorders>
              <w:top w:val="nil"/>
              <w:left w:val="nil"/>
              <w:bottom w:val="single" w:color="auto" w:sz="4" w:space="0"/>
              <w:right w:val="single" w:color="auto" w:sz="8" w:space="0"/>
            </w:tcBorders>
            <w:noWrap w:val="0"/>
            <w:vAlign w:val="center"/>
          </w:tcPr>
          <w:p w14:paraId="166B3A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w:t>
            </w:r>
          </w:p>
        </w:tc>
      </w:tr>
      <w:tr w14:paraId="59127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0" w:hRule="atLeast"/>
        </w:trPr>
        <w:tc>
          <w:tcPr>
            <w:tcW w:w="305" w:type="pct"/>
            <w:vMerge w:val="continue"/>
            <w:tcBorders>
              <w:top w:val="single" w:color="auto" w:sz="4" w:space="0"/>
              <w:left w:val="single" w:color="auto" w:sz="4" w:space="0"/>
              <w:bottom w:val="single" w:color="auto" w:sz="4" w:space="0"/>
              <w:right w:val="single" w:color="auto" w:sz="8" w:space="0"/>
            </w:tcBorders>
            <w:noWrap w:val="0"/>
            <w:vAlign w:val="center"/>
          </w:tcPr>
          <w:p w14:paraId="397594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07" w:type="pct"/>
            <w:vMerge w:val="continue"/>
            <w:tcBorders>
              <w:top w:val="single" w:color="auto" w:sz="4" w:space="0"/>
              <w:left w:val="nil"/>
              <w:bottom w:val="single" w:color="auto" w:sz="4" w:space="0"/>
              <w:right w:val="single" w:color="auto" w:sz="8" w:space="0"/>
            </w:tcBorders>
            <w:noWrap w:val="0"/>
            <w:vAlign w:val="center"/>
          </w:tcPr>
          <w:p w14:paraId="41282A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310" w:type="pct"/>
            <w:vMerge w:val="continue"/>
            <w:tcBorders>
              <w:top w:val="single" w:color="auto" w:sz="4" w:space="0"/>
              <w:left w:val="nil"/>
              <w:bottom w:val="single" w:color="auto" w:sz="4" w:space="0"/>
              <w:right w:val="single" w:color="auto" w:sz="8" w:space="0"/>
            </w:tcBorders>
            <w:noWrap w:val="0"/>
            <w:vAlign w:val="center"/>
          </w:tcPr>
          <w:p w14:paraId="04DA9C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12" w:type="pct"/>
            <w:vMerge w:val="continue"/>
            <w:tcBorders>
              <w:top w:val="single" w:color="auto" w:sz="4" w:space="0"/>
              <w:left w:val="nil"/>
              <w:bottom w:val="single" w:color="auto" w:sz="4" w:space="0"/>
              <w:right w:val="single" w:color="auto" w:sz="8" w:space="0"/>
            </w:tcBorders>
            <w:noWrap w:val="0"/>
            <w:vAlign w:val="center"/>
          </w:tcPr>
          <w:p w14:paraId="7A1E47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427" w:type="pct"/>
            <w:tcBorders>
              <w:top w:val="single" w:color="auto" w:sz="4" w:space="0"/>
              <w:left w:val="nil"/>
              <w:bottom w:val="single" w:color="auto" w:sz="4" w:space="0"/>
              <w:right w:val="single" w:color="auto" w:sz="8" w:space="0"/>
            </w:tcBorders>
            <w:noWrap w:val="0"/>
            <w:vAlign w:val="center"/>
          </w:tcPr>
          <w:p w14:paraId="34F96A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资金使用合规性</w:t>
            </w:r>
          </w:p>
        </w:tc>
        <w:tc>
          <w:tcPr>
            <w:tcW w:w="242" w:type="pct"/>
            <w:tcBorders>
              <w:top w:val="single" w:color="auto" w:sz="4" w:space="0"/>
              <w:left w:val="nil"/>
              <w:bottom w:val="single" w:color="auto" w:sz="4" w:space="0"/>
              <w:right w:val="single" w:color="auto" w:sz="8" w:space="0"/>
            </w:tcBorders>
            <w:noWrap w:val="0"/>
            <w:vAlign w:val="center"/>
          </w:tcPr>
          <w:p w14:paraId="5F67DD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3</w:t>
            </w:r>
          </w:p>
        </w:tc>
        <w:tc>
          <w:tcPr>
            <w:tcW w:w="578" w:type="pct"/>
            <w:tcBorders>
              <w:top w:val="single" w:color="auto" w:sz="4" w:space="0"/>
              <w:left w:val="nil"/>
              <w:bottom w:val="single" w:color="auto" w:sz="4" w:space="0"/>
              <w:right w:val="single" w:color="auto" w:sz="8" w:space="0"/>
            </w:tcBorders>
            <w:noWrap w:val="0"/>
            <w:vAlign w:val="center"/>
          </w:tcPr>
          <w:p w14:paraId="2E1A93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项目资金使用是否符合相关的财务管理制度规定，用以反映和考核项目资金的规范运行情况。</w:t>
            </w:r>
          </w:p>
        </w:tc>
        <w:tc>
          <w:tcPr>
            <w:tcW w:w="366" w:type="pct"/>
            <w:tcBorders>
              <w:top w:val="single" w:color="auto" w:sz="4" w:space="0"/>
              <w:left w:val="nil"/>
              <w:bottom w:val="single" w:color="auto" w:sz="4" w:space="0"/>
              <w:right w:val="single" w:color="auto" w:sz="8" w:space="0"/>
            </w:tcBorders>
            <w:noWrap w:val="0"/>
            <w:vAlign w:val="center"/>
          </w:tcPr>
          <w:p w14:paraId="7E75CB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合规</w:t>
            </w:r>
          </w:p>
        </w:tc>
        <w:tc>
          <w:tcPr>
            <w:tcW w:w="1703" w:type="pct"/>
            <w:tcBorders>
              <w:top w:val="single" w:color="auto" w:sz="4" w:space="0"/>
              <w:left w:val="nil"/>
              <w:bottom w:val="single" w:color="auto" w:sz="4" w:space="0"/>
              <w:right w:val="single" w:color="auto" w:sz="8" w:space="0"/>
            </w:tcBorders>
            <w:noWrap w:val="0"/>
            <w:vAlign w:val="center"/>
          </w:tcPr>
          <w:p w14:paraId="60D0B7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①否符合国家财经法规和财务管理制度以及有关专项资金管理办法的规定；</w:t>
            </w:r>
          </w:p>
          <w:p w14:paraId="79D470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②资金的拨付是否有完整的审批程序和手续；</w:t>
            </w:r>
          </w:p>
          <w:p w14:paraId="00EE43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③是否符合项目预算批复或合同规定的用途；</w:t>
            </w:r>
          </w:p>
          <w:p w14:paraId="648878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④是否存在截留、挤占、挪用、虚列支出等情况。</w:t>
            </w:r>
          </w:p>
          <w:p w14:paraId="0AFD1E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以上每条指标各占权重分的25%，要素①②不符合，扣除对应权重分；要素③④不符合属于重大违纪，该指标不得分。</w:t>
            </w:r>
          </w:p>
        </w:tc>
        <w:tc>
          <w:tcPr>
            <w:tcW w:w="319" w:type="pct"/>
            <w:tcBorders>
              <w:top w:val="single" w:color="auto" w:sz="4" w:space="0"/>
              <w:left w:val="nil"/>
              <w:bottom w:val="single" w:color="auto" w:sz="4" w:space="0"/>
              <w:right w:val="single" w:color="auto" w:sz="8" w:space="0"/>
            </w:tcBorders>
            <w:noWrap w:val="0"/>
            <w:vAlign w:val="center"/>
          </w:tcPr>
          <w:p w14:paraId="1DAE09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合规</w:t>
            </w:r>
          </w:p>
        </w:tc>
        <w:tc>
          <w:tcPr>
            <w:tcW w:w="326" w:type="pct"/>
            <w:tcBorders>
              <w:top w:val="single" w:color="auto" w:sz="4" w:space="0"/>
              <w:left w:val="nil"/>
              <w:bottom w:val="single" w:color="auto" w:sz="4" w:space="0"/>
              <w:right w:val="single" w:color="auto" w:sz="4" w:space="0"/>
            </w:tcBorders>
            <w:noWrap w:val="0"/>
            <w:vAlign w:val="center"/>
          </w:tcPr>
          <w:p w14:paraId="794EB1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3</w:t>
            </w:r>
          </w:p>
        </w:tc>
      </w:tr>
      <w:tr w14:paraId="164B0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trPr>
        <w:tc>
          <w:tcPr>
            <w:tcW w:w="305" w:type="pct"/>
            <w:vMerge w:val="continue"/>
            <w:tcBorders>
              <w:top w:val="single" w:color="auto" w:sz="4" w:space="0"/>
              <w:left w:val="single" w:color="auto" w:sz="4" w:space="0"/>
              <w:bottom w:val="single" w:color="auto" w:sz="8" w:space="0"/>
              <w:right w:val="single" w:color="auto" w:sz="8" w:space="0"/>
            </w:tcBorders>
            <w:noWrap w:val="0"/>
            <w:vAlign w:val="center"/>
          </w:tcPr>
          <w:p w14:paraId="0502EC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07" w:type="pct"/>
            <w:vMerge w:val="continue"/>
            <w:tcBorders>
              <w:top w:val="single" w:color="auto" w:sz="4" w:space="0"/>
              <w:left w:val="nil"/>
              <w:bottom w:val="single" w:color="auto" w:sz="8" w:space="0"/>
              <w:right w:val="single" w:color="auto" w:sz="8" w:space="0"/>
            </w:tcBorders>
            <w:noWrap w:val="0"/>
            <w:vAlign w:val="center"/>
          </w:tcPr>
          <w:p w14:paraId="7C14DD9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310" w:type="pct"/>
            <w:vMerge w:val="restart"/>
            <w:tcBorders>
              <w:top w:val="single" w:color="auto" w:sz="4" w:space="0"/>
              <w:left w:val="nil"/>
              <w:bottom w:val="single" w:color="auto" w:sz="8" w:space="0"/>
              <w:right w:val="single" w:color="auto" w:sz="8" w:space="0"/>
            </w:tcBorders>
            <w:noWrap w:val="0"/>
            <w:vAlign w:val="center"/>
          </w:tcPr>
          <w:p w14:paraId="0BADE7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组织实施</w:t>
            </w:r>
          </w:p>
        </w:tc>
        <w:tc>
          <w:tcPr>
            <w:tcW w:w="212" w:type="pct"/>
            <w:vMerge w:val="restart"/>
            <w:tcBorders>
              <w:top w:val="single" w:color="auto" w:sz="4" w:space="0"/>
              <w:left w:val="nil"/>
              <w:bottom w:val="single" w:color="auto" w:sz="8" w:space="0"/>
              <w:right w:val="single" w:color="auto" w:sz="8" w:space="0"/>
            </w:tcBorders>
            <w:noWrap w:val="0"/>
            <w:vAlign w:val="center"/>
          </w:tcPr>
          <w:p w14:paraId="74C4F9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6</w:t>
            </w:r>
          </w:p>
        </w:tc>
        <w:tc>
          <w:tcPr>
            <w:tcW w:w="427" w:type="pct"/>
            <w:tcBorders>
              <w:top w:val="single" w:color="auto" w:sz="4" w:space="0"/>
              <w:left w:val="nil"/>
              <w:bottom w:val="single" w:color="auto" w:sz="8" w:space="0"/>
              <w:right w:val="single" w:color="auto" w:sz="8" w:space="0"/>
            </w:tcBorders>
            <w:noWrap w:val="0"/>
            <w:vAlign w:val="center"/>
          </w:tcPr>
          <w:p w14:paraId="566287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管理制度健全性</w:t>
            </w:r>
          </w:p>
        </w:tc>
        <w:tc>
          <w:tcPr>
            <w:tcW w:w="242" w:type="pct"/>
            <w:tcBorders>
              <w:top w:val="single" w:color="auto" w:sz="4" w:space="0"/>
              <w:left w:val="nil"/>
              <w:bottom w:val="single" w:color="auto" w:sz="8" w:space="0"/>
              <w:right w:val="single" w:color="auto" w:sz="8" w:space="0"/>
            </w:tcBorders>
            <w:noWrap w:val="0"/>
            <w:vAlign w:val="center"/>
          </w:tcPr>
          <w:p w14:paraId="65AC62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3</w:t>
            </w:r>
          </w:p>
        </w:tc>
        <w:tc>
          <w:tcPr>
            <w:tcW w:w="578" w:type="pct"/>
            <w:tcBorders>
              <w:top w:val="single" w:color="auto" w:sz="4" w:space="0"/>
              <w:left w:val="nil"/>
              <w:bottom w:val="single" w:color="auto" w:sz="8" w:space="0"/>
              <w:right w:val="single" w:color="auto" w:sz="8" w:space="0"/>
            </w:tcBorders>
            <w:noWrap w:val="0"/>
            <w:vAlign w:val="center"/>
          </w:tcPr>
          <w:p w14:paraId="63D74B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项目实施单位的财务和业务管理制度是否健全，用以反映和考核财务和业务管理制度对项目顺利实施的保障情况。</w:t>
            </w:r>
          </w:p>
        </w:tc>
        <w:tc>
          <w:tcPr>
            <w:tcW w:w="366" w:type="pct"/>
            <w:tcBorders>
              <w:top w:val="single" w:color="auto" w:sz="4" w:space="0"/>
              <w:left w:val="nil"/>
              <w:bottom w:val="single" w:color="auto" w:sz="8" w:space="0"/>
              <w:right w:val="single" w:color="auto" w:sz="8" w:space="0"/>
            </w:tcBorders>
            <w:noWrap w:val="0"/>
            <w:vAlign w:val="center"/>
          </w:tcPr>
          <w:p w14:paraId="4B0DD3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健全</w:t>
            </w:r>
          </w:p>
        </w:tc>
        <w:tc>
          <w:tcPr>
            <w:tcW w:w="1703" w:type="pct"/>
            <w:tcBorders>
              <w:top w:val="single" w:color="auto" w:sz="4" w:space="0"/>
              <w:left w:val="nil"/>
              <w:bottom w:val="single" w:color="auto" w:sz="4" w:space="0"/>
              <w:right w:val="single" w:color="auto" w:sz="8" w:space="0"/>
            </w:tcBorders>
            <w:noWrap w:val="0"/>
            <w:vAlign w:val="center"/>
          </w:tcPr>
          <w:p w14:paraId="36DFCE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①是否已制定或具有相应的财务和业务管理制度；</w:t>
            </w:r>
          </w:p>
          <w:p w14:paraId="08DD91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②财务和业务管理制度是否合法、合规、完整。</w:t>
            </w:r>
          </w:p>
          <w:p w14:paraId="6E40A5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以上每条要素各占权重的50%，每有一条不符合，扣除对应的权重分，扣完为止。</w:t>
            </w:r>
          </w:p>
        </w:tc>
        <w:tc>
          <w:tcPr>
            <w:tcW w:w="319" w:type="pct"/>
            <w:tcBorders>
              <w:top w:val="single" w:color="auto" w:sz="4" w:space="0"/>
              <w:left w:val="nil"/>
              <w:bottom w:val="single" w:color="auto" w:sz="8" w:space="0"/>
              <w:right w:val="single" w:color="auto" w:sz="8" w:space="0"/>
            </w:tcBorders>
            <w:noWrap w:val="0"/>
            <w:vAlign w:val="center"/>
          </w:tcPr>
          <w:p w14:paraId="715255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健全</w:t>
            </w:r>
          </w:p>
        </w:tc>
        <w:tc>
          <w:tcPr>
            <w:tcW w:w="326" w:type="pct"/>
            <w:tcBorders>
              <w:top w:val="single" w:color="auto" w:sz="4" w:space="0"/>
              <w:left w:val="nil"/>
              <w:bottom w:val="single" w:color="auto" w:sz="8" w:space="0"/>
              <w:right w:val="single" w:color="auto" w:sz="8" w:space="0"/>
            </w:tcBorders>
            <w:noWrap w:val="0"/>
            <w:vAlign w:val="center"/>
          </w:tcPr>
          <w:p w14:paraId="56F33D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3</w:t>
            </w:r>
          </w:p>
        </w:tc>
      </w:tr>
      <w:tr w14:paraId="22839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9" w:hRule="atLeast"/>
        </w:trPr>
        <w:tc>
          <w:tcPr>
            <w:tcW w:w="305" w:type="pct"/>
            <w:vMerge w:val="continue"/>
            <w:tcBorders>
              <w:top w:val="nil"/>
              <w:left w:val="single" w:color="auto" w:sz="4" w:space="0"/>
              <w:bottom w:val="single" w:color="auto" w:sz="4" w:space="0"/>
              <w:right w:val="single" w:color="auto" w:sz="8" w:space="0"/>
            </w:tcBorders>
            <w:noWrap w:val="0"/>
            <w:vAlign w:val="center"/>
          </w:tcPr>
          <w:p w14:paraId="4D8E08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07" w:type="pct"/>
            <w:vMerge w:val="continue"/>
            <w:tcBorders>
              <w:top w:val="nil"/>
              <w:left w:val="nil"/>
              <w:bottom w:val="single" w:color="auto" w:sz="4" w:space="0"/>
              <w:right w:val="single" w:color="auto" w:sz="8" w:space="0"/>
            </w:tcBorders>
            <w:noWrap w:val="0"/>
            <w:vAlign w:val="center"/>
          </w:tcPr>
          <w:p w14:paraId="72B372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310" w:type="pct"/>
            <w:vMerge w:val="continue"/>
            <w:tcBorders>
              <w:top w:val="nil"/>
              <w:left w:val="nil"/>
              <w:bottom w:val="single" w:color="auto" w:sz="4" w:space="0"/>
              <w:right w:val="single" w:color="auto" w:sz="8" w:space="0"/>
            </w:tcBorders>
            <w:noWrap w:val="0"/>
            <w:vAlign w:val="center"/>
          </w:tcPr>
          <w:p w14:paraId="37DC1F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12" w:type="pct"/>
            <w:vMerge w:val="continue"/>
            <w:tcBorders>
              <w:top w:val="nil"/>
              <w:left w:val="nil"/>
              <w:bottom w:val="single" w:color="auto" w:sz="4" w:space="0"/>
              <w:right w:val="single" w:color="auto" w:sz="8" w:space="0"/>
            </w:tcBorders>
            <w:noWrap w:val="0"/>
            <w:vAlign w:val="center"/>
          </w:tcPr>
          <w:p w14:paraId="4CE387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427" w:type="pct"/>
            <w:tcBorders>
              <w:top w:val="nil"/>
              <w:left w:val="nil"/>
              <w:bottom w:val="single" w:color="auto" w:sz="4" w:space="0"/>
              <w:right w:val="single" w:color="auto" w:sz="8" w:space="0"/>
            </w:tcBorders>
            <w:noWrap w:val="0"/>
            <w:vAlign w:val="center"/>
          </w:tcPr>
          <w:p w14:paraId="3DA9B0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制度执行有效性</w:t>
            </w:r>
          </w:p>
        </w:tc>
        <w:tc>
          <w:tcPr>
            <w:tcW w:w="242" w:type="pct"/>
            <w:tcBorders>
              <w:top w:val="nil"/>
              <w:left w:val="nil"/>
              <w:bottom w:val="single" w:color="auto" w:sz="4" w:space="0"/>
              <w:right w:val="single" w:color="auto" w:sz="8" w:space="0"/>
            </w:tcBorders>
            <w:noWrap w:val="0"/>
            <w:vAlign w:val="center"/>
          </w:tcPr>
          <w:p w14:paraId="4B4B6A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3</w:t>
            </w:r>
          </w:p>
        </w:tc>
        <w:tc>
          <w:tcPr>
            <w:tcW w:w="578" w:type="pct"/>
            <w:tcBorders>
              <w:top w:val="nil"/>
              <w:left w:val="nil"/>
              <w:bottom w:val="single" w:color="auto" w:sz="4" w:space="0"/>
              <w:right w:val="single" w:color="auto" w:sz="8" w:space="0"/>
            </w:tcBorders>
            <w:noWrap w:val="0"/>
            <w:vAlign w:val="center"/>
          </w:tcPr>
          <w:p w14:paraId="3C50B9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项目实施是否符合相关管理规定，用以反映和考核相关管理制度的有效执行情况。</w:t>
            </w:r>
          </w:p>
        </w:tc>
        <w:tc>
          <w:tcPr>
            <w:tcW w:w="366" w:type="pct"/>
            <w:tcBorders>
              <w:top w:val="nil"/>
              <w:left w:val="nil"/>
              <w:bottom w:val="single" w:color="auto" w:sz="4" w:space="0"/>
              <w:right w:val="single" w:color="auto" w:sz="4" w:space="0"/>
            </w:tcBorders>
            <w:noWrap w:val="0"/>
            <w:vAlign w:val="center"/>
          </w:tcPr>
          <w:p w14:paraId="788A5E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有效</w:t>
            </w:r>
          </w:p>
        </w:tc>
        <w:tc>
          <w:tcPr>
            <w:tcW w:w="1703" w:type="pct"/>
            <w:tcBorders>
              <w:top w:val="single" w:color="auto" w:sz="4" w:space="0"/>
              <w:left w:val="single" w:color="auto" w:sz="4" w:space="0"/>
              <w:bottom w:val="single" w:color="auto" w:sz="4" w:space="0"/>
              <w:right w:val="single" w:color="auto" w:sz="4" w:space="0"/>
            </w:tcBorders>
            <w:noWrap w:val="0"/>
            <w:vAlign w:val="center"/>
          </w:tcPr>
          <w:p w14:paraId="27A33F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①否遵守相关法律法规和相关管理规定；</w:t>
            </w:r>
          </w:p>
          <w:p w14:paraId="60BAA6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②项目调整及支出调整手续是否完备；</w:t>
            </w:r>
          </w:p>
          <w:p w14:paraId="19771E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③项目资料是否齐全并及时归档。</w:t>
            </w:r>
          </w:p>
          <w:p w14:paraId="1E597E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①②③齐全得权重分的100%，缺①扣权重分的30%，缺②扣权重分的40%，缺③扣权重分的30%。</w:t>
            </w:r>
          </w:p>
        </w:tc>
        <w:tc>
          <w:tcPr>
            <w:tcW w:w="319" w:type="pct"/>
            <w:tcBorders>
              <w:top w:val="nil"/>
              <w:left w:val="single" w:color="auto" w:sz="4" w:space="0"/>
              <w:bottom w:val="single" w:color="auto" w:sz="4" w:space="0"/>
              <w:right w:val="single" w:color="auto" w:sz="8" w:space="0"/>
            </w:tcBorders>
            <w:noWrap w:val="0"/>
            <w:vAlign w:val="center"/>
          </w:tcPr>
          <w:p w14:paraId="371578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有效</w:t>
            </w:r>
          </w:p>
        </w:tc>
        <w:tc>
          <w:tcPr>
            <w:tcW w:w="326" w:type="pct"/>
            <w:tcBorders>
              <w:top w:val="nil"/>
              <w:left w:val="nil"/>
              <w:bottom w:val="single" w:color="auto" w:sz="4" w:space="0"/>
              <w:right w:val="single" w:color="auto" w:sz="8" w:space="0"/>
            </w:tcBorders>
            <w:noWrap w:val="0"/>
            <w:vAlign w:val="center"/>
          </w:tcPr>
          <w:p w14:paraId="585DCD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3</w:t>
            </w:r>
          </w:p>
        </w:tc>
      </w:tr>
      <w:tr w14:paraId="09DFE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0" w:hRule="atLeast"/>
        </w:trPr>
        <w:tc>
          <w:tcPr>
            <w:tcW w:w="305" w:type="pct"/>
            <w:vMerge w:val="restart"/>
            <w:tcBorders>
              <w:top w:val="single" w:color="auto" w:sz="4" w:space="0"/>
              <w:left w:val="single" w:color="auto" w:sz="4" w:space="0"/>
              <w:bottom w:val="single" w:color="auto" w:sz="4" w:space="0"/>
              <w:right w:val="single" w:color="auto" w:sz="8" w:space="0"/>
            </w:tcBorders>
            <w:noWrap w:val="0"/>
            <w:vAlign w:val="center"/>
          </w:tcPr>
          <w:p w14:paraId="13D1BE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项目产出</w:t>
            </w:r>
          </w:p>
        </w:tc>
        <w:tc>
          <w:tcPr>
            <w:tcW w:w="207" w:type="pct"/>
            <w:vMerge w:val="restart"/>
            <w:tcBorders>
              <w:top w:val="single" w:color="auto" w:sz="4" w:space="0"/>
              <w:left w:val="nil"/>
              <w:bottom w:val="single" w:color="auto" w:sz="4" w:space="0"/>
              <w:right w:val="single" w:color="auto" w:sz="8" w:space="0"/>
            </w:tcBorders>
            <w:noWrap w:val="0"/>
            <w:vAlign w:val="center"/>
          </w:tcPr>
          <w:p w14:paraId="768E67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40</w:t>
            </w:r>
          </w:p>
        </w:tc>
        <w:tc>
          <w:tcPr>
            <w:tcW w:w="310" w:type="pct"/>
            <w:tcBorders>
              <w:top w:val="single" w:color="auto" w:sz="4" w:space="0"/>
              <w:left w:val="nil"/>
              <w:bottom w:val="single" w:color="auto" w:sz="4" w:space="0"/>
              <w:right w:val="single" w:color="auto" w:sz="8" w:space="0"/>
            </w:tcBorders>
            <w:noWrap w:val="0"/>
            <w:vAlign w:val="center"/>
          </w:tcPr>
          <w:p w14:paraId="6464F1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产出数量</w:t>
            </w:r>
          </w:p>
        </w:tc>
        <w:tc>
          <w:tcPr>
            <w:tcW w:w="212" w:type="pct"/>
            <w:tcBorders>
              <w:top w:val="single" w:color="auto" w:sz="4" w:space="0"/>
              <w:left w:val="nil"/>
              <w:bottom w:val="single" w:color="auto" w:sz="4" w:space="0"/>
              <w:right w:val="single" w:color="auto" w:sz="8" w:space="0"/>
            </w:tcBorders>
            <w:noWrap w:val="0"/>
            <w:vAlign w:val="center"/>
          </w:tcPr>
          <w:p w14:paraId="6A82E0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w:t>
            </w:r>
          </w:p>
        </w:tc>
        <w:tc>
          <w:tcPr>
            <w:tcW w:w="427" w:type="pct"/>
            <w:tcBorders>
              <w:top w:val="single" w:color="auto" w:sz="4" w:space="0"/>
              <w:left w:val="nil"/>
              <w:bottom w:val="single" w:color="auto" w:sz="4" w:space="0"/>
              <w:right w:val="single" w:color="auto" w:sz="8" w:space="0"/>
            </w:tcBorders>
            <w:noWrap w:val="0"/>
            <w:vAlign w:val="center"/>
          </w:tcPr>
          <w:p w14:paraId="62D58B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实际完成率</w:t>
            </w:r>
          </w:p>
        </w:tc>
        <w:tc>
          <w:tcPr>
            <w:tcW w:w="242" w:type="pct"/>
            <w:tcBorders>
              <w:top w:val="single" w:color="auto" w:sz="4" w:space="0"/>
              <w:left w:val="nil"/>
              <w:bottom w:val="single" w:color="auto" w:sz="4" w:space="0"/>
              <w:right w:val="single" w:color="auto" w:sz="8" w:space="0"/>
            </w:tcBorders>
            <w:noWrap w:val="0"/>
            <w:vAlign w:val="center"/>
          </w:tcPr>
          <w:p w14:paraId="37F799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10</w:t>
            </w:r>
          </w:p>
        </w:tc>
        <w:tc>
          <w:tcPr>
            <w:tcW w:w="578" w:type="pct"/>
            <w:tcBorders>
              <w:top w:val="single" w:color="auto" w:sz="4" w:space="0"/>
              <w:left w:val="nil"/>
              <w:bottom w:val="single" w:color="auto" w:sz="4" w:space="0"/>
              <w:right w:val="single" w:color="auto" w:sz="8" w:space="0"/>
            </w:tcBorders>
            <w:noWrap w:val="0"/>
            <w:vAlign w:val="center"/>
          </w:tcPr>
          <w:p w14:paraId="0F2CBE5D">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补助耕地面积</w:t>
            </w:r>
          </w:p>
        </w:tc>
        <w:tc>
          <w:tcPr>
            <w:tcW w:w="366" w:type="pct"/>
            <w:tcBorders>
              <w:top w:val="single" w:color="auto" w:sz="4" w:space="0"/>
              <w:left w:val="nil"/>
              <w:bottom w:val="single" w:color="auto" w:sz="4" w:space="0"/>
              <w:right w:val="single" w:color="auto" w:sz="4" w:space="0"/>
            </w:tcBorders>
            <w:noWrap w:val="0"/>
            <w:vAlign w:val="center"/>
          </w:tcPr>
          <w:p w14:paraId="55EC4D14">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&gt;=1万亩</w:t>
            </w:r>
          </w:p>
        </w:tc>
        <w:tc>
          <w:tcPr>
            <w:tcW w:w="1703" w:type="pct"/>
            <w:tcBorders>
              <w:top w:val="single" w:color="auto" w:sz="4" w:space="0"/>
              <w:left w:val="single" w:color="auto" w:sz="4" w:space="0"/>
              <w:bottom w:val="single" w:color="auto" w:sz="4" w:space="0"/>
              <w:right w:val="single" w:color="auto" w:sz="4" w:space="0"/>
            </w:tcBorders>
            <w:noWrap w:val="0"/>
            <w:vAlign w:val="center"/>
          </w:tcPr>
          <w:p w14:paraId="73571E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实际完成率=（实际完成/预期完成）×100%。</w:t>
            </w:r>
          </w:p>
          <w:p w14:paraId="2CC10F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①实际完成率≥100%，且偏离程度＜20%，得满分；</w:t>
            </w:r>
          </w:p>
          <w:p w14:paraId="4F1FC2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②实际完成率≥100%，偏离程度≥20%，得0分；</w:t>
            </w:r>
          </w:p>
          <w:p w14:paraId="176518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③实际完成率×100%＜100%，得分=实际完成率×指标分值。</w:t>
            </w:r>
          </w:p>
        </w:tc>
        <w:tc>
          <w:tcPr>
            <w:tcW w:w="319" w:type="pct"/>
            <w:tcBorders>
              <w:top w:val="single" w:color="auto" w:sz="4" w:space="0"/>
              <w:left w:val="single" w:color="auto" w:sz="4" w:space="0"/>
              <w:bottom w:val="single" w:color="auto" w:sz="4" w:space="0"/>
              <w:right w:val="single" w:color="auto" w:sz="8" w:space="0"/>
            </w:tcBorders>
            <w:noWrap w:val="0"/>
            <w:vAlign w:val="center"/>
          </w:tcPr>
          <w:p w14:paraId="1659C46D">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1万亩</w:t>
            </w:r>
          </w:p>
        </w:tc>
        <w:tc>
          <w:tcPr>
            <w:tcW w:w="326" w:type="pct"/>
            <w:tcBorders>
              <w:top w:val="single" w:color="auto" w:sz="4" w:space="0"/>
              <w:left w:val="nil"/>
              <w:bottom w:val="single" w:color="auto" w:sz="4" w:space="0"/>
              <w:right w:val="single" w:color="auto" w:sz="4" w:space="0"/>
            </w:tcBorders>
            <w:noWrap w:val="0"/>
            <w:vAlign w:val="center"/>
          </w:tcPr>
          <w:p w14:paraId="303E16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10</w:t>
            </w:r>
          </w:p>
        </w:tc>
      </w:tr>
      <w:tr w14:paraId="70C78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5" w:type="pct"/>
            <w:vMerge w:val="continue"/>
            <w:tcBorders>
              <w:top w:val="single" w:color="auto" w:sz="4" w:space="0"/>
              <w:left w:val="single" w:color="auto" w:sz="4" w:space="0"/>
              <w:bottom w:val="single" w:color="auto" w:sz="4" w:space="0"/>
              <w:right w:val="single" w:color="auto" w:sz="8" w:space="0"/>
            </w:tcBorders>
            <w:noWrap w:val="0"/>
            <w:vAlign w:val="center"/>
          </w:tcPr>
          <w:p w14:paraId="2F5803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07" w:type="pct"/>
            <w:vMerge w:val="continue"/>
            <w:tcBorders>
              <w:top w:val="single" w:color="auto" w:sz="4" w:space="0"/>
              <w:left w:val="nil"/>
              <w:bottom w:val="single" w:color="auto" w:sz="4" w:space="0"/>
              <w:right w:val="single" w:color="auto" w:sz="8" w:space="0"/>
            </w:tcBorders>
            <w:noWrap w:val="0"/>
            <w:vAlign w:val="center"/>
          </w:tcPr>
          <w:p w14:paraId="4081D4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310" w:type="pct"/>
            <w:tcBorders>
              <w:top w:val="single" w:color="auto" w:sz="4" w:space="0"/>
              <w:left w:val="nil"/>
              <w:right w:val="single" w:color="auto" w:sz="8" w:space="0"/>
            </w:tcBorders>
            <w:noWrap w:val="0"/>
            <w:vAlign w:val="center"/>
          </w:tcPr>
          <w:p w14:paraId="6CE23C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产出质量</w:t>
            </w:r>
          </w:p>
        </w:tc>
        <w:tc>
          <w:tcPr>
            <w:tcW w:w="212" w:type="pct"/>
            <w:tcBorders>
              <w:top w:val="single" w:color="auto" w:sz="4" w:space="0"/>
              <w:left w:val="nil"/>
              <w:right w:val="single" w:color="auto" w:sz="8" w:space="0"/>
            </w:tcBorders>
            <w:noWrap w:val="0"/>
            <w:vAlign w:val="center"/>
          </w:tcPr>
          <w:p w14:paraId="1DB184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w:t>
            </w:r>
          </w:p>
        </w:tc>
        <w:tc>
          <w:tcPr>
            <w:tcW w:w="427" w:type="pct"/>
            <w:tcBorders>
              <w:top w:val="single" w:color="auto" w:sz="4" w:space="0"/>
              <w:left w:val="nil"/>
              <w:right w:val="single" w:color="auto" w:sz="8" w:space="0"/>
            </w:tcBorders>
            <w:noWrap w:val="0"/>
            <w:vAlign w:val="center"/>
          </w:tcPr>
          <w:p w14:paraId="4E3E11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质量达标率</w:t>
            </w:r>
          </w:p>
        </w:tc>
        <w:tc>
          <w:tcPr>
            <w:tcW w:w="242" w:type="pct"/>
            <w:tcBorders>
              <w:top w:val="single" w:color="auto" w:sz="4" w:space="0"/>
              <w:left w:val="nil"/>
              <w:bottom w:val="single" w:color="auto" w:sz="4" w:space="0"/>
              <w:right w:val="single" w:color="auto" w:sz="8" w:space="0"/>
            </w:tcBorders>
            <w:noWrap w:val="0"/>
            <w:vAlign w:val="center"/>
          </w:tcPr>
          <w:p w14:paraId="1C6398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10</w:t>
            </w:r>
          </w:p>
        </w:tc>
        <w:tc>
          <w:tcPr>
            <w:tcW w:w="578" w:type="pct"/>
            <w:tcBorders>
              <w:top w:val="single" w:color="auto" w:sz="4" w:space="0"/>
              <w:left w:val="nil"/>
              <w:bottom w:val="single" w:color="auto" w:sz="4" w:space="0"/>
              <w:right w:val="single" w:color="auto" w:sz="8" w:space="0"/>
            </w:tcBorders>
            <w:noWrap w:val="0"/>
            <w:vAlign w:val="center"/>
          </w:tcPr>
          <w:p w14:paraId="16930627">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补助资金发放准确率</w:t>
            </w:r>
          </w:p>
        </w:tc>
        <w:tc>
          <w:tcPr>
            <w:tcW w:w="366" w:type="pct"/>
            <w:tcBorders>
              <w:top w:val="single" w:color="auto" w:sz="4" w:space="0"/>
              <w:left w:val="nil"/>
              <w:bottom w:val="single" w:color="auto" w:sz="4" w:space="0"/>
              <w:right w:val="single" w:color="auto" w:sz="4" w:space="0"/>
            </w:tcBorders>
            <w:noWrap w:val="0"/>
            <w:vAlign w:val="center"/>
          </w:tcPr>
          <w:p w14:paraId="0943571A">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w:t>
            </w:r>
          </w:p>
        </w:tc>
        <w:tc>
          <w:tcPr>
            <w:tcW w:w="1703" w:type="pct"/>
            <w:tcBorders>
              <w:top w:val="single" w:color="auto" w:sz="4" w:space="0"/>
              <w:left w:val="single" w:color="auto" w:sz="4" w:space="0"/>
              <w:bottom w:val="single" w:color="auto" w:sz="4" w:space="0"/>
              <w:right w:val="single" w:color="auto" w:sz="4" w:space="0"/>
            </w:tcBorders>
            <w:noWrap w:val="0"/>
            <w:vAlign w:val="center"/>
          </w:tcPr>
          <w:p w14:paraId="1820A2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若指标达到标杆值，则得100%权重分；否则，得分=（实际完成/预期完成）×100%×指标分值。</w:t>
            </w:r>
          </w:p>
          <w:p w14:paraId="393DC3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若指标完成值达到标杆值，则得100%权重分；否则，不得分。</w:t>
            </w:r>
          </w:p>
          <w:p w14:paraId="205A65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若指标完成值达到标杆值，则得100%权重分；否则，得分=（实际完成/预期完成）×100%×指标分值。</w:t>
            </w:r>
          </w:p>
        </w:tc>
        <w:tc>
          <w:tcPr>
            <w:tcW w:w="319" w:type="pct"/>
            <w:tcBorders>
              <w:top w:val="single" w:color="auto" w:sz="4" w:space="0"/>
              <w:left w:val="single" w:color="auto" w:sz="4" w:space="0"/>
              <w:bottom w:val="single" w:color="auto" w:sz="4" w:space="0"/>
              <w:right w:val="single" w:color="auto" w:sz="8" w:space="0"/>
            </w:tcBorders>
            <w:noWrap w:val="0"/>
            <w:vAlign w:val="center"/>
          </w:tcPr>
          <w:p w14:paraId="1CC8AA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w:t>
            </w:r>
          </w:p>
        </w:tc>
        <w:tc>
          <w:tcPr>
            <w:tcW w:w="326" w:type="pct"/>
            <w:tcBorders>
              <w:top w:val="single" w:color="auto" w:sz="4" w:space="0"/>
              <w:left w:val="nil"/>
              <w:bottom w:val="single" w:color="auto" w:sz="4" w:space="0"/>
              <w:right w:val="single" w:color="auto" w:sz="8" w:space="0"/>
            </w:tcBorders>
            <w:noWrap w:val="0"/>
            <w:vAlign w:val="center"/>
          </w:tcPr>
          <w:p w14:paraId="42CF61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10</w:t>
            </w:r>
          </w:p>
        </w:tc>
      </w:tr>
      <w:tr w14:paraId="7FFA4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305" w:type="pct"/>
            <w:vMerge w:val="continue"/>
            <w:tcBorders>
              <w:top w:val="single" w:color="auto" w:sz="4" w:space="0"/>
              <w:left w:val="single" w:color="auto" w:sz="4" w:space="0"/>
              <w:bottom w:val="single" w:color="auto" w:sz="8" w:space="0"/>
              <w:right w:val="single" w:color="auto" w:sz="8" w:space="0"/>
            </w:tcBorders>
            <w:noWrap w:val="0"/>
            <w:vAlign w:val="center"/>
          </w:tcPr>
          <w:p w14:paraId="5BA341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07" w:type="pct"/>
            <w:vMerge w:val="continue"/>
            <w:tcBorders>
              <w:top w:val="single" w:color="auto" w:sz="4" w:space="0"/>
              <w:left w:val="nil"/>
              <w:bottom w:val="single" w:color="auto" w:sz="8" w:space="0"/>
              <w:right w:val="single" w:color="auto" w:sz="8" w:space="0"/>
            </w:tcBorders>
            <w:noWrap w:val="0"/>
            <w:vAlign w:val="center"/>
          </w:tcPr>
          <w:p w14:paraId="192787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310" w:type="pct"/>
            <w:vMerge w:val="restart"/>
            <w:tcBorders>
              <w:top w:val="single" w:color="auto" w:sz="4" w:space="0"/>
              <w:left w:val="nil"/>
              <w:right w:val="single" w:color="auto" w:sz="8" w:space="0"/>
            </w:tcBorders>
            <w:noWrap w:val="0"/>
            <w:vAlign w:val="center"/>
          </w:tcPr>
          <w:p w14:paraId="0C5A1B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产出时效</w:t>
            </w:r>
          </w:p>
        </w:tc>
        <w:tc>
          <w:tcPr>
            <w:tcW w:w="212" w:type="pct"/>
            <w:vMerge w:val="restart"/>
            <w:tcBorders>
              <w:top w:val="single" w:color="auto" w:sz="4" w:space="0"/>
              <w:left w:val="nil"/>
              <w:right w:val="single" w:color="auto" w:sz="8" w:space="0"/>
            </w:tcBorders>
            <w:noWrap w:val="0"/>
            <w:vAlign w:val="center"/>
          </w:tcPr>
          <w:p w14:paraId="3FC7EC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10</w:t>
            </w:r>
          </w:p>
        </w:tc>
        <w:tc>
          <w:tcPr>
            <w:tcW w:w="427" w:type="pct"/>
            <w:vMerge w:val="restart"/>
            <w:tcBorders>
              <w:top w:val="single" w:color="auto" w:sz="4" w:space="0"/>
              <w:left w:val="nil"/>
              <w:right w:val="single" w:color="auto" w:sz="8" w:space="0"/>
            </w:tcBorders>
            <w:noWrap w:val="0"/>
            <w:vAlign w:val="center"/>
          </w:tcPr>
          <w:p w14:paraId="2D37D9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iCs/>
                <w:color w:val="auto"/>
                <w:kern w:val="0"/>
                <w:sz w:val="24"/>
                <w:szCs w:val="24"/>
                <w:highlight w:val="none"/>
                <w:u w:val="none"/>
                <w:lang w:val="en-US" w:eastAsia="zh-CN"/>
              </w:rPr>
            </w:pPr>
            <w:r>
              <w:rPr>
                <w:rFonts w:hint="eastAsia" w:ascii="宋体" w:hAnsi="宋体" w:eastAsia="宋体" w:cs="宋体"/>
                <w:i/>
                <w:iCs/>
                <w:color w:val="auto"/>
                <w:kern w:val="0"/>
                <w:sz w:val="24"/>
                <w:szCs w:val="24"/>
                <w:highlight w:val="none"/>
                <w:u w:val="none"/>
                <w:lang w:val="en-US" w:eastAsia="zh-CN"/>
              </w:rPr>
              <w:t>完成及时率</w:t>
            </w:r>
          </w:p>
        </w:tc>
        <w:tc>
          <w:tcPr>
            <w:tcW w:w="242" w:type="pct"/>
            <w:tcBorders>
              <w:top w:val="single" w:color="auto" w:sz="4" w:space="0"/>
              <w:left w:val="nil"/>
              <w:bottom w:val="single" w:color="auto" w:sz="8" w:space="0"/>
              <w:right w:val="single" w:color="auto" w:sz="8" w:space="0"/>
            </w:tcBorders>
            <w:noWrap w:val="0"/>
            <w:vAlign w:val="center"/>
          </w:tcPr>
          <w:p w14:paraId="32B959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5</w:t>
            </w:r>
          </w:p>
        </w:tc>
        <w:tc>
          <w:tcPr>
            <w:tcW w:w="578" w:type="pct"/>
            <w:tcBorders>
              <w:top w:val="single" w:color="auto" w:sz="4" w:space="0"/>
              <w:left w:val="nil"/>
              <w:bottom w:val="single" w:color="auto" w:sz="8" w:space="0"/>
              <w:right w:val="single" w:color="auto" w:sz="8" w:space="0"/>
            </w:tcBorders>
            <w:shd w:val="clear" w:color="auto" w:fill="auto"/>
            <w:noWrap w:val="0"/>
            <w:vAlign w:val="center"/>
          </w:tcPr>
          <w:p w14:paraId="397BC8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sz w:val="24"/>
                <w:szCs w:val="24"/>
                <w:highlight w:val="none"/>
                <w:u w:val="none"/>
                <w:lang w:val="en-US" w:eastAsia="zh-CN"/>
              </w:rPr>
              <w:t>补助资金支付及时率</w:t>
            </w:r>
          </w:p>
        </w:tc>
        <w:tc>
          <w:tcPr>
            <w:tcW w:w="366" w:type="pct"/>
            <w:tcBorders>
              <w:top w:val="single" w:color="auto" w:sz="4" w:space="0"/>
              <w:left w:val="nil"/>
              <w:bottom w:val="single" w:color="auto" w:sz="8" w:space="0"/>
              <w:right w:val="single" w:color="auto" w:sz="8" w:space="0"/>
            </w:tcBorders>
            <w:shd w:val="clear" w:color="auto" w:fill="auto"/>
            <w:noWrap w:val="0"/>
            <w:vAlign w:val="center"/>
          </w:tcPr>
          <w:p w14:paraId="74CB2D27">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rPr>
              <w:t>100%</w:t>
            </w:r>
          </w:p>
        </w:tc>
        <w:tc>
          <w:tcPr>
            <w:tcW w:w="1703" w:type="pct"/>
            <w:vMerge w:val="restart"/>
            <w:tcBorders>
              <w:top w:val="single" w:color="auto" w:sz="4" w:space="0"/>
              <w:left w:val="nil"/>
              <w:right w:val="single" w:color="auto" w:sz="8" w:space="0"/>
            </w:tcBorders>
            <w:shd w:val="clear" w:color="auto" w:fill="auto"/>
            <w:noWrap w:val="0"/>
            <w:vAlign w:val="center"/>
          </w:tcPr>
          <w:p w14:paraId="1CA644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sz w:val="24"/>
                <w:szCs w:val="24"/>
                <w:highlight w:val="none"/>
                <w:u w:val="none"/>
                <w:lang w:val="en-US" w:eastAsia="zh-CN"/>
              </w:rPr>
              <w:t>若在规定时间内完成，得100%权重分；若未在规定的时间内完成，得分=（1-未在规定时间内完成工作数/实际完成工作总数）×分值。</w:t>
            </w:r>
          </w:p>
        </w:tc>
        <w:tc>
          <w:tcPr>
            <w:tcW w:w="319" w:type="pct"/>
            <w:tcBorders>
              <w:top w:val="single" w:color="auto" w:sz="4" w:space="0"/>
              <w:left w:val="nil"/>
              <w:bottom w:val="single" w:color="auto" w:sz="8" w:space="0"/>
              <w:right w:val="single" w:color="auto" w:sz="8" w:space="0"/>
            </w:tcBorders>
            <w:shd w:val="clear" w:color="auto" w:fill="auto"/>
            <w:noWrap w:val="0"/>
            <w:vAlign w:val="center"/>
          </w:tcPr>
          <w:p w14:paraId="474B40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rPr>
              <w:t>100%</w:t>
            </w:r>
          </w:p>
        </w:tc>
        <w:tc>
          <w:tcPr>
            <w:tcW w:w="326" w:type="pct"/>
            <w:tcBorders>
              <w:top w:val="single" w:color="auto" w:sz="4" w:space="0"/>
              <w:left w:val="nil"/>
              <w:bottom w:val="single" w:color="auto" w:sz="8" w:space="0"/>
              <w:right w:val="single" w:color="auto" w:sz="8" w:space="0"/>
            </w:tcBorders>
            <w:noWrap w:val="0"/>
            <w:vAlign w:val="center"/>
          </w:tcPr>
          <w:p w14:paraId="2708B6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5</w:t>
            </w:r>
          </w:p>
        </w:tc>
      </w:tr>
      <w:tr w14:paraId="59EE8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305" w:type="pct"/>
            <w:vMerge w:val="continue"/>
            <w:tcBorders>
              <w:top w:val="single" w:color="auto" w:sz="4" w:space="0"/>
              <w:left w:val="single" w:color="auto" w:sz="4" w:space="0"/>
              <w:bottom w:val="single" w:color="auto" w:sz="8" w:space="0"/>
              <w:right w:val="single" w:color="auto" w:sz="8" w:space="0"/>
            </w:tcBorders>
            <w:noWrap w:val="0"/>
            <w:vAlign w:val="center"/>
          </w:tcPr>
          <w:p w14:paraId="3F1531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07" w:type="pct"/>
            <w:vMerge w:val="continue"/>
            <w:tcBorders>
              <w:top w:val="single" w:color="auto" w:sz="4" w:space="0"/>
              <w:left w:val="nil"/>
              <w:bottom w:val="single" w:color="auto" w:sz="8" w:space="0"/>
              <w:right w:val="single" w:color="auto" w:sz="8" w:space="0"/>
            </w:tcBorders>
            <w:noWrap w:val="0"/>
            <w:vAlign w:val="center"/>
          </w:tcPr>
          <w:p w14:paraId="572B0A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310" w:type="pct"/>
            <w:vMerge w:val="continue"/>
            <w:tcBorders>
              <w:left w:val="nil"/>
              <w:bottom w:val="single" w:color="auto" w:sz="8" w:space="0"/>
              <w:right w:val="single" w:color="auto" w:sz="8" w:space="0"/>
            </w:tcBorders>
            <w:noWrap w:val="0"/>
            <w:vAlign w:val="center"/>
          </w:tcPr>
          <w:p w14:paraId="3AB170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rPr>
            </w:pPr>
          </w:p>
        </w:tc>
        <w:tc>
          <w:tcPr>
            <w:tcW w:w="212" w:type="pct"/>
            <w:vMerge w:val="continue"/>
            <w:tcBorders>
              <w:left w:val="nil"/>
              <w:bottom w:val="single" w:color="auto" w:sz="8" w:space="0"/>
              <w:right w:val="single" w:color="auto" w:sz="8" w:space="0"/>
            </w:tcBorders>
            <w:noWrap w:val="0"/>
            <w:vAlign w:val="center"/>
          </w:tcPr>
          <w:p w14:paraId="2BE9BB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rPr>
            </w:pPr>
          </w:p>
        </w:tc>
        <w:tc>
          <w:tcPr>
            <w:tcW w:w="427" w:type="pct"/>
            <w:vMerge w:val="continue"/>
            <w:tcBorders>
              <w:left w:val="nil"/>
              <w:bottom w:val="single" w:color="auto" w:sz="8" w:space="0"/>
              <w:right w:val="single" w:color="auto" w:sz="8" w:space="0"/>
            </w:tcBorders>
            <w:noWrap w:val="0"/>
            <w:vAlign w:val="center"/>
          </w:tcPr>
          <w:p w14:paraId="5D4B09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rPr>
            </w:pPr>
          </w:p>
        </w:tc>
        <w:tc>
          <w:tcPr>
            <w:tcW w:w="242" w:type="pct"/>
            <w:tcBorders>
              <w:top w:val="single" w:color="auto" w:sz="4" w:space="0"/>
              <w:left w:val="nil"/>
              <w:bottom w:val="single" w:color="auto" w:sz="8" w:space="0"/>
              <w:right w:val="single" w:color="auto" w:sz="8" w:space="0"/>
            </w:tcBorders>
            <w:noWrap w:val="0"/>
            <w:vAlign w:val="center"/>
          </w:tcPr>
          <w:p w14:paraId="19736D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5</w:t>
            </w:r>
          </w:p>
        </w:tc>
        <w:tc>
          <w:tcPr>
            <w:tcW w:w="578" w:type="pct"/>
            <w:tcBorders>
              <w:top w:val="single" w:color="auto" w:sz="4" w:space="0"/>
              <w:left w:val="nil"/>
              <w:bottom w:val="single" w:color="auto" w:sz="8" w:space="0"/>
              <w:right w:val="single" w:color="auto" w:sz="8" w:space="0"/>
            </w:tcBorders>
            <w:shd w:val="clear" w:color="auto" w:fill="auto"/>
            <w:noWrap w:val="0"/>
            <w:vAlign w:val="center"/>
          </w:tcPr>
          <w:p w14:paraId="37D841AB">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rPr>
              <w:t>项目完成时间</w:t>
            </w:r>
          </w:p>
        </w:tc>
        <w:tc>
          <w:tcPr>
            <w:tcW w:w="366" w:type="pct"/>
            <w:tcBorders>
              <w:top w:val="single" w:color="auto" w:sz="4" w:space="0"/>
              <w:left w:val="nil"/>
              <w:bottom w:val="single" w:color="auto" w:sz="8" w:space="0"/>
              <w:right w:val="single" w:color="auto" w:sz="8" w:space="0"/>
            </w:tcBorders>
            <w:shd w:val="clear" w:color="auto" w:fill="auto"/>
            <w:noWrap w:val="0"/>
            <w:vAlign w:val="center"/>
          </w:tcPr>
          <w:p w14:paraId="2F389E97">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sz w:val="24"/>
                <w:szCs w:val="24"/>
                <w:highlight w:val="none"/>
                <w:u w:val="none"/>
                <w:lang w:val="en-US" w:eastAsia="zh-CN"/>
              </w:rPr>
              <w:t>2024年12月</w:t>
            </w:r>
          </w:p>
        </w:tc>
        <w:tc>
          <w:tcPr>
            <w:tcW w:w="1703" w:type="pct"/>
            <w:vMerge w:val="continue"/>
            <w:tcBorders>
              <w:left w:val="nil"/>
              <w:bottom w:val="single" w:color="auto" w:sz="8" w:space="0"/>
              <w:right w:val="single" w:color="auto" w:sz="8" w:space="0"/>
            </w:tcBorders>
            <w:noWrap w:val="0"/>
            <w:vAlign w:val="center"/>
          </w:tcPr>
          <w:p w14:paraId="57459B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rPr>
            </w:pPr>
          </w:p>
        </w:tc>
        <w:tc>
          <w:tcPr>
            <w:tcW w:w="319" w:type="pct"/>
            <w:tcBorders>
              <w:top w:val="single" w:color="auto" w:sz="4" w:space="0"/>
              <w:left w:val="nil"/>
              <w:bottom w:val="single" w:color="auto" w:sz="8" w:space="0"/>
              <w:right w:val="single" w:color="auto" w:sz="8" w:space="0"/>
            </w:tcBorders>
            <w:shd w:val="clear" w:color="auto" w:fill="auto"/>
            <w:noWrap w:val="0"/>
            <w:vAlign w:val="center"/>
          </w:tcPr>
          <w:p w14:paraId="2FEE8E4C">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sz w:val="24"/>
                <w:szCs w:val="24"/>
                <w:highlight w:val="none"/>
                <w:u w:val="none"/>
                <w:lang w:val="en-US" w:eastAsia="zh-CN"/>
              </w:rPr>
              <w:t>2024年12月</w:t>
            </w:r>
          </w:p>
        </w:tc>
        <w:tc>
          <w:tcPr>
            <w:tcW w:w="326" w:type="pct"/>
            <w:tcBorders>
              <w:top w:val="single" w:color="auto" w:sz="4" w:space="0"/>
              <w:left w:val="nil"/>
              <w:bottom w:val="single" w:color="auto" w:sz="8" w:space="0"/>
              <w:right w:val="single" w:color="auto" w:sz="8" w:space="0"/>
            </w:tcBorders>
            <w:noWrap w:val="0"/>
            <w:vAlign w:val="center"/>
          </w:tcPr>
          <w:p w14:paraId="471059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5</w:t>
            </w:r>
          </w:p>
        </w:tc>
      </w:tr>
      <w:tr w14:paraId="6DCEC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0" w:hRule="atLeast"/>
        </w:trPr>
        <w:tc>
          <w:tcPr>
            <w:tcW w:w="305" w:type="pct"/>
            <w:vMerge w:val="continue"/>
            <w:tcBorders>
              <w:top w:val="single" w:color="auto" w:sz="4" w:space="0"/>
              <w:left w:val="single" w:color="auto" w:sz="4" w:space="0"/>
              <w:bottom w:val="single" w:color="auto" w:sz="8" w:space="0"/>
              <w:right w:val="single" w:color="auto" w:sz="8" w:space="0"/>
            </w:tcBorders>
            <w:noWrap w:val="0"/>
            <w:vAlign w:val="center"/>
          </w:tcPr>
          <w:p w14:paraId="662630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07" w:type="pct"/>
            <w:vMerge w:val="continue"/>
            <w:tcBorders>
              <w:top w:val="single" w:color="auto" w:sz="4" w:space="0"/>
              <w:left w:val="nil"/>
              <w:bottom w:val="single" w:color="auto" w:sz="8" w:space="0"/>
              <w:right w:val="single" w:color="auto" w:sz="8" w:space="0"/>
            </w:tcBorders>
            <w:noWrap w:val="0"/>
            <w:vAlign w:val="center"/>
          </w:tcPr>
          <w:p w14:paraId="3A0B8E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310" w:type="pct"/>
            <w:tcBorders>
              <w:top w:val="single" w:color="auto" w:sz="4" w:space="0"/>
              <w:left w:val="nil"/>
              <w:bottom w:val="single" w:color="auto" w:sz="8" w:space="0"/>
              <w:right w:val="single" w:color="auto" w:sz="8" w:space="0"/>
            </w:tcBorders>
            <w:noWrap w:val="0"/>
            <w:vAlign w:val="center"/>
          </w:tcPr>
          <w:p w14:paraId="09EF7E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产出成本</w:t>
            </w:r>
          </w:p>
        </w:tc>
        <w:tc>
          <w:tcPr>
            <w:tcW w:w="212" w:type="pct"/>
            <w:tcBorders>
              <w:top w:val="single" w:color="auto" w:sz="4" w:space="0"/>
              <w:left w:val="nil"/>
              <w:bottom w:val="single" w:color="auto" w:sz="8" w:space="0"/>
              <w:right w:val="single" w:color="auto" w:sz="8" w:space="0"/>
            </w:tcBorders>
            <w:noWrap w:val="0"/>
            <w:vAlign w:val="center"/>
          </w:tcPr>
          <w:p w14:paraId="305C2A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w:t>
            </w:r>
          </w:p>
        </w:tc>
        <w:tc>
          <w:tcPr>
            <w:tcW w:w="427" w:type="pct"/>
            <w:tcBorders>
              <w:top w:val="single" w:color="auto" w:sz="4" w:space="0"/>
              <w:left w:val="nil"/>
              <w:bottom w:val="single" w:color="auto" w:sz="8" w:space="0"/>
              <w:right w:val="single" w:color="auto" w:sz="8" w:space="0"/>
            </w:tcBorders>
            <w:noWrap w:val="0"/>
            <w:vAlign w:val="center"/>
          </w:tcPr>
          <w:p w14:paraId="0E89E8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成本节约率</w:t>
            </w:r>
          </w:p>
        </w:tc>
        <w:tc>
          <w:tcPr>
            <w:tcW w:w="242" w:type="pct"/>
            <w:tcBorders>
              <w:top w:val="single" w:color="auto" w:sz="4" w:space="0"/>
              <w:left w:val="nil"/>
              <w:bottom w:val="single" w:color="auto" w:sz="8" w:space="0"/>
              <w:right w:val="single" w:color="auto" w:sz="8" w:space="0"/>
            </w:tcBorders>
            <w:noWrap w:val="0"/>
            <w:vAlign w:val="center"/>
          </w:tcPr>
          <w:p w14:paraId="02B4E8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10</w:t>
            </w:r>
          </w:p>
        </w:tc>
        <w:tc>
          <w:tcPr>
            <w:tcW w:w="578" w:type="pct"/>
            <w:tcBorders>
              <w:top w:val="single" w:color="auto" w:sz="4" w:space="0"/>
              <w:left w:val="nil"/>
              <w:bottom w:val="single" w:color="auto" w:sz="8" w:space="0"/>
              <w:right w:val="single" w:color="auto" w:sz="8" w:space="0"/>
            </w:tcBorders>
            <w:noWrap w:val="0"/>
            <w:vAlign w:val="center"/>
          </w:tcPr>
          <w:p w14:paraId="0E0F2D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项目资金总额</w:t>
            </w:r>
          </w:p>
        </w:tc>
        <w:tc>
          <w:tcPr>
            <w:tcW w:w="366" w:type="pct"/>
            <w:tcBorders>
              <w:top w:val="single" w:color="auto" w:sz="4" w:space="0"/>
              <w:left w:val="nil"/>
              <w:bottom w:val="single" w:color="auto" w:sz="8" w:space="0"/>
              <w:right w:val="single" w:color="auto" w:sz="8" w:space="0"/>
            </w:tcBorders>
            <w:noWrap w:val="0"/>
            <w:vAlign w:val="center"/>
          </w:tcPr>
          <w:p w14:paraId="3EEE15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&lt;=100万元</w:t>
            </w:r>
          </w:p>
        </w:tc>
        <w:tc>
          <w:tcPr>
            <w:tcW w:w="1703" w:type="pct"/>
            <w:tcBorders>
              <w:top w:val="single" w:color="auto" w:sz="4" w:space="0"/>
              <w:left w:val="nil"/>
              <w:bottom w:val="single" w:color="auto" w:sz="8" w:space="0"/>
              <w:right w:val="single" w:color="auto" w:sz="8" w:space="0"/>
            </w:tcBorders>
            <w:noWrap w:val="0"/>
            <w:vAlign w:val="center"/>
          </w:tcPr>
          <w:p w14:paraId="5E8F9C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实际完成率=（实际支付资金数/计划应支付资金数）×100%。</w:t>
            </w:r>
          </w:p>
          <w:p w14:paraId="729AF0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①实际完成率＞年度指标值，得0得分；</w:t>
            </w:r>
          </w:p>
          <w:p w14:paraId="3D7284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②实际完成率≤年度指标值，且偏离程度＜20%，得满分；</w:t>
            </w:r>
          </w:p>
          <w:p w14:paraId="36B4E4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③实际完成率＜年度指标值，且偏离程度≥20%，得分=实际完成率×分值。</w:t>
            </w:r>
          </w:p>
        </w:tc>
        <w:tc>
          <w:tcPr>
            <w:tcW w:w="319" w:type="pct"/>
            <w:tcBorders>
              <w:top w:val="single" w:color="auto" w:sz="4" w:space="0"/>
              <w:left w:val="nil"/>
              <w:bottom w:val="single" w:color="auto" w:sz="8" w:space="0"/>
              <w:right w:val="single" w:color="auto" w:sz="8" w:space="0"/>
            </w:tcBorders>
            <w:noWrap w:val="0"/>
            <w:vAlign w:val="center"/>
          </w:tcPr>
          <w:p w14:paraId="37FB4D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100万元</w:t>
            </w:r>
          </w:p>
        </w:tc>
        <w:tc>
          <w:tcPr>
            <w:tcW w:w="326" w:type="pct"/>
            <w:tcBorders>
              <w:top w:val="single" w:color="auto" w:sz="4" w:space="0"/>
              <w:left w:val="nil"/>
              <w:bottom w:val="single" w:color="auto" w:sz="8" w:space="0"/>
              <w:right w:val="single" w:color="auto" w:sz="8" w:space="0"/>
            </w:tcBorders>
            <w:noWrap w:val="0"/>
            <w:vAlign w:val="center"/>
          </w:tcPr>
          <w:p w14:paraId="61A234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10</w:t>
            </w:r>
          </w:p>
        </w:tc>
      </w:tr>
      <w:tr w14:paraId="491A9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305" w:type="pct"/>
            <w:vMerge w:val="restart"/>
            <w:tcBorders>
              <w:top w:val="nil"/>
              <w:left w:val="single" w:color="auto" w:sz="8" w:space="0"/>
              <w:bottom w:val="single" w:color="auto" w:sz="8" w:space="0"/>
              <w:right w:val="single" w:color="auto" w:sz="8" w:space="0"/>
            </w:tcBorders>
            <w:noWrap w:val="0"/>
            <w:vAlign w:val="center"/>
          </w:tcPr>
          <w:p w14:paraId="11E3C2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项目效益</w:t>
            </w:r>
          </w:p>
        </w:tc>
        <w:tc>
          <w:tcPr>
            <w:tcW w:w="207" w:type="pct"/>
            <w:vMerge w:val="restart"/>
            <w:tcBorders>
              <w:top w:val="nil"/>
              <w:left w:val="nil"/>
              <w:bottom w:val="single" w:color="auto" w:sz="8" w:space="0"/>
              <w:right w:val="single" w:color="auto" w:sz="8" w:space="0"/>
            </w:tcBorders>
            <w:noWrap w:val="0"/>
            <w:vAlign w:val="center"/>
          </w:tcPr>
          <w:p w14:paraId="63C791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25</w:t>
            </w:r>
          </w:p>
        </w:tc>
        <w:tc>
          <w:tcPr>
            <w:tcW w:w="310" w:type="pct"/>
            <w:vMerge w:val="restart"/>
            <w:tcBorders>
              <w:top w:val="nil"/>
              <w:left w:val="nil"/>
              <w:bottom w:val="single" w:color="auto" w:sz="8" w:space="0"/>
              <w:right w:val="single" w:color="auto" w:sz="8" w:space="0"/>
            </w:tcBorders>
            <w:noWrap w:val="0"/>
            <w:vAlign w:val="center"/>
          </w:tcPr>
          <w:p w14:paraId="0E306E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项目效益</w:t>
            </w:r>
          </w:p>
        </w:tc>
        <w:tc>
          <w:tcPr>
            <w:tcW w:w="212" w:type="pct"/>
            <w:vMerge w:val="restart"/>
            <w:tcBorders>
              <w:top w:val="nil"/>
              <w:left w:val="nil"/>
              <w:bottom w:val="single" w:color="auto" w:sz="8" w:space="0"/>
              <w:right w:val="single" w:color="auto" w:sz="8" w:space="0"/>
            </w:tcBorders>
            <w:noWrap w:val="0"/>
            <w:vAlign w:val="center"/>
          </w:tcPr>
          <w:p w14:paraId="6F81B3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25</w:t>
            </w:r>
          </w:p>
        </w:tc>
        <w:tc>
          <w:tcPr>
            <w:tcW w:w="427" w:type="pct"/>
            <w:tcBorders>
              <w:top w:val="nil"/>
              <w:left w:val="nil"/>
              <w:bottom w:val="single" w:color="auto" w:sz="8" w:space="0"/>
              <w:right w:val="single" w:color="auto" w:sz="8" w:space="0"/>
            </w:tcBorders>
            <w:noWrap w:val="0"/>
            <w:vAlign w:val="center"/>
          </w:tcPr>
          <w:p w14:paraId="0867E5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社会效益</w:t>
            </w:r>
          </w:p>
        </w:tc>
        <w:tc>
          <w:tcPr>
            <w:tcW w:w="242" w:type="pct"/>
            <w:tcBorders>
              <w:top w:val="nil"/>
              <w:left w:val="nil"/>
              <w:bottom w:val="single" w:color="auto" w:sz="8" w:space="0"/>
              <w:right w:val="single" w:color="auto" w:sz="8" w:space="0"/>
            </w:tcBorders>
            <w:noWrap w:val="0"/>
            <w:vAlign w:val="center"/>
          </w:tcPr>
          <w:p w14:paraId="2B6BCD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15</w:t>
            </w:r>
          </w:p>
        </w:tc>
        <w:tc>
          <w:tcPr>
            <w:tcW w:w="578" w:type="pct"/>
            <w:tcBorders>
              <w:top w:val="nil"/>
              <w:left w:val="nil"/>
              <w:bottom w:val="single" w:color="auto" w:sz="8" w:space="0"/>
              <w:right w:val="single" w:color="auto" w:sz="8" w:space="0"/>
            </w:tcBorders>
            <w:noWrap w:val="0"/>
            <w:vAlign w:val="center"/>
          </w:tcPr>
          <w:p w14:paraId="532C9D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带动小农户发展现代农业，增加农民家庭收入</w:t>
            </w:r>
          </w:p>
        </w:tc>
        <w:tc>
          <w:tcPr>
            <w:tcW w:w="366" w:type="pct"/>
            <w:tcBorders>
              <w:top w:val="nil"/>
              <w:left w:val="nil"/>
              <w:bottom w:val="single" w:color="auto" w:sz="8" w:space="0"/>
              <w:right w:val="single" w:color="auto" w:sz="8" w:space="0"/>
            </w:tcBorders>
            <w:noWrap w:val="0"/>
            <w:vAlign w:val="center"/>
          </w:tcPr>
          <w:p w14:paraId="29477C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效果显著</w:t>
            </w:r>
          </w:p>
        </w:tc>
        <w:tc>
          <w:tcPr>
            <w:tcW w:w="1703" w:type="pct"/>
            <w:tcBorders>
              <w:top w:val="nil"/>
              <w:left w:val="nil"/>
              <w:bottom w:val="single" w:color="auto" w:sz="8" w:space="0"/>
              <w:right w:val="single" w:color="auto" w:sz="8" w:space="0"/>
            </w:tcBorders>
            <w:noWrap w:val="0"/>
            <w:vAlign w:val="center"/>
          </w:tcPr>
          <w:p w14:paraId="4C4F7D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按评判等级赋分。分为基本达成目标、部分实现目标、实现目标程度较低三个档次，并分别按照该指标对应分值区间100%-80%（含）、80%-60%（含）、60%-0%合理确定分值。</w:t>
            </w:r>
          </w:p>
        </w:tc>
        <w:tc>
          <w:tcPr>
            <w:tcW w:w="319" w:type="pct"/>
            <w:tcBorders>
              <w:top w:val="nil"/>
              <w:left w:val="nil"/>
              <w:bottom w:val="single" w:color="auto" w:sz="8" w:space="0"/>
              <w:right w:val="single" w:color="auto" w:sz="8" w:space="0"/>
            </w:tcBorders>
            <w:noWrap w:val="0"/>
            <w:vAlign w:val="center"/>
          </w:tcPr>
          <w:p w14:paraId="54E295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效果显著</w:t>
            </w:r>
          </w:p>
        </w:tc>
        <w:tc>
          <w:tcPr>
            <w:tcW w:w="326" w:type="pct"/>
            <w:tcBorders>
              <w:top w:val="nil"/>
              <w:left w:val="nil"/>
              <w:bottom w:val="single" w:color="auto" w:sz="8" w:space="0"/>
              <w:right w:val="single" w:color="auto" w:sz="8" w:space="0"/>
            </w:tcBorders>
            <w:noWrap w:val="0"/>
            <w:vAlign w:val="center"/>
          </w:tcPr>
          <w:p w14:paraId="55399C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15</w:t>
            </w:r>
          </w:p>
        </w:tc>
      </w:tr>
      <w:tr w14:paraId="71EB7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5" w:type="pct"/>
            <w:vMerge w:val="continue"/>
            <w:tcBorders>
              <w:top w:val="nil"/>
              <w:left w:val="single" w:color="auto" w:sz="8" w:space="0"/>
              <w:bottom w:val="single" w:color="auto" w:sz="8" w:space="0"/>
              <w:right w:val="single" w:color="auto" w:sz="8" w:space="0"/>
            </w:tcBorders>
            <w:noWrap w:val="0"/>
            <w:vAlign w:val="center"/>
          </w:tcPr>
          <w:p w14:paraId="5A4B83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07" w:type="pct"/>
            <w:vMerge w:val="continue"/>
            <w:tcBorders>
              <w:top w:val="nil"/>
              <w:left w:val="nil"/>
              <w:bottom w:val="single" w:color="auto" w:sz="8" w:space="0"/>
              <w:right w:val="single" w:color="auto" w:sz="8" w:space="0"/>
            </w:tcBorders>
            <w:noWrap w:val="0"/>
            <w:vAlign w:val="center"/>
          </w:tcPr>
          <w:p w14:paraId="533941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310" w:type="pct"/>
            <w:vMerge w:val="continue"/>
            <w:tcBorders>
              <w:top w:val="nil"/>
              <w:left w:val="nil"/>
              <w:bottom w:val="single" w:color="auto" w:sz="8" w:space="0"/>
              <w:right w:val="single" w:color="auto" w:sz="8" w:space="0"/>
            </w:tcBorders>
            <w:noWrap w:val="0"/>
            <w:vAlign w:val="center"/>
          </w:tcPr>
          <w:p w14:paraId="4035CA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12" w:type="pct"/>
            <w:vMerge w:val="continue"/>
            <w:tcBorders>
              <w:top w:val="nil"/>
              <w:left w:val="nil"/>
              <w:bottom w:val="single" w:color="auto" w:sz="8" w:space="0"/>
              <w:right w:val="single" w:color="auto" w:sz="8" w:space="0"/>
            </w:tcBorders>
            <w:noWrap w:val="0"/>
            <w:vAlign w:val="center"/>
          </w:tcPr>
          <w:p w14:paraId="322933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427" w:type="pct"/>
            <w:tcBorders>
              <w:top w:val="nil"/>
              <w:left w:val="nil"/>
              <w:bottom w:val="single" w:color="auto" w:sz="8" w:space="0"/>
              <w:right w:val="single" w:color="auto" w:sz="8" w:space="0"/>
            </w:tcBorders>
            <w:noWrap w:val="0"/>
            <w:vAlign w:val="center"/>
          </w:tcPr>
          <w:p w14:paraId="4BACEB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服务对象满意度</w:t>
            </w:r>
          </w:p>
        </w:tc>
        <w:tc>
          <w:tcPr>
            <w:tcW w:w="242" w:type="pct"/>
            <w:tcBorders>
              <w:top w:val="nil"/>
              <w:left w:val="nil"/>
              <w:bottom w:val="single" w:color="auto" w:sz="8" w:space="0"/>
              <w:right w:val="single" w:color="auto" w:sz="8" w:space="0"/>
            </w:tcBorders>
            <w:noWrap w:val="0"/>
            <w:vAlign w:val="center"/>
          </w:tcPr>
          <w:p w14:paraId="09A05C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w:t>
            </w:r>
          </w:p>
        </w:tc>
        <w:tc>
          <w:tcPr>
            <w:tcW w:w="578" w:type="pct"/>
            <w:tcBorders>
              <w:top w:val="nil"/>
              <w:left w:val="nil"/>
              <w:bottom w:val="single" w:color="auto" w:sz="8" w:space="0"/>
              <w:right w:val="single" w:color="auto" w:sz="8" w:space="0"/>
            </w:tcBorders>
            <w:noWrap w:val="0"/>
            <w:vAlign w:val="center"/>
          </w:tcPr>
          <w:p w14:paraId="6CE77E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受益群众满意度</w:t>
            </w:r>
          </w:p>
        </w:tc>
        <w:tc>
          <w:tcPr>
            <w:tcW w:w="366" w:type="pct"/>
            <w:tcBorders>
              <w:top w:val="nil"/>
              <w:left w:val="nil"/>
              <w:bottom w:val="single" w:color="auto" w:sz="8" w:space="0"/>
              <w:right w:val="single" w:color="auto" w:sz="8" w:space="0"/>
            </w:tcBorders>
            <w:noWrap w:val="0"/>
            <w:vAlign w:val="center"/>
          </w:tcPr>
          <w:p w14:paraId="09E8CC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≥95%</w:t>
            </w:r>
          </w:p>
        </w:tc>
        <w:tc>
          <w:tcPr>
            <w:tcW w:w="1703" w:type="pct"/>
            <w:tcBorders>
              <w:top w:val="nil"/>
              <w:left w:val="nil"/>
              <w:bottom w:val="single" w:color="auto" w:sz="8" w:space="0"/>
              <w:right w:val="single" w:color="auto" w:sz="8" w:space="0"/>
            </w:tcBorders>
            <w:noWrap w:val="0"/>
            <w:vAlign w:val="center"/>
          </w:tcPr>
          <w:p w14:paraId="4B470F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根据问卷调查，满意度达到标杆值，得权重分的100%；否则低于95%，得分=实际满意度*指标分值。</w:t>
            </w:r>
          </w:p>
        </w:tc>
        <w:tc>
          <w:tcPr>
            <w:tcW w:w="319" w:type="pct"/>
            <w:tcBorders>
              <w:top w:val="nil"/>
              <w:left w:val="nil"/>
              <w:bottom w:val="single" w:color="auto" w:sz="8" w:space="0"/>
              <w:right w:val="single" w:color="auto" w:sz="8" w:space="0"/>
            </w:tcBorders>
            <w:noWrap w:val="0"/>
            <w:vAlign w:val="center"/>
          </w:tcPr>
          <w:p w14:paraId="6077F1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≥95%</w:t>
            </w:r>
          </w:p>
        </w:tc>
        <w:tc>
          <w:tcPr>
            <w:tcW w:w="326" w:type="pct"/>
            <w:tcBorders>
              <w:top w:val="nil"/>
              <w:left w:val="nil"/>
              <w:bottom w:val="single" w:color="auto" w:sz="8" w:space="0"/>
              <w:right w:val="single" w:color="auto" w:sz="8" w:space="0"/>
            </w:tcBorders>
            <w:noWrap w:val="0"/>
            <w:vAlign w:val="center"/>
          </w:tcPr>
          <w:p w14:paraId="2FA27E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w:t>
            </w:r>
          </w:p>
        </w:tc>
      </w:tr>
      <w:tr w14:paraId="3F2B6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05" w:type="pct"/>
            <w:tcBorders>
              <w:top w:val="nil"/>
              <w:left w:val="single" w:color="auto" w:sz="8" w:space="0"/>
              <w:bottom w:val="single" w:color="auto" w:sz="8" w:space="0"/>
              <w:right w:val="single" w:color="auto" w:sz="8" w:space="0"/>
            </w:tcBorders>
            <w:noWrap w:val="0"/>
            <w:vAlign w:val="center"/>
          </w:tcPr>
          <w:p w14:paraId="1456E4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总分</w:t>
            </w:r>
          </w:p>
        </w:tc>
        <w:tc>
          <w:tcPr>
            <w:tcW w:w="207" w:type="pct"/>
            <w:tcBorders>
              <w:top w:val="nil"/>
              <w:left w:val="nil"/>
              <w:bottom w:val="single" w:color="auto" w:sz="8" w:space="0"/>
              <w:right w:val="single" w:color="auto" w:sz="8" w:space="0"/>
            </w:tcBorders>
            <w:noWrap w:val="0"/>
            <w:vAlign w:val="center"/>
          </w:tcPr>
          <w:p w14:paraId="6CFDEB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w:t>
            </w:r>
          </w:p>
        </w:tc>
        <w:tc>
          <w:tcPr>
            <w:tcW w:w="310" w:type="pct"/>
            <w:tcBorders>
              <w:top w:val="nil"/>
              <w:left w:val="nil"/>
              <w:bottom w:val="single" w:color="auto" w:sz="8" w:space="0"/>
              <w:right w:val="single" w:color="auto" w:sz="8" w:space="0"/>
            </w:tcBorders>
            <w:noWrap w:val="0"/>
            <w:vAlign w:val="center"/>
          </w:tcPr>
          <w:p w14:paraId="0DD30D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12" w:type="pct"/>
            <w:tcBorders>
              <w:top w:val="nil"/>
              <w:left w:val="nil"/>
              <w:bottom w:val="single" w:color="auto" w:sz="8" w:space="0"/>
              <w:right w:val="single" w:color="auto" w:sz="8" w:space="0"/>
            </w:tcBorders>
            <w:noWrap w:val="0"/>
            <w:vAlign w:val="center"/>
          </w:tcPr>
          <w:p w14:paraId="212987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w:t>
            </w:r>
          </w:p>
        </w:tc>
        <w:tc>
          <w:tcPr>
            <w:tcW w:w="427" w:type="pct"/>
            <w:tcBorders>
              <w:top w:val="nil"/>
              <w:left w:val="nil"/>
              <w:bottom w:val="single" w:color="auto" w:sz="8" w:space="0"/>
              <w:right w:val="single" w:color="auto" w:sz="8" w:space="0"/>
            </w:tcBorders>
            <w:noWrap w:val="0"/>
            <w:vAlign w:val="center"/>
          </w:tcPr>
          <w:p w14:paraId="33A6A9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242" w:type="pct"/>
            <w:tcBorders>
              <w:top w:val="nil"/>
              <w:left w:val="nil"/>
              <w:bottom w:val="single" w:color="auto" w:sz="8" w:space="0"/>
              <w:right w:val="single" w:color="auto" w:sz="8" w:space="0"/>
            </w:tcBorders>
            <w:noWrap w:val="0"/>
            <w:vAlign w:val="center"/>
          </w:tcPr>
          <w:p w14:paraId="091224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w:t>
            </w:r>
          </w:p>
        </w:tc>
        <w:tc>
          <w:tcPr>
            <w:tcW w:w="578" w:type="pct"/>
            <w:tcBorders>
              <w:top w:val="nil"/>
              <w:left w:val="nil"/>
              <w:bottom w:val="single" w:color="auto" w:sz="8" w:space="0"/>
              <w:right w:val="single" w:color="auto" w:sz="8" w:space="0"/>
            </w:tcBorders>
            <w:noWrap w:val="0"/>
            <w:vAlign w:val="center"/>
          </w:tcPr>
          <w:p w14:paraId="7DD6EA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366" w:type="pct"/>
            <w:tcBorders>
              <w:top w:val="nil"/>
              <w:left w:val="nil"/>
              <w:bottom w:val="single" w:color="auto" w:sz="8" w:space="0"/>
              <w:right w:val="single" w:color="auto" w:sz="8" w:space="0"/>
            </w:tcBorders>
            <w:noWrap w:val="0"/>
            <w:vAlign w:val="center"/>
          </w:tcPr>
          <w:p w14:paraId="151B56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w:t>
            </w:r>
          </w:p>
        </w:tc>
        <w:tc>
          <w:tcPr>
            <w:tcW w:w="1703" w:type="pct"/>
            <w:tcBorders>
              <w:top w:val="nil"/>
              <w:left w:val="nil"/>
              <w:bottom w:val="single" w:color="auto" w:sz="8" w:space="0"/>
              <w:right w:val="single" w:color="auto" w:sz="8" w:space="0"/>
            </w:tcBorders>
            <w:noWrap w:val="0"/>
            <w:vAlign w:val="center"/>
          </w:tcPr>
          <w:p w14:paraId="0E6E9C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319" w:type="pct"/>
            <w:tcBorders>
              <w:top w:val="nil"/>
              <w:left w:val="nil"/>
              <w:bottom w:val="single" w:color="auto" w:sz="8" w:space="0"/>
              <w:right w:val="single" w:color="auto" w:sz="8" w:space="0"/>
            </w:tcBorders>
            <w:noWrap w:val="0"/>
            <w:vAlign w:val="center"/>
          </w:tcPr>
          <w:p w14:paraId="4CB91F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p>
        </w:tc>
        <w:tc>
          <w:tcPr>
            <w:tcW w:w="326" w:type="pct"/>
            <w:tcBorders>
              <w:top w:val="nil"/>
              <w:left w:val="nil"/>
              <w:bottom w:val="single" w:color="auto" w:sz="8" w:space="0"/>
              <w:right w:val="single" w:color="auto" w:sz="8" w:space="0"/>
            </w:tcBorders>
            <w:noWrap w:val="0"/>
            <w:vAlign w:val="center"/>
          </w:tcPr>
          <w:p w14:paraId="3A57A9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100</w:t>
            </w:r>
          </w:p>
        </w:tc>
      </w:tr>
    </w:tbl>
    <w:p w14:paraId="181A751E">
      <w:pPr>
        <w:pStyle w:val="7"/>
        <w:ind w:left="0" w:leftChars="0" w:firstLine="0" w:firstLineChars="0"/>
        <w:jc w:val="both"/>
        <w:rPr>
          <w:rFonts w:hint="eastAsia" w:ascii="宋体" w:hAnsi="宋体" w:eastAsia="宋体" w:cs="宋体"/>
          <w:color w:val="auto"/>
          <w:sz w:val="24"/>
          <w:szCs w:val="24"/>
          <w:lang w:val="en-US" w:eastAsia="zh-CN"/>
        </w:rPr>
      </w:pPr>
    </w:p>
    <w:p w14:paraId="0DCE1A1C">
      <w:pPr>
        <w:pStyle w:val="7"/>
        <w:ind w:left="0" w:leftChars="0" w:firstLine="0" w:firstLineChars="0"/>
        <w:jc w:val="both"/>
        <w:rPr>
          <w:rFonts w:hint="eastAsia" w:ascii="宋体" w:hAnsi="宋体" w:eastAsia="宋体" w:cs="宋体"/>
          <w:color w:val="auto"/>
          <w:sz w:val="24"/>
          <w:szCs w:val="24"/>
          <w:lang w:val="en-US" w:eastAsia="zh-CN"/>
        </w:rPr>
      </w:pPr>
    </w:p>
    <w:p w14:paraId="0CF74EBD">
      <w:pPr>
        <w:pStyle w:val="7"/>
        <w:ind w:left="0" w:leftChars="0" w:firstLine="0" w:firstLineChars="0"/>
        <w:jc w:val="both"/>
        <w:rPr>
          <w:rFonts w:hint="eastAsia" w:ascii="宋体" w:hAnsi="宋体" w:eastAsia="宋体" w:cs="宋体"/>
          <w:color w:val="auto"/>
          <w:sz w:val="24"/>
          <w:szCs w:val="24"/>
          <w:lang w:val="en-US" w:eastAsia="zh-CN"/>
        </w:rPr>
      </w:pPr>
    </w:p>
    <w:p w14:paraId="3BAD4411">
      <w:pPr>
        <w:pStyle w:val="7"/>
        <w:ind w:left="0" w:leftChars="0" w:firstLine="0" w:firstLineChars="0"/>
        <w:jc w:val="both"/>
        <w:rPr>
          <w:rFonts w:hint="eastAsia" w:ascii="宋体" w:hAnsi="宋体" w:eastAsia="宋体" w:cs="宋体"/>
          <w:color w:val="auto"/>
          <w:sz w:val="24"/>
          <w:szCs w:val="24"/>
          <w:lang w:val="en-US" w:eastAsia="zh-CN"/>
        </w:rPr>
      </w:pPr>
    </w:p>
    <w:p w14:paraId="2CCE14C9">
      <w:pPr>
        <w:pStyle w:val="7"/>
        <w:ind w:left="0" w:leftChars="0" w:firstLine="0" w:firstLineChars="0"/>
        <w:jc w:val="both"/>
        <w:rPr>
          <w:rFonts w:hint="eastAsia" w:ascii="宋体" w:hAnsi="宋体" w:eastAsia="宋体" w:cs="宋体"/>
          <w:color w:val="auto"/>
          <w:sz w:val="24"/>
          <w:szCs w:val="24"/>
          <w:lang w:val="en-US" w:eastAsia="zh-CN"/>
        </w:rPr>
      </w:pPr>
    </w:p>
    <w:p w14:paraId="5EBDD3BD">
      <w:pPr>
        <w:pStyle w:val="7"/>
        <w:ind w:left="0" w:leftChars="0" w:firstLine="0" w:firstLineChars="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10"/>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2694"/>
        <w:gridCol w:w="2086"/>
      </w:tblGrid>
      <w:tr w14:paraId="11CB9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2F8D8215">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洛浦县2024年农业生产社会化服务项目综合得分表</w:t>
            </w:r>
          </w:p>
        </w:tc>
      </w:tr>
      <w:tr w14:paraId="7A0D2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DD1DD1B">
            <w:pPr>
              <w:keepNext w:val="0"/>
              <w:keepLines w:val="0"/>
              <w:pageBreakBefore w:val="0"/>
              <w:widowControl/>
              <w:suppressLineNumbers w:val="0"/>
              <w:kinsoku/>
              <w:wordWrap/>
              <w:overflowPunct/>
              <w:topLinePunct w:val="0"/>
              <w:autoSpaceDE/>
              <w:autoSpaceDN/>
              <w:bidi w:val="0"/>
              <w:adjustRightInd/>
              <w:snapToGrid/>
              <w:spacing w:line="48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8A8FBBF">
            <w:pPr>
              <w:keepNext w:val="0"/>
              <w:keepLines w:val="0"/>
              <w:pageBreakBefore w:val="0"/>
              <w:widowControl/>
              <w:suppressLineNumbers w:val="0"/>
              <w:kinsoku/>
              <w:wordWrap/>
              <w:overflowPunct/>
              <w:topLinePunct w:val="0"/>
              <w:autoSpaceDE/>
              <w:autoSpaceDN/>
              <w:bidi w:val="0"/>
              <w:adjustRightInd/>
              <w:snapToGrid/>
              <w:spacing w:line="48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E8BAAA0">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559C2E0">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269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A2E9F37">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20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FA0A6BE">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76803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0B4A84D">
            <w:pPr>
              <w:keepNext w:val="0"/>
              <w:keepLines w:val="0"/>
              <w:pageBreakBefore w:val="0"/>
              <w:widowControl/>
              <w:suppressLineNumbers w:val="0"/>
              <w:kinsoku/>
              <w:wordWrap/>
              <w:overflowPunct/>
              <w:topLinePunct w:val="0"/>
              <w:autoSpaceDE/>
              <w:autoSpaceDN/>
              <w:bidi w:val="0"/>
              <w:adjustRightInd/>
              <w:snapToGrid/>
              <w:spacing w:line="48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9A933CF">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B426FBC">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023A4732">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2694" w:type="dxa"/>
            <w:tcBorders>
              <w:top w:val="single" w:color="auto" w:sz="4" w:space="0"/>
              <w:left w:val="single" w:color="auto" w:sz="4" w:space="0"/>
              <w:bottom w:val="single" w:color="auto" w:sz="4" w:space="0"/>
              <w:right w:val="single" w:color="auto" w:sz="4" w:space="0"/>
            </w:tcBorders>
            <w:noWrap w:val="0"/>
            <w:vAlign w:val="center"/>
          </w:tcPr>
          <w:p w14:paraId="2CEE9AE0">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2086" w:type="dxa"/>
            <w:tcBorders>
              <w:top w:val="single" w:color="auto" w:sz="4" w:space="0"/>
              <w:left w:val="single" w:color="auto" w:sz="4" w:space="0"/>
              <w:bottom w:val="single" w:color="auto" w:sz="4" w:space="0"/>
              <w:right w:val="single" w:color="auto" w:sz="4" w:space="0"/>
            </w:tcBorders>
            <w:noWrap w:val="0"/>
            <w:vAlign w:val="center"/>
          </w:tcPr>
          <w:p w14:paraId="6D842AF1">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166FE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F1E504D">
            <w:pPr>
              <w:keepNext w:val="0"/>
              <w:keepLines w:val="0"/>
              <w:pageBreakBefore w:val="0"/>
              <w:widowControl/>
              <w:suppressLineNumbers w:val="0"/>
              <w:kinsoku/>
              <w:wordWrap/>
              <w:overflowPunct/>
              <w:topLinePunct w:val="0"/>
              <w:autoSpaceDE/>
              <w:autoSpaceDN/>
              <w:bidi w:val="0"/>
              <w:adjustRightInd/>
              <w:snapToGrid/>
              <w:spacing w:line="48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9B25F5C">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30CF1A5">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8D9C66A">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40</w:t>
            </w:r>
          </w:p>
        </w:tc>
        <w:tc>
          <w:tcPr>
            <w:tcW w:w="269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2BBABFA">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2086" w:type="dxa"/>
            <w:tcBorders>
              <w:top w:val="single" w:color="auto" w:sz="4" w:space="0"/>
              <w:left w:val="single" w:color="auto" w:sz="4" w:space="0"/>
              <w:bottom w:val="single" w:color="auto" w:sz="4" w:space="0"/>
              <w:right w:val="single" w:color="auto" w:sz="4" w:space="0"/>
            </w:tcBorders>
            <w:noWrap w:val="0"/>
            <w:vAlign w:val="center"/>
          </w:tcPr>
          <w:p w14:paraId="7B1E9B17">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100</w:t>
            </w:r>
          </w:p>
        </w:tc>
      </w:tr>
      <w:tr w14:paraId="5C5D7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50B0338">
            <w:pPr>
              <w:keepNext w:val="0"/>
              <w:keepLines w:val="0"/>
              <w:pageBreakBefore w:val="0"/>
              <w:widowControl/>
              <w:suppressLineNumbers w:val="0"/>
              <w:kinsoku/>
              <w:wordWrap/>
              <w:overflowPunct/>
              <w:topLinePunct w:val="0"/>
              <w:autoSpaceDE/>
              <w:autoSpaceDN/>
              <w:bidi w:val="0"/>
              <w:adjustRightInd/>
              <w:snapToGrid/>
              <w:spacing w:line="48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43EB445">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3A2C072">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8AA5453">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694" w:type="dxa"/>
            <w:tcBorders>
              <w:top w:val="single" w:color="auto" w:sz="4" w:space="0"/>
              <w:left w:val="single" w:color="auto" w:sz="4" w:space="0"/>
              <w:bottom w:val="single" w:color="auto" w:sz="4" w:space="0"/>
              <w:right w:val="single" w:color="auto" w:sz="4" w:space="0"/>
            </w:tcBorders>
            <w:noWrap w:val="0"/>
            <w:vAlign w:val="center"/>
          </w:tcPr>
          <w:p w14:paraId="20057B0C">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086" w:type="dxa"/>
            <w:tcBorders>
              <w:top w:val="single" w:color="auto" w:sz="4" w:space="0"/>
              <w:left w:val="single" w:color="auto" w:sz="4" w:space="0"/>
              <w:bottom w:val="single" w:color="auto" w:sz="4" w:space="0"/>
              <w:right w:val="single" w:color="auto" w:sz="4" w:space="0"/>
            </w:tcBorders>
            <w:noWrap w:val="0"/>
            <w:vAlign w:val="center"/>
          </w:tcPr>
          <w:p w14:paraId="79B2326E">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r>
    </w:tbl>
    <w:p w14:paraId="40F6A718">
      <w:pPr>
        <w:pStyle w:val="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auto"/>
          <w:sz w:val="24"/>
          <w:szCs w:val="24"/>
          <w:highlight w:val="none"/>
          <w:lang w:val="en-US" w:eastAsia="zh-CN"/>
        </w:rPr>
        <w:sectPr>
          <w:pgSz w:w="16838" w:h="11906" w:orient="landscape"/>
          <w:pgMar w:top="1531" w:right="1985" w:bottom="1531" w:left="1701" w:header="851" w:footer="992" w:gutter="0"/>
          <w:pgNumType w:fmt="decimal"/>
          <w:cols w:space="720" w:num="1"/>
          <w:docGrid w:type="linesAndChars" w:linePitch="386" w:charSpace="0"/>
        </w:sectPr>
      </w:pPr>
    </w:p>
    <w:p w14:paraId="5540F8BE">
      <w:pPr>
        <w:pStyle w:val="7"/>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附件3：</w:t>
      </w:r>
    </w:p>
    <w:p w14:paraId="342358B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2024年农业生产社会化服务项满意度</w:t>
      </w:r>
      <w:r>
        <w:rPr>
          <w:rFonts w:hint="eastAsia" w:ascii="宋体" w:hAnsi="宋体" w:eastAsia="宋体" w:cs="宋体"/>
          <w:b/>
          <w:bCs/>
          <w:color w:val="auto"/>
          <w:sz w:val="24"/>
          <w:szCs w:val="24"/>
          <w:highlight w:val="none"/>
        </w:rPr>
        <w:t>调查问卷</w:t>
      </w:r>
      <w:r>
        <w:rPr>
          <w:rFonts w:hint="eastAsia" w:ascii="宋体" w:hAnsi="宋体" w:eastAsia="宋体" w:cs="宋体"/>
          <w:b/>
          <w:bCs/>
          <w:color w:val="auto"/>
          <w:sz w:val="24"/>
          <w:szCs w:val="24"/>
          <w:highlight w:val="none"/>
          <w:lang w:val="en-US" w:eastAsia="zh-CN"/>
        </w:rPr>
        <w:t>分析报告</w:t>
      </w:r>
    </w:p>
    <w:p w14:paraId="2DFF567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4929FC4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该问卷调查从202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22</w:t>
      </w:r>
      <w:r>
        <w:rPr>
          <w:rFonts w:hint="eastAsia" w:ascii="宋体" w:hAnsi="宋体" w:eastAsia="宋体" w:cs="宋体"/>
          <w:b/>
          <w:bCs/>
          <w:color w:val="auto"/>
          <w:sz w:val="24"/>
          <w:szCs w:val="24"/>
          <w:highlight w:val="none"/>
        </w:rPr>
        <w:t>日开始至202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日结束，调查问卷共设置</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道题目。</w:t>
      </w:r>
    </w:p>
    <w:p w14:paraId="4D323CB0">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764CAA43">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color w:val="auto"/>
          <w:sz w:val="24"/>
          <w:szCs w:val="24"/>
          <w:highlight w:val="none"/>
        </w:rPr>
        <w:t>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的受益对象为</w:t>
      </w:r>
      <w:r>
        <w:rPr>
          <w:rFonts w:hint="eastAsia" w:ascii="宋体" w:hAnsi="宋体" w:eastAsia="宋体" w:cs="宋体"/>
          <w:color w:val="auto"/>
          <w:sz w:val="24"/>
          <w:szCs w:val="24"/>
          <w:highlight w:val="none"/>
          <w:lang w:val="en-US" w:eastAsia="zh-CN"/>
        </w:rPr>
        <w:t>受益群众满意度</w:t>
      </w:r>
      <w:r>
        <w:rPr>
          <w:rFonts w:hint="eastAsia" w:ascii="宋体" w:hAnsi="宋体" w:eastAsia="宋体" w:cs="宋体"/>
          <w:color w:val="auto"/>
          <w:sz w:val="24"/>
          <w:szCs w:val="24"/>
          <w:highlight w:val="none"/>
        </w:rPr>
        <w:t>。</w:t>
      </w:r>
    </w:p>
    <w:p w14:paraId="2B71D96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olor w:val="auto"/>
          <w:sz w:val="24"/>
          <w:szCs w:val="24"/>
          <w:highlight w:val="none"/>
        </w:rPr>
        <w:t>2.</w:t>
      </w:r>
      <w:r>
        <w:rPr>
          <w:rFonts w:hint="eastAsia" w:ascii="宋体" w:hAnsi="宋体" w:eastAsia="宋体" w:cs="宋体"/>
          <w:b/>
          <w:bCs/>
          <w:i w:val="0"/>
          <w:iCs w:val="0"/>
          <w:color w:val="auto"/>
          <w:sz w:val="24"/>
          <w:szCs w:val="24"/>
          <w:highlight w:val="none"/>
          <w:lang w:eastAsia="zh-CN"/>
        </w:rPr>
        <w:t>调查</w:t>
      </w:r>
      <w:r>
        <w:rPr>
          <w:rFonts w:hint="eastAsia" w:ascii="宋体" w:hAnsi="宋体" w:eastAsia="宋体" w:cs="宋体"/>
          <w:b/>
          <w:bCs/>
          <w:i w:val="0"/>
          <w:iCs w:val="0"/>
          <w:color w:val="auto"/>
          <w:sz w:val="24"/>
          <w:szCs w:val="24"/>
          <w:highlight w:val="none"/>
        </w:rPr>
        <w:t>内容</w:t>
      </w:r>
    </w:p>
    <w:p w14:paraId="4F19BBD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①您对2024年农业生产社会化服务项的服务满意程度?</w:t>
      </w:r>
    </w:p>
    <w:p w14:paraId="4CD621C2">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非常满意   基本满意    满意     不满意  </w:t>
      </w:r>
    </w:p>
    <w:p w14:paraId="3B565AE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②您对2024年农业生产社会化服务项的扶持合作社标准化补助工作保障如何？</w:t>
      </w:r>
    </w:p>
    <w:p w14:paraId="4339E49B">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有效保障      基本保障    不能保证</w:t>
      </w:r>
    </w:p>
    <w:p w14:paraId="24A0BBF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③总的来说，您对目前2024年农业生产社会化服务项实施后的整体满意程度如何？</w:t>
      </w:r>
    </w:p>
    <w:p w14:paraId="1F0390E4">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非常满意   基本满意    满意     不满意  </w:t>
      </w:r>
    </w:p>
    <w:p w14:paraId="06F30926">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方法</w:t>
      </w:r>
    </w:p>
    <w:p w14:paraId="705E65E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分层</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随机抽样相结合</w:t>
      </w:r>
      <w:r>
        <w:rPr>
          <w:rFonts w:hint="eastAsia" w:ascii="宋体" w:hAnsi="宋体" w:eastAsia="宋体" w:cs="宋体"/>
          <w:color w:val="auto"/>
          <w:sz w:val="24"/>
          <w:szCs w:val="24"/>
          <w:highlight w:val="none"/>
        </w:rPr>
        <w:t>的方式进行。在全面</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开展之前会先进行论证，依据论证结果对问卷和抽样方案再进行一次修改和调整</w:t>
      </w:r>
      <w:r>
        <w:rPr>
          <w:rFonts w:hint="eastAsia" w:ascii="宋体" w:hAnsi="宋体" w:eastAsia="宋体" w:cs="宋体"/>
          <w:color w:val="auto"/>
          <w:sz w:val="24"/>
          <w:szCs w:val="24"/>
          <w:highlight w:val="none"/>
          <w:lang w:val="en-US" w:eastAsia="zh-CN"/>
        </w:rPr>
        <w:t>之后再付诸实施</w:t>
      </w:r>
      <w:r>
        <w:rPr>
          <w:rFonts w:hint="eastAsia" w:ascii="宋体" w:hAnsi="宋体" w:eastAsia="宋体" w:cs="宋体"/>
          <w:color w:val="auto"/>
          <w:sz w:val="24"/>
          <w:szCs w:val="24"/>
          <w:highlight w:val="none"/>
        </w:rPr>
        <w:t>。</w:t>
      </w:r>
    </w:p>
    <w:p w14:paraId="1D17EA96">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抽样方式</w:t>
      </w:r>
    </w:p>
    <w:p w14:paraId="0EF7328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为确保问卷</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的全面性和代表性，本次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随机</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分层抽样相结合</w:t>
      </w:r>
      <w:r>
        <w:rPr>
          <w:rFonts w:hint="eastAsia" w:ascii="宋体" w:hAnsi="宋体" w:eastAsia="宋体" w:cs="宋体"/>
          <w:color w:val="auto"/>
          <w:sz w:val="24"/>
          <w:szCs w:val="24"/>
          <w:highlight w:val="none"/>
        </w:rPr>
        <w:t>方式进行。</w:t>
      </w:r>
    </w:p>
    <w:p w14:paraId="361CD51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5.问卷的发放和回收</w:t>
      </w:r>
    </w:p>
    <w:p w14:paraId="44B5E1E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0CBD7A67">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742B0E5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本次调查过程中，评价小组实际发放问卷30份，回收问卷30份，问卷回收率为100.00%，有效问卷30份，有效回收率100.00%，本次调查的整体情况如下：</w:t>
      </w:r>
    </w:p>
    <w:p w14:paraId="64D7E2B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第一个问题：该项统计有效问卷数量30份，选择非常满意的人数为x人。选择比较满意的人数为0人，选择一般的人数0人，选择不满意的人数0人，选择非常不满意的人数0人。</w:t>
      </w:r>
    </w:p>
    <w:p w14:paraId="7C4D1C6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第二个问题：该项统计有效问卷数量30份，选择非常满意的人数为x人。选择比较满意的人数为0人，选择一般的人数0人，选择不满意的人数0人，选择非常不满意的人数0人。</w:t>
      </w:r>
    </w:p>
    <w:p w14:paraId="18BA207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第三个问题：该项统计有效问卷数量30份，选择非常满意的人数为x人。选择比较满意的人数为0人，选择一般的人数0人，选择不满意的人数0人，选择非常不满意的人数0人。</w:t>
      </w:r>
    </w:p>
    <w:p w14:paraId="60AEED0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2024年农业生产社会化服务项针对受益人员发放30份调查问卷，最终统计受益人群满意度为100%。</w:t>
      </w:r>
    </w:p>
    <w:p w14:paraId="43BC320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p>
    <w:p w14:paraId="65E0BD6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洛浦县农村合作经济发展中心</w:t>
      </w:r>
    </w:p>
    <w:p w14:paraId="7965C0A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2025年3月5日</w:t>
      </w:r>
    </w:p>
    <w:p w14:paraId="1CB768C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宋体" w:hAnsi="宋体" w:eastAsia="宋体" w:cs="宋体"/>
          <w:color w:val="auto"/>
          <w:sz w:val="24"/>
          <w:szCs w:val="24"/>
          <w:highlight w:val="none"/>
        </w:rPr>
      </w:pPr>
    </w:p>
    <w:p w14:paraId="3547572B">
      <w:pPr>
        <w:pStyle w:val="7"/>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p>
    <w:p w14:paraId="4199EE0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 xml:space="preserve">     </w:t>
      </w:r>
    </w:p>
    <w:sectPr>
      <w:pgSz w:w="11906" w:h="16838"/>
      <w:pgMar w:top="1985" w:right="1531" w:bottom="1701" w:left="1531" w:header="851" w:footer="992" w:gutter="0"/>
      <w:pgNumType w:fmt="decimal"/>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4CC7FA2-2BCD-4F9A-BAE7-A65533A31AD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script"/>
    <w:pitch w:val="default"/>
    <w:sig w:usb0="00000001" w:usb1="080E0000" w:usb2="00000000" w:usb3="00000000" w:csb0="00040000" w:csb1="00000000"/>
    <w:embedRegular r:id="rId2" w:fontKey="{39562346-3778-402C-8143-8E95675BC2FB}"/>
  </w:font>
  <w:font w:name="新宋体">
    <w:panose1 w:val="02010609030101010101"/>
    <w:charset w:val="86"/>
    <w:family w:val="auto"/>
    <w:pitch w:val="default"/>
    <w:sig w:usb0="00000003" w:usb1="288F0000" w:usb2="00000006" w:usb3="00000000" w:csb0="00040001" w:csb1="00000000"/>
    <w:embedRegular r:id="rId3" w:fontKey="{A7E09CC1-8EBA-47AE-8A6F-2D8FFB2EAD6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9A9B9">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3640E">
    <w:pPr>
      <w:pStyle w:val="8"/>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DE6F98">
                          <w:pPr>
                            <w:pStyle w:val="8"/>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29</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BDE6F98">
                    <w:pPr>
                      <w:pStyle w:val="8"/>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29</w:t>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2B41E">
    <w:pPr>
      <w:pStyle w:val="9"/>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lvl>
  </w:abstractNum>
  <w:abstractNum w:abstractNumId="1">
    <w:nsid w:val="0053208E"/>
    <w:multiLevelType w:val="multilevel"/>
    <w:tmpl w:val="0053208E"/>
    <w:lvl w:ilvl="0" w:tentative="0">
      <w:start w:val="1"/>
      <w:numFmt w:val="chineseCountingThousand"/>
      <w:pStyle w:val="21"/>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ADCABA"/>
    <w:multiLevelType w:val="singleLevel"/>
    <w:tmpl w:val="59ADCABA"/>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8E00EE"/>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0"/>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19"/>
    <w:qFormat/>
    <w:uiPriority w:val="9"/>
    <w:pPr>
      <w:keepNext/>
      <w:keepLines/>
      <w:spacing w:before="260" w:after="260" w:line="416" w:lineRule="auto"/>
      <w:jc w:val="left"/>
      <w:outlineLvl w:val="2"/>
    </w:pPr>
    <w:rPr>
      <w:rFonts w:cs="Times New Roman"/>
      <w:bCs/>
      <w:kern w:val="0"/>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unhideWhenUsed/>
    <w:qFormat/>
    <w:uiPriority w:val="99"/>
    <w:pPr>
      <w:spacing w:after="120"/>
      <w:ind w:left="420" w:leftChars="200"/>
    </w:pPr>
    <w:rPr>
      <w:rFonts w:cs="Times New Roman"/>
      <w:kern w:val="0"/>
      <w:szCs w:val="20"/>
    </w:rPr>
  </w:style>
  <w:style w:type="paragraph" w:styleId="7">
    <w:name w:val="Body Text"/>
    <w:basedOn w:val="1"/>
    <w:qFormat/>
    <w:uiPriority w:val="0"/>
    <w:pPr>
      <w:spacing w:before="240" w:after="240" w:line="360" w:lineRule="auto"/>
      <w:jc w:val="center"/>
    </w:pPr>
    <w:rPr>
      <w:b/>
      <w:sz w:val="44"/>
    </w:rPr>
  </w:style>
  <w:style w:type="paragraph" w:styleId="8">
    <w:name w:val="footer"/>
    <w:basedOn w:val="1"/>
    <w:next w:val="1"/>
    <w:unhideWhenUsed/>
    <w:qFormat/>
    <w:uiPriority w:val="99"/>
    <w:pPr>
      <w:tabs>
        <w:tab w:val="center" w:pos="4153"/>
        <w:tab w:val="right" w:pos="8306"/>
      </w:tabs>
      <w:snapToGrid w:val="0"/>
      <w:jc w:val="left"/>
    </w:pPr>
    <w:rPr>
      <w:rFonts w:cs="Times New Roman"/>
      <w:kern w:val="0"/>
      <w:sz w:val="18"/>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table" w:styleId="11">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basedOn w:val="12"/>
    <w:qFormat/>
    <w:uiPriority w:val="0"/>
    <w:rPr>
      <w:b/>
      <w:bCs/>
    </w:rPr>
  </w:style>
  <w:style w:type="paragraph" w:customStyle="1" w:styleId="14">
    <w:name w:val="正文-公1"/>
    <w:next w:val="8"/>
    <w:qFormat/>
    <w:uiPriority w:val="0"/>
    <w:pPr>
      <w:widowControl w:val="0"/>
      <w:ind w:firstLine="200" w:firstLineChars="200"/>
      <w:jc w:val="both"/>
    </w:pPr>
    <w:rPr>
      <w:rFonts w:ascii="Calibri" w:hAnsi="Calibri" w:eastAsia="宋体" w:cs="黑体"/>
      <w:color w:val="000000"/>
      <w:kern w:val="2"/>
      <w:sz w:val="21"/>
      <w:szCs w:val="22"/>
      <w:lang w:val="en-US" w:eastAsia="zh-CN" w:bidi="ar-SA"/>
    </w:rPr>
  </w:style>
  <w:style w:type="paragraph" w:customStyle="1" w:styleId="15">
    <w:name w:val="闻政-正文二级标题"/>
    <w:basedOn w:val="5"/>
    <w:next w:val="16"/>
    <w:qFormat/>
    <w:uiPriority w:val="3"/>
    <w:pPr>
      <w:spacing w:before="120" w:after="60" w:line="500" w:lineRule="exact"/>
      <w:ind w:left="200" w:leftChars="200" w:firstLine="0" w:firstLineChars="0"/>
    </w:pPr>
    <w:rPr>
      <w:rFonts w:ascii="Times New Roman" w:hAnsi="Times New Roman"/>
      <w:sz w:val="28"/>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Char"/>
    <w:basedOn w:val="1"/>
    <w:qFormat/>
    <w:uiPriority w:val="0"/>
    <w:rPr>
      <w:rFonts w:ascii="仿宋_GB2312" w:eastAsia="仿宋_GB2312" w:cs="黑体"/>
      <w:b/>
      <w:sz w:val="32"/>
      <w:szCs w:val="32"/>
    </w:rPr>
  </w:style>
  <w:style w:type="character" w:customStyle="1" w:styleId="18">
    <w:name w:val="font71"/>
    <w:basedOn w:val="12"/>
    <w:qFormat/>
    <w:uiPriority w:val="0"/>
    <w:rPr>
      <w:rFonts w:hint="eastAsia" w:ascii="微软雅黑" w:hAnsi="微软雅黑" w:eastAsia="微软雅黑" w:cs="微软雅黑"/>
      <w:b/>
      <w:bCs/>
      <w:color w:val="000000"/>
      <w:sz w:val="32"/>
      <w:szCs w:val="32"/>
      <w:u w:val="none"/>
    </w:rPr>
  </w:style>
  <w:style w:type="character" w:customStyle="1" w:styleId="19">
    <w:name w:val="标题 3 Char"/>
    <w:link w:val="6"/>
    <w:qFormat/>
    <w:uiPriority w:val="0"/>
    <w:rPr>
      <w:rFonts w:cs="Times New Roman"/>
      <w:bCs/>
      <w:kern w:val="0"/>
      <w:szCs w:val="32"/>
    </w:rPr>
  </w:style>
  <w:style w:type="character" w:customStyle="1" w:styleId="20">
    <w:name w:val="NormalCharacter"/>
    <w:link w:val="1"/>
    <w:qFormat/>
    <w:uiPriority w:val="0"/>
    <w:rPr>
      <w:rFonts w:ascii="Times New Roman" w:hAnsi="Times New Roman" w:eastAsia="仿宋_GB2312" w:cs="黑体"/>
      <w:kern w:val="2"/>
      <w:sz w:val="28"/>
      <w:szCs w:val="22"/>
      <w:lang w:val="en-US" w:eastAsia="zh-CN" w:bidi="ar-SA"/>
    </w:rPr>
  </w:style>
  <w:style w:type="paragraph" w:customStyle="1" w:styleId="21">
    <w:name w:val="标题2"/>
    <w:basedOn w:val="5"/>
    <w:qFormat/>
    <w:uiPriority w:val="0"/>
    <w:pPr>
      <w:numPr>
        <w:ilvl w:val="0"/>
        <w:numId w:val="1"/>
      </w:numPr>
      <w:spacing w:before="120" w:after="120" w:line="500" w:lineRule="exact"/>
    </w:pPr>
    <w:rPr>
      <w:rFonts w:ascii="仿宋_GB2312" w:eastAsia="仿宋_GB2312" w:cs="Times New Roman"/>
    </w:rPr>
  </w:style>
  <w:style w:type="character" w:customStyle="1" w:styleId="22">
    <w:name w:val="font61"/>
    <w:basedOn w:val="12"/>
    <w:qFormat/>
    <w:uiPriority w:val="0"/>
    <w:rPr>
      <w:rFonts w:hint="eastAsia" w:ascii="微软雅黑" w:hAnsi="微软雅黑" w:eastAsia="微软雅黑" w:cs="微软雅黑"/>
      <w:b/>
      <w:bCs/>
      <w:color w:val="000000"/>
      <w:sz w:val="20"/>
      <w:szCs w:val="20"/>
      <w:u w:val="none"/>
    </w:rPr>
  </w:style>
  <w:style w:type="paragraph" w:customStyle="1" w:styleId="23">
    <w:name w:val="样式1"/>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746088CA87D2482A96BC639E82C6E06D_13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507428-185a-426c-8dad-dfff89c3ed1d}">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13292</Words>
  <Characters>14159</Characters>
  <Lines>0</Lines>
  <Paragraphs>0</Paragraphs>
  <TotalTime>2</TotalTime>
  <ScaleCrop>false</ScaleCrop>
  <LinksUpToDate>false</LinksUpToDate>
  <CharactersWithSpaces>14174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2025-03-26T04:14:00Z</dcterms:created>
  <dc:creator>Administrator</dc:creator>
  <cp:lastModifiedBy>Administrator</cp:lastModifiedBy>
  <cp:lastPrinted>2025-05-21T05:02:00Z</cp:lastPrinted>
  <dcterms:modified xsi:type="dcterms:W3CDTF">2025-10-10T08:48:24Z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746088CA87D2482A96BC639E82C6E06D_13</vt:lpwstr>
  </property>
  <property fmtid="{D5CDD505-2E9C-101B-9397-08002B2CF9AE}" pid="4" name="KSOTemplateDocerSaveRecord">
    <vt:lpwstr>eyJoZGlkIjoiZDE5MGZhMTJhZDM2OTQwYzkzYWVjM2FhZDUxN2Q0M2IiLCJ1c2VySWQiOiI2NTE5NDIwMjYifQ_x003D__x003D_</vt:lpwstr>
  </property>
</Properties>
</file>