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9083A">
      <w:bookmarkStart w:id="22" w:name="_GoBack"/>
      <w:bookmarkEnd w:id="22"/>
    </w:p>
    <w:p w14:paraId="60DCE874">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5488074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000000"/>
          <w:sz w:val="36"/>
          <w:szCs w:val="36"/>
          <w:lang w:val="en-US" w:eastAsia="zh-CN"/>
        </w:rPr>
      </w:pPr>
      <w:r>
        <w:rPr>
          <w:rFonts w:hint="eastAsia" w:ascii="黑体" w:hAnsi="黑体" w:eastAsia="黑体" w:cs="黑体"/>
          <w:b/>
          <w:sz w:val="36"/>
          <w:szCs w:val="36"/>
          <w:lang w:val="en-US" w:eastAsia="zh-CN"/>
        </w:rPr>
        <w:t>和田地区洛浦县2024年农机购置</w:t>
      </w:r>
      <w:r>
        <w:rPr>
          <w:rFonts w:hint="eastAsia" w:ascii="黑体" w:hAnsi="黑体" w:eastAsia="黑体" w:cs="黑体"/>
          <w:b/>
          <w:color w:val="000000"/>
          <w:sz w:val="36"/>
          <w:szCs w:val="36"/>
          <w:lang w:val="en-US" w:eastAsia="zh-CN"/>
        </w:rPr>
        <w:t>应用补贴</w:t>
      </w:r>
    </w:p>
    <w:p w14:paraId="42F5DA3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000000"/>
        </w:rPr>
      </w:pPr>
      <w:r>
        <w:rPr>
          <w:rFonts w:hint="eastAsia" w:ascii="黑体" w:hAnsi="黑体" w:eastAsia="黑体" w:cs="黑体"/>
          <w:b/>
          <w:color w:val="000000"/>
          <w:sz w:val="36"/>
          <w:szCs w:val="36"/>
        </w:rPr>
        <w:t>项目支出绩效评价报告</w:t>
      </w:r>
    </w:p>
    <w:p w14:paraId="559EA143">
      <w:pPr>
        <w:pStyle w:val="2"/>
        <w:jc w:val="center"/>
        <w:rPr>
          <w:rFonts w:hint="eastAsia" w:eastAsia="仿宋_GB2312"/>
          <w:lang w:eastAsia="zh-CN"/>
        </w:rPr>
      </w:pPr>
      <w:r>
        <w:rPr>
          <w:rFonts w:hint="eastAsia"/>
          <w:lang w:eastAsia="zh-CN"/>
        </w:rPr>
        <w:t>（</w:t>
      </w:r>
      <w:r>
        <w:rPr>
          <w:rFonts w:hint="eastAsia"/>
          <w:lang w:val="en-US" w:eastAsia="zh-CN"/>
        </w:rPr>
        <w:t>2024年度</w:t>
      </w:r>
      <w:r>
        <w:rPr>
          <w:rFonts w:hint="eastAsia"/>
          <w:lang w:eastAsia="zh-CN"/>
        </w:rPr>
        <w:t>）</w:t>
      </w:r>
    </w:p>
    <w:p w14:paraId="4CA064B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0515CB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285E3250">
      <w:pPr>
        <w:pStyle w:val="2"/>
        <w:rPr>
          <w:rFonts w:hint="eastAsia" w:eastAsia="方正仿宋_GBK" w:cs="方正仿宋_GBK"/>
          <w:b/>
          <w:kern w:val="0"/>
          <w:sz w:val="32"/>
          <w:szCs w:val="32"/>
          <w:lang w:bidi="en-US"/>
        </w:rPr>
      </w:pPr>
    </w:p>
    <w:p w14:paraId="51E7F71F">
      <w:pPr>
        <w:rPr>
          <w:rFonts w:hint="eastAsia" w:eastAsia="方正仿宋_GBK" w:cs="方正仿宋_GBK"/>
          <w:b/>
          <w:kern w:val="0"/>
          <w:sz w:val="32"/>
          <w:szCs w:val="32"/>
          <w:lang w:bidi="en-US"/>
        </w:rPr>
      </w:pPr>
    </w:p>
    <w:p w14:paraId="5D747BB7">
      <w:pPr>
        <w:pStyle w:val="2"/>
        <w:rPr>
          <w:rFonts w:hint="eastAsia"/>
        </w:rPr>
      </w:pPr>
    </w:p>
    <w:p w14:paraId="5FCECDBB">
      <w:pPr>
        <w:pStyle w:val="2"/>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2F96F885">
      <w:pPr>
        <w:pageBreakBefore w:val="0"/>
        <w:widowControl w:val="0"/>
        <w:kinsoku/>
        <w:wordWrap/>
        <w:topLinePunct w:val="0"/>
        <w:autoSpaceDE/>
        <w:autoSpaceDN/>
        <w:bidi w:val="0"/>
        <w:spacing w:line="560" w:lineRule="exact"/>
        <w:ind w:left="0" w:leftChars="0" w:firstLine="560"/>
        <w:textAlignment w:val="auto"/>
        <w:rPr>
          <w:rFonts w:hint="eastAsia"/>
        </w:rPr>
      </w:pPr>
    </w:p>
    <w:p w14:paraId="04F79249">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E523D3B">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color w:val="000000"/>
          <w:kern w:val="0"/>
          <w:sz w:val="28"/>
          <w:szCs w:val="28"/>
          <w:lang w:val="en-US" w:eastAsia="zh-CN" w:bidi="en-US"/>
        </w:rPr>
      </w:pPr>
      <w:r>
        <w:rPr>
          <w:rFonts w:hint="eastAsia" w:ascii="宋体" w:hAnsi="宋体" w:eastAsia="宋体" w:cs="宋体"/>
          <w:kern w:val="0"/>
          <w:sz w:val="28"/>
          <w:szCs w:val="28"/>
          <w:lang w:bidi="en-US"/>
        </w:rPr>
        <w:t>项目名称：</w:t>
      </w:r>
      <w:r>
        <w:rPr>
          <w:rFonts w:hint="eastAsia" w:ascii="宋体" w:hAnsi="宋体" w:eastAsia="宋体" w:cs="宋体"/>
          <w:color w:val="000000"/>
          <w:kern w:val="0"/>
          <w:sz w:val="28"/>
          <w:szCs w:val="28"/>
          <w:lang w:val="en-US" w:eastAsia="zh-CN" w:bidi="en-US"/>
        </w:rPr>
        <w:t>2024年农机购置应用补贴</w:t>
      </w:r>
    </w:p>
    <w:p w14:paraId="7E1FAAF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000000"/>
          <w:kern w:val="0"/>
          <w:sz w:val="28"/>
          <w:szCs w:val="28"/>
          <w:lang w:eastAsia="zh-CN" w:bidi="en-US"/>
        </w:rPr>
      </w:pPr>
      <w:r>
        <w:rPr>
          <w:rFonts w:hint="eastAsia" w:ascii="宋体" w:hAnsi="宋体" w:eastAsia="宋体" w:cs="宋体"/>
          <w:color w:val="000000"/>
          <w:kern w:val="0"/>
          <w:sz w:val="28"/>
          <w:szCs w:val="28"/>
          <w:lang w:bidi="en-US"/>
        </w:rPr>
        <w:t>项目单位：</w:t>
      </w:r>
      <w:r>
        <w:rPr>
          <w:rFonts w:hint="eastAsia" w:ascii="宋体" w:hAnsi="宋体" w:eastAsia="宋体" w:cs="宋体"/>
          <w:color w:val="000000"/>
          <w:kern w:val="0"/>
          <w:sz w:val="28"/>
          <w:szCs w:val="28"/>
          <w:lang w:eastAsia="zh-CN" w:bidi="en-US"/>
        </w:rPr>
        <w:t>洛浦县农业农村机械化发展中心</w:t>
      </w:r>
    </w:p>
    <w:p w14:paraId="031B947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000000"/>
          <w:kern w:val="0"/>
          <w:sz w:val="28"/>
          <w:szCs w:val="28"/>
          <w:lang w:eastAsia="zh-CN" w:bidi="en-US"/>
        </w:rPr>
      </w:pPr>
      <w:r>
        <w:rPr>
          <w:rFonts w:hint="eastAsia" w:ascii="宋体" w:hAnsi="宋体" w:eastAsia="宋体" w:cs="宋体"/>
          <w:color w:val="000000"/>
          <w:kern w:val="0"/>
          <w:sz w:val="28"/>
          <w:szCs w:val="28"/>
          <w:lang w:bidi="en-US"/>
        </w:rPr>
        <w:t>主管部门：</w:t>
      </w:r>
      <w:r>
        <w:rPr>
          <w:rFonts w:hint="eastAsia" w:ascii="宋体" w:hAnsi="宋体" w:eastAsia="宋体" w:cs="宋体"/>
          <w:color w:val="000000"/>
          <w:kern w:val="0"/>
          <w:sz w:val="28"/>
          <w:szCs w:val="28"/>
          <w:lang w:eastAsia="zh-CN" w:bidi="en-US"/>
        </w:rPr>
        <w:t>洛浦县农业农村局</w:t>
      </w:r>
    </w:p>
    <w:p w14:paraId="3BDB4C6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王鑫</w:t>
      </w:r>
    </w:p>
    <w:p w14:paraId="196707C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2024</w:t>
      </w:r>
      <w:r>
        <w:rPr>
          <w:rFonts w:hint="eastAsia" w:ascii="宋体" w:hAnsi="宋体" w:eastAsia="宋体" w:cs="宋体"/>
          <w:kern w:val="0"/>
          <w:sz w:val="28"/>
          <w:szCs w:val="28"/>
          <w:lang w:bidi="en-US"/>
        </w:rPr>
        <w:t xml:space="preserve"> 年 </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 xml:space="preserve"> 月 </w:t>
      </w:r>
      <w:r>
        <w:rPr>
          <w:rFonts w:hint="eastAsia" w:ascii="宋体" w:hAnsi="宋体" w:eastAsia="宋体" w:cs="宋体"/>
          <w:kern w:val="0"/>
          <w:sz w:val="28"/>
          <w:szCs w:val="28"/>
          <w:lang w:val="en-US" w:eastAsia="zh-CN" w:bidi="en-US"/>
        </w:rPr>
        <w:t>1</w:t>
      </w:r>
      <w:r>
        <w:rPr>
          <w:rFonts w:hint="eastAsia" w:ascii="宋体" w:hAnsi="宋体" w:eastAsia="宋体" w:cs="宋体"/>
          <w:kern w:val="0"/>
          <w:sz w:val="28"/>
          <w:szCs w:val="28"/>
          <w:lang w:bidi="en-US"/>
        </w:rPr>
        <w:t xml:space="preserve"> 日</w:t>
      </w:r>
    </w:p>
    <w:p w14:paraId="4FF6F30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083616FE">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bookmarkStart w:id="0" w:name="_Toc68364657"/>
    </w:p>
    <w:p w14:paraId="5D1F8213">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基本情况</w:t>
      </w:r>
      <w:bookmarkEnd w:id="0"/>
    </w:p>
    <w:p w14:paraId="08DB75E5">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391C6B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71D23203">
      <w:pPr>
        <w:pageBreakBefore w:val="0"/>
        <w:kinsoku/>
        <w:wordWrap/>
        <w:topLinePunct w:val="0"/>
        <w:autoSpaceDE/>
        <w:bidi w:val="0"/>
        <w:adjustRightInd/>
        <w:snapToGrid/>
        <w:spacing w:line="360" w:lineRule="auto"/>
        <w:ind w:left="0" w:leftChars="0" w:firstLine="464" w:firstLineChars="200"/>
        <w:rPr>
          <w:rStyle w:val="26"/>
          <w:rFonts w:hint="eastAsia" w:ascii="宋体" w:hAnsi="宋体" w:eastAsia="宋体" w:cs="宋体"/>
          <w:b w:val="0"/>
          <w:bCs/>
          <w:color w:val="000000"/>
          <w:spacing w:val="-4"/>
          <w:sz w:val="24"/>
          <w:szCs w:val="24"/>
          <w:lang w:eastAsia="zh-CN"/>
        </w:rPr>
      </w:pPr>
      <w:r>
        <w:rPr>
          <w:rStyle w:val="26"/>
          <w:rFonts w:hint="eastAsia" w:ascii="宋体" w:hAnsi="宋体" w:eastAsia="宋体" w:cs="宋体"/>
          <w:b w:val="0"/>
          <w:bCs/>
          <w:color w:val="000000"/>
          <w:spacing w:val="-4"/>
          <w:sz w:val="24"/>
          <w:szCs w:val="24"/>
          <w:lang w:eastAsia="zh-CN"/>
        </w:rPr>
        <w:t>为指导规范实施农机购置补贴政策，充分发挥政策效益，推动农业机械化向全程全面高质高效转型升级，助力全面推进乡村振兴和加快农业农村现代化，根据自治区农业农村厅、财政厅《关于印发新疆维吾尔自治区2021-2023年农业机械购置补贴实施指导意见的通知》（新农机【2021】94号）文件和《新疆维吾尔自治区农业机械报废更新补贴实施方案》新农机〔2020〕151号的文件精神，洛浦县农业农村局紧紧围绕县委、县人民政府提出的农业工作总体思路开展工作，积极鼓励和支持全县广大农户使用先进、高效的农业机械，为提高全县农业机械化水平和农业综合生产能力，优化全县农机装备结构，促进农业增效、农民增收，做好了农机购置补贴工作。</w:t>
      </w:r>
    </w:p>
    <w:p w14:paraId="1841274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sz w:val="24"/>
          <w:szCs w:val="24"/>
          <w:lang w:val="en-US" w:eastAsia="zh-CN"/>
        </w:rPr>
        <w:t xml:space="preserve"> </w:t>
      </w:r>
    </w:p>
    <w:p w14:paraId="320592E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5FEB630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0D13619F">
      <w:pPr>
        <w:pageBreakBefore w:val="0"/>
        <w:kinsoku/>
        <w:wordWrap/>
        <w:topLinePunct w:val="0"/>
        <w:autoSpaceDE/>
        <w:bidi w:val="0"/>
        <w:adjustRightInd/>
        <w:snapToGrid/>
        <w:spacing w:line="360" w:lineRule="auto"/>
        <w:ind w:left="0" w:leftChars="0" w:firstLine="464" w:firstLineChars="200"/>
        <w:rPr>
          <w:rStyle w:val="26"/>
          <w:rFonts w:hint="eastAsia" w:ascii="宋体" w:hAnsi="宋体" w:eastAsia="宋体" w:cs="宋体"/>
          <w:b w:val="0"/>
          <w:bCs/>
          <w:color w:val="000000"/>
          <w:spacing w:val="-4"/>
          <w:sz w:val="24"/>
          <w:szCs w:val="24"/>
          <w:lang w:eastAsia="zh-CN"/>
        </w:rPr>
      </w:pPr>
      <w:r>
        <w:rPr>
          <w:rStyle w:val="26"/>
          <w:rFonts w:hint="eastAsia" w:ascii="宋体" w:hAnsi="宋体" w:eastAsia="宋体" w:cs="宋体"/>
          <w:b w:val="0"/>
          <w:bCs/>
          <w:color w:val="000000"/>
          <w:spacing w:val="-4"/>
          <w:sz w:val="24"/>
          <w:szCs w:val="24"/>
          <w:lang w:eastAsia="zh-CN"/>
        </w:rPr>
        <w:t>项目实施内容：为购置的新购买的</w:t>
      </w:r>
      <w:r>
        <w:rPr>
          <w:rStyle w:val="26"/>
          <w:rFonts w:hint="eastAsia" w:ascii="宋体" w:hAnsi="宋体" w:eastAsia="宋体" w:cs="宋体"/>
          <w:b w:val="0"/>
          <w:bCs/>
          <w:color w:val="000000"/>
          <w:spacing w:val="-4"/>
          <w:sz w:val="24"/>
          <w:szCs w:val="24"/>
          <w:lang w:val="en-US" w:eastAsia="zh-CN"/>
        </w:rPr>
        <w:t>139</w:t>
      </w:r>
      <w:r>
        <w:rPr>
          <w:rStyle w:val="26"/>
          <w:rFonts w:hint="eastAsia" w:ascii="宋体" w:hAnsi="宋体" w:eastAsia="宋体" w:cs="宋体"/>
          <w:b w:val="0"/>
          <w:bCs/>
          <w:color w:val="000000"/>
          <w:spacing w:val="-4"/>
          <w:sz w:val="24"/>
          <w:szCs w:val="24"/>
          <w:lang w:eastAsia="zh-CN"/>
        </w:rPr>
        <w:t>台农业机械补贴，于202</w:t>
      </w:r>
      <w:r>
        <w:rPr>
          <w:rStyle w:val="26"/>
          <w:rFonts w:hint="eastAsia" w:ascii="宋体" w:hAnsi="宋体" w:eastAsia="宋体" w:cs="宋体"/>
          <w:b w:val="0"/>
          <w:bCs/>
          <w:color w:val="000000"/>
          <w:spacing w:val="-4"/>
          <w:sz w:val="24"/>
          <w:szCs w:val="24"/>
          <w:lang w:val="en-US" w:eastAsia="zh-CN"/>
        </w:rPr>
        <w:t>4</w:t>
      </w:r>
      <w:r>
        <w:rPr>
          <w:rStyle w:val="26"/>
          <w:rFonts w:hint="eastAsia" w:ascii="宋体" w:hAnsi="宋体" w:eastAsia="宋体" w:cs="宋体"/>
          <w:b w:val="0"/>
          <w:bCs/>
          <w:color w:val="000000"/>
          <w:spacing w:val="-4"/>
          <w:sz w:val="24"/>
          <w:szCs w:val="24"/>
          <w:lang w:eastAsia="zh-CN"/>
        </w:rPr>
        <w:t>年12月31日前完成，项目总投资</w:t>
      </w:r>
      <w:r>
        <w:rPr>
          <w:rStyle w:val="26"/>
          <w:rFonts w:hint="eastAsia" w:ascii="宋体" w:hAnsi="宋体" w:eastAsia="宋体" w:cs="宋体"/>
          <w:b w:val="0"/>
          <w:bCs/>
          <w:color w:val="000000"/>
          <w:spacing w:val="-4"/>
          <w:sz w:val="24"/>
          <w:szCs w:val="24"/>
          <w:lang w:val="en-US" w:eastAsia="zh-CN"/>
        </w:rPr>
        <w:t>234</w:t>
      </w:r>
      <w:r>
        <w:rPr>
          <w:rStyle w:val="26"/>
          <w:rFonts w:hint="eastAsia" w:ascii="宋体" w:hAnsi="宋体" w:eastAsia="宋体" w:cs="宋体"/>
          <w:b w:val="0"/>
          <w:bCs/>
          <w:color w:val="000000"/>
          <w:spacing w:val="-4"/>
          <w:sz w:val="24"/>
          <w:szCs w:val="24"/>
          <w:lang w:eastAsia="zh-CN"/>
        </w:rPr>
        <w:t>万元，通过本项目的实施，充分发挥政策效益，推动农业机械化向全程全面高质高效转型升级，助力全面推进乡村振兴和加快农业农村现代化有效提高农民从事农业生产积极性，持续提升农业机械化水平。</w:t>
      </w:r>
    </w:p>
    <w:p w14:paraId="51E289C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4FF7436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68B1014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sz w:val="24"/>
          <w:szCs w:val="24"/>
          <w:lang w:val="en-US" w:eastAsia="zh-CN"/>
        </w:rPr>
        <w:t>本项目主管部门为洛浦县农业农村局，实施单位为洛浦县</w:t>
      </w:r>
      <w:r>
        <w:rPr>
          <w:rFonts w:hint="eastAsia" w:ascii="宋体" w:hAnsi="宋体" w:eastAsia="宋体" w:cs="宋体"/>
          <w:b w:val="0"/>
          <w:bCs w:val="0"/>
          <w:color w:val="000000"/>
          <w:sz w:val="24"/>
          <w:szCs w:val="24"/>
          <w:lang w:val="en-US" w:eastAsia="zh-CN"/>
        </w:rPr>
        <w:t>农业农村机械化发展中心。</w:t>
      </w:r>
    </w:p>
    <w:p w14:paraId="2A6B317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000000"/>
          <w:sz w:val="24"/>
          <w:szCs w:val="24"/>
          <w:lang w:val="en-US" w:eastAsia="zh-CN"/>
        </w:rPr>
        <w:t>2024年1月-2024年12月</w:t>
      </w:r>
    </w:p>
    <w:p w14:paraId="1C7C8FC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p>
    <w:p w14:paraId="41C9A786">
      <w:pPr>
        <w:pageBreakBefore w:val="0"/>
        <w:kinsoku/>
        <w:wordWrap/>
        <w:topLinePunct w:val="0"/>
        <w:autoSpaceDE/>
        <w:bidi w:val="0"/>
        <w:adjustRightInd/>
        <w:snapToGrid/>
        <w:spacing w:line="360" w:lineRule="auto"/>
        <w:ind w:left="0" w:leftChars="0" w:firstLine="464" w:firstLineChars="200"/>
        <w:rPr>
          <w:rFonts w:hint="eastAsia" w:ascii="宋体" w:hAnsi="宋体" w:eastAsia="宋体" w:cs="宋体"/>
          <w:bCs/>
          <w:sz w:val="24"/>
          <w:szCs w:val="24"/>
        </w:rPr>
      </w:pPr>
      <w:r>
        <w:rPr>
          <w:rStyle w:val="26"/>
          <w:rFonts w:hint="eastAsia" w:ascii="宋体" w:hAnsi="宋体" w:eastAsia="宋体" w:cs="宋体"/>
          <w:b w:val="0"/>
          <w:color w:val="000000"/>
          <w:spacing w:val="-4"/>
          <w:sz w:val="24"/>
          <w:szCs w:val="24"/>
          <w:lang w:eastAsia="zh-CN"/>
        </w:rPr>
        <w:t>保障单位预算项目按计划实施，为购置的新购买的</w:t>
      </w:r>
      <w:r>
        <w:rPr>
          <w:rStyle w:val="26"/>
          <w:rFonts w:hint="eastAsia" w:ascii="宋体" w:hAnsi="宋体" w:eastAsia="宋体" w:cs="宋体"/>
          <w:b w:val="0"/>
          <w:color w:val="000000"/>
          <w:spacing w:val="-4"/>
          <w:sz w:val="24"/>
          <w:szCs w:val="24"/>
          <w:lang w:val="en-US" w:eastAsia="zh-CN"/>
        </w:rPr>
        <w:t>139</w:t>
      </w:r>
      <w:r>
        <w:rPr>
          <w:rStyle w:val="26"/>
          <w:rFonts w:hint="eastAsia" w:ascii="宋体" w:hAnsi="宋体" w:eastAsia="宋体" w:cs="宋体"/>
          <w:b w:val="0"/>
          <w:color w:val="000000"/>
          <w:spacing w:val="-4"/>
          <w:sz w:val="24"/>
          <w:szCs w:val="24"/>
          <w:lang w:eastAsia="zh-CN"/>
        </w:rPr>
        <w:t>台农业机械进行补贴，推动农业机械化向全程全面高质高效转型升级，助力全面推进乡村振兴和加快农业农村现代化有效提高农民从事农业生产积极性，持续提升农业机械化水平。</w:t>
      </w:r>
      <w:r>
        <w:rPr>
          <w:rFonts w:hint="eastAsia" w:ascii="宋体" w:hAnsi="宋体" w:eastAsia="宋体" w:cs="宋体"/>
          <w:bCs/>
          <w:sz w:val="24"/>
          <w:szCs w:val="24"/>
        </w:rPr>
        <w:t>项目进行了验收并合格。项目实施过程中制</w:t>
      </w:r>
      <w:r>
        <w:rPr>
          <w:rFonts w:hint="eastAsia" w:ascii="宋体" w:hAnsi="宋体" w:eastAsia="宋体" w:cs="宋体"/>
          <w:bCs/>
          <w:color w:val="auto"/>
          <w:sz w:val="24"/>
          <w:szCs w:val="24"/>
        </w:rPr>
        <w:t>定了</w:t>
      </w:r>
      <w:r>
        <w:rPr>
          <w:rFonts w:hint="eastAsia" w:ascii="宋体" w:hAnsi="宋体" w:eastAsia="宋体" w:cs="宋体"/>
          <w:bCs/>
          <w:color w:val="auto"/>
          <w:sz w:val="24"/>
          <w:szCs w:val="24"/>
          <w:lang w:val="en-US" w:eastAsia="zh-CN"/>
        </w:rPr>
        <w:t>项目</w:t>
      </w:r>
      <w:r>
        <w:rPr>
          <w:rFonts w:hint="eastAsia" w:ascii="宋体" w:hAnsi="宋体" w:eastAsia="宋体" w:cs="宋体"/>
          <w:bCs/>
          <w:sz w:val="24"/>
          <w:szCs w:val="24"/>
        </w:rPr>
        <w:t>管理制度。</w:t>
      </w:r>
    </w:p>
    <w:p w14:paraId="281DDB97">
      <w:pPr>
        <w:pageBreakBefore w:val="0"/>
        <w:kinsoku/>
        <w:wordWrap/>
        <w:topLinePunct w:val="0"/>
        <w:autoSpaceDE/>
        <w:bidi w:val="0"/>
        <w:adjustRightInd/>
        <w:snapToGrid/>
        <w:spacing w:line="360" w:lineRule="auto"/>
        <w:ind w:left="0" w:leftChars="0" w:firstLine="480" w:firstLineChars="200"/>
        <w:rPr>
          <w:rStyle w:val="26"/>
          <w:rFonts w:hint="eastAsia" w:ascii="宋体" w:hAnsi="宋体" w:eastAsia="宋体" w:cs="宋体"/>
          <w:b w:val="0"/>
          <w:color w:val="000000"/>
          <w:spacing w:val="-4"/>
          <w:sz w:val="24"/>
          <w:szCs w:val="24"/>
          <w:lang w:eastAsia="zh-CN"/>
        </w:rPr>
      </w:pPr>
      <w:r>
        <w:rPr>
          <w:rFonts w:hint="eastAsia" w:ascii="宋体" w:hAnsi="宋体" w:eastAsia="宋体" w:cs="宋体"/>
          <w:bCs/>
          <w:sz w:val="24"/>
          <w:szCs w:val="24"/>
        </w:rPr>
        <w:t>项目实施前进行充分调研，</w:t>
      </w:r>
      <w:r>
        <w:rPr>
          <w:rFonts w:hint="eastAsia" w:ascii="宋体" w:hAnsi="宋体" w:eastAsia="宋体" w:cs="宋体"/>
          <w:bCs/>
          <w:sz w:val="24"/>
          <w:szCs w:val="24"/>
          <w:lang w:val="en-US" w:eastAsia="zh-CN"/>
        </w:rPr>
        <w:t>并</w:t>
      </w:r>
      <w:r>
        <w:rPr>
          <w:rFonts w:hint="eastAsia" w:ascii="宋体" w:hAnsi="宋体" w:eastAsia="宋体" w:cs="宋体"/>
          <w:bCs/>
          <w:sz w:val="24"/>
          <w:szCs w:val="24"/>
        </w:rPr>
        <w:t>制定</w:t>
      </w:r>
      <w:r>
        <w:rPr>
          <w:rFonts w:hint="eastAsia" w:ascii="宋体" w:hAnsi="宋体" w:eastAsia="宋体" w:cs="宋体"/>
          <w:bCs/>
          <w:sz w:val="24"/>
          <w:szCs w:val="24"/>
          <w:lang w:val="en-US" w:eastAsia="zh-CN"/>
        </w:rPr>
        <w:t>项目</w:t>
      </w:r>
      <w:r>
        <w:rPr>
          <w:rFonts w:hint="eastAsia" w:ascii="宋体" w:hAnsi="宋体" w:eastAsia="宋体" w:cs="宋体"/>
          <w:bCs/>
          <w:sz w:val="24"/>
          <w:szCs w:val="24"/>
        </w:rPr>
        <w:t>实施方案，项目实施过程中严格按照实施方案进行实施并及时进行监督管理，项目</w:t>
      </w:r>
      <w:r>
        <w:rPr>
          <w:rStyle w:val="26"/>
          <w:rFonts w:hint="eastAsia" w:ascii="宋体" w:hAnsi="宋体" w:eastAsia="宋体" w:cs="宋体"/>
          <w:b w:val="0"/>
          <w:color w:val="000000"/>
          <w:spacing w:val="-4"/>
          <w:sz w:val="24"/>
          <w:szCs w:val="24"/>
          <w:lang w:eastAsia="zh-CN"/>
        </w:rPr>
        <w:t>实施后进行及时验收及后期维护。</w:t>
      </w:r>
    </w:p>
    <w:p w14:paraId="775D64D2">
      <w:pPr>
        <w:pageBreakBefore w:val="0"/>
        <w:kinsoku/>
        <w:wordWrap/>
        <w:topLinePunct w:val="0"/>
        <w:autoSpaceDE/>
        <w:bidi w:val="0"/>
        <w:adjustRightInd/>
        <w:snapToGrid/>
        <w:spacing w:line="360" w:lineRule="auto"/>
        <w:ind w:left="0" w:leftChars="0" w:firstLine="464" w:firstLineChars="200"/>
        <w:rPr>
          <w:rStyle w:val="26"/>
          <w:rFonts w:hint="eastAsia" w:ascii="宋体" w:hAnsi="宋体" w:eastAsia="宋体" w:cs="宋体"/>
          <w:b w:val="0"/>
          <w:color w:val="000000"/>
          <w:spacing w:val="-4"/>
          <w:sz w:val="24"/>
          <w:szCs w:val="24"/>
          <w:lang w:eastAsia="zh-CN"/>
        </w:rPr>
      </w:pPr>
      <w:r>
        <w:rPr>
          <w:rStyle w:val="26"/>
          <w:rFonts w:hint="eastAsia" w:ascii="宋体" w:hAnsi="宋体" w:eastAsia="宋体" w:cs="宋体"/>
          <w:b w:val="0"/>
          <w:color w:val="000000"/>
          <w:spacing w:val="-4"/>
          <w:sz w:val="24"/>
          <w:szCs w:val="24"/>
          <w:lang w:eastAsia="zh-CN"/>
        </w:rPr>
        <w:t>4. 资金投入和使用情况</w:t>
      </w:r>
    </w:p>
    <w:p w14:paraId="7459B4A6">
      <w:pPr>
        <w:pageBreakBefore w:val="0"/>
        <w:kinsoku/>
        <w:wordWrap/>
        <w:topLinePunct w:val="0"/>
        <w:autoSpaceDE/>
        <w:bidi w:val="0"/>
        <w:adjustRightInd/>
        <w:snapToGrid/>
        <w:spacing w:line="360" w:lineRule="auto"/>
        <w:ind w:left="0" w:leftChars="0" w:firstLine="464" w:firstLineChars="200"/>
        <w:rPr>
          <w:rStyle w:val="26"/>
          <w:rFonts w:hint="eastAsia" w:ascii="宋体" w:hAnsi="宋体" w:eastAsia="宋体" w:cs="宋体"/>
          <w:b w:val="0"/>
          <w:color w:val="000000"/>
          <w:spacing w:val="-4"/>
          <w:sz w:val="24"/>
          <w:szCs w:val="24"/>
          <w:lang w:eastAsia="zh-CN"/>
        </w:rPr>
      </w:pPr>
      <w:r>
        <w:rPr>
          <w:rStyle w:val="26"/>
          <w:rFonts w:hint="eastAsia" w:ascii="宋体" w:hAnsi="宋体" w:eastAsia="宋体" w:cs="宋体"/>
          <w:b w:val="0"/>
          <w:color w:val="000000"/>
          <w:spacing w:val="-4"/>
          <w:sz w:val="24"/>
          <w:szCs w:val="24"/>
          <w:lang w:eastAsia="zh-CN"/>
        </w:rPr>
        <w:t>（1）项目资金安排、投入情况</w:t>
      </w:r>
    </w:p>
    <w:p w14:paraId="3C9E222C">
      <w:pPr>
        <w:pageBreakBefore w:val="0"/>
        <w:kinsoku/>
        <w:wordWrap/>
        <w:topLinePunct w:val="0"/>
        <w:autoSpaceDE/>
        <w:bidi w:val="0"/>
        <w:adjustRightInd/>
        <w:snapToGrid/>
        <w:spacing w:line="360" w:lineRule="auto"/>
        <w:ind w:left="0" w:leftChars="0" w:firstLine="464" w:firstLineChars="200"/>
        <w:rPr>
          <w:rFonts w:hint="eastAsia" w:ascii="宋体" w:hAnsi="宋体" w:eastAsia="宋体" w:cs="宋体"/>
          <w:color w:val="auto"/>
          <w:sz w:val="24"/>
          <w:szCs w:val="24"/>
        </w:rPr>
      </w:pPr>
      <w:r>
        <w:rPr>
          <w:rStyle w:val="26"/>
          <w:rFonts w:hint="eastAsia" w:ascii="宋体" w:hAnsi="宋体" w:eastAsia="宋体" w:cs="宋体"/>
          <w:b w:val="0"/>
          <w:color w:val="000000"/>
          <w:spacing w:val="-4"/>
          <w:sz w:val="24"/>
          <w:szCs w:val="24"/>
          <w:lang w:eastAsia="zh-CN"/>
        </w:rPr>
        <w:t>本项目预算安排总额为</w:t>
      </w:r>
      <w:r>
        <w:rPr>
          <w:rStyle w:val="26"/>
          <w:rFonts w:hint="eastAsia" w:ascii="宋体" w:hAnsi="宋体" w:eastAsia="宋体" w:cs="宋体"/>
          <w:b w:val="0"/>
          <w:color w:val="000000"/>
          <w:spacing w:val="-4"/>
          <w:sz w:val="24"/>
          <w:szCs w:val="24"/>
          <w:lang w:val="en-US" w:eastAsia="zh-CN"/>
        </w:rPr>
        <w:t>234</w:t>
      </w:r>
      <w:r>
        <w:rPr>
          <w:rStyle w:val="26"/>
          <w:rFonts w:hint="eastAsia" w:ascii="宋体" w:hAnsi="宋体" w:eastAsia="宋体" w:cs="宋体"/>
          <w:b w:val="0"/>
          <w:color w:val="000000"/>
          <w:spacing w:val="-4"/>
          <w:sz w:val="24"/>
          <w:szCs w:val="24"/>
          <w:lang w:eastAsia="zh-CN"/>
        </w:rPr>
        <w:t>万元，资金</w:t>
      </w:r>
      <w:r>
        <w:rPr>
          <w:rFonts w:hint="eastAsia" w:ascii="宋体" w:hAnsi="宋体" w:eastAsia="宋体" w:cs="宋体"/>
          <w:color w:val="auto"/>
          <w:sz w:val="24"/>
          <w:szCs w:val="24"/>
        </w:rPr>
        <w:t>来源为部门预算</w:t>
      </w:r>
      <w:r>
        <w:rPr>
          <w:rFonts w:hint="eastAsia" w:ascii="宋体" w:hAnsi="宋体" w:eastAsia="宋体" w:cs="宋体"/>
          <w:color w:val="000000"/>
          <w:sz w:val="24"/>
          <w:szCs w:val="24"/>
        </w:rPr>
        <w:t>中央专项资金</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234</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234</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3E3CCEE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4BC95FB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233.98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504374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3ACFDF2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74F9150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2F83D3D3">
      <w:pPr>
        <w:pageBreakBefore w:val="0"/>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contextualSpacing/>
        <w:rPr>
          <w:rFonts w:hint="eastAsia" w:ascii="宋体" w:hAnsi="宋体" w:eastAsia="宋体" w:cs="宋体"/>
          <w:color w:val="FF0000"/>
          <w:sz w:val="24"/>
          <w:szCs w:val="24"/>
        </w:rPr>
      </w:pPr>
      <w:r>
        <w:rPr>
          <w:rFonts w:hint="eastAsia" w:ascii="宋体" w:hAnsi="宋体" w:eastAsia="宋体" w:cs="宋体"/>
          <w:color w:val="FF0000"/>
          <w:sz w:val="24"/>
          <w:szCs w:val="24"/>
          <w:lang w:eastAsia="zh-CN"/>
        </w:rPr>
        <w:t>（</w:t>
      </w:r>
      <w:r>
        <w:rPr>
          <w:rFonts w:hint="eastAsia" w:ascii="宋体" w:hAnsi="宋体" w:eastAsia="宋体" w:cs="宋体"/>
          <w:color w:val="auto"/>
          <w:sz w:val="24"/>
          <w:szCs w:val="24"/>
        </w:rPr>
        <w:t>年度总体目标为：</w:t>
      </w:r>
      <w:r>
        <w:rPr>
          <w:rFonts w:hint="eastAsia" w:ascii="宋体" w:hAnsi="宋体" w:eastAsia="宋体" w:cs="宋体"/>
          <w:color w:val="auto"/>
          <w:sz w:val="24"/>
          <w:szCs w:val="24"/>
          <w:lang w:eastAsia="zh-CN"/>
        </w:rPr>
        <w:t>根据《关于下达202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年中央农业生产发展资金（农机购置补贴）预算的通知》（和地财农〔202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lang w:eastAsia="zh-CN"/>
        </w:rPr>
        <w:t>号）文件实施此项目，项目主要内容为：为购置的新购买的</w:t>
      </w:r>
      <w:r>
        <w:rPr>
          <w:rFonts w:hint="eastAsia" w:ascii="宋体" w:hAnsi="宋体" w:eastAsia="宋体" w:cs="宋体"/>
          <w:color w:val="auto"/>
          <w:sz w:val="24"/>
          <w:szCs w:val="24"/>
          <w:lang w:val="en-US" w:eastAsia="zh-CN"/>
        </w:rPr>
        <w:t>139</w:t>
      </w:r>
      <w:r>
        <w:rPr>
          <w:rFonts w:hint="eastAsia" w:ascii="宋体" w:hAnsi="宋体" w:eastAsia="宋体" w:cs="宋体"/>
          <w:color w:val="auto"/>
          <w:sz w:val="24"/>
          <w:szCs w:val="24"/>
          <w:lang w:eastAsia="zh-CN"/>
        </w:rPr>
        <w:t>台农业机械进行补贴，于202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年12月31日前完成，项目总投资</w:t>
      </w:r>
      <w:r>
        <w:rPr>
          <w:rFonts w:hint="eastAsia" w:ascii="宋体" w:hAnsi="宋体" w:eastAsia="宋体" w:cs="宋体"/>
          <w:color w:val="auto"/>
          <w:sz w:val="24"/>
          <w:szCs w:val="24"/>
          <w:lang w:val="en-US" w:eastAsia="zh-CN"/>
        </w:rPr>
        <w:t>234</w:t>
      </w:r>
      <w:r>
        <w:rPr>
          <w:rFonts w:hint="eastAsia" w:ascii="宋体" w:hAnsi="宋体" w:eastAsia="宋体" w:cs="宋体"/>
          <w:color w:val="auto"/>
          <w:sz w:val="24"/>
          <w:szCs w:val="24"/>
          <w:lang w:eastAsia="zh-CN"/>
        </w:rPr>
        <w:t>万元。通过本项目的实施，充分发挥政策效益，推动农业机械化向全程全面高质高效转型升级，助力全面推进乡村振兴和加快农业农村现代化有效提高农民从事农业生产积极性，持续提升农业机械化水平。</w:t>
      </w:r>
    </w:p>
    <w:p w14:paraId="5AF3677E">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1173AA3C">
      <w:pPr>
        <w:pStyle w:val="46"/>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D3277F8">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96CEB01">
      <w:pPr>
        <w:pStyle w:val="46"/>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50D9FCE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指标1：农机购置补贴机具台数，预期指标值：“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139台”</w:t>
      </w:r>
    </w:p>
    <w:p w14:paraId="1D0CD27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auto"/>
          <w:sz w:val="24"/>
          <w:szCs w:val="24"/>
        </w:rPr>
        <w:t>2）质量指标：</w:t>
      </w:r>
    </w:p>
    <w:p w14:paraId="6FF02DA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指标1：补助发放覆盖率，预期指标值：“=100%”</w:t>
      </w:r>
    </w:p>
    <w:p w14:paraId="4C5893C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auto"/>
          <w:sz w:val="24"/>
          <w:szCs w:val="24"/>
        </w:rPr>
        <w:t>3）时效目标：</w:t>
      </w:r>
    </w:p>
    <w:p w14:paraId="05C6018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指标1：项目完成时间，预期指标值：“2024年12月”</w:t>
      </w:r>
    </w:p>
    <w:p w14:paraId="629138E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指标2：补助拨付及时率，预期指标值：“=100%”</w:t>
      </w:r>
    </w:p>
    <w:p w14:paraId="11A0912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12B094C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6EF93FF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指标1：农机购置补贴经费，预期指标值：“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234万元”</w:t>
      </w:r>
    </w:p>
    <w:p w14:paraId="0A1E419B">
      <w:pPr>
        <w:pStyle w:val="46"/>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68AB6F9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该项目无生态成本指标</w:t>
      </w:r>
    </w:p>
    <w:p w14:paraId="26B4C04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（3）效益指标：</w:t>
      </w:r>
    </w:p>
    <w:p w14:paraId="6925E07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1）经济效益指标：</w:t>
      </w:r>
    </w:p>
    <w:p w14:paraId="53A59B6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该项目无经济效益指标。</w:t>
      </w:r>
    </w:p>
    <w:p w14:paraId="6BB9B21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2）社会效益指标：</w:t>
      </w:r>
    </w:p>
    <w:p w14:paraId="5A687A5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指标1：农机购置补贴受益户数，预期指标值：“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123户”</w:t>
      </w:r>
    </w:p>
    <w:p w14:paraId="085FC2A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指标2：提高农民从事农业生产积极性，提升农业机械化水平，预期指标值：“效果显著”</w:t>
      </w:r>
    </w:p>
    <w:p w14:paraId="6EB2D51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3）生态效益指标：</w:t>
      </w:r>
    </w:p>
    <w:p w14:paraId="351038F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该项目无生态效益指标。</w:t>
      </w:r>
    </w:p>
    <w:p w14:paraId="33CDB92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（4）服务对象满意度指标：</w:t>
      </w:r>
    </w:p>
    <w:p w14:paraId="2744E68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000000"/>
          <w:sz w:val="24"/>
          <w:szCs w:val="24"/>
        </w:rPr>
      </w:pPr>
      <w:r>
        <w:rPr>
          <w:rFonts w:hint="eastAsia" w:ascii="宋体" w:hAnsi="宋体" w:eastAsia="宋体" w:cs="宋体"/>
          <w:color w:val="000000"/>
          <w:sz w:val="24"/>
          <w:szCs w:val="24"/>
        </w:rPr>
        <w:t>指标1：受益群众满意度，预期指标值：“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95%</w:t>
      </w:r>
      <w:r>
        <w:rPr>
          <w:rFonts w:hint="eastAsia" w:ascii="宋体" w:hAnsi="宋体" w:eastAsia="宋体" w:cs="宋体"/>
          <w:color w:val="000000"/>
          <w:sz w:val="24"/>
          <w:szCs w:val="24"/>
        </w:rPr>
        <w:t>”</w:t>
      </w:r>
    </w:p>
    <w:p w14:paraId="0318E25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45F12568">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59EEC0A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409781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E796892">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szCs w:val="24"/>
          <w:lang w:val="en-US" w:eastAsia="zh-CN" w:bidi="en-US"/>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color w:val="000000"/>
          <w:kern w:val="0"/>
          <w:sz w:val="24"/>
          <w:szCs w:val="24"/>
          <w:lang w:val="en-US" w:eastAsia="zh-CN" w:bidi="en-US"/>
        </w:rPr>
        <w:t>2024年农机购置应用补贴</w:t>
      </w:r>
    </w:p>
    <w:p w14:paraId="3080A0CE">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szCs w:val="24"/>
          <w:lang w:val="en-US" w:eastAsia="zh-CN" w:bidi="en-US"/>
        </w:rPr>
      </w:pP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color w:val="000000"/>
          <w:kern w:val="0"/>
          <w:sz w:val="24"/>
          <w:szCs w:val="24"/>
          <w:lang w:val="en-US" w:eastAsia="zh-CN" w:bidi="en-US"/>
        </w:rPr>
        <w:t>2024年农机购置应用补贴</w:t>
      </w:r>
    </w:p>
    <w:p w14:paraId="0D2698D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4A63BDF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073A35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7AECEA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26230B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0E317926">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2024年农机购置应用补贴</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4A45E32">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285E9A5E">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2024年农机购置应用补贴项目，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4ECD35D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FFEC11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3F8AB4A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35BBF8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2E71DE9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030AD2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F53013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0087410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3B8ED2F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07531B8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2173EED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45BA57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6881F56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3AB7A2F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3868D03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26A8FA8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E60F6E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45A1A41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5308844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3ED67D7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4D142C7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E76D4E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504A202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11C7C4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57CF29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E7F514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1830CE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24C43D6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0C8787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6017E42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4540813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w:t>
      </w:r>
      <w:r>
        <w:rPr>
          <w:rFonts w:hint="eastAsia" w:ascii="宋体" w:hAnsi="宋体" w:eastAsia="宋体" w:cs="宋体"/>
          <w:color w:val="000000"/>
          <w:sz w:val="24"/>
          <w:szCs w:val="24"/>
        </w:rPr>
        <w:t>评价主要采用了</w:t>
      </w:r>
      <w:r>
        <w:rPr>
          <w:rFonts w:hint="eastAsia" w:ascii="宋体" w:hAnsi="宋体" w:eastAsia="宋体" w:cs="宋体"/>
          <w:color w:val="000000"/>
          <w:sz w:val="24"/>
          <w:szCs w:val="24"/>
          <w:lang w:eastAsia="zh-CN"/>
        </w:rPr>
        <w:t>计划、行业、历史</w:t>
      </w:r>
      <w:r>
        <w:rPr>
          <w:rFonts w:hint="eastAsia" w:ascii="宋体" w:hAnsi="宋体" w:eastAsia="宋体" w:cs="宋体"/>
          <w:color w:val="000000"/>
          <w:sz w:val="24"/>
          <w:szCs w:val="24"/>
        </w:rPr>
        <w:t>标准。</w:t>
      </w:r>
    </w:p>
    <w:p w14:paraId="527A1DBA">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01C4711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9" w:name="_Toc5633"/>
      <w:bookmarkStart w:id="10"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3E56C315">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11" w:name="_Toc16028"/>
      <w:bookmarkStart w:id="12" w:name="_Toc430"/>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1"/>
      <w:bookmarkEnd w:id="12"/>
    </w:p>
    <w:p w14:paraId="69B04A9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5AD8041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4"/>
      <w:r>
        <w:rPr>
          <w:rFonts w:hint="eastAsia" w:ascii="宋体" w:hAnsi="宋体" w:eastAsia="宋体" w:cs="宋体"/>
          <w:sz w:val="24"/>
          <w:szCs w:val="24"/>
        </w:rPr>
        <w:t>1.前期准备</w:t>
      </w:r>
    </w:p>
    <w:p w14:paraId="437B335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301122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王鑫</w:t>
      </w:r>
      <w:r>
        <w:rPr>
          <w:rFonts w:hint="eastAsia" w:ascii="宋体" w:hAnsi="宋体" w:eastAsia="宋体" w:cs="宋体"/>
          <w:color w:val="000000"/>
          <w:sz w:val="24"/>
          <w:szCs w:val="24"/>
        </w:rPr>
        <w:t>（评价小组组长）：主要负责</w:t>
      </w:r>
      <w:r>
        <w:rPr>
          <w:rFonts w:hint="eastAsia" w:ascii="宋体" w:hAnsi="宋体" w:eastAsia="宋体" w:cs="宋体"/>
          <w:b w:val="0"/>
          <w:bCs w:val="0"/>
          <w:color w:val="000000"/>
          <w:sz w:val="24"/>
          <w:szCs w:val="24"/>
          <w:lang w:val="en-US" w:eastAsia="zh-CN"/>
        </w:rPr>
        <w:t>组织安排绩效评价工作</w:t>
      </w:r>
      <w:r>
        <w:rPr>
          <w:rFonts w:hint="eastAsia" w:ascii="宋体" w:hAnsi="宋体" w:eastAsia="宋体" w:cs="宋体"/>
          <w:color w:val="000000"/>
          <w:sz w:val="24"/>
          <w:szCs w:val="24"/>
        </w:rPr>
        <w:t>;</w:t>
      </w:r>
    </w:p>
    <w:p w14:paraId="3B21B87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亚库普</w:t>
      </w:r>
      <w:r>
        <w:rPr>
          <w:rFonts w:hint="eastAsia" w:ascii="宋体" w:hAnsi="宋体" w:eastAsia="宋体" w:cs="宋体"/>
          <w:color w:val="000000"/>
          <w:sz w:val="24"/>
          <w:szCs w:val="24"/>
        </w:rPr>
        <w:t>（评价小组组员）：</w:t>
      </w:r>
      <w:r>
        <w:rPr>
          <w:rFonts w:hint="eastAsia" w:ascii="宋体" w:hAnsi="宋体" w:eastAsia="宋体" w:cs="宋体"/>
          <w:b w:val="0"/>
          <w:bCs w:val="0"/>
          <w:color w:val="000000"/>
          <w:sz w:val="24"/>
          <w:szCs w:val="24"/>
          <w:lang w:val="en-US" w:eastAsia="zh-CN"/>
        </w:rPr>
        <w:t>资料整理及信息汇总工作</w:t>
      </w:r>
      <w:r>
        <w:rPr>
          <w:rFonts w:hint="eastAsia" w:ascii="宋体" w:hAnsi="宋体" w:eastAsia="宋体" w:cs="宋体"/>
          <w:color w:val="000000"/>
          <w:sz w:val="24"/>
          <w:szCs w:val="24"/>
        </w:rPr>
        <w:t>;</w:t>
      </w:r>
    </w:p>
    <w:p w14:paraId="1062D0E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王如兵</w:t>
      </w:r>
      <w:r>
        <w:rPr>
          <w:rFonts w:hint="eastAsia" w:ascii="宋体" w:hAnsi="宋体" w:eastAsia="宋体" w:cs="宋体"/>
          <w:color w:val="000000"/>
          <w:sz w:val="24"/>
          <w:szCs w:val="24"/>
        </w:rPr>
        <w:t>（评价小组组员）：</w:t>
      </w:r>
      <w:r>
        <w:rPr>
          <w:rFonts w:hint="eastAsia" w:ascii="宋体" w:hAnsi="宋体" w:eastAsia="宋体" w:cs="宋体"/>
          <w:b w:val="0"/>
          <w:bCs w:val="0"/>
          <w:color w:val="000000"/>
          <w:sz w:val="24"/>
          <w:szCs w:val="24"/>
          <w:lang w:val="en-US" w:eastAsia="zh-CN"/>
        </w:rPr>
        <w:t>出具项目绩效评价报告</w:t>
      </w:r>
      <w:r>
        <w:rPr>
          <w:rFonts w:hint="eastAsia" w:ascii="宋体" w:hAnsi="宋体" w:eastAsia="宋体" w:cs="宋体"/>
          <w:color w:val="000000"/>
          <w:sz w:val="24"/>
          <w:szCs w:val="24"/>
        </w:rPr>
        <w:t>。</w:t>
      </w:r>
    </w:p>
    <w:p w14:paraId="642FC2B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2.组织实施</w:t>
      </w:r>
    </w:p>
    <w:p w14:paraId="4510D82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202</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年</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15</w:t>
      </w:r>
      <w:r>
        <w:rPr>
          <w:rFonts w:hint="eastAsia" w:ascii="宋体" w:hAnsi="宋体" w:eastAsia="宋体" w:cs="宋体"/>
          <w:color w:val="000000"/>
          <w:sz w:val="24"/>
          <w:szCs w:val="24"/>
        </w:rPr>
        <w:t>日-</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31</w:t>
      </w:r>
      <w:r>
        <w:rPr>
          <w:rFonts w:hint="eastAsia" w:ascii="宋体" w:hAnsi="宋体" w:eastAsia="宋体" w:cs="宋体"/>
          <w:color w:val="000000"/>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28F48EF7">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3.分析评价</w:t>
      </w:r>
    </w:p>
    <w:p w14:paraId="2EF4B5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202</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年</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日-</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15</w:t>
      </w:r>
      <w:r>
        <w:rPr>
          <w:rFonts w:hint="eastAsia" w:ascii="宋体" w:hAnsi="宋体" w:eastAsia="宋体" w:cs="宋体"/>
          <w:color w:val="000000"/>
          <w:sz w:val="24"/>
          <w:szCs w:val="24"/>
        </w:rPr>
        <w:t>日，评价小组按照绩效评价的原则和规范，对取得的资料进行审查核实，对采集的数据进行分析，按照绩效评价指标评分表逐项进行打分、分析、汇总各方评价结果。</w:t>
      </w:r>
    </w:p>
    <w:p w14:paraId="31462A20">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4.撰写与提交评价报告</w:t>
      </w:r>
    </w:p>
    <w:p w14:paraId="0A83D7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16</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评价小组</w:t>
      </w:r>
      <w:r>
        <w:rPr>
          <w:rFonts w:hint="eastAsia" w:ascii="宋体" w:hAnsi="宋体" w:eastAsia="宋体" w:cs="宋体"/>
          <w:color w:val="000000"/>
          <w:sz w:val="24"/>
          <w:szCs w:val="24"/>
          <w:highlight w:val="none"/>
        </w:rPr>
        <w:t>撰写绩效评价报告，按照新疆</w:t>
      </w:r>
      <w:r>
        <w:rPr>
          <w:rFonts w:hint="eastAsia" w:ascii="宋体" w:hAnsi="宋体" w:eastAsia="宋体" w:cs="宋体"/>
          <w:color w:val="000000"/>
          <w:sz w:val="24"/>
          <w:szCs w:val="24"/>
          <w:highlight w:val="none"/>
          <w:lang w:eastAsia="zh-CN"/>
        </w:rPr>
        <w:t>维吾尔自治区财政绩效管理信息系统</w:t>
      </w:r>
      <w:r>
        <w:rPr>
          <w:rFonts w:hint="eastAsia" w:ascii="宋体" w:hAnsi="宋体" w:eastAsia="宋体" w:cs="宋体"/>
          <w:color w:val="000000"/>
          <w:sz w:val="24"/>
          <w:szCs w:val="24"/>
          <w:highlight w:val="none"/>
        </w:rPr>
        <w:t>绩效评价模块中统一格式和文本框架撰写绩效评价报告并提交审核。</w:t>
      </w:r>
    </w:p>
    <w:p w14:paraId="7297A23D">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5.问题整改</w:t>
      </w:r>
    </w:p>
    <w:p w14:paraId="0D6BBE0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66FE9E1">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6.档案整理</w:t>
      </w:r>
    </w:p>
    <w:p w14:paraId="0E0922C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建立和落实档案管理制度，将项目相关资料存档，包括但不限于：评价项目基本情况和相关文件、评价实施方案、项目支付资料等相关档案。</w:t>
      </w:r>
    </w:p>
    <w:p w14:paraId="720926B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p>
    <w:p w14:paraId="3B5A723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三、综合评价情况及评价结论</w:t>
      </w:r>
      <w:bookmarkEnd w:id="13"/>
    </w:p>
    <w:p w14:paraId="4539077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14" w:name="_Toc68364665"/>
      <w:r>
        <w:rPr>
          <w:rFonts w:hint="eastAsia" w:ascii="宋体" w:hAnsi="宋体" w:eastAsia="宋体" w:cs="宋体"/>
          <w:color w:val="000000"/>
          <w:sz w:val="24"/>
          <w:szCs w:val="24"/>
        </w:rPr>
        <w:t>（一）综合评价情况</w:t>
      </w:r>
      <w:bookmarkEnd w:id="14"/>
    </w:p>
    <w:p w14:paraId="416C7D94">
      <w:pPr>
        <w:pStyle w:val="60"/>
        <w:pageBreakBefore w:val="0"/>
        <w:tabs>
          <w:tab w:val="left" w:pos="1123"/>
        </w:tabs>
        <w:kinsoku/>
        <w:wordWrap/>
        <w:topLinePunct w:val="0"/>
        <w:autoSpaceDE/>
        <w:bidi w:val="0"/>
        <w:adjustRightInd/>
        <w:snapToGrid/>
        <w:spacing w:line="360" w:lineRule="auto"/>
        <w:ind w:left="0" w:leftChars="0" w:firstLine="480" w:firstLineChars="200"/>
        <w:rPr>
          <w:rFonts w:hint="eastAsia" w:ascii="宋体" w:hAnsi="宋体" w:eastAsia="宋体" w:cs="宋体"/>
          <w:b w:val="0"/>
          <w:bCs w:val="0"/>
          <w:color w:val="000000"/>
          <w:sz w:val="24"/>
          <w:szCs w:val="24"/>
          <w:lang w:eastAsia="zh-CN"/>
        </w:rPr>
      </w:pPr>
      <w:bookmarkStart w:id="15" w:name="_Toc68364666"/>
      <w:r>
        <w:rPr>
          <w:rFonts w:hint="eastAsia" w:ascii="宋体" w:hAnsi="宋体" w:eastAsia="宋体" w:cs="宋体"/>
          <w:b w:val="0"/>
          <w:bCs w:val="0"/>
          <w:color w:val="000000"/>
          <w:kern w:val="0"/>
          <w:sz w:val="24"/>
          <w:szCs w:val="24"/>
          <w:lang w:val="en-US" w:eastAsia="zh-CN" w:bidi="ar-SA"/>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农机购置报废补贴项目综合得分为96分，评价结果为优。</w:t>
      </w:r>
    </w:p>
    <w:p w14:paraId="2494F80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项目实施主要通过项目决策、项目过程、项目产出以及项目效益等方面进行评价，其中：</w:t>
      </w:r>
    </w:p>
    <w:p w14:paraId="368E197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rPr>
      </w:pPr>
      <w:r>
        <w:rPr>
          <w:rFonts w:hint="eastAsia" w:ascii="宋体" w:hAnsi="宋体" w:eastAsia="宋体" w:cs="宋体"/>
          <w:color w:val="000000"/>
          <w:sz w:val="24"/>
          <w:szCs w:val="24"/>
        </w:rPr>
        <w:t>项目决策</w:t>
      </w:r>
      <w:r>
        <w:rPr>
          <w:rFonts w:hint="eastAsia" w:ascii="宋体" w:hAnsi="宋体" w:eastAsia="宋体" w:cs="宋体"/>
          <w:b w:val="0"/>
          <w:bCs w:val="0"/>
          <w:color w:val="000000"/>
          <w:sz w:val="24"/>
          <w:szCs w:val="24"/>
        </w:rPr>
        <w:t>：该项目主要通过</w:t>
      </w:r>
      <w:r>
        <w:rPr>
          <w:rFonts w:hint="eastAsia" w:ascii="宋体" w:hAnsi="宋体" w:eastAsia="宋体" w:cs="宋体"/>
          <w:b w:val="0"/>
          <w:bCs w:val="0"/>
          <w:color w:val="000000"/>
          <w:sz w:val="24"/>
          <w:szCs w:val="24"/>
          <w:lang w:eastAsia="zh-CN"/>
        </w:rPr>
        <w:t>和地财农【</w:t>
      </w:r>
      <w:r>
        <w:rPr>
          <w:rFonts w:hint="eastAsia" w:ascii="宋体" w:hAnsi="宋体" w:eastAsia="宋体" w:cs="宋体"/>
          <w:b w:val="0"/>
          <w:bCs w:val="0"/>
          <w:color w:val="000000"/>
          <w:sz w:val="24"/>
          <w:szCs w:val="24"/>
          <w:lang w:val="en-US" w:eastAsia="zh-CN"/>
        </w:rPr>
        <w:t>2024</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12号</w:t>
      </w:r>
      <w:r>
        <w:rPr>
          <w:rFonts w:hint="eastAsia" w:ascii="宋体" w:hAnsi="宋体" w:eastAsia="宋体" w:cs="宋体"/>
          <w:b w:val="0"/>
          <w:bCs w:val="0"/>
          <w:color w:val="000000"/>
          <w:sz w:val="24"/>
          <w:szCs w:val="24"/>
        </w:rPr>
        <w:t xml:space="preserve">文件立项，项目实施符合要求，项目立项依据充分，立项程序规范。 </w:t>
      </w:r>
    </w:p>
    <w:p w14:paraId="3DD303B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项目过程：</w:t>
      </w:r>
      <w:r>
        <w:rPr>
          <w:rFonts w:hint="eastAsia" w:ascii="宋体" w:hAnsi="宋体" w:eastAsia="宋体" w:cs="宋体"/>
          <w:b w:val="0"/>
          <w:bCs w:val="0"/>
          <w:color w:val="000000"/>
          <w:sz w:val="24"/>
          <w:szCs w:val="24"/>
          <w:lang w:eastAsia="zh-CN"/>
        </w:rPr>
        <w:t>农机购置补贴</w:t>
      </w:r>
      <w:r>
        <w:rPr>
          <w:rFonts w:hint="eastAsia" w:ascii="宋体" w:hAnsi="宋体" w:eastAsia="宋体" w:cs="宋体"/>
          <w:b w:val="0"/>
          <w:bCs w:val="0"/>
          <w:color w:val="000000"/>
          <w:sz w:val="24"/>
          <w:szCs w:val="24"/>
        </w:rPr>
        <w:t>项目预算安排</w:t>
      </w:r>
      <w:r>
        <w:rPr>
          <w:rFonts w:hint="eastAsia" w:ascii="宋体" w:hAnsi="宋体" w:eastAsia="宋体" w:cs="宋体"/>
          <w:b w:val="0"/>
          <w:bCs w:val="0"/>
          <w:color w:val="000000"/>
          <w:sz w:val="24"/>
          <w:szCs w:val="24"/>
          <w:lang w:val="en-US" w:eastAsia="zh-CN"/>
        </w:rPr>
        <w:t>234</w:t>
      </w:r>
      <w:r>
        <w:rPr>
          <w:rFonts w:hint="eastAsia" w:ascii="宋体" w:hAnsi="宋体" w:eastAsia="宋体" w:cs="宋体"/>
          <w:b w:val="0"/>
          <w:bCs w:val="0"/>
          <w:color w:val="000000"/>
          <w:sz w:val="24"/>
          <w:szCs w:val="24"/>
        </w:rPr>
        <w:t>万元，实际支出</w:t>
      </w:r>
      <w:r>
        <w:rPr>
          <w:rFonts w:hint="eastAsia" w:ascii="宋体" w:hAnsi="宋体" w:eastAsia="宋体" w:cs="宋体"/>
          <w:b w:val="0"/>
          <w:bCs w:val="0"/>
          <w:color w:val="000000"/>
          <w:sz w:val="24"/>
          <w:szCs w:val="24"/>
          <w:lang w:val="en-US" w:eastAsia="zh-CN"/>
        </w:rPr>
        <w:t>233.98</w:t>
      </w:r>
      <w:r>
        <w:rPr>
          <w:rFonts w:hint="eastAsia" w:ascii="宋体" w:hAnsi="宋体" w:eastAsia="宋体" w:cs="宋体"/>
          <w:b w:val="0"/>
          <w:bCs w:val="0"/>
          <w:color w:val="000000"/>
          <w:sz w:val="24"/>
          <w:szCs w:val="24"/>
        </w:rPr>
        <w:t>万元，预算执行率</w:t>
      </w:r>
      <w:r>
        <w:rPr>
          <w:rFonts w:hint="eastAsia" w:ascii="宋体" w:hAnsi="宋体" w:eastAsia="宋体" w:cs="宋体"/>
          <w:b w:val="0"/>
          <w:bCs w:val="0"/>
          <w:color w:val="000000"/>
          <w:sz w:val="24"/>
          <w:szCs w:val="24"/>
          <w:lang w:val="en-US" w:eastAsia="zh-CN"/>
        </w:rPr>
        <w:t>100</w:t>
      </w:r>
      <w:r>
        <w:rPr>
          <w:rFonts w:hint="eastAsia" w:ascii="宋体" w:hAnsi="宋体" w:eastAsia="宋体" w:cs="宋体"/>
          <w:b w:val="0"/>
          <w:bCs w:val="0"/>
          <w:color w:val="000000"/>
          <w:sz w:val="24"/>
          <w:szCs w:val="24"/>
        </w:rPr>
        <w:t>%。项目资金使用合规，项目财务管理制度健全，财务监控到位，所有资金支付均按照国库集中支付制度严格执行，现有项目管理制度执行情况良好。</w:t>
      </w:r>
    </w:p>
    <w:p w14:paraId="51F275C2">
      <w:pPr>
        <w:pageBreakBefore w:val="0"/>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contextualSpacing/>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项目产出：</w:t>
      </w:r>
      <w:r>
        <w:rPr>
          <w:rFonts w:hint="eastAsia" w:ascii="宋体" w:hAnsi="宋体" w:eastAsia="宋体" w:cs="宋体"/>
          <w:b w:val="0"/>
          <w:bCs w:val="0"/>
          <w:color w:val="000000"/>
          <w:sz w:val="24"/>
          <w:szCs w:val="24"/>
          <w:lang w:eastAsia="zh-CN"/>
        </w:rPr>
        <w:t>为购置的新购买的</w:t>
      </w:r>
      <w:r>
        <w:rPr>
          <w:rFonts w:hint="eastAsia" w:ascii="宋体" w:hAnsi="宋体" w:eastAsia="宋体" w:cs="宋体"/>
          <w:b w:val="0"/>
          <w:bCs w:val="0"/>
          <w:color w:val="000000"/>
          <w:sz w:val="24"/>
          <w:szCs w:val="24"/>
          <w:lang w:val="en-US" w:eastAsia="zh-CN"/>
        </w:rPr>
        <w:t>139</w:t>
      </w:r>
      <w:r>
        <w:rPr>
          <w:rFonts w:hint="eastAsia" w:ascii="宋体" w:hAnsi="宋体" w:eastAsia="宋体" w:cs="宋体"/>
          <w:b w:val="0"/>
          <w:bCs w:val="0"/>
          <w:color w:val="000000"/>
          <w:sz w:val="24"/>
          <w:szCs w:val="24"/>
          <w:lang w:eastAsia="zh-CN"/>
        </w:rPr>
        <w:t>台农业机械进行补贴，于202</w:t>
      </w:r>
      <w:r>
        <w:rPr>
          <w:rFonts w:hint="eastAsia" w:ascii="宋体" w:hAnsi="宋体" w:eastAsia="宋体" w:cs="宋体"/>
          <w:b w:val="0"/>
          <w:bCs w:val="0"/>
          <w:color w:val="000000"/>
          <w:sz w:val="24"/>
          <w:szCs w:val="24"/>
          <w:lang w:val="en-US" w:eastAsia="zh-CN"/>
        </w:rPr>
        <w:t>4</w:t>
      </w:r>
      <w:r>
        <w:rPr>
          <w:rFonts w:hint="eastAsia" w:ascii="宋体" w:hAnsi="宋体" w:eastAsia="宋体" w:cs="宋体"/>
          <w:b w:val="0"/>
          <w:bCs w:val="0"/>
          <w:color w:val="000000"/>
          <w:sz w:val="24"/>
          <w:szCs w:val="24"/>
          <w:lang w:eastAsia="zh-CN"/>
        </w:rPr>
        <w:t>年12月31日前完成，项目总投资</w:t>
      </w:r>
      <w:r>
        <w:rPr>
          <w:rFonts w:hint="eastAsia" w:ascii="宋体" w:hAnsi="宋体" w:eastAsia="宋体" w:cs="宋体"/>
          <w:b w:val="0"/>
          <w:bCs w:val="0"/>
          <w:color w:val="000000"/>
          <w:sz w:val="24"/>
          <w:szCs w:val="24"/>
          <w:lang w:val="en-US" w:eastAsia="zh-CN"/>
        </w:rPr>
        <w:t>234</w:t>
      </w:r>
      <w:r>
        <w:rPr>
          <w:rFonts w:hint="eastAsia" w:ascii="宋体" w:hAnsi="宋体" w:eastAsia="宋体" w:cs="宋体"/>
          <w:b w:val="0"/>
          <w:bCs w:val="0"/>
          <w:color w:val="000000"/>
          <w:sz w:val="24"/>
          <w:szCs w:val="24"/>
          <w:lang w:eastAsia="zh-CN"/>
        </w:rPr>
        <w:t>万元。通过本项目的实施，充分发挥政策效益，推动农业机械化向全程全面高质高效转型升级，助力全面推进乡村振兴和加快农业农村现代化有效提高农民从事农业生产积极性，持续提升农业机械化水平。</w:t>
      </w:r>
    </w:p>
    <w:p w14:paraId="5EF8C907">
      <w:pPr>
        <w:pageBreakBefore w:val="0"/>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contextualSpacing/>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项目效益：</w:t>
      </w:r>
      <w:r>
        <w:rPr>
          <w:rFonts w:hint="eastAsia" w:ascii="宋体" w:hAnsi="宋体" w:eastAsia="宋体" w:cs="宋体"/>
          <w:b w:val="0"/>
          <w:bCs w:val="0"/>
          <w:color w:val="000000"/>
          <w:sz w:val="24"/>
          <w:szCs w:val="24"/>
          <w:lang w:eastAsia="zh-CN"/>
        </w:rPr>
        <w:t>通过本项目的实施，充分发挥政策效益，推动农业机械化向全程全面高质高效转型升级，助力全面推进乡村振兴和加快农业农村现代化有效提高农民从事农业生产积极性，持续提升农业机械化水平。</w:t>
      </w:r>
    </w:p>
    <w:p w14:paraId="221B043E">
      <w:pPr>
        <w:pageBreakBefore w:val="0"/>
        <w:numPr>
          <w:ilvl w:val="0"/>
          <w:numId w:val="5"/>
        </w:numPr>
        <w:pBdr>
          <w:top w:val="none" w:color="auto" w:sz="0" w:space="0"/>
          <w:left w:val="none" w:color="auto" w:sz="0" w:space="0"/>
          <w:bottom w:val="none" w:color="auto" w:sz="0" w:space="31"/>
          <w:right w:val="none" w:color="auto" w:sz="0" w:space="2"/>
        </w:pBdr>
        <w:kinsoku/>
        <w:wordWrap/>
        <w:topLinePunct w:val="0"/>
        <w:autoSpaceDE/>
        <w:autoSpaceDN w:val="0"/>
        <w:bidi w:val="0"/>
        <w:adjustRightInd/>
        <w:snapToGrid/>
        <w:spacing w:line="360" w:lineRule="auto"/>
        <w:ind w:left="0" w:leftChars="0" w:firstLine="480" w:firstLineChars="200"/>
        <w:contextualSpacing/>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综合评价结论</w:t>
      </w:r>
    </w:p>
    <w:p w14:paraId="7D97DB60">
      <w:pPr>
        <w:pStyle w:val="3"/>
        <w:pageBreakBefore w:val="0"/>
        <w:widowControl w:val="0"/>
        <w:kinsoku/>
        <w:wordWrap/>
        <w:topLinePunct w:val="0"/>
        <w:autoSpaceDE/>
        <w:autoSpaceDN/>
        <w:bidi w:val="0"/>
        <w:adjustRightInd/>
        <w:snapToGrid/>
        <w:spacing w:before="0" w:after="0" w:line="360" w:lineRule="auto"/>
        <w:ind w:left="0" w:leftChars="0" w:firstLine="0" w:firstLineChars="0"/>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b w:val="0"/>
          <w:bCs w:val="0"/>
          <w:color w:val="000000"/>
          <w:sz w:val="24"/>
          <w:szCs w:val="24"/>
          <w:lang w:eastAsia="zh-CN"/>
        </w:rPr>
        <w:t>农机购置补贴</w:t>
      </w:r>
      <w:r>
        <w:rPr>
          <w:rFonts w:hint="eastAsia" w:ascii="宋体" w:hAnsi="宋体" w:eastAsia="宋体" w:cs="宋体"/>
          <w:b w:val="0"/>
          <w:bCs w:val="0"/>
          <w:color w:val="000000"/>
          <w:sz w:val="24"/>
          <w:szCs w:val="24"/>
        </w:rPr>
        <w:t>项目进行客观评价，最终评分结果：评价总分</w:t>
      </w:r>
      <w:r>
        <w:rPr>
          <w:rFonts w:hint="eastAsia" w:ascii="宋体" w:hAnsi="宋体" w:eastAsia="宋体" w:cs="宋体"/>
          <w:b w:val="0"/>
          <w:bCs w:val="0"/>
          <w:color w:val="000000"/>
          <w:sz w:val="24"/>
          <w:szCs w:val="24"/>
          <w:lang w:val="en-US" w:eastAsia="zh-CN"/>
        </w:rPr>
        <w:t>100</w:t>
      </w:r>
      <w:r>
        <w:rPr>
          <w:rFonts w:hint="eastAsia" w:ascii="宋体" w:hAnsi="宋体" w:eastAsia="宋体" w:cs="宋体"/>
          <w:b w:val="0"/>
          <w:bCs w:val="0"/>
          <w:color w:val="000000"/>
          <w:sz w:val="24"/>
          <w:szCs w:val="24"/>
        </w:rPr>
        <w:t>分，绩效等级为“</w:t>
      </w:r>
      <w:r>
        <w:rPr>
          <w:rFonts w:hint="eastAsia" w:ascii="宋体" w:hAnsi="宋体" w:eastAsia="宋体" w:cs="宋体"/>
          <w:b w:val="0"/>
          <w:bCs w:val="0"/>
          <w:color w:val="000000"/>
          <w:sz w:val="24"/>
          <w:szCs w:val="24"/>
          <w:lang w:eastAsia="zh-CN"/>
        </w:rPr>
        <w:t>优</w:t>
      </w:r>
      <w:r>
        <w:rPr>
          <w:rFonts w:hint="eastAsia" w:ascii="宋体" w:hAnsi="宋体" w:eastAsia="宋体" w:cs="宋体"/>
          <w:b w:val="0"/>
          <w:bCs w:val="0"/>
          <w:color w:val="000000"/>
          <w:sz w:val="24"/>
          <w:szCs w:val="24"/>
        </w:rPr>
        <w:t>”。</w:t>
      </w:r>
      <w:bookmarkEnd w:id="15"/>
      <w:bookmarkStart w:id="16" w:name="_Toc68364667"/>
    </w:p>
    <w:p w14:paraId="79EC91A1">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四、绩效评价指标分析</w:t>
      </w:r>
      <w:bookmarkEnd w:id="16"/>
    </w:p>
    <w:p w14:paraId="0FBCAE5E">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bookmarkStart w:id="17" w:name="_Toc68364668"/>
      <w:r>
        <w:rPr>
          <w:rFonts w:hint="eastAsia" w:ascii="宋体" w:hAnsi="宋体" w:eastAsia="宋体" w:cs="宋体"/>
          <w:color w:val="000000"/>
          <w:sz w:val="24"/>
          <w:szCs w:val="24"/>
        </w:rPr>
        <w:t>（一）项目决策情况</w:t>
      </w:r>
    </w:p>
    <w:p w14:paraId="554EE7F3">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项目决策类指标包括项目立项、绩效目标和资金投入三方面的内容，由6个三级指标构成，权重分</w:t>
      </w:r>
      <w:r>
        <w:rPr>
          <w:rFonts w:hint="eastAsia" w:ascii="宋体" w:hAnsi="宋体" w:eastAsia="宋体" w:cs="宋体"/>
          <w:color w:val="000000"/>
          <w:sz w:val="24"/>
          <w:szCs w:val="24"/>
          <w:highlight w:val="none"/>
        </w:rPr>
        <w:t>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w:t>
      </w:r>
      <w:r>
        <w:rPr>
          <w:rFonts w:hint="eastAsia" w:ascii="宋体" w:hAnsi="宋体" w:eastAsia="宋体" w:cs="宋体"/>
          <w:color w:val="000000"/>
          <w:sz w:val="24"/>
          <w:szCs w:val="24"/>
        </w:rPr>
        <w:t>，实际得分</w:t>
      </w:r>
      <w:r>
        <w:rPr>
          <w:rFonts w:hint="eastAsia" w:ascii="宋体" w:hAnsi="宋体" w:eastAsia="宋体" w:cs="宋体"/>
          <w:color w:val="000000"/>
          <w:sz w:val="24"/>
          <w:szCs w:val="24"/>
          <w:lang w:val="en-US" w:eastAsia="zh-CN"/>
        </w:rPr>
        <w:t>23</w:t>
      </w:r>
      <w:r>
        <w:rPr>
          <w:rFonts w:hint="eastAsia" w:ascii="宋体" w:hAnsi="宋体" w:eastAsia="宋体" w:cs="宋体"/>
          <w:color w:val="000000"/>
          <w:sz w:val="24"/>
          <w:szCs w:val="24"/>
        </w:rPr>
        <w:t>分，得分率为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w:t>
      </w:r>
    </w:p>
    <w:p w14:paraId="7C208CA9">
      <w:pPr>
        <w:keepNext w:val="0"/>
        <w:keepLines w:val="0"/>
        <w:pageBreakBefore w:val="0"/>
        <w:widowControl w:val="0"/>
        <w:numPr>
          <w:ilvl w:val="0"/>
          <w:numId w:val="6"/>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立项依据充分性：</w:t>
      </w:r>
    </w:p>
    <w:p w14:paraId="610A6E6F">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符合行业发展规划和政策要求；本项目立项符合《单位配置内设机构和人员编制规定》中职责范围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属于我单位履职所需；根据《财政资金直接支付申请书》，本项目资金性质为“公共财政预算”经济分类属</w:t>
      </w:r>
      <w:r>
        <w:rPr>
          <w:rFonts w:hint="eastAsia" w:ascii="宋体" w:hAnsi="宋体" w:eastAsia="宋体" w:cs="宋体"/>
          <w:color w:val="000000"/>
          <w:sz w:val="24"/>
          <w:szCs w:val="24"/>
          <w:highlight w:val="none"/>
        </w:rPr>
        <w:t>于公共财政支持范围，符合中央、地方事权支出责任划分原则；经检查我单位财政应用平台指标，本项目不存在重复。</w:t>
      </w:r>
    </w:p>
    <w:p w14:paraId="3A037A5D">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4DF634D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（2）立项程序规范性：</w:t>
      </w:r>
    </w:p>
    <w:p w14:paraId="3770F4B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项目立项过程中产生的文件均符合相关要求。本项目为</w:t>
      </w:r>
      <w:r>
        <w:rPr>
          <w:rFonts w:hint="eastAsia" w:ascii="宋体" w:hAnsi="宋体" w:eastAsia="宋体" w:cs="宋体"/>
          <w:color w:val="000000"/>
          <w:sz w:val="24"/>
          <w:szCs w:val="24"/>
          <w:highlight w:val="none"/>
          <w:lang w:eastAsia="zh-CN"/>
        </w:rPr>
        <w:t>专项资金惠民惠农</w:t>
      </w:r>
      <w:r>
        <w:rPr>
          <w:rFonts w:hint="eastAsia" w:ascii="宋体" w:hAnsi="宋体" w:eastAsia="宋体" w:cs="宋体"/>
          <w:color w:val="000000"/>
          <w:sz w:val="24"/>
          <w:szCs w:val="24"/>
          <w:highlight w:val="none"/>
          <w:lang w:val="en-US" w:eastAsia="zh-CN"/>
        </w:rPr>
        <w:t>94项</w:t>
      </w:r>
      <w:r>
        <w:rPr>
          <w:rFonts w:hint="eastAsia" w:ascii="宋体" w:hAnsi="宋体" w:eastAsia="宋体" w:cs="宋体"/>
          <w:color w:val="000000"/>
          <w:sz w:val="24"/>
          <w:szCs w:val="24"/>
          <w:highlight w:val="none"/>
        </w:rPr>
        <w:t>类项目，属于经常性项目，项目预算金额为</w:t>
      </w:r>
      <w:r>
        <w:rPr>
          <w:rFonts w:hint="eastAsia" w:ascii="宋体" w:hAnsi="宋体" w:eastAsia="宋体" w:cs="宋体"/>
          <w:color w:val="000000"/>
          <w:sz w:val="24"/>
          <w:szCs w:val="24"/>
          <w:highlight w:val="none"/>
          <w:lang w:val="en-US" w:eastAsia="zh-CN"/>
        </w:rPr>
        <w:t>234</w:t>
      </w:r>
      <w:r>
        <w:rPr>
          <w:rFonts w:hint="eastAsia" w:ascii="宋体" w:hAnsi="宋体" w:eastAsia="宋体" w:cs="宋体"/>
          <w:color w:val="000000"/>
          <w:sz w:val="24"/>
          <w:szCs w:val="24"/>
          <w:highlight w:val="none"/>
        </w:rPr>
        <w:t>万元，不涉及事前绩效评估和风险评估</w:t>
      </w:r>
      <w:r>
        <w:rPr>
          <w:rFonts w:hint="eastAsia" w:ascii="宋体" w:hAnsi="宋体" w:eastAsia="宋体" w:cs="宋体"/>
          <w:color w:val="000000"/>
          <w:sz w:val="24"/>
          <w:szCs w:val="24"/>
          <w:highlight w:val="none"/>
          <w:lang w:val="en-US" w:eastAsia="zh-CN"/>
        </w:rPr>
        <w:t>.</w:t>
      </w:r>
    </w:p>
    <w:p w14:paraId="6F53B2C4">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r>
        <w:rPr>
          <w:rFonts w:hint="eastAsia" w:ascii="宋体" w:hAnsi="宋体" w:eastAsia="宋体" w:cs="宋体"/>
          <w:b/>
          <w:bCs/>
          <w:color w:val="000000"/>
          <w:sz w:val="24"/>
          <w:szCs w:val="24"/>
          <w:highlight w:val="none"/>
        </w:rPr>
        <w:t>（3）绩效目标合理性</w:t>
      </w:r>
      <w:r>
        <w:rPr>
          <w:rFonts w:hint="eastAsia" w:ascii="宋体" w:hAnsi="宋体" w:eastAsia="宋体" w:cs="宋体"/>
          <w:color w:val="000000"/>
          <w:sz w:val="24"/>
          <w:szCs w:val="24"/>
          <w:highlight w:val="none"/>
        </w:rPr>
        <w:t>：</w:t>
      </w:r>
    </w:p>
    <w:p w14:paraId="706AD77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highlight w:val="none"/>
        </w:rPr>
        <w:t>①该项目已设置年度绩效目标</w:t>
      </w:r>
      <w:r>
        <w:rPr>
          <w:rFonts w:hint="eastAsia" w:ascii="宋体" w:hAnsi="宋体" w:eastAsia="宋体" w:cs="宋体"/>
          <w:color w:val="000000"/>
          <w:sz w:val="24"/>
          <w:szCs w:val="24"/>
        </w:rPr>
        <w:t>，具体内容为“根据《关于下达2024年中央农业生产发展资金预算的通知》（和地财农【2024】12号）文件实施此项目，项目主要内容为：为购置的新购买的139台农业机械进行补贴，于2024年12月31日前完成，项目总投资234万元，其中：农机购置补贴机具经费234万元。通过本项目的实施，充分发挥政策效益，推动农业机械化向全程全面高质高效转型升级，助力全面推进乡村振兴和加快农业农村现代化，有效提高农民从事农业生产积极性，持续提升农业机械化水平。”。</w:t>
      </w:r>
    </w:p>
    <w:p w14:paraId="6EA0C76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②该项目实际工作内容为：绩效目标与实际工作内容一致，两者具有相关性。</w:t>
      </w:r>
    </w:p>
    <w:p w14:paraId="339A2E7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③该项目按照绩效目标完成数量指标、质量指标、时效指标、成本指标，完成了</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，达到</w:t>
      </w:r>
      <w:r>
        <w:rPr>
          <w:rFonts w:hint="eastAsia" w:ascii="宋体" w:hAnsi="宋体" w:eastAsia="宋体" w:cs="宋体"/>
          <w:color w:val="000000"/>
          <w:sz w:val="24"/>
          <w:szCs w:val="24"/>
          <w:highlight w:val="none"/>
          <w:lang w:val="en-US" w:eastAsia="zh-CN"/>
        </w:rPr>
        <w:t>预期</w:t>
      </w:r>
      <w:r>
        <w:rPr>
          <w:rFonts w:hint="eastAsia" w:ascii="宋体" w:hAnsi="宋体" w:eastAsia="宋体" w:cs="宋体"/>
          <w:color w:val="000000"/>
          <w:sz w:val="24"/>
          <w:szCs w:val="24"/>
          <w:highlight w:val="none"/>
        </w:rPr>
        <w:t>效益，预期产出效益和效果是否符合正常的业绩水平。</w:t>
      </w:r>
    </w:p>
    <w:p w14:paraId="2F57651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④该项目批复的预算金额为</w:t>
      </w:r>
      <w:r>
        <w:rPr>
          <w:rFonts w:hint="eastAsia" w:ascii="宋体" w:hAnsi="宋体" w:eastAsia="宋体" w:cs="宋体"/>
          <w:color w:val="000000"/>
          <w:sz w:val="24"/>
          <w:szCs w:val="24"/>
          <w:highlight w:val="none"/>
          <w:lang w:val="en-US" w:eastAsia="zh-CN"/>
        </w:rPr>
        <w:t>234</w:t>
      </w:r>
      <w:r>
        <w:rPr>
          <w:rFonts w:hint="eastAsia" w:ascii="宋体" w:hAnsi="宋体" w:eastAsia="宋体" w:cs="宋体"/>
          <w:color w:val="000000"/>
          <w:sz w:val="24"/>
          <w:szCs w:val="24"/>
          <w:highlight w:val="none"/>
        </w:rPr>
        <w:t>万元，《项目支出绩效目标表》中预算金额为</w:t>
      </w:r>
      <w:r>
        <w:rPr>
          <w:rFonts w:hint="eastAsia" w:ascii="宋体" w:hAnsi="宋体" w:eastAsia="宋体" w:cs="宋体"/>
          <w:color w:val="000000"/>
          <w:sz w:val="24"/>
          <w:szCs w:val="24"/>
          <w:highlight w:val="none"/>
          <w:lang w:val="en-US" w:eastAsia="zh-CN"/>
        </w:rPr>
        <w:t>234</w:t>
      </w:r>
      <w:r>
        <w:rPr>
          <w:rFonts w:hint="eastAsia" w:ascii="宋体" w:hAnsi="宋体" w:eastAsia="宋体" w:cs="宋体"/>
          <w:color w:val="000000"/>
          <w:sz w:val="24"/>
          <w:szCs w:val="24"/>
          <w:highlight w:val="none"/>
        </w:rPr>
        <w:t>万元，预算确定的项目资金与预算确定的项目投资额相匹配。</w:t>
      </w:r>
    </w:p>
    <w:p w14:paraId="5FA653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⑤本单位</w:t>
      </w:r>
      <w:r>
        <w:rPr>
          <w:rFonts w:hint="eastAsia" w:ascii="宋体" w:hAnsi="宋体" w:eastAsia="宋体" w:cs="宋体"/>
          <w:color w:val="000000"/>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7C0F4E05">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绩效指标明确性</w:t>
      </w:r>
      <w:r>
        <w:rPr>
          <w:rFonts w:hint="eastAsia" w:ascii="宋体" w:hAnsi="宋体" w:eastAsia="宋体" w:cs="宋体"/>
          <w:b/>
          <w:bCs/>
          <w:color w:val="000000"/>
          <w:sz w:val="24"/>
          <w:szCs w:val="24"/>
          <w:highlight w:val="none"/>
          <w:lang w:eastAsia="zh-CN"/>
        </w:rPr>
        <w:t>：</w:t>
      </w:r>
      <w:r>
        <w:rPr>
          <w:rFonts w:hint="eastAsia" w:ascii="宋体" w:hAnsi="宋体" w:eastAsia="宋体" w:cs="宋体"/>
          <w:color w:val="000000"/>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个，将项目绩效目标细化分解为具体的绩效指标</w:t>
      </w:r>
      <w:r>
        <w:rPr>
          <w:rFonts w:hint="eastAsia" w:ascii="宋体" w:hAnsi="宋体" w:eastAsia="宋体" w:cs="宋体"/>
          <w:color w:val="000000"/>
          <w:sz w:val="24"/>
          <w:szCs w:val="24"/>
          <w:highlight w:val="none"/>
          <w:lang w:eastAsia="zh-CN"/>
        </w:rPr>
        <w:t>。</w:t>
      </w:r>
    </w:p>
    <w:p w14:paraId="2CE7320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项目绩效目标申报表》中，数量指标指标值为，三级指标的年度指标值与年度绩效目标中任务数一致（或不完全一致），已设置时效指标。已设置的绩效目标具备明确性、可衡量性、可实现性、相关性、时限性。</w:t>
      </w:r>
    </w:p>
    <w:p w14:paraId="162DF8A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DB5CE5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（5）预算编制科学性：</w:t>
      </w:r>
      <w:r>
        <w:rPr>
          <w:rFonts w:hint="eastAsia" w:ascii="宋体" w:hAnsi="宋体" w:eastAsia="宋体" w:cs="宋体"/>
          <w:color w:val="000000"/>
          <w:sz w:val="24"/>
          <w:szCs w:val="24"/>
          <w:highlight w:val="none"/>
        </w:rPr>
        <w:t>本项目，即预算编制较科学且经过论证；</w:t>
      </w:r>
    </w:p>
    <w:p w14:paraId="26EFFB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预算申请内容为</w:t>
      </w:r>
      <w:r>
        <w:rPr>
          <w:rFonts w:hint="eastAsia" w:ascii="宋体" w:hAnsi="宋体" w:eastAsia="宋体" w:cs="宋体"/>
          <w:color w:val="000000"/>
          <w:sz w:val="24"/>
          <w:szCs w:val="24"/>
          <w:highlight w:val="none"/>
          <w:lang w:eastAsia="zh-CN"/>
        </w:rPr>
        <w:t>农机购置补贴</w:t>
      </w:r>
      <w:r>
        <w:rPr>
          <w:rFonts w:hint="eastAsia" w:ascii="宋体" w:hAnsi="宋体" w:eastAsia="宋体" w:cs="宋体"/>
          <w:color w:val="000000"/>
          <w:sz w:val="24"/>
          <w:szCs w:val="24"/>
          <w:highlight w:val="none"/>
        </w:rPr>
        <w:t>，项目实际内容为</w:t>
      </w:r>
      <w:r>
        <w:rPr>
          <w:rFonts w:hint="eastAsia" w:ascii="宋体" w:hAnsi="宋体" w:eastAsia="宋体" w:cs="宋体"/>
          <w:color w:val="000000"/>
          <w:sz w:val="24"/>
          <w:szCs w:val="24"/>
          <w:highlight w:val="none"/>
          <w:lang w:eastAsia="zh-CN"/>
        </w:rPr>
        <w:t>农机购置补贴</w:t>
      </w:r>
      <w:r>
        <w:rPr>
          <w:rFonts w:hint="eastAsia" w:ascii="宋体" w:hAnsi="宋体" w:eastAsia="宋体" w:cs="宋体"/>
          <w:color w:val="000000"/>
          <w:sz w:val="24"/>
          <w:szCs w:val="24"/>
          <w:highlight w:val="none"/>
        </w:rPr>
        <w:t>，预算申请与《</w:t>
      </w:r>
      <w:r>
        <w:rPr>
          <w:rFonts w:hint="eastAsia" w:ascii="宋体" w:hAnsi="宋体" w:eastAsia="宋体" w:cs="宋体"/>
          <w:color w:val="000000"/>
          <w:sz w:val="24"/>
          <w:szCs w:val="24"/>
          <w:highlight w:val="none"/>
          <w:lang w:eastAsia="zh-CN"/>
        </w:rPr>
        <w:t>农机购置补贴</w:t>
      </w:r>
      <w:r>
        <w:rPr>
          <w:rFonts w:hint="eastAsia" w:ascii="宋体" w:hAnsi="宋体" w:eastAsia="宋体" w:cs="宋体"/>
          <w:color w:val="000000"/>
          <w:sz w:val="24"/>
          <w:szCs w:val="24"/>
          <w:highlight w:val="none"/>
        </w:rPr>
        <w:t>项目实施方案》中涉及的项目内容匹配；</w:t>
      </w:r>
    </w:p>
    <w:p w14:paraId="2713C52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234</w:t>
      </w:r>
      <w:r>
        <w:rPr>
          <w:rFonts w:hint="eastAsia" w:ascii="宋体" w:hAnsi="宋体" w:eastAsia="宋体" w:cs="宋体"/>
          <w:color w:val="000000"/>
          <w:sz w:val="24"/>
          <w:szCs w:val="24"/>
          <w:highlight w:val="none"/>
        </w:rPr>
        <w:t>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w:t>
      </w:r>
    </w:p>
    <w:p w14:paraId="3B71F3A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（6）资金分配合理性：</w:t>
      </w:r>
      <w:r>
        <w:rPr>
          <w:rFonts w:hint="eastAsia" w:ascii="宋体" w:hAnsi="宋体" w:eastAsia="宋体" w:cs="宋体"/>
          <w:color w:val="000000"/>
          <w:sz w:val="24"/>
          <w:szCs w:val="24"/>
          <w:highlight w:val="none"/>
        </w:rPr>
        <w:t>本项目实际分配资金以《关于申请</w:t>
      </w:r>
      <w:r>
        <w:rPr>
          <w:rFonts w:hint="eastAsia" w:ascii="宋体" w:hAnsi="宋体" w:eastAsia="宋体" w:cs="宋体"/>
          <w:color w:val="000000"/>
          <w:sz w:val="24"/>
          <w:szCs w:val="24"/>
          <w:highlight w:val="none"/>
          <w:lang w:eastAsia="zh-CN"/>
        </w:rPr>
        <w:t>农机购置补贴项目</w:t>
      </w:r>
      <w:r>
        <w:rPr>
          <w:rFonts w:hint="eastAsia" w:ascii="宋体" w:hAnsi="宋体" w:eastAsia="宋体" w:cs="宋体"/>
          <w:color w:val="000000"/>
          <w:sz w:val="24"/>
          <w:szCs w:val="24"/>
          <w:highlight w:val="none"/>
        </w:rPr>
        <w:t>资金的请示》和《</w:t>
      </w:r>
      <w:r>
        <w:rPr>
          <w:rFonts w:hint="eastAsia" w:ascii="宋体" w:hAnsi="宋体" w:eastAsia="宋体" w:cs="宋体"/>
          <w:color w:val="000000"/>
          <w:sz w:val="24"/>
          <w:szCs w:val="24"/>
          <w:highlight w:val="none"/>
          <w:lang w:eastAsia="zh-CN"/>
        </w:rPr>
        <w:t>农业机械购置补贴</w:t>
      </w:r>
      <w:r>
        <w:rPr>
          <w:rFonts w:hint="eastAsia" w:ascii="宋体" w:hAnsi="宋体" w:eastAsia="宋体" w:cs="宋体"/>
          <w:color w:val="000000"/>
          <w:sz w:val="24"/>
          <w:szCs w:val="24"/>
          <w:highlight w:val="none"/>
        </w:rPr>
        <w:t>项目实施方案》为依据进行资金分配，预算资金分配依据充分。</w:t>
      </w:r>
      <w:r>
        <w:rPr>
          <w:rFonts w:hint="eastAsia" w:ascii="宋体" w:hAnsi="宋体" w:eastAsia="宋体" w:cs="宋体"/>
          <w:color w:val="000000"/>
          <w:sz w:val="24"/>
          <w:szCs w:val="24"/>
          <w:highlight w:val="none"/>
          <w:lang w:eastAsia="zh-CN"/>
        </w:rPr>
        <w:t>和地财农</w:t>
      </w:r>
      <w:r>
        <w:rPr>
          <w:rFonts w:hint="eastAsia" w:ascii="宋体" w:hAnsi="宋体" w:eastAsia="宋体" w:cs="宋体"/>
          <w:color w:val="000000"/>
          <w:sz w:val="24"/>
          <w:szCs w:val="24"/>
          <w:highlight w:val="none"/>
        </w:rPr>
        <w:t>〔20</w:t>
      </w:r>
      <w:r>
        <w:rPr>
          <w:rFonts w:hint="eastAsia" w:ascii="宋体" w:hAnsi="宋体" w:eastAsia="宋体" w:cs="宋体"/>
          <w:color w:val="000000"/>
          <w:sz w:val="24"/>
          <w:szCs w:val="24"/>
          <w:highlight w:val="none"/>
          <w:lang w:val="en-US" w:eastAsia="zh-CN"/>
        </w:rPr>
        <w:t>24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号，本项目实际到位资金</w:t>
      </w:r>
      <w:r>
        <w:rPr>
          <w:rFonts w:hint="eastAsia" w:ascii="宋体" w:hAnsi="宋体" w:eastAsia="宋体" w:cs="宋体"/>
          <w:color w:val="000000"/>
          <w:sz w:val="24"/>
          <w:szCs w:val="24"/>
          <w:highlight w:val="none"/>
          <w:lang w:val="en-US" w:eastAsia="zh-CN"/>
        </w:rPr>
        <w:t>234</w:t>
      </w:r>
      <w:r>
        <w:rPr>
          <w:rFonts w:hint="eastAsia" w:ascii="宋体" w:hAnsi="宋体" w:eastAsia="宋体" w:cs="宋体"/>
          <w:color w:val="000000"/>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w:t>
      </w:r>
    </w:p>
    <w:p w14:paraId="6CF01578">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（二）项目过程情况</w:t>
      </w:r>
    </w:p>
    <w:p w14:paraId="7880BF2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 5个三级指标构成，权重分为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7108B94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bCs/>
          <w:color w:val="000000"/>
          <w:sz w:val="24"/>
          <w:szCs w:val="24"/>
          <w:highlight w:val="none"/>
        </w:rPr>
        <w:t>（1）资金到位率：</w:t>
      </w:r>
      <w:r>
        <w:rPr>
          <w:rFonts w:hint="eastAsia" w:ascii="宋体" w:hAnsi="宋体" w:eastAsia="宋体" w:cs="宋体"/>
          <w:b w:val="0"/>
          <w:bCs w:val="0"/>
          <w:color w:val="000000"/>
          <w:sz w:val="24"/>
          <w:szCs w:val="24"/>
          <w:highlight w:val="none"/>
        </w:rPr>
        <w:t>本项目预算资金为</w:t>
      </w:r>
      <w:r>
        <w:rPr>
          <w:rFonts w:hint="eastAsia" w:ascii="宋体" w:hAnsi="宋体" w:eastAsia="宋体" w:cs="宋体"/>
          <w:b w:val="0"/>
          <w:bCs w:val="0"/>
          <w:color w:val="000000"/>
          <w:sz w:val="24"/>
          <w:szCs w:val="24"/>
          <w:highlight w:val="none"/>
          <w:lang w:val="en-US" w:eastAsia="zh-CN"/>
        </w:rPr>
        <w:t>234</w:t>
      </w:r>
      <w:r>
        <w:rPr>
          <w:rFonts w:hint="eastAsia" w:ascii="宋体" w:hAnsi="宋体" w:eastAsia="宋体" w:cs="宋体"/>
          <w:b w:val="0"/>
          <w:bCs w:val="0"/>
          <w:color w:val="000000"/>
          <w:sz w:val="24"/>
          <w:szCs w:val="24"/>
          <w:highlight w:val="none"/>
        </w:rPr>
        <w:t>万元，其中：财政安排资金</w:t>
      </w:r>
      <w:r>
        <w:rPr>
          <w:rFonts w:hint="eastAsia" w:ascii="宋体" w:hAnsi="宋体" w:eastAsia="宋体" w:cs="宋体"/>
          <w:b w:val="0"/>
          <w:bCs w:val="0"/>
          <w:color w:val="000000"/>
          <w:sz w:val="24"/>
          <w:szCs w:val="24"/>
          <w:highlight w:val="none"/>
          <w:lang w:val="en-US" w:eastAsia="zh-CN"/>
        </w:rPr>
        <w:t>234</w:t>
      </w:r>
      <w:r>
        <w:rPr>
          <w:rFonts w:hint="eastAsia" w:ascii="宋体" w:hAnsi="宋体" w:eastAsia="宋体" w:cs="宋体"/>
          <w:b w:val="0"/>
          <w:bCs w:val="0"/>
          <w:color w:val="000000"/>
          <w:sz w:val="24"/>
          <w:szCs w:val="24"/>
          <w:highlight w:val="none"/>
        </w:rPr>
        <w:t>万元，其他资金</w:t>
      </w:r>
      <w:r>
        <w:rPr>
          <w:rFonts w:hint="eastAsia" w:ascii="宋体" w:hAnsi="宋体" w:eastAsia="宋体" w:cs="宋体"/>
          <w:b w:val="0"/>
          <w:bCs w:val="0"/>
          <w:color w:val="000000"/>
          <w:sz w:val="24"/>
          <w:szCs w:val="24"/>
          <w:highlight w:val="none"/>
          <w:lang w:val="en-US" w:eastAsia="zh-CN"/>
        </w:rPr>
        <w:t>0</w:t>
      </w:r>
      <w:r>
        <w:rPr>
          <w:rFonts w:hint="eastAsia" w:ascii="宋体" w:hAnsi="宋体" w:eastAsia="宋体" w:cs="宋体"/>
          <w:b w:val="0"/>
          <w:bCs w:val="0"/>
          <w:color w:val="000000"/>
          <w:sz w:val="24"/>
          <w:szCs w:val="24"/>
          <w:highlight w:val="none"/>
        </w:rPr>
        <w:t>万元，实际到位资金</w:t>
      </w:r>
      <w:r>
        <w:rPr>
          <w:rFonts w:hint="eastAsia" w:ascii="宋体" w:hAnsi="宋体" w:eastAsia="宋体" w:cs="宋体"/>
          <w:b w:val="0"/>
          <w:bCs w:val="0"/>
          <w:color w:val="000000"/>
          <w:sz w:val="24"/>
          <w:szCs w:val="24"/>
          <w:highlight w:val="none"/>
          <w:lang w:val="en-US" w:eastAsia="zh-CN"/>
        </w:rPr>
        <w:t>234</w:t>
      </w:r>
      <w:r>
        <w:rPr>
          <w:rFonts w:hint="eastAsia" w:ascii="宋体" w:hAnsi="宋体" w:eastAsia="宋体" w:cs="宋体"/>
          <w:b w:val="0"/>
          <w:bCs w:val="0"/>
          <w:color w:val="000000"/>
          <w:sz w:val="24"/>
          <w:szCs w:val="24"/>
          <w:highlight w:val="none"/>
        </w:rPr>
        <w:t>万元，资金到位率=</w:t>
      </w:r>
      <w:r>
        <w:rPr>
          <w:rFonts w:hint="eastAsia" w:ascii="宋体" w:hAnsi="宋体" w:eastAsia="宋体" w:cs="宋体"/>
          <w:b w:val="0"/>
          <w:bCs w:val="0"/>
          <w:color w:val="000000"/>
          <w:sz w:val="24"/>
          <w:szCs w:val="24"/>
          <w:highlight w:val="none"/>
          <w:lang w:val="en-US" w:eastAsia="zh-CN"/>
        </w:rPr>
        <w:t>100%；通过分析可知，该项目</w:t>
      </w:r>
      <w:r>
        <w:rPr>
          <w:rFonts w:hint="eastAsia" w:ascii="宋体" w:hAnsi="宋体" w:eastAsia="宋体" w:cs="宋体"/>
          <w:b w:val="0"/>
          <w:bCs w:val="0"/>
          <w:color w:val="000000"/>
          <w:sz w:val="24"/>
          <w:szCs w:val="24"/>
          <w:highlight w:val="none"/>
        </w:rPr>
        <w:t>财政资金足额拨付到位，能够及时足额</w:t>
      </w:r>
      <w:r>
        <w:rPr>
          <w:rFonts w:hint="eastAsia" w:ascii="宋体" w:hAnsi="宋体" w:eastAsia="宋体" w:cs="宋体"/>
          <w:b w:val="0"/>
          <w:bCs w:val="0"/>
          <w:color w:val="000000"/>
          <w:sz w:val="24"/>
          <w:szCs w:val="24"/>
          <w:highlight w:val="none"/>
          <w:lang w:val="en-US" w:eastAsia="zh-CN"/>
        </w:rPr>
        <w:t>支付</w:t>
      </w:r>
      <w:r>
        <w:rPr>
          <w:rFonts w:hint="eastAsia" w:ascii="宋体" w:hAnsi="宋体" w:eastAsia="宋体" w:cs="宋体"/>
          <w:b w:val="0"/>
          <w:bCs w:val="0"/>
          <w:color w:val="000000"/>
          <w:sz w:val="24"/>
          <w:szCs w:val="24"/>
          <w:highlight w:val="none"/>
        </w:rPr>
        <w:t>给</w:t>
      </w:r>
      <w:r>
        <w:rPr>
          <w:rFonts w:hint="eastAsia" w:ascii="宋体" w:hAnsi="宋体" w:eastAsia="宋体" w:cs="宋体"/>
          <w:b w:val="0"/>
          <w:bCs w:val="0"/>
          <w:color w:val="000000"/>
          <w:sz w:val="24"/>
          <w:szCs w:val="24"/>
          <w:highlight w:val="none"/>
          <w:lang w:val="en-US" w:eastAsia="zh-CN"/>
        </w:rPr>
        <w:t>实施</w:t>
      </w:r>
      <w:r>
        <w:rPr>
          <w:rFonts w:hint="eastAsia" w:ascii="宋体" w:hAnsi="宋体" w:eastAsia="宋体" w:cs="宋体"/>
          <w:b w:val="0"/>
          <w:bCs w:val="0"/>
          <w:color w:val="000000"/>
          <w:sz w:val="24"/>
          <w:szCs w:val="24"/>
          <w:highlight w:val="none"/>
        </w:rPr>
        <w:t>单位</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根据评分标准，该指标不扣分，得</w:t>
      </w:r>
      <w:r>
        <w:rPr>
          <w:rFonts w:hint="eastAsia" w:ascii="宋体" w:hAnsi="宋体" w:eastAsia="宋体" w:cs="宋体"/>
          <w:b w:val="0"/>
          <w:bCs w:val="0"/>
          <w:color w:val="000000"/>
          <w:sz w:val="24"/>
          <w:szCs w:val="24"/>
          <w:highlight w:val="none"/>
          <w:lang w:val="en-US" w:eastAsia="zh-CN"/>
        </w:rPr>
        <w:t>1</w:t>
      </w:r>
      <w:r>
        <w:rPr>
          <w:rFonts w:hint="eastAsia" w:ascii="宋体" w:hAnsi="宋体" w:eastAsia="宋体" w:cs="宋体"/>
          <w:b w:val="0"/>
          <w:bCs w:val="0"/>
          <w:color w:val="000000"/>
          <w:sz w:val="24"/>
          <w:szCs w:val="24"/>
          <w:highlight w:val="none"/>
        </w:rPr>
        <w:t xml:space="preserve">分。   </w:t>
      </w:r>
    </w:p>
    <w:p w14:paraId="60174C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（2）预算执行率：</w:t>
      </w: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233.98</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w:t>
      </w:r>
      <w:r>
        <w:rPr>
          <w:rFonts w:hint="eastAsia" w:ascii="宋体" w:hAnsi="宋体" w:eastAsia="宋体" w:cs="宋体"/>
          <w:b w:val="0"/>
          <w:bCs w:val="0"/>
          <w:color w:val="000000"/>
          <w:sz w:val="24"/>
          <w:szCs w:val="24"/>
          <w:highlight w:val="none"/>
          <w:lang w:val="en-US" w:eastAsia="zh-CN"/>
        </w:rPr>
        <w:t>00</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通过分析可知，该项目</w:t>
      </w:r>
      <w:r>
        <w:rPr>
          <w:rFonts w:hint="eastAsia" w:ascii="宋体" w:hAnsi="宋体" w:eastAsia="宋体" w:cs="宋体"/>
          <w:b w:val="0"/>
          <w:bCs w:val="0"/>
          <w:color w:val="000000"/>
          <w:sz w:val="24"/>
          <w:szCs w:val="24"/>
          <w:highlight w:val="none"/>
        </w:rPr>
        <w:t>预算编</w:t>
      </w:r>
      <w:r>
        <w:rPr>
          <w:rFonts w:hint="eastAsia" w:ascii="宋体" w:hAnsi="宋体" w:eastAsia="宋体" w:cs="宋体"/>
          <w:color w:val="000000"/>
          <w:sz w:val="24"/>
          <w:szCs w:val="24"/>
          <w:highlight w:val="none"/>
        </w:rPr>
        <w:t>制较为详细，项目资金支出总体能够按照预算执行，根据评分标准，该指标不扣分，得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6D35B59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（3）资金使用合规性：</w:t>
      </w: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单位资金管理办法》《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81C03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b/>
          <w:bCs/>
          <w:color w:val="000000"/>
          <w:sz w:val="24"/>
          <w:szCs w:val="24"/>
          <w:highlight w:val="none"/>
        </w:rPr>
        <w:t>4）管理制度健全性：</w:t>
      </w:r>
      <w:r>
        <w:rPr>
          <w:rFonts w:hint="eastAsia" w:ascii="宋体" w:hAnsi="宋体" w:eastAsia="宋体" w:cs="宋体"/>
          <w:b w:val="0"/>
          <w:bCs w:val="0"/>
          <w:color w:val="000000"/>
          <w:sz w:val="24"/>
          <w:szCs w:val="24"/>
          <w:highlight w:val="none"/>
        </w:rPr>
        <w:t>我单位已制定《</w:t>
      </w:r>
      <w:r>
        <w:rPr>
          <w:rFonts w:hint="eastAsia" w:ascii="宋体" w:hAnsi="宋体" w:eastAsia="宋体" w:cs="宋体"/>
          <w:b w:val="0"/>
          <w:bCs w:val="0"/>
          <w:color w:val="000000"/>
          <w:sz w:val="24"/>
          <w:szCs w:val="24"/>
          <w:highlight w:val="none"/>
          <w:lang w:eastAsia="zh-CN"/>
        </w:rPr>
        <w:t>专项</w:t>
      </w:r>
      <w:r>
        <w:rPr>
          <w:rFonts w:hint="eastAsia" w:ascii="宋体" w:hAnsi="宋体" w:eastAsia="宋体" w:cs="宋体"/>
          <w:b w:val="0"/>
          <w:bCs w:val="0"/>
          <w:color w:val="000000"/>
          <w:sz w:val="24"/>
          <w:szCs w:val="24"/>
          <w:highlight w:val="none"/>
        </w:rPr>
        <w:t>资金管理办法》《收支业务管理制度》《政府采购业务管理制度》《合同管理制度》，</w:t>
      </w:r>
      <w:r>
        <w:rPr>
          <w:rFonts w:hint="eastAsia" w:ascii="宋体" w:hAnsi="宋体" w:eastAsia="宋体" w:cs="宋体"/>
          <w:b w:val="0"/>
          <w:bCs w:val="0"/>
          <w:color w:val="000000"/>
          <w:sz w:val="24"/>
          <w:szCs w:val="24"/>
          <w:highlight w:val="none"/>
          <w:lang w:val="en-US" w:eastAsia="zh-CN"/>
        </w:rPr>
        <w:t>相关</w:t>
      </w:r>
      <w:r>
        <w:rPr>
          <w:rFonts w:hint="eastAsia" w:ascii="宋体" w:hAnsi="宋体" w:eastAsia="宋体" w:cs="宋体"/>
          <w:b w:val="0"/>
          <w:bCs w:val="0"/>
          <w:color w:val="000000"/>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rPr>
        <w:t>分。</w:t>
      </w:r>
    </w:p>
    <w:p w14:paraId="46236AA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（5）制度执行有效性</w:t>
      </w:r>
      <w:r>
        <w:rPr>
          <w:rFonts w:hint="eastAsia" w:ascii="宋体" w:hAnsi="宋体" w:eastAsia="宋体" w:cs="宋体"/>
          <w:color w:val="000000"/>
          <w:sz w:val="24"/>
          <w:szCs w:val="24"/>
          <w:highlight w:val="none"/>
        </w:rPr>
        <w:t>：①该项目的实施符合《</w:t>
      </w:r>
      <w:r>
        <w:rPr>
          <w:rFonts w:hint="eastAsia" w:ascii="宋体" w:hAnsi="宋体" w:eastAsia="宋体" w:cs="宋体"/>
          <w:b w:val="0"/>
          <w:bCs w:val="0"/>
          <w:color w:val="000000"/>
          <w:sz w:val="24"/>
          <w:szCs w:val="24"/>
          <w:highlight w:val="none"/>
          <w:lang w:eastAsia="zh-CN"/>
        </w:rPr>
        <w:t>专项</w:t>
      </w:r>
      <w:r>
        <w:rPr>
          <w:rFonts w:hint="eastAsia" w:ascii="宋体" w:hAnsi="宋体" w:eastAsia="宋体" w:cs="宋体"/>
          <w:b w:val="0"/>
          <w:bCs w:val="0"/>
          <w:color w:val="000000"/>
          <w:sz w:val="24"/>
          <w:szCs w:val="24"/>
          <w:highlight w:val="none"/>
        </w:rPr>
        <w:t>资金管理</w:t>
      </w:r>
      <w:r>
        <w:rPr>
          <w:rFonts w:hint="eastAsia" w:ascii="宋体" w:hAnsi="宋体" w:eastAsia="宋体" w:cs="宋体"/>
          <w:color w:val="000000"/>
          <w:sz w:val="24"/>
          <w:szCs w:val="24"/>
          <w:highlight w:val="none"/>
        </w:rPr>
        <w:t>办法》《</w:t>
      </w:r>
      <w:r>
        <w:rPr>
          <w:rFonts w:hint="eastAsia" w:ascii="宋体" w:hAnsi="宋体" w:eastAsia="宋体" w:cs="宋体"/>
          <w:b w:val="0"/>
          <w:bCs w:val="0"/>
          <w:color w:val="000000"/>
          <w:sz w:val="24"/>
          <w:szCs w:val="24"/>
          <w:highlight w:val="none"/>
        </w:rPr>
        <w:t>收支业务</w:t>
      </w:r>
      <w:r>
        <w:rPr>
          <w:rFonts w:hint="eastAsia" w:ascii="宋体" w:hAnsi="宋体" w:eastAsia="宋体" w:cs="宋体"/>
          <w:color w:val="000000"/>
          <w:sz w:val="24"/>
          <w:szCs w:val="24"/>
          <w:highlight w:val="none"/>
        </w:rPr>
        <w:t>管理制度》《</w:t>
      </w:r>
      <w:r>
        <w:rPr>
          <w:rFonts w:hint="eastAsia" w:ascii="宋体" w:hAnsi="宋体" w:eastAsia="宋体" w:cs="宋体"/>
          <w:color w:val="000000"/>
          <w:sz w:val="24"/>
          <w:szCs w:val="24"/>
          <w:highlight w:val="none"/>
          <w:lang w:val="en-US" w:eastAsia="zh-CN"/>
        </w:rPr>
        <w:t>政府</w:t>
      </w:r>
      <w:r>
        <w:rPr>
          <w:rFonts w:hint="eastAsia" w:ascii="宋体" w:hAnsi="宋体" w:eastAsia="宋体" w:cs="宋体"/>
          <w:color w:val="000000"/>
          <w:sz w:val="24"/>
          <w:szCs w:val="24"/>
          <w:highlight w:val="none"/>
        </w:rPr>
        <w:t>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987DB1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126610E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08BBA81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000000"/>
          <w:sz w:val="24"/>
          <w:szCs w:val="24"/>
          <w:highlight w:val="none"/>
          <w:lang w:eastAsia="zh-CN"/>
        </w:rPr>
        <w:t>农机购置补贴</w:t>
      </w:r>
      <w:r>
        <w:rPr>
          <w:rFonts w:hint="eastAsia" w:ascii="宋体" w:hAnsi="宋体" w:eastAsia="宋体" w:cs="宋体"/>
          <w:color w:val="000000"/>
          <w:sz w:val="24"/>
          <w:szCs w:val="24"/>
          <w:highlight w:val="none"/>
        </w:rPr>
        <w:t>项目工作领导小组，由</w:t>
      </w:r>
      <w:r>
        <w:rPr>
          <w:rFonts w:hint="eastAsia" w:ascii="宋体" w:hAnsi="宋体" w:eastAsia="宋体" w:cs="宋体"/>
          <w:color w:val="000000"/>
          <w:sz w:val="24"/>
          <w:szCs w:val="24"/>
          <w:highlight w:val="none"/>
          <w:lang w:eastAsia="zh-CN"/>
        </w:rPr>
        <w:t>王鑫</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亚库普</w:t>
      </w:r>
      <w:r>
        <w:rPr>
          <w:rFonts w:hint="eastAsia" w:ascii="宋体" w:hAnsi="宋体" w:eastAsia="宋体" w:cs="宋体"/>
          <w:color w:val="000000"/>
          <w:sz w:val="24"/>
          <w:szCs w:val="24"/>
          <w:highlight w:val="none"/>
        </w:rPr>
        <w:t>负责项目的实施工作；组员包括：</w:t>
      </w:r>
      <w:r>
        <w:rPr>
          <w:rFonts w:hint="eastAsia" w:ascii="宋体" w:hAnsi="宋体" w:eastAsia="宋体" w:cs="宋体"/>
          <w:color w:val="000000"/>
          <w:sz w:val="24"/>
          <w:szCs w:val="24"/>
          <w:highlight w:val="none"/>
          <w:lang w:eastAsia="zh-CN"/>
        </w:rPr>
        <w:t>亚库普</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王如兵</w:t>
      </w:r>
      <w:r>
        <w:rPr>
          <w:rFonts w:hint="eastAsia" w:ascii="宋体" w:hAnsi="宋体" w:eastAsia="宋体" w:cs="宋体"/>
          <w:color w:val="000000"/>
          <w:sz w:val="24"/>
          <w:szCs w:val="24"/>
          <w:highlight w:val="none"/>
        </w:rPr>
        <w:t>，主要负责项目监督管理、验收以及资金核拨等工作。根据评分标准，该指标不扣分，得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05EEA61C">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（三）项目产出情况</w:t>
      </w:r>
    </w:p>
    <w:p w14:paraId="39D8F8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项目产出类指标包括产出数量、产出质量、产出时效、产出成本四方面的内容，由4个三级指标构成，权重分为4</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723F033D">
      <w:pPr>
        <w:pageBreakBefore w:val="0"/>
        <w:widowControl w:val="0"/>
        <w:numPr>
          <w:ilvl w:val="0"/>
          <w:numId w:val="7"/>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对于“产出数量”</w:t>
      </w:r>
    </w:p>
    <w:p w14:paraId="4B5832B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数量</w:t>
      </w:r>
      <w:r>
        <w:rPr>
          <w:rFonts w:hint="eastAsia" w:ascii="宋体" w:hAnsi="宋体" w:eastAsia="宋体" w:cs="宋体"/>
          <w:color w:val="000000"/>
          <w:sz w:val="24"/>
          <w:szCs w:val="24"/>
          <w:highlight w:val="none"/>
        </w:rPr>
        <w:t>指标，预期指标值为</w:t>
      </w:r>
      <w:r>
        <w:rPr>
          <w:rFonts w:hint="eastAsia" w:ascii="宋体" w:hAnsi="宋体" w:eastAsia="宋体" w:cs="宋体"/>
          <w:color w:val="000000"/>
          <w:sz w:val="24"/>
          <w:szCs w:val="24"/>
          <w:highlight w:val="none"/>
          <w:lang w:val="en-US" w:eastAsia="zh-CN"/>
        </w:rPr>
        <w:t>139台</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139台</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C1C3618">
      <w:pPr>
        <w:pageBreakBefore w:val="0"/>
        <w:widowControl w:val="0"/>
        <w:numPr>
          <w:ilvl w:val="0"/>
          <w:numId w:val="7"/>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对于“产出质量”：</w:t>
      </w:r>
    </w:p>
    <w:p w14:paraId="4D09F1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补助发放覆盖率指标，预期指标值为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5739B43">
      <w:pPr>
        <w:pStyle w:val="10"/>
        <w:pageBreakBefore w:val="0"/>
        <w:widowControl w:val="0"/>
        <w:numPr>
          <w:ilvl w:val="0"/>
          <w:numId w:val="7"/>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对于“产出时效”：</w:t>
      </w:r>
    </w:p>
    <w:p w14:paraId="258B68E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w:t>
      </w:r>
      <w:r>
        <w:rPr>
          <w:rFonts w:hint="eastAsia" w:ascii="宋体" w:hAnsi="宋体" w:eastAsia="宋体" w:cs="宋体"/>
          <w:b w:val="0"/>
          <w:color w:val="000000"/>
          <w:sz w:val="24"/>
          <w:szCs w:val="24"/>
          <w:highlight w:val="none"/>
          <w:lang w:val="en-US" w:eastAsia="zh-CN"/>
        </w:rPr>
        <w:t>指标，</w:t>
      </w:r>
      <w:r>
        <w:rPr>
          <w:rFonts w:hint="eastAsia" w:ascii="宋体" w:hAnsi="宋体" w:eastAsia="宋体" w:cs="宋体"/>
          <w:b w:val="0"/>
          <w:color w:val="000000"/>
          <w:sz w:val="24"/>
          <w:szCs w:val="24"/>
          <w:highlight w:val="none"/>
        </w:rPr>
        <w:t>预期指标值为</w:t>
      </w:r>
      <w:r>
        <w:rPr>
          <w:rFonts w:hint="eastAsia" w:ascii="宋体" w:hAnsi="宋体" w:eastAsia="宋体" w:cs="宋体"/>
          <w:b w:val="0"/>
          <w:color w:val="000000"/>
          <w:sz w:val="24"/>
          <w:szCs w:val="24"/>
          <w:highlight w:val="none"/>
          <w:lang w:val="en-US" w:eastAsia="zh-CN"/>
        </w:rPr>
        <w:t>2024年1月</w:t>
      </w:r>
      <w:r>
        <w:rPr>
          <w:rFonts w:hint="eastAsia" w:ascii="宋体" w:hAnsi="宋体" w:eastAsia="宋体" w:cs="宋体"/>
          <w:b w:val="0"/>
          <w:color w:val="000000"/>
          <w:sz w:val="24"/>
          <w:szCs w:val="24"/>
          <w:highlight w:val="none"/>
        </w:rPr>
        <w:t>，实际完成值为</w:t>
      </w:r>
      <w:r>
        <w:rPr>
          <w:rFonts w:hint="eastAsia" w:ascii="宋体" w:hAnsi="宋体" w:eastAsia="宋体" w:cs="宋体"/>
          <w:b w:val="0"/>
          <w:color w:val="000000"/>
          <w:sz w:val="24"/>
          <w:szCs w:val="24"/>
          <w:highlight w:val="none"/>
          <w:lang w:val="en-US" w:eastAsia="zh-CN"/>
        </w:rPr>
        <w:t>2024年1月</w:t>
      </w:r>
      <w:r>
        <w:rPr>
          <w:rFonts w:hint="eastAsia" w:ascii="宋体" w:hAnsi="宋体" w:eastAsia="宋体" w:cs="宋体"/>
          <w:b w:val="0"/>
          <w:color w:val="000000"/>
          <w:sz w:val="24"/>
          <w:szCs w:val="24"/>
          <w:highlight w:val="none"/>
        </w:rPr>
        <w:t>，指标完成率为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ABA663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补助拨付及时率</w:t>
      </w:r>
      <w:r>
        <w:rPr>
          <w:rFonts w:hint="eastAsia" w:ascii="宋体" w:hAnsi="宋体" w:eastAsia="宋体" w:cs="宋体"/>
          <w:b w:val="0"/>
          <w:color w:val="000000"/>
          <w:sz w:val="24"/>
          <w:szCs w:val="24"/>
          <w:highlight w:val="none"/>
          <w:lang w:val="en-US" w:eastAsia="zh-CN"/>
        </w:rPr>
        <w:t>指标，</w:t>
      </w:r>
      <w:r>
        <w:rPr>
          <w:rFonts w:hint="eastAsia" w:ascii="宋体" w:hAnsi="宋体" w:eastAsia="宋体" w:cs="宋体"/>
          <w:b w:val="0"/>
          <w:color w:val="000000"/>
          <w:sz w:val="24"/>
          <w:szCs w:val="24"/>
          <w:highlight w:val="none"/>
        </w:rPr>
        <w:t>预期指标值为</w:t>
      </w:r>
      <w:r>
        <w:rPr>
          <w:rFonts w:hint="eastAsia" w:ascii="宋体" w:hAnsi="宋体" w:eastAsia="宋体" w:cs="宋体"/>
          <w:b w:val="0"/>
          <w:color w:val="000000"/>
          <w:sz w:val="24"/>
          <w:szCs w:val="24"/>
          <w:highlight w:val="none"/>
          <w:lang w:eastAsia="zh-CN"/>
        </w:rPr>
        <w:t>100%</w:t>
      </w:r>
      <w:r>
        <w:rPr>
          <w:rFonts w:hint="eastAsia" w:ascii="宋体" w:hAnsi="宋体" w:eastAsia="宋体" w:cs="宋体"/>
          <w:b w:val="0"/>
          <w:color w:val="000000"/>
          <w:sz w:val="24"/>
          <w:szCs w:val="24"/>
          <w:highlight w:val="none"/>
        </w:rPr>
        <w:t>，实际完成值为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E89622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10EAD08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（4）对于“产出成本”：</w:t>
      </w:r>
    </w:p>
    <w:p w14:paraId="21643F7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农机购置补贴经费</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预期指标值为</w:t>
      </w:r>
      <w:r>
        <w:rPr>
          <w:rFonts w:hint="eastAsia" w:ascii="宋体" w:hAnsi="宋体" w:eastAsia="宋体" w:cs="宋体"/>
          <w:color w:val="000000"/>
          <w:sz w:val="24"/>
          <w:szCs w:val="24"/>
          <w:highlight w:val="none"/>
          <w:lang w:val="en-US" w:eastAsia="zh-CN"/>
        </w:rPr>
        <w:t>234万元</w:t>
      </w:r>
      <w:r>
        <w:rPr>
          <w:rFonts w:hint="eastAsia" w:ascii="宋体" w:hAnsi="宋体" w:eastAsia="宋体" w:cs="宋体"/>
          <w:color w:val="000000"/>
          <w:sz w:val="24"/>
          <w:szCs w:val="24"/>
          <w:highlight w:val="none"/>
        </w:rPr>
        <w:t>，实际完成值为</w:t>
      </w:r>
      <w:r>
        <w:rPr>
          <w:rFonts w:hint="eastAsia" w:ascii="宋体" w:hAnsi="宋体" w:eastAsia="宋体" w:cs="宋体"/>
          <w:color w:val="000000"/>
          <w:sz w:val="24"/>
          <w:szCs w:val="24"/>
          <w:highlight w:val="none"/>
          <w:lang w:val="en-US" w:eastAsia="zh-CN"/>
        </w:rPr>
        <w:t>233.98万元</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lang w:eastAsia="zh-CN"/>
        </w:rPr>
        <w:t>。</w:t>
      </w:r>
    </w:p>
    <w:p w14:paraId="35A2236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6F8F8C8A">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（四）项目效益情况</w:t>
      </w:r>
    </w:p>
    <w:p w14:paraId="6F3F1E5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项目效益类指标包括项目效益1个方面的内容，由2个三级指标构成，权重分为20分，实际得分20分，得分率为100%。</w:t>
      </w:r>
    </w:p>
    <w:p w14:paraId="61A830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（1）对于“社会效益指标”：</w:t>
      </w:r>
    </w:p>
    <w:p w14:paraId="71CDDB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农机购置补贴受益户数指标，该指标预期指标值为</w:t>
      </w:r>
      <w:r>
        <w:rPr>
          <w:rFonts w:hint="eastAsia" w:ascii="宋体" w:hAnsi="宋体" w:eastAsia="宋体" w:cs="宋体"/>
          <w:color w:val="000000"/>
          <w:sz w:val="24"/>
          <w:szCs w:val="24"/>
          <w:lang w:val="en-US" w:eastAsia="zh-CN"/>
        </w:rPr>
        <w:t>≥123户</w:t>
      </w:r>
      <w:r>
        <w:rPr>
          <w:rFonts w:hint="eastAsia" w:ascii="宋体" w:hAnsi="宋体" w:eastAsia="宋体" w:cs="宋体"/>
          <w:color w:val="000000"/>
          <w:sz w:val="24"/>
          <w:szCs w:val="24"/>
        </w:rPr>
        <w:t>，实际完成值为</w:t>
      </w:r>
      <w:r>
        <w:rPr>
          <w:rFonts w:hint="eastAsia" w:ascii="宋体" w:hAnsi="宋体" w:eastAsia="宋体" w:cs="宋体"/>
          <w:color w:val="000000"/>
          <w:sz w:val="24"/>
          <w:szCs w:val="24"/>
          <w:lang w:val="en-US" w:eastAsia="zh-CN"/>
        </w:rPr>
        <w:t>123户</w:t>
      </w:r>
      <w:r>
        <w:rPr>
          <w:rFonts w:hint="eastAsia" w:ascii="宋体" w:hAnsi="宋体" w:eastAsia="宋体" w:cs="宋体"/>
          <w:color w:val="000000"/>
          <w:sz w:val="24"/>
          <w:szCs w:val="24"/>
        </w:rPr>
        <w:t>，指标完成率为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，与预期指标一致，根据评分标准，该指标不扣分，得</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分。</w:t>
      </w:r>
    </w:p>
    <w:p w14:paraId="2A5B86C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提高农民从事农业生产积极性，提升农业机械化水平指标，该指标预期指标值为</w:t>
      </w:r>
      <w:r>
        <w:rPr>
          <w:rFonts w:hint="eastAsia" w:ascii="宋体" w:hAnsi="宋体" w:eastAsia="宋体" w:cs="宋体"/>
          <w:color w:val="000000"/>
          <w:sz w:val="24"/>
          <w:szCs w:val="24"/>
          <w:lang w:val="en-US" w:eastAsia="zh-CN"/>
        </w:rPr>
        <w:t>效果显著</w:t>
      </w:r>
      <w:r>
        <w:rPr>
          <w:rFonts w:hint="eastAsia" w:ascii="宋体" w:hAnsi="宋体" w:eastAsia="宋体" w:cs="宋体"/>
          <w:color w:val="000000"/>
          <w:sz w:val="24"/>
          <w:szCs w:val="24"/>
        </w:rPr>
        <w:t>，实际完成值为</w:t>
      </w:r>
      <w:r>
        <w:rPr>
          <w:rFonts w:hint="eastAsia" w:ascii="宋体" w:hAnsi="宋体" w:eastAsia="宋体" w:cs="宋体"/>
          <w:color w:val="000000"/>
          <w:sz w:val="24"/>
          <w:szCs w:val="24"/>
          <w:lang w:val="en-US" w:eastAsia="zh-CN"/>
        </w:rPr>
        <w:t>效果显著</w:t>
      </w:r>
      <w:r>
        <w:rPr>
          <w:rFonts w:hint="eastAsia" w:ascii="宋体" w:hAnsi="宋体" w:eastAsia="宋体" w:cs="宋体"/>
          <w:color w:val="000000"/>
          <w:sz w:val="24"/>
          <w:szCs w:val="24"/>
        </w:rPr>
        <w:t>，指标完成率为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与预期指标一致，根据评分标准，该指标不扣分，得</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分。</w:t>
      </w:r>
    </w:p>
    <w:p w14:paraId="29487A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（2）对于“经济效益指标”：</w:t>
      </w:r>
    </w:p>
    <w:p w14:paraId="4FB2BA9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该项目无经济效益指标。</w:t>
      </w:r>
    </w:p>
    <w:p w14:paraId="05CB070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（3）对于“生态效益指标”：</w:t>
      </w:r>
    </w:p>
    <w:p w14:paraId="7F3B724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该项目无生态效益指标。</w:t>
      </w:r>
    </w:p>
    <w:p w14:paraId="58345A1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（4）满意度指标分析</w:t>
      </w:r>
    </w:p>
    <w:p w14:paraId="209B8CD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对于“满意度指标：</w:t>
      </w:r>
      <w:r>
        <w:rPr>
          <w:rFonts w:hint="eastAsia" w:ascii="宋体" w:hAnsi="宋体" w:eastAsia="宋体" w:cs="宋体"/>
          <w:color w:val="000000"/>
          <w:sz w:val="24"/>
          <w:szCs w:val="24"/>
          <w:lang w:val="en-US" w:eastAsia="zh-CN"/>
        </w:rPr>
        <w:t>群众</w:t>
      </w:r>
      <w:r>
        <w:rPr>
          <w:rFonts w:hint="eastAsia" w:ascii="宋体" w:hAnsi="宋体" w:eastAsia="宋体" w:cs="宋体"/>
          <w:color w:val="000000"/>
          <w:sz w:val="24"/>
          <w:szCs w:val="24"/>
        </w:rPr>
        <w:t>满意度，该指标预期指标值为</w:t>
      </w:r>
      <w:r>
        <w:rPr>
          <w:rFonts w:hint="eastAsia" w:ascii="宋体" w:hAnsi="宋体" w:eastAsia="宋体" w:cs="宋体"/>
          <w:color w:val="000000"/>
          <w:sz w:val="24"/>
          <w:szCs w:val="24"/>
          <w:lang w:val="en-US" w:eastAsia="zh-CN"/>
        </w:rPr>
        <w:t>大于等于95</w:t>
      </w:r>
      <w:r>
        <w:rPr>
          <w:rFonts w:hint="eastAsia" w:ascii="宋体" w:hAnsi="宋体" w:eastAsia="宋体" w:cs="宋体"/>
          <w:color w:val="000000"/>
          <w:sz w:val="24"/>
          <w:szCs w:val="24"/>
        </w:rPr>
        <w:t>，实际完成值为</w:t>
      </w:r>
      <w:r>
        <w:rPr>
          <w:rFonts w:hint="eastAsia" w:ascii="宋体" w:hAnsi="宋体" w:eastAsia="宋体" w:cs="宋体"/>
          <w:color w:val="000000"/>
          <w:sz w:val="24"/>
          <w:szCs w:val="24"/>
          <w:lang w:val="en-US" w:eastAsia="zh-CN"/>
        </w:rPr>
        <w:t>95%</w:t>
      </w:r>
      <w:r>
        <w:rPr>
          <w:rFonts w:hint="eastAsia" w:ascii="宋体" w:hAnsi="宋体" w:eastAsia="宋体" w:cs="宋体"/>
          <w:color w:val="000000"/>
          <w:sz w:val="24"/>
          <w:szCs w:val="24"/>
        </w:rPr>
        <w:t>，指标完成率为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，与预期目标一致，根据评分标准，该指标不扣分,得10分。</w:t>
      </w:r>
      <w:bookmarkEnd w:id="17"/>
    </w:p>
    <w:p w14:paraId="2AF2B503">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p>
    <w:p w14:paraId="591A2657">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五、预算执行进度与绩效指标偏差情况</w:t>
      </w:r>
    </w:p>
    <w:p w14:paraId="27E19A59">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本项目年初预算资金总额为</w:t>
      </w:r>
      <w:r>
        <w:rPr>
          <w:rFonts w:hint="eastAsia" w:ascii="宋体" w:hAnsi="宋体" w:eastAsia="宋体" w:cs="宋体"/>
          <w:color w:val="000000"/>
          <w:sz w:val="24"/>
          <w:szCs w:val="24"/>
          <w:lang w:val="en-US" w:eastAsia="zh-CN"/>
        </w:rPr>
        <w:t>234</w:t>
      </w:r>
      <w:r>
        <w:rPr>
          <w:rFonts w:hint="eastAsia" w:ascii="宋体" w:hAnsi="宋体" w:eastAsia="宋体" w:cs="宋体"/>
          <w:color w:val="000000"/>
          <w:sz w:val="24"/>
          <w:szCs w:val="24"/>
        </w:rPr>
        <w:t>万元，全年预算数为</w:t>
      </w:r>
      <w:r>
        <w:rPr>
          <w:rFonts w:hint="eastAsia" w:ascii="宋体" w:hAnsi="宋体" w:eastAsia="宋体" w:cs="宋体"/>
          <w:color w:val="000000"/>
          <w:sz w:val="24"/>
          <w:szCs w:val="24"/>
          <w:lang w:val="en-US" w:eastAsia="zh-CN"/>
        </w:rPr>
        <w:t>234</w:t>
      </w:r>
      <w:r>
        <w:rPr>
          <w:rFonts w:hint="eastAsia" w:ascii="宋体" w:hAnsi="宋体" w:eastAsia="宋体" w:cs="宋体"/>
          <w:color w:val="000000"/>
          <w:sz w:val="24"/>
          <w:szCs w:val="24"/>
        </w:rPr>
        <w:t>万元，全年执行数为</w:t>
      </w:r>
      <w:r>
        <w:rPr>
          <w:rFonts w:hint="eastAsia" w:ascii="宋体" w:hAnsi="宋体" w:eastAsia="宋体" w:cs="宋体"/>
          <w:color w:val="000000"/>
          <w:sz w:val="24"/>
          <w:szCs w:val="24"/>
          <w:lang w:val="en-US" w:eastAsia="zh-CN"/>
        </w:rPr>
        <w:t>233.98</w:t>
      </w:r>
      <w:r>
        <w:rPr>
          <w:rFonts w:hint="eastAsia" w:ascii="宋体" w:hAnsi="宋体" w:eastAsia="宋体" w:cs="宋体"/>
          <w:color w:val="000000"/>
          <w:sz w:val="24"/>
          <w:szCs w:val="24"/>
        </w:rPr>
        <w:t>万元，预算执行率为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w:t>
      </w:r>
    </w:p>
    <w:p w14:paraId="5DCA9AE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本项目共设置三级指标数量</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个，满分指标数量</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个，扣分指标数量</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个，经分析计算所有三级指标完成率得出，本项目总体完成率为</w:t>
      </w:r>
      <w:r>
        <w:rPr>
          <w:rFonts w:hint="eastAsia" w:ascii="宋体" w:hAnsi="宋体" w:eastAsia="宋体" w:cs="宋体"/>
          <w:color w:val="000000"/>
          <w:sz w:val="24"/>
          <w:szCs w:val="24"/>
          <w:lang w:val="en-US" w:eastAsia="zh-CN"/>
        </w:rPr>
        <w:t>100</w:t>
      </w:r>
      <w:r>
        <w:rPr>
          <w:rFonts w:hint="eastAsia" w:ascii="宋体" w:hAnsi="宋体" w:eastAsia="宋体" w:cs="宋体"/>
          <w:color w:val="000000"/>
          <w:sz w:val="24"/>
          <w:szCs w:val="24"/>
        </w:rPr>
        <w:t>%。</w:t>
      </w:r>
    </w:p>
    <w:p w14:paraId="07B8C7C5">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综上所述本项目预算执行率与总体完成率之间的偏差为</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w:t>
      </w:r>
    </w:p>
    <w:p w14:paraId="7DF8CE8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bookmarkStart w:id="18" w:name="_Toc68364673"/>
    </w:p>
    <w:p w14:paraId="13ECE149">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六、主要经验及做法、存在的问题及原因分析</w:t>
      </w:r>
    </w:p>
    <w:p w14:paraId="784D75B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rPr>
      </w:pPr>
      <w:r>
        <w:rPr>
          <w:rFonts w:hint="eastAsia" w:ascii="宋体" w:hAnsi="宋体" w:eastAsia="宋体" w:cs="宋体"/>
          <w:color w:val="000000"/>
          <w:sz w:val="24"/>
          <w:szCs w:val="24"/>
        </w:rPr>
        <w:t>（一）主要经验及做法</w:t>
      </w:r>
      <w:bookmarkEnd w:id="18"/>
    </w:p>
    <w:p w14:paraId="435BBE97">
      <w:pPr>
        <w:pStyle w:val="62"/>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sz w:val="24"/>
          <w:szCs w:val="24"/>
          <w:lang w:eastAsia="zh-CN"/>
        </w:rPr>
      </w:pPr>
      <w:bookmarkStart w:id="19" w:name="_Toc68364674"/>
      <w:r>
        <w:rPr>
          <w:rFonts w:hint="eastAsia" w:ascii="宋体" w:hAnsi="宋体" w:eastAsia="宋体" w:cs="宋体"/>
          <w:b w:val="0"/>
          <w:sz w:val="24"/>
          <w:szCs w:val="24"/>
        </w:rPr>
        <w:t>本项目实施效果较好的原因主要是管理制度完善、责任落实到位，跟踪考核机制完善且运行有效，在项目实施过程中创新管理办法，使项目取得了良好的效果</w:t>
      </w:r>
      <w:r>
        <w:rPr>
          <w:rFonts w:hint="eastAsia" w:ascii="宋体" w:hAnsi="宋体" w:eastAsia="宋体" w:cs="宋体"/>
          <w:b w:val="0"/>
          <w:color w:val="FF0000"/>
          <w:sz w:val="24"/>
          <w:szCs w:val="24"/>
          <w:lang w:eastAsia="zh-CN"/>
        </w:rPr>
        <w:t>。</w:t>
      </w:r>
    </w:p>
    <w:p w14:paraId="5FC0247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rPr>
        <w:t>（二）存在问题及原因分析</w:t>
      </w:r>
      <w:bookmarkEnd w:id="19"/>
    </w:p>
    <w:p w14:paraId="6CB1670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一是对各项指标和指标值要进一步优化、完善，主要在细化、量化上改进</w:t>
      </w:r>
      <w:r>
        <w:rPr>
          <w:rFonts w:hint="eastAsia" w:ascii="宋体" w:hAnsi="宋体" w:eastAsia="宋体" w:cs="宋体"/>
          <w:color w:val="000000"/>
          <w:sz w:val="24"/>
          <w:szCs w:val="24"/>
          <w:lang w:eastAsia="zh-CN"/>
        </w:rPr>
        <w:t>；</w:t>
      </w:r>
    </w:p>
    <w:p w14:paraId="62BC8D7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二是</w:t>
      </w:r>
      <w:r>
        <w:rPr>
          <w:rFonts w:hint="eastAsia" w:ascii="宋体" w:hAnsi="宋体" w:eastAsia="宋体" w:cs="宋体"/>
          <w:color w:val="000000"/>
          <w:sz w:val="24"/>
          <w:szCs w:val="24"/>
          <w:lang w:val="en-US" w:eastAsia="zh-CN"/>
        </w:rPr>
        <w:t>部门</w:t>
      </w:r>
      <w:r>
        <w:rPr>
          <w:rFonts w:hint="eastAsia" w:ascii="宋体" w:hAnsi="宋体" w:eastAsia="宋体" w:cs="宋体"/>
          <w:color w:val="000000"/>
          <w:sz w:val="24"/>
          <w:szCs w:val="24"/>
        </w:rPr>
        <w:t>评价工作还存在自我审定的局限性，会影响评价质量，容易造成问题的疏漏，在客观性和公正性上说服力不强</w:t>
      </w:r>
      <w:r>
        <w:rPr>
          <w:rFonts w:hint="eastAsia" w:ascii="宋体" w:hAnsi="宋体" w:eastAsia="宋体" w:cs="宋体"/>
          <w:color w:val="000000"/>
          <w:sz w:val="24"/>
          <w:szCs w:val="24"/>
          <w:lang w:eastAsia="zh-CN"/>
        </w:rPr>
        <w:t>；</w:t>
      </w:r>
    </w:p>
    <w:p w14:paraId="4C6FC27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三是缺少带着问题去评价的意识</w:t>
      </w:r>
      <w:r>
        <w:rPr>
          <w:rFonts w:hint="eastAsia" w:ascii="宋体" w:hAnsi="宋体" w:eastAsia="宋体" w:cs="宋体"/>
          <w:color w:val="000000"/>
          <w:sz w:val="24"/>
          <w:szCs w:val="24"/>
          <w:lang w:eastAsia="zh-CN"/>
        </w:rPr>
        <w:t>；</w:t>
      </w:r>
    </w:p>
    <w:p w14:paraId="06FA262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四是现场评价的工作量少，后续效益评价具体措施和方法较少。</w:t>
      </w:r>
    </w:p>
    <w:p w14:paraId="4106F57E">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highlight w:val="none"/>
        </w:rPr>
      </w:pPr>
      <w:bookmarkStart w:id="20" w:name="_Toc68364675"/>
    </w:p>
    <w:p w14:paraId="04C0512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000000"/>
          <w:sz w:val="24"/>
          <w:szCs w:val="24"/>
          <w:highlight w:val="none"/>
        </w:rPr>
      </w:pPr>
      <w:r>
        <w:rPr>
          <w:rFonts w:hint="eastAsia" w:ascii="黑体" w:hAnsi="黑体" w:eastAsia="黑体" w:cs="黑体"/>
          <w:color w:val="000000"/>
          <w:sz w:val="24"/>
          <w:szCs w:val="24"/>
          <w:highlight w:val="none"/>
        </w:rPr>
        <w:t>七、有关建议</w:t>
      </w:r>
      <w:bookmarkEnd w:id="20"/>
    </w:p>
    <w:p w14:paraId="2B0758B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6EF4E96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2.项目评价资料有待进一步完善。项目启动时同步做好档案的归纳与整理，及时整理、收集、汇总，健全档案资料。项目后续管理有待进一步加强和跟踪。</w:t>
      </w:r>
    </w:p>
    <w:p w14:paraId="5EA6FB3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highlight w:val="none"/>
        </w:rPr>
        <w:t>3.通过绩效管理，发现实施中存在漏洞，以后加强管理，及时掌握与之相关的各类信息，减少成本，使资金效益最大化</w:t>
      </w:r>
      <w:r>
        <w:rPr>
          <w:rFonts w:hint="eastAsia" w:ascii="宋体" w:hAnsi="宋体" w:eastAsia="宋体" w:cs="宋体"/>
          <w:color w:val="000000"/>
          <w:sz w:val="24"/>
          <w:szCs w:val="24"/>
        </w:rPr>
        <w:t>。</w:t>
      </w:r>
    </w:p>
    <w:p w14:paraId="2E36B24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4．评价工作应从项目实施方案源头抓起，评价工作和意识应贯穿项目整个过程。</w:t>
      </w:r>
      <w:bookmarkStart w:id="21" w:name="_Toc68364676"/>
    </w:p>
    <w:p w14:paraId="7A1E27DA">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rPr>
      </w:pPr>
    </w:p>
    <w:p w14:paraId="4D5C209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rPr>
      </w:pPr>
      <w:r>
        <w:rPr>
          <w:rFonts w:hint="eastAsia" w:ascii="黑体" w:hAnsi="黑体" w:eastAsia="黑体" w:cs="黑体"/>
          <w:color w:val="000000"/>
          <w:sz w:val="24"/>
          <w:szCs w:val="24"/>
        </w:rPr>
        <w:t>八、其他需要说明的问题</w:t>
      </w:r>
      <w:bookmarkEnd w:id="21"/>
    </w:p>
    <w:p w14:paraId="5D7D9EF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我单位对上述项目支出绩效评价报告内反映内容的真实性、完整性负责，</w:t>
      </w:r>
      <w:r>
        <w:rPr>
          <w:rFonts w:hint="eastAsia" w:ascii="宋体" w:hAnsi="宋体" w:eastAsia="宋体" w:cs="宋体"/>
          <w:color w:val="000000"/>
          <w:sz w:val="24"/>
          <w:szCs w:val="24"/>
          <w:lang w:val="en-US" w:eastAsia="zh-CN"/>
        </w:rPr>
        <w:t>愿</w:t>
      </w:r>
      <w:r>
        <w:rPr>
          <w:rFonts w:hint="eastAsia" w:ascii="宋体" w:hAnsi="宋体" w:eastAsia="宋体" w:cs="宋体"/>
          <w:color w:val="000000"/>
          <w:sz w:val="24"/>
          <w:szCs w:val="24"/>
        </w:rPr>
        <w:t>接受上级部门及社会公众监督。</w:t>
      </w:r>
    </w:p>
    <w:p w14:paraId="269F7FF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rPr>
      </w:pPr>
    </w:p>
    <w:p w14:paraId="72A87713">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附件1：农机购置补贴项目绩效评价指标体系</w:t>
      </w:r>
    </w:p>
    <w:p w14:paraId="7245ED31">
      <w:pPr>
        <w:pageBreakBefore w:val="0"/>
        <w:kinsoku/>
        <w:wordWrap/>
        <w:topLinePunct w:val="0"/>
        <w:autoSpaceDE/>
        <w:bidi w:val="0"/>
        <w:adjustRightInd/>
        <w:snapToGrid/>
        <w:spacing w:line="360" w:lineRule="auto"/>
        <w:ind w:left="0" w:leftChars="0" w:firstLine="480" w:firstLineChars="200"/>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附件2：农机购置补贴项目综合得分表</w:t>
      </w:r>
    </w:p>
    <w:p w14:paraId="1082E8A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4"/>
          <w:szCs w:val="24"/>
        </w:rPr>
      </w:pPr>
    </w:p>
    <w:p w14:paraId="64CB7A0A">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rPr>
      </w:pPr>
    </w:p>
    <w:p w14:paraId="4817E76D">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7"/>
        <w:gridCol w:w="927"/>
        <w:gridCol w:w="944"/>
        <w:gridCol w:w="663"/>
        <w:gridCol w:w="799"/>
        <w:gridCol w:w="711"/>
        <w:gridCol w:w="1425"/>
        <w:gridCol w:w="671"/>
        <w:gridCol w:w="4306"/>
        <w:gridCol w:w="944"/>
        <w:gridCol w:w="1048"/>
      </w:tblGrid>
      <w:tr w14:paraId="45726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1"/>
            <w:tcBorders>
              <w:top w:val="nil"/>
              <w:left w:val="nil"/>
              <w:bottom w:val="nil"/>
              <w:right w:val="nil"/>
            </w:tcBorders>
            <w:noWrap/>
            <w:vAlign w:val="center"/>
          </w:tcPr>
          <w:p w14:paraId="3208F8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附件1：</w:t>
            </w:r>
          </w:p>
        </w:tc>
      </w:tr>
      <w:tr w14:paraId="3A592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1"/>
            <w:tcBorders>
              <w:top w:val="nil"/>
              <w:left w:val="nil"/>
              <w:bottom w:val="nil"/>
              <w:right w:val="nil"/>
            </w:tcBorders>
            <w:noWrap w:val="0"/>
            <w:vAlign w:val="center"/>
          </w:tcPr>
          <w:p w14:paraId="0CF079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农机购置补贴项目绩效评价指标体系综合评分表</w:t>
            </w:r>
          </w:p>
        </w:tc>
      </w:tr>
      <w:tr w14:paraId="0B3F0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tcBorders>
              <w:top w:val="single" w:color="auto" w:sz="8" w:space="0"/>
              <w:left w:val="single" w:color="auto" w:sz="8" w:space="0"/>
              <w:bottom w:val="single" w:color="auto" w:sz="8" w:space="0"/>
              <w:right w:val="single" w:color="auto" w:sz="8" w:space="0"/>
            </w:tcBorders>
            <w:noWrap w:val="0"/>
            <w:vAlign w:val="center"/>
          </w:tcPr>
          <w:p w14:paraId="5D7F6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一级指标</w:t>
            </w:r>
          </w:p>
        </w:tc>
        <w:tc>
          <w:tcPr>
            <w:tcW w:w="347" w:type="pct"/>
            <w:tcBorders>
              <w:top w:val="single" w:color="auto" w:sz="8" w:space="0"/>
              <w:left w:val="nil"/>
              <w:bottom w:val="single" w:color="auto" w:sz="8" w:space="0"/>
              <w:right w:val="single" w:color="auto" w:sz="8" w:space="0"/>
            </w:tcBorders>
            <w:noWrap w:val="0"/>
            <w:vAlign w:val="center"/>
          </w:tcPr>
          <w:p w14:paraId="35D7A6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353" w:type="pct"/>
            <w:tcBorders>
              <w:top w:val="single" w:color="auto" w:sz="8" w:space="0"/>
              <w:left w:val="nil"/>
              <w:bottom w:val="single" w:color="auto" w:sz="8" w:space="0"/>
              <w:right w:val="single" w:color="auto" w:sz="8" w:space="0"/>
            </w:tcBorders>
            <w:noWrap w:val="0"/>
            <w:vAlign w:val="center"/>
          </w:tcPr>
          <w:p w14:paraId="2B17CB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二级指标</w:t>
            </w:r>
          </w:p>
        </w:tc>
        <w:tc>
          <w:tcPr>
            <w:tcW w:w="248" w:type="pct"/>
            <w:tcBorders>
              <w:top w:val="single" w:color="auto" w:sz="8" w:space="0"/>
              <w:left w:val="nil"/>
              <w:bottom w:val="single" w:color="auto" w:sz="8" w:space="0"/>
              <w:right w:val="single" w:color="auto" w:sz="8" w:space="0"/>
            </w:tcBorders>
            <w:noWrap w:val="0"/>
            <w:vAlign w:val="center"/>
          </w:tcPr>
          <w:p w14:paraId="26BAB4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299" w:type="pct"/>
            <w:tcBorders>
              <w:top w:val="single" w:color="auto" w:sz="8" w:space="0"/>
              <w:left w:val="nil"/>
              <w:bottom w:val="single" w:color="auto" w:sz="8" w:space="0"/>
              <w:right w:val="single" w:color="auto" w:sz="8" w:space="0"/>
            </w:tcBorders>
            <w:noWrap w:val="0"/>
            <w:vAlign w:val="center"/>
          </w:tcPr>
          <w:p w14:paraId="75B43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三级指标</w:t>
            </w:r>
          </w:p>
        </w:tc>
        <w:tc>
          <w:tcPr>
            <w:tcW w:w="266" w:type="pct"/>
            <w:tcBorders>
              <w:top w:val="single" w:color="auto" w:sz="8" w:space="0"/>
              <w:left w:val="nil"/>
              <w:bottom w:val="single" w:color="auto" w:sz="8" w:space="0"/>
              <w:right w:val="single" w:color="auto" w:sz="8" w:space="0"/>
            </w:tcBorders>
            <w:noWrap w:val="0"/>
            <w:vAlign w:val="center"/>
          </w:tcPr>
          <w:p w14:paraId="1A66E4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分值</w:t>
            </w:r>
          </w:p>
        </w:tc>
        <w:tc>
          <w:tcPr>
            <w:tcW w:w="533" w:type="pct"/>
            <w:tcBorders>
              <w:top w:val="single" w:color="auto" w:sz="8" w:space="0"/>
              <w:left w:val="nil"/>
              <w:bottom w:val="single" w:color="auto" w:sz="8" w:space="0"/>
              <w:right w:val="single" w:color="auto" w:sz="8" w:space="0"/>
            </w:tcBorders>
            <w:noWrap w:val="0"/>
            <w:vAlign w:val="center"/>
          </w:tcPr>
          <w:p w14:paraId="28CF8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指标解释</w:t>
            </w:r>
          </w:p>
        </w:tc>
        <w:tc>
          <w:tcPr>
            <w:tcW w:w="251" w:type="pct"/>
            <w:tcBorders>
              <w:top w:val="single" w:color="auto" w:sz="8" w:space="0"/>
              <w:left w:val="nil"/>
              <w:bottom w:val="single" w:color="auto" w:sz="8" w:space="0"/>
              <w:right w:val="single" w:color="auto" w:sz="8" w:space="0"/>
            </w:tcBorders>
            <w:noWrap w:val="0"/>
            <w:vAlign w:val="center"/>
          </w:tcPr>
          <w:p w14:paraId="4B36C2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标杆值</w:t>
            </w:r>
          </w:p>
        </w:tc>
        <w:tc>
          <w:tcPr>
            <w:tcW w:w="1611" w:type="pct"/>
            <w:tcBorders>
              <w:top w:val="single" w:color="auto" w:sz="8" w:space="0"/>
              <w:left w:val="nil"/>
              <w:bottom w:val="single" w:color="auto" w:sz="8" w:space="0"/>
              <w:right w:val="single" w:color="auto" w:sz="8" w:space="0"/>
            </w:tcBorders>
            <w:noWrap w:val="0"/>
            <w:vAlign w:val="center"/>
          </w:tcPr>
          <w:p w14:paraId="164E94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评分标准</w:t>
            </w:r>
          </w:p>
        </w:tc>
        <w:tc>
          <w:tcPr>
            <w:tcW w:w="353" w:type="pct"/>
            <w:tcBorders>
              <w:top w:val="single" w:color="auto" w:sz="8" w:space="0"/>
              <w:left w:val="nil"/>
              <w:bottom w:val="single" w:color="auto" w:sz="8" w:space="0"/>
              <w:right w:val="single" w:color="auto" w:sz="8" w:space="0"/>
            </w:tcBorders>
            <w:noWrap w:val="0"/>
            <w:vAlign w:val="center"/>
          </w:tcPr>
          <w:p w14:paraId="54151F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完成值</w:t>
            </w:r>
          </w:p>
        </w:tc>
        <w:tc>
          <w:tcPr>
            <w:tcW w:w="387" w:type="pct"/>
            <w:tcBorders>
              <w:top w:val="single" w:color="auto" w:sz="8" w:space="0"/>
              <w:left w:val="nil"/>
              <w:bottom w:val="single" w:color="auto" w:sz="8" w:space="0"/>
              <w:right w:val="single" w:color="auto" w:sz="8" w:space="0"/>
            </w:tcBorders>
            <w:noWrap w:val="0"/>
            <w:vAlign w:val="center"/>
          </w:tcPr>
          <w:p w14:paraId="2A9D7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r>
      <w:tr w14:paraId="1A882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8" w:hRule="atLeast"/>
        </w:trPr>
        <w:tc>
          <w:tcPr>
            <w:tcW w:w="347" w:type="pct"/>
            <w:vMerge w:val="restart"/>
            <w:tcBorders>
              <w:top w:val="nil"/>
              <w:left w:val="single" w:color="auto" w:sz="8" w:space="0"/>
              <w:bottom w:val="single" w:color="auto" w:sz="8" w:space="0"/>
              <w:right w:val="single" w:color="auto" w:sz="8" w:space="0"/>
            </w:tcBorders>
            <w:noWrap w:val="0"/>
            <w:vAlign w:val="center"/>
          </w:tcPr>
          <w:p w14:paraId="3C976A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项目决策</w:t>
            </w:r>
          </w:p>
        </w:tc>
        <w:tc>
          <w:tcPr>
            <w:tcW w:w="347" w:type="pct"/>
            <w:vMerge w:val="restart"/>
            <w:tcBorders>
              <w:top w:val="nil"/>
              <w:left w:val="nil"/>
              <w:bottom w:val="single" w:color="auto" w:sz="8" w:space="0"/>
              <w:right w:val="single" w:color="auto" w:sz="8" w:space="0"/>
            </w:tcBorders>
            <w:noWrap w:val="0"/>
            <w:vAlign w:val="center"/>
          </w:tcPr>
          <w:p w14:paraId="508ECA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23</w:t>
            </w:r>
          </w:p>
        </w:tc>
        <w:tc>
          <w:tcPr>
            <w:tcW w:w="353" w:type="pct"/>
            <w:vMerge w:val="restart"/>
            <w:tcBorders>
              <w:top w:val="nil"/>
              <w:left w:val="nil"/>
              <w:bottom w:val="single" w:color="auto" w:sz="8" w:space="0"/>
              <w:right w:val="single" w:color="auto" w:sz="8" w:space="0"/>
            </w:tcBorders>
            <w:noWrap w:val="0"/>
            <w:vAlign w:val="center"/>
          </w:tcPr>
          <w:p w14:paraId="57C68B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w:t>
            </w:r>
          </w:p>
        </w:tc>
        <w:tc>
          <w:tcPr>
            <w:tcW w:w="248" w:type="pct"/>
            <w:vMerge w:val="restart"/>
            <w:tcBorders>
              <w:top w:val="nil"/>
              <w:left w:val="nil"/>
              <w:bottom w:val="single" w:color="auto" w:sz="8" w:space="0"/>
              <w:right w:val="single" w:color="auto" w:sz="8" w:space="0"/>
            </w:tcBorders>
            <w:noWrap w:val="0"/>
            <w:vAlign w:val="center"/>
          </w:tcPr>
          <w:p w14:paraId="3A3BF7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299" w:type="pct"/>
            <w:tcBorders>
              <w:top w:val="nil"/>
              <w:left w:val="nil"/>
              <w:bottom w:val="single" w:color="auto" w:sz="8" w:space="0"/>
              <w:right w:val="single" w:color="auto" w:sz="8" w:space="0"/>
            </w:tcBorders>
            <w:noWrap w:val="0"/>
            <w:vAlign w:val="center"/>
          </w:tcPr>
          <w:p w14:paraId="2A98C2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立项依据充分性</w:t>
            </w:r>
          </w:p>
        </w:tc>
        <w:tc>
          <w:tcPr>
            <w:tcW w:w="266" w:type="pct"/>
            <w:tcBorders>
              <w:top w:val="nil"/>
              <w:left w:val="nil"/>
              <w:bottom w:val="single" w:color="auto" w:sz="8" w:space="0"/>
              <w:right w:val="single" w:color="auto" w:sz="8" w:space="0"/>
            </w:tcBorders>
            <w:noWrap w:val="0"/>
            <w:vAlign w:val="center"/>
          </w:tcPr>
          <w:p w14:paraId="61C760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533" w:type="pct"/>
            <w:tcBorders>
              <w:top w:val="nil"/>
              <w:left w:val="nil"/>
              <w:bottom w:val="single" w:color="auto" w:sz="8" w:space="0"/>
              <w:right w:val="single" w:color="auto" w:sz="8" w:space="0"/>
            </w:tcBorders>
            <w:noWrap w:val="0"/>
            <w:vAlign w:val="center"/>
          </w:tcPr>
          <w:p w14:paraId="0B52D7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项目立项是否符合法律法规、相关政策、发展规划以及部门职责，用以反映和考核项目立项依据情况。</w:t>
            </w:r>
          </w:p>
        </w:tc>
        <w:tc>
          <w:tcPr>
            <w:tcW w:w="251" w:type="pct"/>
            <w:tcBorders>
              <w:top w:val="nil"/>
              <w:left w:val="nil"/>
              <w:bottom w:val="single" w:color="auto" w:sz="8" w:space="0"/>
              <w:right w:val="single" w:color="auto" w:sz="8" w:space="0"/>
            </w:tcBorders>
            <w:noWrap w:val="0"/>
            <w:vAlign w:val="center"/>
          </w:tcPr>
          <w:p w14:paraId="788488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1611" w:type="pct"/>
            <w:tcBorders>
              <w:top w:val="nil"/>
              <w:left w:val="nil"/>
              <w:bottom w:val="single" w:color="auto" w:sz="8" w:space="0"/>
              <w:right w:val="single" w:color="auto" w:sz="8" w:space="0"/>
            </w:tcBorders>
            <w:noWrap w:val="0"/>
            <w:vAlign w:val="center"/>
          </w:tcPr>
          <w:p w14:paraId="015D46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①项目立项是否符合国家法律法规、国民经济发展规划和相关政策；</w:t>
            </w:r>
          </w:p>
          <w:p w14:paraId="4339B1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②项目立项是否符合行业发展规划和政策要求；</w:t>
            </w:r>
          </w:p>
          <w:p w14:paraId="28F5FE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③项目立项是否与部门职责范围相符，属于部门履职所需；</w:t>
            </w:r>
          </w:p>
          <w:p w14:paraId="6E69D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④项目是否属于公共财政支持范围，是否符合中央、地方事权支出责任划分原则；</w:t>
            </w:r>
          </w:p>
          <w:p w14:paraId="4894EB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⑤项目是否与相关部门同类项目或部门内部相关项目重复。</w:t>
            </w:r>
          </w:p>
          <w:p w14:paraId="38AD77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以上每条要素占权重分的20%，每有一条不符合，扣除对应权重分，扣完为止。</w:t>
            </w:r>
          </w:p>
        </w:tc>
        <w:tc>
          <w:tcPr>
            <w:tcW w:w="353" w:type="pct"/>
            <w:tcBorders>
              <w:top w:val="nil"/>
              <w:left w:val="nil"/>
              <w:bottom w:val="single" w:color="auto" w:sz="8" w:space="0"/>
              <w:right w:val="single" w:color="auto" w:sz="8" w:space="0"/>
            </w:tcBorders>
            <w:noWrap w:val="0"/>
            <w:vAlign w:val="center"/>
          </w:tcPr>
          <w:p w14:paraId="163DDD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充分</w:t>
            </w:r>
          </w:p>
        </w:tc>
        <w:tc>
          <w:tcPr>
            <w:tcW w:w="387" w:type="pct"/>
            <w:tcBorders>
              <w:top w:val="nil"/>
              <w:left w:val="nil"/>
              <w:bottom w:val="single" w:color="auto" w:sz="8" w:space="0"/>
              <w:right w:val="single" w:color="auto" w:sz="8" w:space="0"/>
            </w:tcBorders>
            <w:noWrap w:val="0"/>
            <w:vAlign w:val="center"/>
          </w:tcPr>
          <w:p w14:paraId="46C5F0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r>
      <w:tr w14:paraId="5B2C1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0A6D4D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74104D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40E652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429CCD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tcBorders>
              <w:top w:val="nil"/>
              <w:left w:val="nil"/>
              <w:bottom w:val="single" w:color="auto" w:sz="8" w:space="0"/>
              <w:right w:val="single" w:color="auto" w:sz="8" w:space="0"/>
            </w:tcBorders>
            <w:noWrap w:val="0"/>
            <w:vAlign w:val="center"/>
          </w:tcPr>
          <w:p w14:paraId="3F06E9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立项程序规范性</w:t>
            </w:r>
          </w:p>
        </w:tc>
        <w:tc>
          <w:tcPr>
            <w:tcW w:w="266" w:type="pct"/>
            <w:tcBorders>
              <w:top w:val="nil"/>
              <w:left w:val="nil"/>
              <w:bottom w:val="single" w:color="auto" w:sz="8" w:space="0"/>
              <w:right w:val="single" w:color="auto" w:sz="8" w:space="0"/>
            </w:tcBorders>
            <w:noWrap w:val="0"/>
            <w:vAlign w:val="center"/>
          </w:tcPr>
          <w:p w14:paraId="07851C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533" w:type="pct"/>
            <w:tcBorders>
              <w:top w:val="nil"/>
              <w:left w:val="nil"/>
              <w:bottom w:val="single" w:color="auto" w:sz="8" w:space="0"/>
              <w:right w:val="single" w:color="auto" w:sz="8" w:space="0"/>
            </w:tcBorders>
            <w:noWrap w:val="0"/>
            <w:vAlign w:val="center"/>
          </w:tcPr>
          <w:p w14:paraId="5082D3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项目申请、设立过程是否符合相关要求，用以反映和考核项目立项的规范情况。</w:t>
            </w:r>
          </w:p>
        </w:tc>
        <w:tc>
          <w:tcPr>
            <w:tcW w:w="251" w:type="pct"/>
            <w:tcBorders>
              <w:top w:val="nil"/>
              <w:left w:val="nil"/>
              <w:bottom w:val="single" w:color="auto" w:sz="8" w:space="0"/>
              <w:right w:val="single" w:color="auto" w:sz="8" w:space="0"/>
            </w:tcBorders>
            <w:noWrap w:val="0"/>
            <w:vAlign w:val="center"/>
          </w:tcPr>
          <w:p w14:paraId="2B31DA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1611" w:type="pct"/>
            <w:tcBorders>
              <w:top w:val="nil"/>
              <w:left w:val="nil"/>
              <w:bottom w:val="single" w:color="auto" w:sz="8" w:space="0"/>
              <w:right w:val="single" w:color="auto" w:sz="8" w:space="0"/>
            </w:tcBorders>
            <w:noWrap w:val="0"/>
            <w:vAlign w:val="center"/>
          </w:tcPr>
          <w:p w14:paraId="219BD9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①项目是否按照规定的程序申请设立；</w:t>
            </w:r>
          </w:p>
          <w:p w14:paraId="17BFA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②审批文件、材料是否符合相关要求；</w:t>
            </w:r>
          </w:p>
          <w:p w14:paraId="57939A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③事前是否已经过必要的可行性研究、专家论证、风险评估、绩效评估、集体决策。</w:t>
            </w:r>
          </w:p>
          <w:p w14:paraId="45F71F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①②③齐全得权重分的100%，缺①扣权重分的40%，缺②扣权重分的30%，缺③扣权重分的30%。</w:t>
            </w:r>
          </w:p>
        </w:tc>
        <w:tc>
          <w:tcPr>
            <w:tcW w:w="353" w:type="pct"/>
            <w:tcBorders>
              <w:top w:val="nil"/>
              <w:left w:val="nil"/>
              <w:bottom w:val="single" w:color="auto" w:sz="8" w:space="0"/>
              <w:right w:val="single" w:color="auto" w:sz="8" w:space="0"/>
            </w:tcBorders>
            <w:noWrap w:val="0"/>
            <w:vAlign w:val="center"/>
          </w:tcPr>
          <w:p w14:paraId="3BD0BE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规范</w:t>
            </w:r>
          </w:p>
        </w:tc>
        <w:tc>
          <w:tcPr>
            <w:tcW w:w="387" w:type="pct"/>
            <w:tcBorders>
              <w:top w:val="nil"/>
              <w:left w:val="nil"/>
              <w:bottom w:val="single" w:color="auto" w:sz="8" w:space="0"/>
              <w:right w:val="single" w:color="auto" w:sz="8" w:space="0"/>
            </w:tcBorders>
            <w:noWrap w:val="0"/>
            <w:vAlign w:val="center"/>
          </w:tcPr>
          <w:p w14:paraId="677007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06FD4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0F246A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0BAF1F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nil"/>
              <w:left w:val="nil"/>
              <w:bottom w:val="single" w:color="auto" w:sz="8" w:space="0"/>
              <w:right w:val="single" w:color="auto" w:sz="8" w:space="0"/>
            </w:tcBorders>
            <w:noWrap w:val="0"/>
            <w:vAlign w:val="center"/>
          </w:tcPr>
          <w:p w14:paraId="3EB4D0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w:t>
            </w:r>
          </w:p>
        </w:tc>
        <w:tc>
          <w:tcPr>
            <w:tcW w:w="248" w:type="pct"/>
            <w:vMerge w:val="restart"/>
            <w:tcBorders>
              <w:top w:val="nil"/>
              <w:left w:val="nil"/>
              <w:bottom w:val="single" w:color="auto" w:sz="8" w:space="0"/>
              <w:right w:val="single" w:color="auto" w:sz="8" w:space="0"/>
            </w:tcBorders>
            <w:noWrap w:val="0"/>
            <w:vAlign w:val="center"/>
          </w:tcPr>
          <w:p w14:paraId="10A5A7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99" w:type="pct"/>
            <w:tcBorders>
              <w:top w:val="nil"/>
              <w:left w:val="nil"/>
              <w:bottom w:val="single" w:color="auto" w:sz="8" w:space="0"/>
              <w:right w:val="single" w:color="auto" w:sz="8" w:space="0"/>
            </w:tcBorders>
            <w:noWrap w:val="0"/>
            <w:vAlign w:val="center"/>
          </w:tcPr>
          <w:p w14:paraId="143237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绩效目标合理性</w:t>
            </w:r>
          </w:p>
        </w:tc>
        <w:tc>
          <w:tcPr>
            <w:tcW w:w="266" w:type="pct"/>
            <w:tcBorders>
              <w:top w:val="nil"/>
              <w:left w:val="nil"/>
              <w:bottom w:val="single" w:color="auto" w:sz="8" w:space="0"/>
              <w:right w:val="single" w:color="auto" w:sz="8" w:space="0"/>
            </w:tcBorders>
            <w:noWrap w:val="0"/>
            <w:vAlign w:val="center"/>
          </w:tcPr>
          <w:p w14:paraId="303FF0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533" w:type="pct"/>
            <w:tcBorders>
              <w:top w:val="nil"/>
              <w:left w:val="nil"/>
              <w:bottom w:val="single" w:color="auto" w:sz="8" w:space="0"/>
              <w:right w:val="single" w:color="auto" w:sz="8" w:space="0"/>
            </w:tcBorders>
            <w:noWrap w:val="0"/>
            <w:vAlign w:val="center"/>
          </w:tcPr>
          <w:p w14:paraId="78242F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项目所设定的绩效目标是否依据充分，是否符合客观实际，用以反映和考核项目绩效目标与项目实施的相符情况。</w:t>
            </w:r>
          </w:p>
        </w:tc>
        <w:tc>
          <w:tcPr>
            <w:tcW w:w="251" w:type="pct"/>
            <w:tcBorders>
              <w:top w:val="nil"/>
              <w:left w:val="nil"/>
              <w:bottom w:val="single" w:color="auto" w:sz="8" w:space="0"/>
              <w:right w:val="single" w:color="auto" w:sz="8" w:space="0"/>
            </w:tcBorders>
            <w:noWrap w:val="0"/>
            <w:vAlign w:val="center"/>
          </w:tcPr>
          <w:p w14:paraId="7F9D0F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1611" w:type="pct"/>
            <w:tcBorders>
              <w:top w:val="nil"/>
              <w:left w:val="nil"/>
              <w:bottom w:val="single" w:color="auto" w:sz="8" w:space="0"/>
              <w:right w:val="single" w:color="auto" w:sz="8" w:space="0"/>
            </w:tcBorders>
            <w:noWrap w:val="0"/>
            <w:vAlign w:val="center"/>
          </w:tcPr>
          <w:p w14:paraId="6D416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①项目是否有绩效目标；</w:t>
            </w:r>
          </w:p>
          <w:p w14:paraId="6EE2DE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②项目绩效目标与实际工作内容是否具有相关性；</w:t>
            </w:r>
          </w:p>
          <w:p w14:paraId="69E1E3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③项目预期产出效益和效果是否符合正常的业绩水平；</w:t>
            </w:r>
          </w:p>
          <w:p w14:paraId="11C38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④是否与预算确定的项目投资额或资金量相匹配。</w:t>
            </w:r>
          </w:p>
          <w:p w14:paraId="722DB9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353" w:type="pct"/>
            <w:tcBorders>
              <w:top w:val="nil"/>
              <w:left w:val="nil"/>
              <w:bottom w:val="single" w:color="auto" w:sz="8" w:space="0"/>
              <w:right w:val="single" w:color="auto" w:sz="8" w:space="0"/>
            </w:tcBorders>
            <w:noWrap w:val="0"/>
            <w:vAlign w:val="center"/>
          </w:tcPr>
          <w:p w14:paraId="25C3C6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87" w:type="pct"/>
            <w:tcBorders>
              <w:top w:val="nil"/>
              <w:left w:val="nil"/>
              <w:bottom w:val="single" w:color="auto" w:sz="8" w:space="0"/>
              <w:right w:val="single" w:color="auto" w:sz="8" w:space="0"/>
            </w:tcBorders>
            <w:noWrap w:val="0"/>
            <w:vAlign w:val="center"/>
          </w:tcPr>
          <w:p w14:paraId="73AB52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4ABFB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2"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6987B4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5D3CCD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7D2757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67B6F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tcBorders>
              <w:top w:val="nil"/>
              <w:left w:val="nil"/>
              <w:bottom w:val="single" w:color="auto" w:sz="8" w:space="0"/>
              <w:right w:val="single" w:color="auto" w:sz="8" w:space="0"/>
            </w:tcBorders>
            <w:noWrap w:val="0"/>
            <w:vAlign w:val="center"/>
          </w:tcPr>
          <w:p w14:paraId="20635B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绩效指标明确性</w:t>
            </w:r>
          </w:p>
        </w:tc>
        <w:tc>
          <w:tcPr>
            <w:tcW w:w="266" w:type="pct"/>
            <w:tcBorders>
              <w:top w:val="nil"/>
              <w:left w:val="nil"/>
              <w:bottom w:val="single" w:color="auto" w:sz="8" w:space="0"/>
              <w:right w:val="single" w:color="auto" w:sz="8" w:space="0"/>
            </w:tcBorders>
            <w:noWrap w:val="0"/>
            <w:vAlign w:val="center"/>
          </w:tcPr>
          <w:p w14:paraId="4AA1E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c>
          <w:tcPr>
            <w:tcW w:w="533" w:type="pct"/>
            <w:tcBorders>
              <w:top w:val="nil"/>
              <w:left w:val="nil"/>
              <w:bottom w:val="single" w:color="auto" w:sz="8" w:space="0"/>
              <w:right w:val="single" w:color="auto" w:sz="8" w:space="0"/>
            </w:tcBorders>
            <w:noWrap w:val="0"/>
            <w:vAlign w:val="center"/>
          </w:tcPr>
          <w:p w14:paraId="71B8E9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依据绩效目标设定的绩效指标是否清晰、细化、可衡量等，用以反映和考核项目绩效目标的明细化情况。</w:t>
            </w:r>
          </w:p>
        </w:tc>
        <w:tc>
          <w:tcPr>
            <w:tcW w:w="251" w:type="pct"/>
            <w:tcBorders>
              <w:top w:val="nil"/>
              <w:left w:val="nil"/>
              <w:bottom w:val="single" w:color="auto" w:sz="8" w:space="0"/>
              <w:right w:val="single" w:color="auto" w:sz="8" w:space="0"/>
            </w:tcBorders>
            <w:noWrap w:val="0"/>
            <w:vAlign w:val="center"/>
          </w:tcPr>
          <w:p w14:paraId="1D4E71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1611" w:type="pct"/>
            <w:tcBorders>
              <w:top w:val="nil"/>
              <w:left w:val="nil"/>
              <w:bottom w:val="single" w:color="auto" w:sz="8" w:space="0"/>
              <w:right w:val="single" w:color="auto" w:sz="8" w:space="0"/>
            </w:tcBorders>
            <w:noWrap w:val="0"/>
            <w:vAlign w:val="center"/>
          </w:tcPr>
          <w:p w14:paraId="637EC1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①是否将项目绩效目标细化分解为具体的绩效指标；</w:t>
            </w:r>
          </w:p>
          <w:p w14:paraId="3F4C3D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②是否通过清晰、可衡量的指标值予以体现；</w:t>
            </w:r>
          </w:p>
          <w:p w14:paraId="4BBC2D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③是否与项目目标任务数或计划数相对应。</w:t>
            </w:r>
          </w:p>
          <w:p w14:paraId="677AAA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①②③齐全得权重分的100%，缺①扣权重分的20%，缺②扣权重分的50%，缺③扣权重分的30%。</w:t>
            </w:r>
          </w:p>
        </w:tc>
        <w:tc>
          <w:tcPr>
            <w:tcW w:w="353" w:type="pct"/>
            <w:tcBorders>
              <w:top w:val="nil"/>
              <w:left w:val="nil"/>
              <w:bottom w:val="single" w:color="auto" w:sz="8" w:space="0"/>
              <w:right w:val="single" w:color="auto" w:sz="8" w:space="0"/>
            </w:tcBorders>
            <w:noWrap w:val="0"/>
            <w:vAlign w:val="center"/>
          </w:tcPr>
          <w:p w14:paraId="16405A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明确</w:t>
            </w:r>
          </w:p>
        </w:tc>
        <w:tc>
          <w:tcPr>
            <w:tcW w:w="387" w:type="pct"/>
            <w:tcBorders>
              <w:top w:val="nil"/>
              <w:left w:val="nil"/>
              <w:bottom w:val="single" w:color="auto" w:sz="8" w:space="0"/>
              <w:right w:val="single" w:color="auto" w:sz="8" w:space="0"/>
            </w:tcBorders>
            <w:noWrap w:val="0"/>
            <w:vAlign w:val="center"/>
          </w:tcPr>
          <w:p w14:paraId="1FB230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w:t>
            </w:r>
          </w:p>
        </w:tc>
      </w:tr>
      <w:tr w14:paraId="60F3C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72F273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1496C4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nil"/>
              <w:left w:val="nil"/>
              <w:bottom w:val="single" w:color="auto" w:sz="8" w:space="0"/>
              <w:right w:val="single" w:color="auto" w:sz="8" w:space="0"/>
            </w:tcBorders>
            <w:noWrap w:val="0"/>
            <w:vAlign w:val="center"/>
          </w:tcPr>
          <w:p w14:paraId="5AFF5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资金投入</w:t>
            </w:r>
          </w:p>
        </w:tc>
        <w:tc>
          <w:tcPr>
            <w:tcW w:w="248" w:type="pct"/>
            <w:vMerge w:val="restart"/>
            <w:tcBorders>
              <w:top w:val="nil"/>
              <w:left w:val="nil"/>
              <w:bottom w:val="single" w:color="auto" w:sz="8" w:space="0"/>
              <w:right w:val="single" w:color="auto" w:sz="8" w:space="0"/>
            </w:tcBorders>
            <w:noWrap w:val="0"/>
            <w:vAlign w:val="center"/>
          </w:tcPr>
          <w:p w14:paraId="50D82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8</w:t>
            </w:r>
          </w:p>
        </w:tc>
        <w:tc>
          <w:tcPr>
            <w:tcW w:w="299" w:type="pct"/>
            <w:vMerge w:val="restart"/>
            <w:tcBorders>
              <w:top w:val="nil"/>
              <w:left w:val="nil"/>
              <w:bottom w:val="single" w:color="auto" w:sz="8" w:space="0"/>
              <w:right w:val="single" w:color="auto" w:sz="8" w:space="0"/>
            </w:tcBorders>
            <w:noWrap w:val="0"/>
            <w:vAlign w:val="center"/>
          </w:tcPr>
          <w:p w14:paraId="4FF5B8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预算编制科学性</w:t>
            </w:r>
          </w:p>
        </w:tc>
        <w:tc>
          <w:tcPr>
            <w:tcW w:w="266" w:type="pct"/>
            <w:vMerge w:val="restart"/>
            <w:tcBorders>
              <w:top w:val="nil"/>
              <w:left w:val="nil"/>
              <w:bottom w:val="single" w:color="auto" w:sz="8" w:space="0"/>
              <w:right w:val="single" w:color="auto" w:sz="8" w:space="0"/>
            </w:tcBorders>
            <w:noWrap w:val="0"/>
            <w:vAlign w:val="center"/>
          </w:tcPr>
          <w:p w14:paraId="655FF8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533" w:type="pct"/>
            <w:vMerge w:val="restart"/>
            <w:tcBorders>
              <w:top w:val="nil"/>
              <w:left w:val="nil"/>
              <w:bottom w:val="single" w:color="auto" w:sz="8" w:space="0"/>
              <w:right w:val="single" w:color="auto" w:sz="8" w:space="0"/>
            </w:tcBorders>
            <w:noWrap w:val="0"/>
            <w:vAlign w:val="center"/>
          </w:tcPr>
          <w:p w14:paraId="5799BA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项目预算编制是否经过科学论证、有明确标准，资金额度与年度目标是否相适应，用以反映和考核项目预算编制的科学性、合理性情况。</w:t>
            </w:r>
          </w:p>
        </w:tc>
        <w:tc>
          <w:tcPr>
            <w:tcW w:w="251" w:type="pct"/>
            <w:vMerge w:val="restart"/>
            <w:tcBorders>
              <w:top w:val="nil"/>
              <w:left w:val="nil"/>
              <w:bottom w:val="single" w:color="auto" w:sz="8" w:space="0"/>
              <w:right w:val="single" w:color="auto" w:sz="8" w:space="0"/>
            </w:tcBorders>
            <w:noWrap w:val="0"/>
            <w:vAlign w:val="center"/>
          </w:tcPr>
          <w:p w14:paraId="3AEF47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1611" w:type="pct"/>
            <w:tcBorders>
              <w:top w:val="nil"/>
              <w:left w:val="nil"/>
              <w:bottom w:val="nil"/>
              <w:right w:val="single" w:color="auto" w:sz="8" w:space="0"/>
            </w:tcBorders>
            <w:noWrap w:val="0"/>
            <w:vAlign w:val="center"/>
          </w:tcPr>
          <w:p w14:paraId="539C23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①预算编制是否经过科学论证；</w:t>
            </w:r>
          </w:p>
        </w:tc>
        <w:tc>
          <w:tcPr>
            <w:tcW w:w="353" w:type="pct"/>
            <w:vMerge w:val="restart"/>
            <w:tcBorders>
              <w:top w:val="nil"/>
              <w:left w:val="nil"/>
              <w:bottom w:val="single" w:color="auto" w:sz="8" w:space="0"/>
              <w:right w:val="single" w:color="auto" w:sz="8" w:space="0"/>
            </w:tcBorders>
            <w:noWrap w:val="0"/>
            <w:vAlign w:val="center"/>
          </w:tcPr>
          <w:p w14:paraId="38DFF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科学</w:t>
            </w:r>
          </w:p>
        </w:tc>
        <w:tc>
          <w:tcPr>
            <w:tcW w:w="387" w:type="pct"/>
            <w:vMerge w:val="restart"/>
            <w:tcBorders>
              <w:top w:val="nil"/>
              <w:left w:val="nil"/>
              <w:bottom w:val="single" w:color="auto" w:sz="8" w:space="0"/>
              <w:right w:val="single" w:color="auto" w:sz="8" w:space="0"/>
            </w:tcBorders>
            <w:noWrap w:val="0"/>
            <w:vAlign w:val="center"/>
          </w:tcPr>
          <w:p w14:paraId="7E003E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05536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669F4C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5EBD87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3F7276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4FEB3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416A28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7927F1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418DE9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1E0209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5EE7F8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②预算内容与项目内容是否匹配；</w:t>
            </w:r>
          </w:p>
        </w:tc>
        <w:tc>
          <w:tcPr>
            <w:tcW w:w="353" w:type="pct"/>
            <w:vMerge w:val="continue"/>
            <w:tcBorders>
              <w:top w:val="nil"/>
              <w:left w:val="nil"/>
              <w:bottom w:val="single" w:color="auto" w:sz="8" w:space="0"/>
              <w:right w:val="single" w:color="auto" w:sz="8" w:space="0"/>
            </w:tcBorders>
            <w:noWrap w:val="0"/>
            <w:vAlign w:val="center"/>
          </w:tcPr>
          <w:p w14:paraId="1A938E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559F58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4AAF4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53D977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5AF684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72D566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F0063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07B785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3972E1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2B42E8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7BC049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08DFD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③预算额度测算依据是否充分，是否按照标准编制；</w:t>
            </w:r>
          </w:p>
        </w:tc>
        <w:tc>
          <w:tcPr>
            <w:tcW w:w="353" w:type="pct"/>
            <w:vMerge w:val="continue"/>
            <w:tcBorders>
              <w:top w:val="nil"/>
              <w:left w:val="nil"/>
              <w:bottom w:val="single" w:color="auto" w:sz="8" w:space="0"/>
              <w:right w:val="single" w:color="auto" w:sz="8" w:space="0"/>
            </w:tcBorders>
            <w:noWrap w:val="0"/>
            <w:vAlign w:val="center"/>
          </w:tcPr>
          <w:p w14:paraId="6CB330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44E9F6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17A0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144214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47BA1B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482FD6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26ECDC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64CCBA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709B6C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236037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36EA31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2BCA80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④预算确定的项目投资额或资金量是否与工作任务相匹配。</w:t>
            </w:r>
          </w:p>
        </w:tc>
        <w:tc>
          <w:tcPr>
            <w:tcW w:w="353" w:type="pct"/>
            <w:vMerge w:val="continue"/>
            <w:tcBorders>
              <w:top w:val="nil"/>
              <w:left w:val="nil"/>
              <w:bottom w:val="single" w:color="auto" w:sz="8" w:space="0"/>
              <w:right w:val="single" w:color="auto" w:sz="8" w:space="0"/>
            </w:tcBorders>
            <w:noWrap w:val="0"/>
            <w:vAlign w:val="center"/>
          </w:tcPr>
          <w:p w14:paraId="644BC1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2B94FA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6F12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128CB1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40D7B9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024CA8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5DC774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4C48EF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70659E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01E89E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2E6D09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single" w:color="auto" w:sz="8" w:space="0"/>
              <w:right w:val="single" w:color="auto" w:sz="8" w:space="0"/>
            </w:tcBorders>
            <w:noWrap w:val="0"/>
            <w:vAlign w:val="center"/>
          </w:tcPr>
          <w:p w14:paraId="57205F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以上每条要素各占权重的25%，每有一条不符合，扣除对应的权重分，扣完为止。</w:t>
            </w:r>
          </w:p>
        </w:tc>
        <w:tc>
          <w:tcPr>
            <w:tcW w:w="353" w:type="pct"/>
            <w:vMerge w:val="continue"/>
            <w:tcBorders>
              <w:top w:val="nil"/>
              <w:left w:val="nil"/>
              <w:bottom w:val="single" w:color="auto" w:sz="8" w:space="0"/>
              <w:right w:val="single" w:color="auto" w:sz="8" w:space="0"/>
            </w:tcBorders>
            <w:noWrap w:val="0"/>
            <w:vAlign w:val="center"/>
          </w:tcPr>
          <w:p w14:paraId="0FAC22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54E428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0BA6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43FF37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7C5DBE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3DF9C7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0EF12F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restart"/>
            <w:tcBorders>
              <w:top w:val="nil"/>
              <w:left w:val="nil"/>
              <w:bottom w:val="single" w:color="auto" w:sz="8" w:space="0"/>
              <w:right w:val="single" w:color="auto" w:sz="8" w:space="0"/>
            </w:tcBorders>
            <w:noWrap w:val="0"/>
            <w:vAlign w:val="center"/>
          </w:tcPr>
          <w:p w14:paraId="5E53C2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资金分配合理性</w:t>
            </w:r>
          </w:p>
        </w:tc>
        <w:tc>
          <w:tcPr>
            <w:tcW w:w="266" w:type="pct"/>
            <w:vMerge w:val="restart"/>
            <w:tcBorders>
              <w:top w:val="nil"/>
              <w:left w:val="nil"/>
              <w:bottom w:val="single" w:color="auto" w:sz="8" w:space="0"/>
              <w:right w:val="single" w:color="auto" w:sz="8" w:space="0"/>
            </w:tcBorders>
            <w:noWrap w:val="0"/>
            <w:vAlign w:val="center"/>
          </w:tcPr>
          <w:p w14:paraId="1DB03D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c>
          <w:tcPr>
            <w:tcW w:w="533" w:type="pct"/>
            <w:vMerge w:val="restart"/>
            <w:tcBorders>
              <w:top w:val="nil"/>
              <w:left w:val="nil"/>
              <w:bottom w:val="single" w:color="auto" w:sz="8" w:space="0"/>
              <w:right w:val="single" w:color="auto" w:sz="8" w:space="0"/>
            </w:tcBorders>
            <w:noWrap w:val="0"/>
            <w:vAlign w:val="center"/>
          </w:tcPr>
          <w:p w14:paraId="439DDE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项目预算资金分配是否有测算依据，与补助单位或地方实际是否相适应，用以反映和考核项目预算资金分配的科学性、合理性情况。</w:t>
            </w:r>
          </w:p>
        </w:tc>
        <w:tc>
          <w:tcPr>
            <w:tcW w:w="251" w:type="pct"/>
            <w:vMerge w:val="restart"/>
            <w:tcBorders>
              <w:top w:val="nil"/>
              <w:left w:val="nil"/>
              <w:bottom w:val="single" w:color="auto" w:sz="8" w:space="0"/>
              <w:right w:val="single" w:color="auto" w:sz="8" w:space="0"/>
            </w:tcBorders>
            <w:noWrap w:val="0"/>
            <w:vAlign w:val="center"/>
          </w:tcPr>
          <w:p w14:paraId="77340C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1611" w:type="pct"/>
            <w:tcBorders>
              <w:top w:val="nil"/>
              <w:left w:val="nil"/>
              <w:bottom w:val="nil"/>
              <w:right w:val="single" w:color="auto" w:sz="8" w:space="0"/>
            </w:tcBorders>
            <w:noWrap w:val="0"/>
            <w:vAlign w:val="center"/>
          </w:tcPr>
          <w:p w14:paraId="7388D3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①预算资金分配依据是否充分；</w:t>
            </w:r>
          </w:p>
        </w:tc>
        <w:tc>
          <w:tcPr>
            <w:tcW w:w="353" w:type="pct"/>
            <w:vMerge w:val="restart"/>
            <w:tcBorders>
              <w:top w:val="nil"/>
              <w:left w:val="nil"/>
              <w:bottom w:val="single" w:color="auto" w:sz="8" w:space="0"/>
              <w:right w:val="single" w:color="auto" w:sz="8" w:space="0"/>
            </w:tcBorders>
            <w:noWrap w:val="0"/>
            <w:vAlign w:val="center"/>
          </w:tcPr>
          <w:p w14:paraId="752135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合理</w:t>
            </w:r>
          </w:p>
        </w:tc>
        <w:tc>
          <w:tcPr>
            <w:tcW w:w="387" w:type="pct"/>
            <w:vMerge w:val="restart"/>
            <w:tcBorders>
              <w:top w:val="nil"/>
              <w:left w:val="nil"/>
              <w:bottom w:val="single" w:color="auto" w:sz="8" w:space="0"/>
              <w:right w:val="single" w:color="auto" w:sz="8" w:space="0"/>
            </w:tcBorders>
            <w:noWrap w:val="0"/>
            <w:vAlign w:val="center"/>
          </w:tcPr>
          <w:p w14:paraId="76D0AD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w:t>
            </w:r>
          </w:p>
        </w:tc>
      </w:tr>
      <w:tr w14:paraId="2F533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303899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1C20CC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4F1258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669232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013F72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73DE83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36BA9D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19559B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5E9C09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②资金分配额度是否合理，与项目单位或地方实际是否相适应。</w:t>
            </w:r>
          </w:p>
        </w:tc>
        <w:tc>
          <w:tcPr>
            <w:tcW w:w="353" w:type="pct"/>
            <w:vMerge w:val="continue"/>
            <w:tcBorders>
              <w:top w:val="nil"/>
              <w:left w:val="nil"/>
              <w:bottom w:val="single" w:color="auto" w:sz="8" w:space="0"/>
              <w:right w:val="single" w:color="auto" w:sz="8" w:space="0"/>
            </w:tcBorders>
            <w:noWrap w:val="0"/>
            <w:vAlign w:val="center"/>
          </w:tcPr>
          <w:p w14:paraId="30A23F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7A2E1D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1842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21DB7C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0B50E9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26E77B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68F9A7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2819F8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71C2DE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7D2414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0726FE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single" w:color="auto" w:sz="8" w:space="0"/>
              <w:right w:val="single" w:color="auto" w:sz="8" w:space="0"/>
            </w:tcBorders>
            <w:noWrap w:val="0"/>
            <w:vAlign w:val="center"/>
          </w:tcPr>
          <w:p w14:paraId="7FE1A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353" w:type="pct"/>
            <w:vMerge w:val="continue"/>
            <w:tcBorders>
              <w:top w:val="nil"/>
              <w:left w:val="nil"/>
              <w:bottom w:val="single" w:color="auto" w:sz="8" w:space="0"/>
              <w:right w:val="single" w:color="auto" w:sz="8" w:space="0"/>
            </w:tcBorders>
            <w:noWrap w:val="0"/>
            <w:vAlign w:val="center"/>
          </w:tcPr>
          <w:p w14:paraId="62ED58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697B83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48179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347" w:type="pct"/>
            <w:vMerge w:val="restart"/>
            <w:tcBorders>
              <w:top w:val="nil"/>
              <w:left w:val="single" w:color="auto" w:sz="8" w:space="0"/>
              <w:bottom w:val="single" w:color="auto" w:sz="8" w:space="0"/>
              <w:right w:val="single" w:color="auto" w:sz="8" w:space="0"/>
            </w:tcBorders>
            <w:noWrap w:val="0"/>
            <w:vAlign w:val="center"/>
          </w:tcPr>
          <w:p w14:paraId="1D217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项目过程</w:t>
            </w:r>
          </w:p>
        </w:tc>
        <w:tc>
          <w:tcPr>
            <w:tcW w:w="347" w:type="pct"/>
            <w:vMerge w:val="restart"/>
            <w:tcBorders>
              <w:top w:val="nil"/>
              <w:left w:val="nil"/>
              <w:bottom w:val="single" w:color="auto" w:sz="8" w:space="0"/>
              <w:right w:val="single" w:color="auto" w:sz="8" w:space="0"/>
            </w:tcBorders>
            <w:noWrap w:val="0"/>
            <w:vAlign w:val="center"/>
          </w:tcPr>
          <w:p w14:paraId="623509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12</w:t>
            </w:r>
          </w:p>
        </w:tc>
        <w:tc>
          <w:tcPr>
            <w:tcW w:w="353" w:type="pct"/>
            <w:vMerge w:val="restart"/>
            <w:tcBorders>
              <w:top w:val="nil"/>
              <w:left w:val="nil"/>
              <w:bottom w:val="single" w:color="auto" w:sz="8" w:space="0"/>
              <w:right w:val="single" w:color="auto" w:sz="8" w:space="0"/>
            </w:tcBorders>
            <w:noWrap w:val="0"/>
            <w:vAlign w:val="center"/>
          </w:tcPr>
          <w:p w14:paraId="097935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资金管理</w:t>
            </w:r>
          </w:p>
        </w:tc>
        <w:tc>
          <w:tcPr>
            <w:tcW w:w="248" w:type="pct"/>
            <w:vMerge w:val="restart"/>
            <w:tcBorders>
              <w:top w:val="nil"/>
              <w:left w:val="nil"/>
              <w:bottom w:val="single" w:color="auto" w:sz="8" w:space="0"/>
              <w:right w:val="single" w:color="auto" w:sz="8" w:space="0"/>
            </w:tcBorders>
            <w:noWrap w:val="0"/>
            <w:vAlign w:val="center"/>
          </w:tcPr>
          <w:p w14:paraId="0FE2E7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299" w:type="pct"/>
            <w:tcBorders>
              <w:top w:val="nil"/>
              <w:left w:val="nil"/>
              <w:bottom w:val="single" w:color="auto" w:sz="8" w:space="0"/>
              <w:right w:val="single" w:color="auto" w:sz="8" w:space="0"/>
            </w:tcBorders>
            <w:noWrap w:val="0"/>
            <w:vAlign w:val="center"/>
          </w:tcPr>
          <w:p w14:paraId="5F5A0B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w:t>
            </w:r>
          </w:p>
        </w:tc>
        <w:tc>
          <w:tcPr>
            <w:tcW w:w="266" w:type="pct"/>
            <w:tcBorders>
              <w:top w:val="nil"/>
              <w:left w:val="nil"/>
              <w:bottom w:val="single" w:color="auto" w:sz="8" w:space="0"/>
              <w:right w:val="single" w:color="auto" w:sz="8" w:space="0"/>
            </w:tcBorders>
            <w:noWrap w:val="0"/>
            <w:vAlign w:val="center"/>
          </w:tcPr>
          <w:p w14:paraId="58E502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c>
          <w:tcPr>
            <w:tcW w:w="533" w:type="pct"/>
            <w:tcBorders>
              <w:top w:val="nil"/>
              <w:left w:val="nil"/>
              <w:bottom w:val="single" w:color="auto" w:sz="8" w:space="0"/>
              <w:right w:val="single" w:color="auto" w:sz="8" w:space="0"/>
            </w:tcBorders>
            <w:noWrap w:val="0"/>
            <w:vAlign w:val="center"/>
          </w:tcPr>
          <w:p w14:paraId="7A405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实际到位资金与预算资金的比率，用以反映和考核资金落实情况对项目实施的总体保障程度。</w:t>
            </w:r>
          </w:p>
        </w:tc>
        <w:tc>
          <w:tcPr>
            <w:tcW w:w="251" w:type="pct"/>
            <w:tcBorders>
              <w:top w:val="nil"/>
              <w:left w:val="nil"/>
              <w:bottom w:val="single" w:color="auto" w:sz="8" w:space="0"/>
              <w:right w:val="single" w:color="auto" w:sz="8" w:space="0"/>
            </w:tcBorders>
            <w:noWrap w:val="0"/>
            <w:vAlign w:val="center"/>
          </w:tcPr>
          <w:p w14:paraId="10E41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611" w:type="pct"/>
            <w:tcBorders>
              <w:top w:val="nil"/>
              <w:left w:val="nil"/>
              <w:bottom w:val="single" w:color="auto" w:sz="8" w:space="0"/>
              <w:right w:val="single" w:color="auto" w:sz="8" w:space="0"/>
            </w:tcBorders>
            <w:noWrap w:val="0"/>
            <w:vAlign w:val="center"/>
          </w:tcPr>
          <w:p w14:paraId="16B8B0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资金到位率=（实际到位资金/预算资金）×100%。</w:t>
            </w:r>
          </w:p>
          <w:p w14:paraId="53EBED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资金到位率=100%，得权重分满分，每降低1%，扣除5%权重分，扣完为止。</w:t>
            </w:r>
          </w:p>
        </w:tc>
        <w:tc>
          <w:tcPr>
            <w:tcW w:w="353" w:type="pct"/>
            <w:tcBorders>
              <w:top w:val="nil"/>
              <w:left w:val="nil"/>
              <w:bottom w:val="single" w:color="auto" w:sz="8" w:space="0"/>
              <w:right w:val="single" w:color="auto" w:sz="8" w:space="0"/>
            </w:tcBorders>
            <w:noWrap w:val="0"/>
            <w:vAlign w:val="center"/>
          </w:tcPr>
          <w:p w14:paraId="194807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87" w:type="pct"/>
            <w:tcBorders>
              <w:top w:val="nil"/>
              <w:left w:val="nil"/>
              <w:bottom w:val="single" w:color="auto" w:sz="8" w:space="0"/>
              <w:right w:val="single" w:color="auto" w:sz="8" w:space="0"/>
            </w:tcBorders>
            <w:noWrap w:val="0"/>
            <w:vAlign w:val="center"/>
          </w:tcPr>
          <w:p w14:paraId="327FED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w:t>
            </w:r>
          </w:p>
        </w:tc>
      </w:tr>
      <w:tr w14:paraId="000A0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281481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22308C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313467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5B59E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tcBorders>
              <w:top w:val="nil"/>
              <w:left w:val="nil"/>
              <w:bottom w:val="single" w:color="auto" w:sz="8" w:space="0"/>
              <w:right w:val="single" w:color="auto" w:sz="8" w:space="0"/>
            </w:tcBorders>
            <w:noWrap w:val="0"/>
            <w:vAlign w:val="center"/>
          </w:tcPr>
          <w:p w14:paraId="1B7199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w:t>
            </w:r>
          </w:p>
        </w:tc>
        <w:tc>
          <w:tcPr>
            <w:tcW w:w="266" w:type="pct"/>
            <w:tcBorders>
              <w:top w:val="nil"/>
              <w:left w:val="nil"/>
              <w:bottom w:val="single" w:color="auto" w:sz="8" w:space="0"/>
              <w:right w:val="single" w:color="auto" w:sz="8" w:space="0"/>
            </w:tcBorders>
            <w:noWrap w:val="0"/>
            <w:vAlign w:val="center"/>
          </w:tcPr>
          <w:p w14:paraId="48D58F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c>
          <w:tcPr>
            <w:tcW w:w="533" w:type="pct"/>
            <w:tcBorders>
              <w:top w:val="nil"/>
              <w:left w:val="nil"/>
              <w:bottom w:val="single" w:color="auto" w:sz="8" w:space="0"/>
              <w:right w:val="single" w:color="auto" w:sz="8" w:space="0"/>
            </w:tcBorders>
            <w:noWrap w:val="0"/>
            <w:vAlign w:val="center"/>
          </w:tcPr>
          <w:p w14:paraId="769284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项目预算资金是否按照计划执行，用以反映或考核项目预算执行情况。</w:t>
            </w:r>
          </w:p>
        </w:tc>
        <w:tc>
          <w:tcPr>
            <w:tcW w:w="251" w:type="pct"/>
            <w:tcBorders>
              <w:top w:val="nil"/>
              <w:left w:val="nil"/>
              <w:bottom w:val="single" w:color="auto" w:sz="8" w:space="0"/>
              <w:right w:val="single" w:color="auto" w:sz="8" w:space="0"/>
            </w:tcBorders>
            <w:noWrap w:val="0"/>
            <w:vAlign w:val="center"/>
          </w:tcPr>
          <w:p w14:paraId="25EC0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1611" w:type="pct"/>
            <w:tcBorders>
              <w:top w:val="nil"/>
              <w:left w:val="nil"/>
              <w:bottom w:val="single" w:color="auto" w:sz="8" w:space="0"/>
              <w:right w:val="single" w:color="auto" w:sz="8" w:space="0"/>
            </w:tcBorders>
            <w:noWrap w:val="0"/>
            <w:vAlign w:val="center"/>
          </w:tcPr>
          <w:p w14:paraId="1555E3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预算执行率=（实际支出资金/实际到位资金）×100%。</w:t>
            </w:r>
          </w:p>
          <w:p w14:paraId="57BA68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预算执行率=100%，得权重分满分；若预算执行率＜100%，得分=预算执行率*分值；若执行率≤60%，则不得分。</w:t>
            </w:r>
          </w:p>
        </w:tc>
        <w:tc>
          <w:tcPr>
            <w:tcW w:w="353" w:type="pct"/>
            <w:tcBorders>
              <w:top w:val="nil"/>
              <w:left w:val="nil"/>
              <w:bottom w:val="single" w:color="auto" w:sz="8" w:space="0"/>
              <w:right w:val="single" w:color="auto" w:sz="8" w:space="0"/>
            </w:tcBorders>
            <w:noWrap w:val="0"/>
            <w:vAlign w:val="center"/>
          </w:tcPr>
          <w:p w14:paraId="670BB4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87" w:type="pct"/>
            <w:tcBorders>
              <w:top w:val="nil"/>
              <w:left w:val="nil"/>
              <w:bottom w:val="single" w:color="auto" w:sz="8" w:space="0"/>
              <w:right w:val="single" w:color="auto" w:sz="8" w:space="0"/>
            </w:tcBorders>
            <w:noWrap w:val="0"/>
            <w:vAlign w:val="center"/>
          </w:tcPr>
          <w:p w14:paraId="024F54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w:t>
            </w:r>
          </w:p>
        </w:tc>
      </w:tr>
      <w:tr w14:paraId="3D33A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03601D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4B5CD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118AA4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1B7BC2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restart"/>
            <w:tcBorders>
              <w:top w:val="nil"/>
              <w:left w:val="nil"/>
              <w:bottom w:val="single" w:color="auto" w:sz="8" w:space="0"/>
              <w:right w:val="single" w:color="auto" w:sz="8" w:space="0"/>
            </w:tcBorders>
            <w:noWrap w:val="0"/>
            <w:vAlign w:val="center"/>
          </w:tcPr>
          <w:p w14:paraId="312859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资金使用合规性</w:t>
            </w:r>
          </w:p>
        </w:tc>
        <w:tc>
          <w:tcPr>
            <w:tcW w:w="266" w:type="pct"/>
            <w:vMerge w:val="restart"/>
            <w:tcBorders>
              <w:top w:val="nil"/>
              <w:left w:val="nil"/>
              <w:bottom w:val="single" w:color="auto" w:sz="8" w:space="0"/>
              <w:right w:val="single" w:color="auto" w:sz="8" w:space="0"/>
            </w:tcBorders>
            <w:noWrap w:val="0"/>
            <w:vAlign w:val="center"/>
          </w:tcPr>
          <w:p w14:paraId="000F27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533" w:type="pct"/>
            <w:vMerge w:val="restart"/>
            <w:tcBorders>
              <w:top w:val="nil"/>
              <w:left w:val="nil"/>
              <w:bottom w:val="single" w:color="auto" w:sz="8" w:space="0"/>
              <w:right w:val="single" w:color="auto" w:sz="8" w:space="0"/>
            </w:tcBorders>
            <w:noWrap w:val="0"/>
            <w:vAlign w:val="center"/>
          </w:tcPr>
          <w:p w14:paraId="44550A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项目资金使用是否符合相关的财务管理制度规定，用以反映和考核项目资金的规范运行情况。</w:t>
            </w:r>
          </w:p>
        </w:tc>
        <w:tc>
          <w:tcPr>
            <w:tcW w:w="251" w:type="pct"/>
            <w:vMerge w:val="restart"/>
            <w:tcBorders>
              <w:top w:val="nil"/>
              <w:left w:val="nil"/>
              <w:bottom w:val="single" w:color="auto" w:sz="8" w:space="0"/>
              <w:right w:val="single" w:color="auto" w:sz="8" w:space="0"/>
            </w:tcBorders>
            <w:noWrap w:val="0"/>
            <w:vAlign w:val="center"/>
          </w:tcPr>
          <w:p w14:paraId="48E27E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1611" w:type="pct"/>
            <w:tcBorders>
              <w:top w:val="nil"/>
              <w:left w:val="nil"/>
              <w:bottom w:val="nil"/>
              <w:right w:val="single" w:color="auto" w:sz="8" w:space="0"/>
            </w:tcBorders>
            <w:noWrap w:val="0"/>
            <w:vAlign w:val="center"/>
          </w:tcPr>
          <w:p w14:paraId="6369F8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①否符合国家财经法规和财务管理制度以及有关专项资金管理办法的规定；</w:t>
            </w:r>
          </w:p>
        </w:tc>
        <w:tc>
          <w:tcPr>
            <w:tcW w:w="353" w:type="pct"/>
            <w:vMerge w:val="restart"/>
            <w:tcBorders>
              <w:top w:val="nil"/>
              <w:left w:val="nil"/>
              <w:bottom w:val="single" w:color="auto" w:sz="8" w:space="0"/>
              <w:right w:val="single" w:color="auto" w:sz="8" w:space="0"/>
            </w:tcBorders>
            <w:noWrap w:val="0"/>
            <w:vAlign w:val="center"/>
          </w:tcPr>
          <w:p w14:paraId="781CAA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合规</w:t>
            </w:r>
          </w:p>
        </w:tc>
        <w:tc>
          <w:tcPr>
            <w:tcW w:w="387" w:type="pct"/>
            <w:vMerge w:val="restart"/>
            <w:tcBorders>
              <w:top w:val="nil"/>
              <w:left w:val="nil"/>
              <w:bottom w:val="single" w:color="auto" w:sz="8" w:space="0"/>
              <w:right w:val="single" w:color="auto" w:sz="8" w:space="0"/>
            </w:tcBorders>
            <w:noWrap w:val="0"/>
            <w:vAlign w:val="center"/>
          </w:tcPr>
          <w:p w14:paraId="3FA74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68C6B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788B0E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1EDF5F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1F0722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81994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63F58C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362480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1EEC80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022308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56F56A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②资金的拨付是否有完整的审批程序和手续；</w:t>
            </w:r>
          </w:p>
        </w:tc>
        <w:tc>
          <w:tcPr>
            <w:tcW w:w="353" w:type="pct"/>
            <w:vMerge w:val="continue"/>
            <w:tcBorders>
              <w:top w:val="nil"/>
              <w:left w:val="nil"/>
              <w:bottom w:val="single" w:color="auto" w:sz="8" w:space="0"/>
              <w:right w:val="single" w:color="auto" w:sz="8" w:space="0"/>
            </w:tcBorders>
            <w:noWrap w:val="0"/>
            <w:vAlign w:val="center"/>
          </w:tcPr>
          <w:p w14:paraId="1F079E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330655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5140A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76338A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6C1645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7F70A1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25A92C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3C26D7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002251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2A51A3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4AF418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632CEC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③是否符合项目预算批复或合同规定的用途；</w:t>
            </w:r>
          </w:p>
        </w:tc>
        <w:tc>
          <w:tcPr>
            <w:tcW w:w="353" w:type="pct"/>
            <w:vMerge w:val="continue"/>
            <w:tcBorders>
              <w:top w:val="nil"/>
              <w:left w:val="nil"/>
              <w:bottom w:val="single" w:color="auto" w:sz="8" w:space="0"/>
              <w:right w:val="single" w:color="auto" w:sz="8" w:space="0"/>
            </w:tcBorders>
            <w:noWrap w:val="0"/>
            <w:vAlign w:val="center"/>
          </w:tcPr>
          <w:p w14:paraId="5DB850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6F7CB3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78ABF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2BE564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16DC06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68C243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39F807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8" w:space="0"/>
              <w:right w:val="single" w:color="auto" w:sz="8" w:space="0"/>
            </w:tcBorders>
            <w:noWrap w:val="0"/>
            <w:vAlign w:val="center"/>
          </w:tcPr>
          <w:p w14:paraId="3A81A9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8" w:space="0"/>
              <w:right w:val="single" w:color="auto" w:sz="8" w:space="0"/>
            </w:tcBorders>
            <w:noWrap w:val="0"/>
            <w:vAlign w:val="center"/>
          </w:tcPr>
          <w:p w14:paraId="410815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8" w:space="0"/>
              <w:right w:val="single" w:color="auto" w:sz="8" w:space="0"/>
            </w:tcBorders>
            <w:noWrap w:val="0"/>
            <w:vAlign w:val="center"/>
          </w:tcPr>
          <w:p w14:paraId="4C5799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8" w:space="0"/>
              <w:right w:val="single" w:color="auto" w:sz="8" w:space="0"/>
            </w:tcBorders>
            <w:noWrap w:val="0"/>
            <w:vAlign w:val="center"/>
          </w:tcPr>
          <w:p w14:paraId="4D7ECE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nil"/>
              <w:right w:val="single" w:color="auto" w:sz="8" w:space="0"/>
            </w:tcBorders>
            <w:noWrap w:val="0"/>
            <w:vAlign w:val="center"/>
          </w:tcPr>
          <w:p w14:paraId="7FBF55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④是否存在截留、挤占、挪用、虚列支出等情况。</w:t>
            </w:r>
          </w:p>
        </w:tc>
        <w:tc>
          <w:tcPr>
            <w:tcW w:w="353" w:type="pct"/>
            <w:vMerge w:val="continue"/>
            <w:tcBorders>
              <w:top w:val="nil"/>
              <w:left w:val="nil"/>
              <w:bottom w:val="single" w:color="auto" w:sz="8" w:space="0"/>
              <w:right w:val="single" w:color="auto" w:sz="8" w:space="0"/>
            </w:tcBorders>
            <w:noWrap w:val="0"/>
            <w:vAlign w:val="center"/>
          </w:tcPr>
          <w:p w14:paraId="677629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8" w:space="0"/>
              <w:right w:val="single" w:color="auto" w:sz="8" w:space="0"/>
            </w:tcBorders>
            <w:noWrap w:val="0"/>
            <w:vAlign w:val="center"/>
          </w:tcPr>
          <w:p w14:paraId="189A41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1530F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77A8C7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0B95DE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4" w:space="0"/>
              <w:right w:val="single" w:color="auto" w:sz="8" w:space="0"/>
            </w:tcBorders>
            <w:noWrap w:val="0"/>
            <w:vAlign w:val="center"/>
          </w:tcPr>
          <w:p w14:paraId="2DE4BA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4" w:space="0"/>
              <w:right w:val="single" w:color="auto" w:sz="8" w:space="0"/>
            </w:tcBorders>
            <w:noWrap w:val="0"/>
            <w:vAlign w:val="center"/>
          </w:tcPr>
          <w:p w14:paraId="7CF72F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vMerge w:val="continue"/>
            <w:tcBorders>
              <w:top w:val="nil"/>
              <w:left w:val="nil"/>
              <w:bottom w:val="single" w:color="auto" w:sz="4" w:space="0"/>
              <w:right w:val="single" w:color="auto" w:sz="8" w:space="0"/>
            </w:tcBorders>
            <w:noWrap w:val="0"/>
            <w:vAlign w:val="center"/>
          </w:tcPr>
          <w:p w14:paraId="79ABEB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66" w:type="pct"/>
            <w:vMerge w:val="continue"/>
            <w:tcBorders>
              <w:top w:val="nil"/>
              <w:left w:val="nil"/>
              <w:bottom w:val="single" w:color="auto" w:sz="4" w:space="0"/>
              <w:right w:val="single" w:color="auto" w:sz="8" w:space="0"/>
            </w:tcBorders>
            <w:noWrap w:val="0"/>
            <w:vAlign w:val="center"/>
          </w:tcPr>
          <w:p w14:paraId="74029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533" w:type="pct"/>
            <w:vMerge w:val="continue"/>
            <w:tcBorders>
              <w:top w:val="nil"/>
              <w:left w:val="nil"/>
              <w:bottom w:val="single" w:color="auto" w:sz="4" w:space="0"/>
              <w:right w:val="single" w:color="auto" w:sz="8" w:space="0"/>
            </w:tcBorders>
            <w:noWrap w:val="0"/>
            <w:vAlign w:val="center"/>
          </w:tcPr>
          <w:p w14:paraId="08D0AA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51" w:type="pct"/>
            <w:vMerge w:val="continue"/>
            <w:tcBorders>
              <w:top w:val="nil"/>
              <w:left w:val="nil"/>
              <w:bottom w:val="single" w:color="auto" w:sz="4" w:space="0"/>
              <w:right w:val="single" w:color="auto" w:sz="8" w:space="0"/>
            </w:tcBorders>
            <w:noWrap w:val="0"/>
            <w:vAlign w:val="center"/>
          </w:tcPr>
          <w:p w14:paraId="3ED11B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1611" w:type="pct"/>
            <w:tcBorders>
              <w:top w:val="nil"/>
              <w:left w:val="nil"/>
              <w:bottom w:val="single" w:color="auto" w:sz="4" w:space="0"/>
              <w:right w:val="single" w:color="auto" w:sz="8" w:space="0"/>
            </w:tcBorders>
            <w:noWrap w:val="0"/>
            <w:vAlign w:val="center"/>
          </w:tcPr>
          <w:p w14:paraId="2015E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以上每条指标各占权重分的25%，要素①②不符合，扣除对应权重分；要素③④不符合属于重大违纪，该指标不得分。</w:t>
            </w:r>
          </w:p>
        </w:tc>
        <w:tc>
          <w:tcPr>
            <w:tcW w:w="353" w:type="pct"/>
            <w:vMerge w:val="continue"/>
            <w:tcBorders>
              <w:top w:val="nil"/>
              <w:left w:val="nil"/>
              <w:bottom w:val="single" w:color="auto" w:sz="4" w:space="0"/>
              <w:right w:val="single" w:color="auto" w:sz="8" w:space="0"/>
            </w:tcBorders>
            <w:noWrap w:val="0"/>
            <w:vAlign w:val="center"/>
          </w:tcPr>
          <w:p w14:paraId="7A5242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87" w:type="pct"/>
            <w:vMerge w:val="continue"/>
            <w:tcBorders>
              <w:top w:val="nil"/>
              <w:left w:val="nil"/>
              <w:bottom w:val="single" w:color="auto" w:sz="4" w:space="0"/>
              <w:right w:val="single" w:color="auto" w:sz="8" w:space="0"/>
            </w:tcBorders>
            <w:noWrap w:val="0"/>
            <w:vAlign w:val="center"/>
          </w:tcPr>
          <w:p w14:paraId="2974C6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r>
      <w:tr w14:paraId="0B856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5C6F98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4" w:space="0"/>
            </w:tcBorders>
            <w:noWrap w:val="0"/>
            <w:vAlign w:val="center"/>
          </w:tcPr>
          <w:p w14:paraId="64F0BF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single" w:color="auto" w:sz="4" w:space="0"/>
              <w:left w:val="single" w:color="auto" w:sz="4" w:space="0"/>
              <w:bottom w:val="single" w:color="auto" w:sz="4" w:space="0"/>
              <w:right w:val="single" w:color="auto" w:sz="8" w:space="0"/>
            </w:tcBorders>
            <w:noWrap w:val="0"/>
            <w:vAlign w:val="center"/>
          </w:tcPr>
          <w:p w14:paraId="7546E5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组织实施</w:t>
            </w:r>
          </w:p>
        </w:tc>
        <w:tc>
          <w:tcPr>
            <w:tcW w:w="248" w:type="pct"/>
            <w:vMerge w:val="restart"/>
            <w:tcBorders>
              <w:top w:val="single" w:color="auto" w:sz="4" w:space="0"/>
              <w:left w:val="nil"/>
              <w:bottom w:val="single" w:color="auto" w:sz="4" w:space="0"/>
              <w:right w:val="single" w:color="auto" w:sz="4" w:space="0"/>
            </w:tcBorders>
            <w:noWrap w:val="0"/>
            <w:vAlign w:val="center"/>
          </w:tcPr>
          <w:p w14:paraId="7857FF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6</w:t>
            </w:r>
          </w:p>
        </w:tc>
        <w:tc>
          <w:tcPr>
            <w:tcW w:w="299" w:type="pct"/>
            <w:tcBorders>
              <w:top w:val="single" w:color="auto" w:sz="4" w:space="0"/>
              <w:left w:val="single" w:color="auto" w:sz="4" w:space="0"/>
              <w:bottom w:val="single" w:color="auto" w:sz="4" w:space="0"/>
              <w:right w:val="single" w:color="auto" w:sz="8" w:space="0"/>
            </w:tcBorders>
            <w:noWrap w:val="0"/>
            <w:vAlign w:val="center"/>
          </w:tcPr>
          <w:p w14:paraId="28B3C6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管理制度健全性</w:t>
            </w:r>
          </w:p>
        </w:tc>
        <w:tc>
          <w:tcPr>
            <w:tcW w:w="266" w:type="pct"/>
            <w:tcBorders>
              <w:top w:val="single" w:color="auto" w:sz="4" w:space="0"/>
              <w:left w:val="nil"/>
              <w:bottom w:val="single" w:color="auto" w:sz="4" w:space="0"/>
              <w:right w:val="single" w:color="auto" w:sz="8" w:space="0"/>
            </w:tcBorders>
            <w:noWrap w:val="0"/>
            <w:vAlign w:val="center"/>
          </w:tcPr>
          <w:p w14:paraId="7D0517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533" w:type="pct"/>
            <w:tcBorders>
              <w:top w:val="single" w:color="auto" w:sz="4" w:space="0"/>
              <w:left w:val="nil"/>
              <w:bottom w:val="single" w:color="auto" w:sz="4" w:space="0"/>
              <w:right w:val="single" w:color="auto" w:sz="8" w:space="0"/>
            </w:tcBorders>
            <w:noWrap w:val="0"/>
            <w:vAlign w:val="center"/>
          </w:tcPr>
          <w:p w14:paraId="660C9B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项目实施单位的财务和业务管理制度是否健全，用以反映和考核财务和业务管理制度对项目顺利实施的保障情况。</w:t>
            </w:r>
          </w:p>
        </w:tc>
        <w:tc>
          <w:tcPr>
            <w:tcW w:w="251" w:type="pct"/>
            <w:tcBorders>
              <w:top w:val="single" w:color="auto" w:sz="4" w:space="0"/>
              <w:left w:val="nil"/>
              <w:bottom w:val="single" w:color="auto" w:sz="4" w:space="0"/>
              <w:right w:val="single" w:color="auto" w:sz="8" w:space="0"/>
            </w:tcBorders>
            <w:noWrap w:val="0"/>
            <w:vAlign w:val="center"/>
          </w:tcPr>
          <w:p w14:paraId="761DF2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1611" w:type="pct"/>
            <w:tcBorders>
              <w:top w:val="single" w:color="auto" w:sz="4" w:space="0"/>
              <w:left w:val="nil"/>
              <w:bottom w:val="single" w:color="auto" w:sz="4" w:space="0"/>
              <w:right w:val="single" w:color="auto" w:sz="8" w:space="0"/>
            </w:tcBorders>
            <w:noWrap w:val="0"/>
            <w:vAlign w:val="center"/>
          </w:tcPr>
          <w:p w14:paraId="7A994E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①是否已制定或具有相应的财务和业务管理制度；</w:t>
            </w:r>
          </w:p>
          <w:p w14:paraId="75CBE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②财务和业务管理制度是否合法、合规、完整。</w:t>
            </w:r>
          </w:p>
          <w:p w14:paraId="1CB84A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以上每条要素各占权重的50%，每有一条不符合，扣除对应的权重分，扣完为止。</w:t>
            </w:r>
          </w:p>
        </w:tc>
        <w:tc>
          <w:tcPr>
            <w:tcW w:w="353" w:type="pct"/>
            <w:tcBorders>
              <w:top w:val="single" w:color="auto" w:sz="4" w:space="0"/>
              <w:left w:val="nil"/>
              <w:bottom w:val="single" w:color="auto" w:sz="4" w:space="0"/>
              <w:right w:val="single" w:color="auto" w:sz="8" w:space="0"/>
            </w:tcBorders>
            <w:noWrap w:val="0"/>
            <w:vAlign w:val="center"/>
          </w:tcPr>
          <w:p w14:paraId="24106B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健全</w:t>
            </w:r>
          </w:p>
        </w:tc>
        <w:tc>
          <w:tcPr>
            <w:tcW w:w="387" w:type="pct"/>
            <w:tcBorders>
              <w:top w:val="single" w:color="auto" w:sz="4" w:space="0"/>
              <w:left w:val="nil"/>
              <w:bottom w:val="single" w:color="auto" w:sz="4" w:space="0"/>
              <w:right w:val="single" w:color="auto" w:sz="4" w:space="0"/>
            </w:tcBorders>
            <w:noWrap w:val="0"/>
            <w:vAlign w:val="center"/>
          </w:tcPr>
          <w:p w14:paraId="6DD08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01E38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69B1D9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4" w:space="0"/>
            </w:tcBorders>
            <w:noWrap w:val="0"/>
            <w:vAlign w:val="center"/>
          </w:tcPr>
          <w:p w14:paraId="2FD7EE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single" w:color="auto" w:sz="4" w:space="0"/>
              <w:left w:val="single" w:color="auto" w:sz="4" w:space="0"/>
              <w:bottom w:val="single" w:color="auto" w:sz="8" w:space="0"/>
              <w:right w:val="single" w:color="auto" w:sz="8" w:space="0"/>
            </w:tcBorders>
            <w:noWrap w:val="0"/>
            <w:vAlign w:val="center"/>
          </w:tcPr>
          <w:p w14:paraId="68C771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single" w:color="auto" w:sz="4" w:space="0"/>
              <w:left w:val="nil"/>
              <w:bottom w:val="single" w:color="auto" w:sz="8" w:space="0"/>
              <w:right w:val="single" w:color="auto" w:sz="8" w:space="0"/>
            </w:tcBorders>
            <w:noWrap w:val="0"/>
            <w:vAlign w:val="center"/>
          </w:tcPr>
          <w:p w14:paraId="60AEB2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99" w:type="pct"/>
            <w:tcBorders>
              <w:top w:val="single" w:color="auto" w:sz="4" w:space="0"/>
              <w:left w:val="nil"/>
              <w:bottom w:val="single" w:color="auto" w:sz="8" w:space="0"/>
              <w:right w:val="single" w:color="auto" w:sz="8" w:space="0"/>
            </w:tcBorders>
            <w:noWrap w:val="0"/>
            <w:vAlign w:val="center"/>
          </w:tcPr>
          <w:p w14:paraId="37C327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制度执行有效性</w:t>
            </w:r>
          </w:p>
        </w:tc>
        <w:tc>
          <w:tcPr>
            <w:tcW w:w="266" w:type="pct"/>
            <w:tcBorders>
              <w:top w:val="single" w:color="auto" w:sz="4" w:space="0"/>
              <w:left w:val="nil"/>
              <w:bottom w:val="single" w:color="auto" w:sz="8" w:space="0"/>
              <w:right w:val="single" w:color="auto" w:sz="8" w:space="0"/>
            </w:tcBorders>
            <w:noWrap w:val="0"/>
            <w:vAlign w:val="center"/>
          </w:tcPr>
          <w:p w14:paraId="0D0063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c>
          <w:tcPr>
            <w:tcW w:w="533" w:type="pct"/>
            <w:tcBorders>
              <w:top w:val="single" w:color="auto" w:sz="4" w:space="0"/>
              <w:left w:val="nil"/>
              <w:bottom w:val="single" w:color="auto" w:sz="8" w:space="0"/>
              <w:right w:val="single" w:color="auto" w:sz="8" w:space="0"/>
            </w:tcBorders>
            <w:noWrap w:val="0"/>
            <w:vAlign w:val="center"/>
          </w:tcPr>
          <w:p w14:paraId="413F09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项目实施是否符合相关管理规定，用以反映和考核相关管理制度的有效执行情况。</w:t>
            </w:r>
          </w:p>
        </w:tc>
        <w:tc>
          <w:tcPr>
            <w:tcW w:w="251" w:type="pct"/>
            <w:tcBorders>
              <w:top w:val="single" w:color="auto" w:sz="4" w:space="0"/>
              <w:left w:val="nil"/>
              <w:bottom w:val="single" w:color="auto" w:sz="8" w:space="0"/>
              <w:right w:val="single" w:color="auto" w:sz="8" w:space="0"/>
            </w:tcBorders>
            <w:noWrap w:val="0"/>
            <w:vAlign w:val="center"/>
          </w:tcPr>
          <w:p w14:paraId="278EB1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1611" w:type="pct"/>
            <w:tcBorders>
              <w:top w:val="single" w:color="auto" w:sz="4" w:space="0"/>
              <w:left w:val="nil"/>
              <w:bottom w:val="single" w:color="auto" w:sz="8" w:space="0"/>
              <w:right w:val="single" w:color="auto" w:sz="8" w:space="0"/>
            </w:tcBorders>
            <w:noWrap w:val="0"/>
            <w:vAlign w:val="center"/>
          </w:tcPr>
          <w:p w14:paraId="40A6B5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4"/>
                <w:szCs w:val="24"/>
                <w:u w:val="none"/>
                <w:lang w:val="en-US" w:eastAsia="zh-CN"/>
              </w:rPr>
            </w:pPr>
            <w:r>
              <w:rPr>
                <w:rFonts w:hint="eastAsia" w:ascii="宋体" w:hAnsi="宋体" w:eastAsia="宋体" w:cs="宋体"/>
                <w:i w:val="0"/>
                <w:iCs w:val="0"/>
                <w:color w:val="000000"/>
                <w:kern w:val="0"/>
                <w:sz w:val="24"/>
                <w:szCs w:val="24"/>
                <w:u w:val="none"/>
                <w:lang w:val="en-US" w:eastAsia="zh-CN"/>
              </w:rPr>
              <w:t>①否遵守相关法律法规和相关管理规定；</w:t>
            </w:r>
          </w:p>
          <w:p w14:paraId="7882B9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②项目调整及支出调整手续是否完备；</w:t>
            </w:r>
          </w:p>
          <w:p w14:paraId="4D8E72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③项目资料是否齐全并及时归档。</w:t>
            </w:r>
          </w:p>
          <w:p w14:paraId="64E1A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①②③齐全得权重分的100%，缺①扣权重分的30%，缺②扣权重分的40%，缺③扣权重分的30%。</w:t>
            </w:r>
          </w:p>
        </w:tc>
        <w:tc>
          <w:tcPr>
            <w:tcW w:w="353" w:type="pct"/>
            <w:tcBorders>
              <w:top w:val="single" w:color="auto" w:sz="4" w:space="0"/>
              <w:left w:val="nil"/>
              <w:bottom w:val="single" w:color="auto" w:sz="8" w:space="0"/>
              <w:right w:val="single" w:color="auto" w:sz="8" w:space="0"/>
            </w:tcBorders>
            <w:noWrap w:val="0"/>
            <w:vAlign w:val="center"/>
          </w:tcPr>
          <w:p w14:paraId="433365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有效</w:t>
            </w:r>
          </w:p>
        </w:tc>
        <w:tc>
          <w:tcPr>
            <w:tcW w:w="387" w:type="pct"/>
            <w:tcBorders>
              <w:top w:val="single" w:color="auto" w:sz="4" w:space="0"/>
              <w:left w:val="nil"/>
              <w:bottom w:val="single" w:color="auto" w:sz="8" w:space="0"/>
              <w:right w:val="single" w:color="auto" w:sz="8" w:space="0"/>
            </w:tcBorders>
            <w:noWrap w:val="0"/>
            <w:vAlign w:val="center"/>
          </w:tcPr>
          <w:p w14:paraId="0EE14C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3</w:t>
            </w:r>
          </w:p>
        </w:tc>
      </w:tr>
      <w:tr w14:paraId="741D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347" w:type="pct"/>
            <w:vMerge w:val="restart"/>
            <w:tcBorders>
              <w:top w:val="nil"/>
              <w:left w:val="single" w:color="auto" w:sz="8" w:space="0"/>
              <w:bottom w:val="single" w:color="auto" w:sz="8" w:space="0"/>
              <w:right w:val="single" w:color="auto" w:sz="8" w:space="0"/>
            </w:tcBorders>
            <w:noWrap w:val="0"/>
            <w:vAlign w:val="center"/>
          </w:tcPr>
          <w:p w14:paraId="622A13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项目产出</w:t>
            </w:r>
          </w:p>
        </w:tc>
        <w:tc>
          <w:tcPr>
            <w:tcW w:w="347" w:type="pct"/>
            <w:vMerge w:val="restart"/>
            <w:tcBorders>
              <w:top w:val="nil"/>
              <w:left w:val="nil"/>
              <w:bottom w:val="single" w:color="auto" w:sz="8" w:space="0"/>
              <w:right w:val="single" w:color="auto" w:sz="8" w:space="0"/>
            </w:tcBorders>
            <w:noWrap w:val="0"/>
            <w:vAlign w:val="center"/>
          </w:tcPr>
          <w:p w14:paraId="2080C8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w:t>
            </w:r>
          </w:p>
        </w:tc>
        <w:tc>
          <w:tcPr>
            <w:tcW w:w="353" w:type="pct"/>
            <w:tcBorders>
              <w:top w:val="nil"/>
              <w:left w:val="nil"/>
              <w:bottom w:val="single" w:color="auto" w:sz="8" w:space="0"/>
              <w:right w:val="single" w:color="auto" w:sz="8" w:space="0"/>
            </w:tcBorders>
            <w:noWrap w:val="0"/>
            <w:vAlign w:val="center"/>
          </w:tcPr>
          <w:p w14:paraId="54A79B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产出数量</w:t>
            </w:r>
          </w:p>
        </w:tc>
        <w:tc>
          <w:tcPr>
            <w:tcW w:w="248" w:type="pct"/>
            <w:tcBorders>
              <w:top w:val="nil"/>
              <w:left w:val="nil"/>
              <w:bottom w:val="single" w:color="auto" w:sz="8" w:space="0"/>
              <w:right w:val="single" w:color="auto" w:sz="8" w:space="0"/>
            </w:tcBorders>
            <w:noWrap w:val="0"/>
            <w:vAlign w:val="center"/>
          </w:tcPr>
          <w:p w14:paraId="318BA0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9" w:type="pct"/>
            <w:tcBorders>
              <w:top w:val="nil"/>
              <w:left w:val="nil"/>
              <w:bottom w:val="single" w:color="auto" w:sz="8" w:space="0"/>
              <w:right w:val="single" w:color="auto" w:sz="8" w:space="0"/>
            </w:tcBorders>
            <w:noWrap w:val="0"/>
            <w:vAlign w:val="center"/>
          </w:tcPr>
          <w:p w14:paraId="0FE0A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66" w:type="pct"/>
            <w:tcBorders>
              <w:top w:val="nil"/>
              <w:left w:val="nil"/>
              <w:bottom w:val="single" w:color="auto" w:sz="8" w:space="0"/>
              <w:right w:val="single" w:color="auto" w:sz="8" w:space="0"/>
            </w:tcBorders>
            <w:noWrap w:val="0"/>
            <w:vAlign w:val="center"/>
          </w:tcPr>
          <w:p w14:paraId="380B33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533" w:type="pct"/>
            <w:tcBorders>
              <w:top w:val="nil"/>
              <w:left w:val="nil"/>
              <w:bottom w:val="single" w:color="auto" w:sz="8" w:space="0"/>
              <w:right w:val="single" w:color="auto" w:sz="8" w:space="0"/>
            </w:tcBorders>
            <w:noWrap w:val="0"/>
            <w:vAlign w:val="center"/>
          </w:tcPr>
          <w:p w14:paraId="72FDFA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农机购置补贴机具台数</w:t>
            </w:r>
          </w:p>
        </w:tc>
        <w:tc>
          <w:tcPr>
            <w:tcW w:w="251" w:type="pct"/>
            <w:tcBorders>
              <w:top w:val="nil"/>
              <w:left w:val="nil"/>
              <w:bottom w:val="single" w:color="auto" w:sz="8" w:space="0"/>
              <w:right w:val="single" w:color="auto" w:sz="8" w:space="0"/>
            </w:tcBorders>
            <w:noWrap w:val="0"/>
            <w:vAlign w:val="center"/>
          </w:tcPr>
          <w:p w14:paraId="2EB8E8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≥139台</w:t>
            </w:r>
          </w:p>
        </w:tc>
        <w:tc>
          <w:tcPr>
            <w:tcW w:w="1611" w:type="pct"/>
            <w:tcBorders>
              <w:top w:val="nil"/>
              <w:left w:val="nil"/>
              <w:bottom w:val="single" w:color="auto" w:sz="8" w:space="0"/>
              <w:right w:val="single" w:color="auto" w:sz="8" w:space="0"/>
            </w:tcBorders>
            <w:noWrap w:val="0"/>
            <w:vAlign w:val="center"/>
          </w:tcPr>
          <w:p w14:paraId="65C6E0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实际完成率=（实际完成/预期完成）×100%。</w:t>
            </w:r>
          </w:p>
          <w:p w14:paraId="5010D2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①实际完成率≥100%，且偏离程度＜20%，得满分；</w:t>
            </w:r>
          </w:p>
          <w:p w14:paraId="59362D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②实际完成率≥100%，偏离程度≥20%，得0分；</w:t>
            </w:r>
          </w:p>
          <w:p w14:paraId="685315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353" w:type="pct"/>
            <w:tcBorders>
              <w:top w:val="nil"/>
              <w:left w:val="nil"/>
              <w:bottom w:val="single" w:color="auto" w:sz="8" w:space="0"/>
              <w:right w:val="single" w:color="auto" w:sz="8" w:space="0"/>
            </w:tcBorders>
            <w:noWrap w:val="0"/>
            <w:vAlign w:val="center"/>
          </w:tcPr>
          <w:p w14:paraId="0F1DF5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139台</w:t>
            </w:r>
          </w:p>
        </w:tc>
        <w:tc>
          <w:tcPr>
            <w:tcW w:w="387" w:type="pct"/>
            <w:tcBorders>
              <w:top w:val="nil"/>
              <w:left w:val="nil"/>
              <w:bottom w:val="single" w:color="auto" w:sz="8" w:space="0"/>
              <w:right w:val="single" w:color="auto" w:sz="8" w:space="0"/>
            </w:tcBorders>
            <w:noWrap w:val="0"/>
            <w:vAlign w:val="center"/>
          </w:tcPr>
          <w:p w14:paraId="6C202E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EA55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25D1E9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61A857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nil"/>
              <w:left w:val="nil"/>
              <w:bottom w:val="single" w:color="auto" w:sz="8" w:space="0"/>
              <w:right w:val="single" w:color="auto" w:sz="8" w:space="0"/>
            </w:tcBorders>
            <w:noWrap w:val="0"/>
            <w:vAlign w:val="center"/>
          </w:tcPr>
          <w:p w14:paraId="677A14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产出质量</w:t>
            </w:r>
          </w:p>
        </w:tc>
        <w:tc>
          <w:tcPr>
            <w:tcW w:w="248" w:type="pct"/>
            <w:vMerge w:val="restart"/>
            <w:tcBorders>
              <w:top w:val="nil"/>
              <w:left w:val="nil"/>
              <w:bottom w:val="single" w:color="auto" w:sz="8" w:space="0"/>
              <w:right w:val="single" w:color="auto" w:sz="8" w:space="0"/>
            </w:tcBorders>
            <w:noWrap w:val="0"/>
            <w:vAlign w:val="center"/>
          </w:tcPr>
          <w:p w14:paraId="7F7329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9" w:type="pct"/>
            <w:vMerge w:val="restart"/>
            <w:tcBorders>
              <w:top w:val="nil"/>
              <w:left w:val="nil"/>
              <w:bottom w:val="single" w:color="auto" w:sz="8" w:space="0"/>
              <w:right w:val="single" w:color="auto" w:sz="8" w:space="0"/>
            </w:tcBorders>
            <w:noWrap w:val="0"/>
            <w:vAlign w:val="center"/>
          </w:tcPr>
          <w:p w14:paraId="72F1D0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66" w:type="pct"/>
            <w:vMerge w:val="restart"/>
            <w:tcBorders>
              <w:top w:val="nil"/>
              <w:left w:val="nil"/>
              <w:bottom w:val="single" w:color="auto" w:sz="8" w:space="0"/>
              <w:right w:val="single" w:color="auto" w:sz="8" w:space="0"/>
            </w:tcBorders>
            <w:noWrap w:val="0"/>
            <w:vAlign w:val="center"/>
          </w:tcPr>
          <w:p w14:paraId="4858C1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533" w:type="pct"/>
            <w:vMerge w:val="restart"/>
            <w:tcBorders>
              <w:top w:val="nil"/>
              <w:left w:val="nil"/>
              <w:bottom w:val="single" w:color="auto" w:sz="8" w:space="0"/>
              <w:right w:val="single" w:color="auto" w:sz="8" w:space="0"/>
            </w:tcBorders>
            <w:noWrap w:val="0"/>
            <w:vAlign w:val="center"/>
          </w:tcPr>
          <w:p w14:paraId="44A8D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补助发放覆盖率</w:t>
            </w:r>
          </w:p>
        </w:tc>
        <w:tc>
          <w:tcPr>
            <w:tcW w:w="251" w:type="pct"/>
            <w:vMerge w:val="restart"/>
            <w:tcBorders>
              <w:top w:val="nil"/>
              <w:left w:val="nil"/>
              <w:bottom w:val="single" w:color="auto" w:sz="8" w:space="0"/>
              <w:right w:val="single" w:color="auto" w:sz="8" w:space="0"/>
            </w:tcBorders>
            <w:noWrap w:val="0"/>
            <w:vAlign w:val="center"/>
          </w:tcPr>
          <w:p w14:paraId="193D49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100%</w:t>
            </w:r>
          </w:p>
        </w:tc>
        <w:tc>
          <w:tcPr>
            <w:tcW w:w="1611" w:type="pct"/>
            <w:tcBorders>
              <w:top w:val="nil"/>
              <w:left w:val="nil"/>
              <w:bottom w:val="nil"/>
              <w:right w:val="single" w:color="auto" w:sz="8" w:space="0"/>
            </w:tcBorders>
            <w:noWrap w:val="0"/>
            <w:vAlign w:val="center"/>
          </w:tcPr>
          <w:p w14:paraId="1788D0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tc>
        <w:tc>
          <w:tcPr>
            <w:tcW w:w="353" w:type="pct"/>
            <w:vMerge w:val="restart"/>
            <w:tcBorders>
              <w:top w:val="nil"/>
              <w:left w:val="nil"/>
              <w:bottom w:val="single" w:color="auto" w:sz="8" w:space="0"/>
              <w:right w:val="single" w:color="auto" w:sz="8" w:space="0"/>
            </w:tcBorders>
            <w:noWrap w:val="0"/>
            <w:vAlign w:val="center"/>
          </w:tcPr>
          <w:p w14:paraId="02EDD5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87" w:type="pct"/>
            <w:vMerge w:val="restart"/>
            <w:tcBorders>
              <w:top w:val="nil"/>
              <w:left w:val="nil"/>
              <w:bottom w:val="single" w:color="auto" w:sz="8" w:space="0"/>
              <w:right w:val="single" w:color="auto" w:sz="8" w:space="0"/>
            </w:tcBorders>
            <w:noWrap w:val="0"/>
            <w:vAlign w:val="center"/>
          </w:tcPr>
          <w:p w14:paraId="67C53D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36144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53D8CA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21CABC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451D5B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2DEC01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9" w:type="pct"/>
            <w:vMerge w:val="continue"/>
            <w:tcBorders>
              <w:top w:val="nil"/>
              <w:left w:val="nil"/>
              <w:bottom w:val="single" w:color="auto" w:sz="8" w:space="0"/>
              <w:right w:val="single" w:color="auto" w:sz="8" w:space="0"/>
            </w:tcBorders>
            <w:noWrap w:val="0"/>
            <w:vAlign w:val="center"/>
          </w:tcPr>
          <w:p w14:paraId="2DCDC8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6" w:type="pct"/>
            <w:vMerge w:val="continue"/>
            <w:tcBorders>
              <w:top w:val="nil"/>
              <w:left w:val="nil"/>
              <w:bottom w:val="single" w:color="auto" w:sz="8" w:space="0"/>
              <w:right w:val="single" w:color="auto" w:sz="8" w:space="0"/>
            </w:tcBorders>
            <w:noWrap w:val="0"/>
            <w:vAlign w:val="center"/>
          </w:tcPr>
          <w:p w14:paraId="792E82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pct"/>
            <w:vMerge w:val="continue"/>
            <w:tcBorders>
              <w:top w:val="nil"/>
              <w:left w:val="nil"/>
              <w:bottom w:val="single" w:color="auto" w:sz="8" w:space="0"/>
              <w:right w:val="single" w:color="auto" w:sz="8" w:space="0"/>
            </w:tcBorders>
            <w:noWrap w:val="0"/>
            <w:vAlign w:val="center"/>
          </w:tcPr>
          <w:p w14:paraId="202D55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51" w:type="pct"/>
            <w:vMerge w:val="continue"/>
            <w:tcBorders>
              <w:top w:val="nil"/>
              <w:left w:val="nil"/>
              <w:bottom w:val="single" w:color="auto" w:sz="8" w:space="0"/>
              <w:right w:val="single" w:color="auto" w:sz="8" w:space="0"/>
            </w:tcBorders>
            <w:noWrap w:val="0"/>
            <w:vAlign w:val="center"/>
          </w:tcPr>
          <w:p w14:paraId="1F4DC5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611" w:type="pct"/>
            <w:tcBorders>
              <w:top w:val="nil"/>
              <w:left w:val="nil"/>
              <w:bottom w:val="nil"/>
              <w:right w:val="single" w:color="auto" w:sz="8" w:space="0"/>
            </w:tcBorders>
            <w:noWrap w:val="0"/>
            <w:vAlign w:val="center"/>
          </w:tcPr>
          <w:p w14:paraId="54C1E2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353" w:type="pct"/>
            <w:vMerge w:val="continue"/>
            <w:tcBorders>
              <w:top w:val="nil"/>
              <w:left w:val="nil"/>
              <w:bottom w:val="single" w:color="auto" w:sz="8" w:space="0"/>
              <w:right w:val="single" w:color="auto" w:sz="8" w:space="0"/>
            </w:tcBorders>
            <w:noWrap w:val="0"/>
            <w:vAlign w:val="center"/>
          </w:tcPr>
          <w:p w14:paraId="14F2E7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87" w:type="pct"/>
            <w:vMerge w:val="continue"/>
            <w:tcBorders>
              <w:top w:val="nil"/>
              <w:left w:val="nil"/>
              <w:bottom w:val="single" w:color="auto" w:sz="8" w:space="0"/>
              <w:right w:val="single" w:color="auto" w:sz="8" w:space="0"/>
            </w:tcBorders>
            <w:noWrap w:val="0"/>
            <w:vAlign w:val="center"/>
          </w:tcPr>
          <w:p w14:paraId="15DFB8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10038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7B0951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7C0B91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single" w:color="auto" w:sz="4" w:space="0"/>
              <w:left w:val="single" w:color="auto" w:sz="4" w:space="0"/>
              <w:bottom w:val="single" w:color="auto" w:sz="4" w:space="0"/>
              <w:right w:val="single" w:color="auto" w:sz="4" w:space="0"/>
            </w:tcBorders>
            <w:noWrap w:val="0"/>
            <w:vAlign w:val="center"/>
          </w:tcPr>
          <w:p w14:paraId="1DE84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产出时效</w:t>
            </w:r>
          </w:p>
        </w:tc>
        <w:tc>
          <w:tcPr>
            <w:tcW w:w="248" w:type="pct"/>
            <w:vMerge w:val="restart"/>
            <w:tcBorders>
              <w:top w:val="single" w:color="auto" w:sz="4" w:space="0"/>
              <w:left w:val="single" w:color="auto" w:sz="4" w:space="0"/>
              <w:bottom w:val="single" w:color="auto" w:sz="4" w:space="0"/>
              <w:right w:val="single" w:color="auto" w:sz="4" w:space="0"/>
            </w:tcBorders>
            <w:noWrap w:val="0"/>
            <w:vAlign w:val="center"/>
          </w:tcPr>
          <w:p w14:paraId="078E2E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9" w:type="pct"/>
            <w:vMerge w:val="restart"/>
            <w:tcBorders>
              <w:top w:val="single" w:color="auto" w:sz="4" w:space="0"/>
              <w:left w:val="single" w:color="auto" w:sz="4" w:space="0"/>
              <w:bottom w:val="single" w:color="auto" w:sz="4" w:space="0"/>
              <w:right w:val="single" w:color="auto" w:sz="4" w:space="0"/>
            </w:tcBorders>
            <w:noWrap w:val="0"/>
            <w:vAlign w:val="center"/>
          </w:tcPr>
          <w:p w14:paraId="44AB6D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66" w:type="pct"/>
            <w:vMerge w:val="restart"/>
            <w:tcBorders>
              <w:top w:val="single" w:color="auto" w:sz="4" w:space="0"/>
              <w:left w:val="single" w:color="auto" w:sz="4" w:space="0"/>
              <w:bottom w:val="single" w:color="auto" w:sz="4" w:space="0"/>
              <w:right w:val="single" w:color="auto" w:sz="4" w:space="0"/>
            </w:tcBorders>
            <w:noWrap w:val="0"/>
            <w:vAlign w:val="center"/>
          </w:tcPr>
          <w:p w14:paraId="3A0CE9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533" w:type="pct"/>
            <w:tcBorders>
              <w:top w:val="nil"/>
              <w:left w:val="nil"/>
              <w:bottom w:val="single" w:color="auto" w:sz="4" w:space="0"/>
              <w:right w:val="single" w:color="auto" w:sz="8" w:space="0"/>
            </w:tcBorders>
            <w:noWrap w:val="0"/>
            <w:vAlign w:val="center"/>
          </w:tcPr>
          <w:p w14:paraId="69BC1A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251" w:type="pct"/>
            <w:tcBorders>
              <w:top w:val="nil"/>
              <w:left w:val="nil"/>
              <w:bottom w:val="single" w:color="auto" w:sz="4" w:space="0"/>
              <w:right w:val="single" w:color="auto" w:sz="8" w:space="0"/>
            </w:tcBorders>
            <w:noWrap w:val="0"/>
            <w:vAlign w:val="center"/>
          </w:tcPr>
          <w:p w14:paraId="07B913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1611" w:type="pct"/>
            <w:vMerge w:val="restart"/>
            <w:tcBorders>
              <w:top w:val="single" w:color="auto" w:sz="8" w:space="0"/>
              <w:left w:val="nil"/>
              <w:bottom w:val="single" w:color="auto" w:sz="4" w:space="0"/>
              <w:right w:val="single" w:color="auto" w:sz="8" w:space="0"/>
            </w:tcBorders>
            <w:noWrap w:val="0"/>
            <w:vAlign w:val="center"/>
          </w:tcPr>
          <w:p w14:paraId="7D924A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53E95F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353" w:type="pct"/>
            <w:tcBorders>
              <w:top w:val="nil"/>
              <w:left w:val="nil"/>
              <w:bottom w:val="single" w:color="auto" w:sz="4" w:space="0"/>
              <w:right w:val="single" w:color="auto" w:sz="8" w:space="0"/>
            </w:tcBorders>
            <w:noWrap w:val="0"/>
            <w:vAlign w:val="center"/>
          </w:tcPr>
          <w:p w14:paraId="7E965C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387" w:type="pct"/>
            <w:vMerge w:val="restart"/>
            <w:tcBorders>
              <w:top w:val="nil"/>
              <w:left w:val="nil"/>
              <w:bottom w:val="nil"/>
              <w:right w:val="single" w:color="auto" w:sz="8" w:space="0"/>
            </w:tcBorders>
            <w:noWrap w:val="0"/>
            <w:vAlign w:val="center"/>
          </w:tcPr>
          <w:p w14:paraId="499CFB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29167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18515A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4292FD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14:paraId="1EC05C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single" w:color="auto" w:sz="4" w:space="0"/>
              <w:left w:val="single" w:color="auto" w:sz="4" w:space="0"/>
              <w:bottom w:val="single" w:color="auto" w:sz="4" w:space="0"/>
              <w:right w:val="single" w:color="auto" w:sz="4" w:space="0"/>
            </w:tcBorders>
            <w:noWrap w:val="0"/>
            <w:vAlign w:val="center"/>
          </w:tcPr>
          <w:p w14:paraId="2FF3F5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9" w:type="pct"/>
            <w:vMerge w:val="continue"/>
            <w:tcBorders>
              <w:top w:val="single" w:color="auto" w:sz="4" w:space="0"/>
              <w:left w:val="single" w:color="auto" w:sz="4" w:space="0"/>
              <w:bottom w:val="single" w:color="auto" w:sz="4" w:space="0"/>
              <w:right w:val="single" w:color="auto" w:sz="4" w:space="0"/>
            </w:tcBorders>
            <w:noWrap w:val="0"/>
            <w:vAlign w:val="center"/>
          </w:tcPr>
          <w:p w14:paraId="7F7586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6" w:type="pct"/>
            <w:vMerge w:val="continue"/>
            <w:tcBorders>
              <w:top w:val="single" w:color="auto" w:sz="4" w:space="0"/>
              <w:left w:val="single" w:color="auto" w:sz="4" w:space="0"/>
              <w:bottom w:val="single" w:color="auto" w:sz="4" w:space="0"/>
              <w:right w:val="single" w:color="auto" w:sz="4" w:space="0"/>
            </w:tcBorders>
            <w:noWrap w:val="0"/>
            <w:vAlign w:val="center"/>
          </w:tcPr>
          <w:p w14:paraId="0FC58E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pct"/>
            <w:tcBorders>
              <w:top w:val="single" w:color="auto" w:sz="4" w:space="0"/>
              <w:left w:val="single" w:color="auto" w:sz="4" w:space="0"/>
              <w:bottom w:val="single" w:color="auto" w:sz="4" w:space="0"/>
              <w:right w:val="single" w:color="auto" w:sz="8" w:space="0"/>
            </w:tcBorders>
            <w:noWrap w:val="0"/>
            <w:vAlign w:val="center"/>
          </w:tcPr>
          <w:p w14:paraId="687966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补助拨付及时率</w:t>
            </w:r>
          </w:p>
        </w:tc>
        <w:tc>
          <w:tcPr>
            <w:tcW w:w="251" w:type="pct"/>
            <w:tcBorders>
              <w:top w:val="single" w:color="auto" w:sz="4" w:space="0"/>
              <w:left w:val="nil"/>
              <w:bottom w:val="single" w:color="auto" w:sz="4" w:space="0"/>
              <w:right w:val="single" w:color="auto" w:sz="8" w:space="0"/>
            </w:tcBorders>
            <w:noWrap w:val="0"/>
            <w:vAlign w:val="center"/>
          </w:tcPr>
          <w:p w14:paraId="09BE60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100%</w:t>
            </w:r>
          </w:p>
        </w:tc>
        <w:tc>
          <w:tcPr>
            <w:tcW w:w="1611" w:type="pct"/>
            <w:vMerge w:val="continue"/>
            <w:tcBorders>
              <w:top w:val="single" w:color="auto" w:sz="4" w:space="0"/>
              <w:left w:val="nil"/>
              <w:bottom w:val="single" w:color="auto" w:sz="4" w:space="0"/>
              <w:right w:val="single" w:color="auto" w:sz="8" w:space="0"/>
            </w:tcBorders>
            <w:noWrap w:val="0"/>
            <w:vAlign w:val="center"/>
          </w:tcPr>
          <w:p w14:paraId="4E6447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353" w:type="pct"/>
            <w:tcBorders>
              <w:top w:val="single" w:color="auto" w:sz="4" w:space="0"/>
              <w:left w:val="nil"/>
              <w:bottom w:val="single" w:color="auto" w:sz="4" w:space="0"/>
              <w:right w:val="single" w:color="auto" w:sz="4" w:space="0"/>
            </w:tcBorders>
            <w:noWrap w:val="0"/>
            <w:vAlign w:val="center"/>
          </w:tcPr>
          <w:p w14:paraId="505B28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87" w:type="pct"/>
            <w:vMerge w:val="continue"/>
            <w:tcBorders>
              <w:top w:val="nil"/>
              <w:left w:val="single" w:color="auto" w:sz="4" w:space="0"/>
              <w:bottom w:val="nil"/>
              <w:right w:val="single" w:color="auto" w:sz="8" w:space="0"/>
            </w:tcBorders>
            <w:noWrap w:val="0"/>
            <w:vAlign w:val="center"/>
          </w:tcPr>
          <w:p w14:paraId="6DF756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7C1C4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2"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24AFCF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1C6258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restart"/>
            <w:tcBorders>
              <w:top w:val="single" w:color="auto" w:sz="4" w:space="0"/>
              <w:left w:val="single" w:color="auto" w:sz="4" w:space="0"/>
              <w:bottom w:val="single" w:color="auto" w:sz="4" w:space="0"/>
              <w:right w:val="single" w:color="auto" w:sz="4" w:space="0"/>
            </w:tcBorders>
            <w:noWrap w:val="0"/>
            <w:vAlign w:val="center"/>
          </w:tcPr>
          <w:p w14:paraId="21D560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产出成本</w:t>
            </w:r>
          </w:p>
        </w:tc>
        <w:tc>
          <w:tcPr>
            <w:tcW w:w="248" w:type="pct"/>
            <w:vMerge w:val="restart"/>
            <w:tcBorders>
              <w:top w:val="single" w:color="auto" w:sz="4" w:space="0"/>
              <w:left w:val="single" w:color="auto" w:sz="4" w:space="0"/>
              <w:bottom w:val="single" w:color="auto" w:sz="4" w:space="0"/>
              <w:right w:val="single" w:color="auto" w:sz="4" w:space="0"/>
            </w:tcBorders>
            <w:noWrap w:val="0"/>
            <w:vAlign w:val="center"/>
          </w:tcPr>
          <w:p w14:paraId="547659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9" w:type="pct"/>
            <w:vMerge w:val="restart"/>
            <w:tcBorders>
              <w:top w:val="single" w:color="auto" w:sz="4" w:space="0"/>
              <w:left w:val="single" w:color="auto" w:sz="4" w:space="0"/>
              <w:bottom w:val="single" w:color="auto" w:sz="4" w:space="0"/>
              <w:right w:val="single" w:color="auto" w:sz="4" w:space="0"/>
            </w:tcBorders>
            <w:noWrap w:val="0"/>
            <w:vAlign w:val="center"/>
          </w:tcPr>
          <w:p w14:paraId="213461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66" w:type="pct"/>
            <w:vMerge w:val="restart"/>
            <w:tcBorders>
              <w:top w:val="single" w:color="auto" w:sz="4" w:space="0"/>
              <w:left w:val="single" w:color="auto" w:sz="4" w:space="0"/>
              <w:bottom w:val="single" w:color="auto" w:sz="4" w:space="0"/>
              <w:right w:val="single" w:color="auto" w:sz="4" w:space="0"/>
            </w:tcBorders>
            <w:noWrap w:val="0"/>
            <w:vAlign w:val="center"/>
          </w:tcPr>
          <w:p w14:paraId="6F2A38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533" w:type="pct"/>
            <w:tcBorders>
              <w:top w:val="single" w:color="auto" w:sz="4" w:space="0"/>
              <w:left w:val="nil"/>
              <w:bottom w:val="single" w:color="auto" w:sz="8" w:space="0"/>
              <w:right w:val="single" w:color="auto" w:sz="8" w:space="0"/>
            </w:tcBorders>
            <w:noWrap w:val="0"/>
            <w:vAlign w:val="center"/>
          </w:tcPr>
          <w:p w14:paraId="709A67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农机购置补贴经费</w:t>
            </w:r>
          </w:p>
        </w:tc>
        <w:tc>
          <w:tcPr>
            <w:tcW w:w="251" w:type="pct"/>
            <w:tcBorders>
              <w:top w:val="single" w:color="auto" w:sz="4" w:space="0"/>
              <w:left w:val="nil"/>
              <w:bottom w:val="single" w:color="auto" w:sz="8" w:space="0"/>
              <w:right w:val="single" w:color="auto" w:sz="8" w:space="0"/>
            </w:tcBorders>
            <w:noWrap w:val="0"/>
            <w:vAlign w:val="center"/>
          </w:tcPr>
          <w:p w14:paraId="43DFFB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≤234万元</w:t>
            </w:r>
          </w:p>
        </w:tc>
        <w:tc>
          <w:tcPr>
            <w:tcW w:w="1611" w:type="pct"/>
            <w:vMerge w:val="restart"/>
            <w:tcBorders>
              <w:top w:val="single" w:color="auto" w:sz="4" w:space="0"/>
              <w:left w:val="nil"/>
              <w:bottom w:val="single" w:color="auto" w:sz="8" w:space="0"/>
              <w:right w:val="single" w:color="auto" w:sz="8" w:space="0"/>
            </w:tcBorders>
            <w:noWrap w:val="0"/>
            <w:vAlign w:val="center"/>
          </w:tcPr>
          <w:p w14:paraId="151A41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p>
          <w:p w14:paraId="179E13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①实际完成率＞年度指标值，得0得分；</w:t>
            </w:r>
          </w:p>
          <w:p w14:paraId="3E971A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②实际完成率≤年度指标值，且偏离程度＜20%，得满分；</w:t>
            </w:r>
          </w:p>
          <w:p w14:paraId="0E7F90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53" w:type="pct"/>
            <w:tcBorders>
              <w:top w:val="single" w:color="auto" w:sz="4" w:space="0"/>
              <w:left w:val="nil"/>
              <w:bottom w:val="single" w:color="auto" w:sz="8" w:space="0"/>
              <w:right w:val="single" w:color="auto" w:sz="8" w:space="0"/>
            </w:tcBorders>
            <w:noWrap w:val="0"/>
            <w:vAlign w:val="center"/>
          </w:tcPr>
          <w:p w14:paraId="0DF881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234万元</w:t>
            </w:r>
          </w:p>
        </w:tc>
        <w:tc>
          <w:tcPr>
            <w:tcW w:w="387" w:type="pct"/>
            <w:vMerge w:val="restart"/>
            <w:tcBorders>
              <w:top w:val="nil"/>
              <w:left w:val="nil"/>
              <w:bottom w:val="single" w:color="auto" w:sz="8" w:space="0"/>
              <w:right w:val="single" w:color="auto" w:sz="8" w:space="0"/>
            </w:tcBorders>
            <w:noWrap w:val="0"/>
            <w:vAlign w:val="center"/>
          </w:tcPr>
          <w:p w14:paraId="3C36AA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6B326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47" w:type="pct"/>
            <w:vMerge w:val="restart"/>
            <w:tcBorders>
              <w:top w:val="nil"/>
              <w:left w:val="single" w:color="auto" w:sz="8" w:space="0"/>
              <w:bottom w:val="single" w:color="auto" w:sz="8" w:space="0"/>
              <w:right w:val="single" w:color="auto" w:sz="8" w:space="0"/>
            </w:tcBorders>
            <w:noWrap w:val="0"/>
            <w:vAlign w:val="center"/>
          </w:tcPr>
          <w:p w14:paraId="5E8463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347" w:type="pct"/>
            <w:vMerge w:val="restart"/>
            <w:tcBorders>
              <w:top w:val="nil"/>
              <w:left w:val="nil"/>
              <w:bottom w:val="single" w:color="auto" w:sz="8" w:space="0"/>
              <w:right w:val="single" w:color="auto" w:sz="8" w:space="0"/>
            </w:tcBorders>
            <w:noWrap w:val="0"/>
            <w:vAlign w:val="center"/>
          </w:tcPr>
          <w:p w14:paraId="0481E9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353" w:type="pct"/>
            <w:vMerge w:val="restart"/>
            <w:tcBorders>
              <w:top w:val="nil"/>
              <w:left w:val="nil"/>
              <w:bottom w:val="single" w:color="auto" w:sz="8" w:space="0"/>
              <w:right w:val="single" w:color="auto" w:sz="8" w:space="0"/>
            </w:tcBorders>
            <w:noWrap w:val="0"/>
            <w:vAlign w:val="center"/>
          </w:tcPr>
          <w:p w14:paraId="343A42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248" w:type="pct"/>
            <w:vMerge w:val="restart"/>
            <w:tcBorders>
              <w:top w:val="nil"/>
              <w:left w:val="nil"/>
              <w:bottom w:val="single" w:color="auto" w:sz="8" w:space="0"/>
              <w:right w:val="single" w:color="auto" w:sz="8" w:space="0"/>
            </w:tcBorders>
            <w:noWrap w:val="0"/>
            <w:vAlign w:val="center"/>
          </w:tcPr>
          <w:p w14:paraId="1F3BC6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99" w:type="pct"/>
            <w:vMerge w:val="restart"/>
            <w:tcBorders>
              <w:top w:val="nil"/>
              <w:left w:val="nil"/>
              <w:bottom w:val="single" w:color="auto" w:sz="8" w:space="0"/>
              <w:right w:val="nil"/>
            </w:tcBorders>
            <w:noWrap w:val="0"/>
            <w:vAlign w:val="center"/>
          </w:tcPr>
          <w:p w14:paraId="16DEEB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66" w:type="pct"/>
            <w:vMerge w:val="restart"/>
            <w:tcBorders>
              <w:top w:val="nil"/>
              <w:left w:val="single" w:color="auto" w:sz="4" w:space="0"/>
              <w:bottom w:val="single" w:color="auto" w:sz="4" w:space="0"/>
              <w:right w:val="single" w:color="auto" w:sz="4" w:space="0"/>
            </w:tcBorders>
            <w:noWrap w:val="0"/>
            <w:vAlign w:val="center"/>
          </w:tcPr>
          <w:p w14:paraId="5A6BE4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533" w:type="pct"/>
            <w:tcBorders>
              <w:top w:val="nil"/>
              <w:left w:val="nil"/>
              <w:bottom w:val="single" w:color="auto" w:sz="8" w:space="0"/>
              <w:right w:val="single" w:color="auto" w:sz="8" w:space="0"/>
            </w:tcBorders>
            <w:noWrap w:val="0"/>
            <w:vAlign w:val="center"/>
          </w:tcPr>
          <w:p w14:paraId="4CEE7F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农机购置补贴受益户数</w:t>
            </w:r>
          </w:p>
        </w:tc>
        <w:tc>
          <w:tcPr>
            <w:tcW w:w="251" w:type="pct"/>
            <w:tcBorders>
              <w:top w:val="nil"/>
              <w:left w:val="nil"/>
              <w:bottom w:val="single" w:color="auto" w:sz="8" w:space="0"/>
              <w:right w:val="single" w:color="auto" w:sz="8" w:space="0"/>
            </w:tcBorders>
            <w:noWrap w:val="0"/>
            <w:vAlign w:val="center"/>
          </w:tcPr>
          <w:p w14:paraId="4DC40F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≥123户</w:t>
            </w:r>
          </w:p>
        </w:tc>
        <w:tc>
          <w:tcPr>
            <w:tcW w:w="1611" w:type="pct"/>
            <w:vMerge w:val="restart"/>
            <w:tcBorders>
              <w:top w:val="nil"/>
              <w:left w:val="nil"/>
              <w:right w:val="single" w:color="auto" w:sz="8" w:space="0"/>
            </w:tcBorders>
            <w:noWrap w:val="0"/>
            <w:vAlign w:val="center"/>
          </w:tcPr>
          <w:p w14:paraId="4AEAAB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53" w:type="pct"/>
            <w:tcBorders>
              <w:top w:val="nil"/>
              <w:left w:val="nil"/>
              <w:bottom w:val="single" w:color="auto" w:sz="8" w:space="0"/>
              <w:right w:val="single" w:color="auto" w:sz="8" w:space="0"/>
            </w:tcBorders>
            <w:noWrap w:val="0"/>
            <w:vAlign w:val="center"/>
          </w:tcPr>
          <w:p w14:paraId="2327BF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123户</w:t>
            </w:r>
          </w:p>
        </w:tc>
        <w:tc>
          <w:tcPr>
            <w:tcW w:w="387" w:type="pct"/>
            <w:vMerge w:val="restart"/>
            <w:tcBorders>
              <w:top w:val="single" w:color="auto" w:sz="4" w:space="0"/>
              <w:left w:val="single" w:color="auto" w:sz="4" w:space="0"/>
              <w:bottom w:val="single" w:color="auto" w:sz="4" w:space="0"/>
              <w:right w:val="single" w:color="auto" w:sz="4" w:space="0"/>
            </w:tcBorders>
            <w:noWrap w:val="0"/>
            <w:vAlign w:val="center"/>
          </w:tcPr>
          <w:p w14:paraId="18EB81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r>
      <w:tr w14:paraId="108D8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4C0424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72EE94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58507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5A366A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9" w:type="pct"/>
            <w:vMerge w:val="continue"/>
            <w:tcBorders>
              <w:top w:val="nil"/>
              <w:left w:val="nil"/>
              <w:bottom w:val="single" w:color="auto" w:sz="8" w:space="0"/>
              <w:right w:val="nil"/>
            </w:tcBorders>
            <w:noWrap w:val="0"/>
            <w:vAlign w:val="center"/>
          </w:tcPr>
          <w:p w14:paraId="1542A1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6" w:type="pct"/>
            <w:vMerge w:val="continue"/>
            <w:tcBorders>
              <w:top w:val="nil"/>
              <w:left w:val="single" w:color="auto" w:sz="4" w:space="0"/>
              <w:bottom w:val="single" w:color="auto" w:sz="4" w:space="0"/>
              <w:right w:val="single" w:color="auto" w:sz="4" w:space="0"/>
            </w:tcBorders>
            <w:noWrap w:val="0"/>
            <w:vAlign w:val="center"/>
          </w:tcPr>
          <w:p w14:paraId="174F57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33" w:type="pct"/>
            <w:tcBorders>
              <w:top w:val="nil"/>
              <w:left w:val="nil"/>
              <w:bottom w:val="single" w:color="auto" w:sz="8" w:space="0"/>
              <w:right w:val="single" w:color="auto" w:sz="8" w:space="0"/>
            </w:tcBorders>
            <w:noWrap w:val="0"/>
            <w:vAlign w:val="center"/>
          </w:tcPr>
          <w:p w14:paraId="13DB32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提高农民从事农业生产积极性，提升农业机械化水平</w:t>
            </w:r>
          </w:p>
        </w:tc>
        <w:tc>
          <w:tcPr>
            <w:tcW w:w="251" w:type="pct"/>
            <w:tcBorders>
              <w:top w:val="nil"/>
              <w:left w:val="nil"/>
              <w:bottom w:val="single" w:color="auto" w:sz="8" w:space="0"/>
              <w:right w:val="single" w:color="auto" w:sz="8" w:space="0"/>
            </w:tcBorders>
            <w:noWrap w:val="0"/>
            <w:vAlign w:val="center"/>
          </w:tcPr>
          <w:p w14:paraId="489952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1611" w:type="pct"/>
            <w:vMerge w:val="continue"/>
            <w:tcBorders>
              <w:left w:val="nil"/>
              <w:bottom w:val="single" w:color="auto" w:sz="8" w:space="0"/>
              <w:right w:val="single" w:color="auto" w:sz="8" w:space="0"/>
            </w:tcBorders>
            <w:noWrap w:val="0"/>
            <w:vAlign w:val="center"/>
          </w:tcPr>
          <w:p w14:paraId="30843F5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53" w:type="pct"/>
            <w:tcBorders>
              <w:top w:val="nil"/>
              <w:left w:val="nil"/>
              <w:bottom w:val="single" w:color="auto" w:sz="8" w:space="0"/>
              <w:right w:val="single" w:color="auto" w:sz="8" w:space="0"/>
            </w:tcBorders>
            <w:noWrap w:val="0"/>
            <w:vAlign w:val="center"/>
          </w:tcPr>
          <w:p w14:paraId="0A4BA3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387" w:type="pct"/>
            <w:vMerge w:val="continue"/>
            <w:tcBorders>
              <w:top w:val="single" w:color="auto" w:sz="4" w:space="0"/>
              <w:left w:val="single" w:color="auto" w:sz="4" w:space="0"/>
              <w:bottom w:val="single" w:color="auto" w:sz="4" w:space="0"/>
              <w:right w:val="single" w:color="auto" w:sz="4" w:space="0"/>
            </w:tcBorders>
            <w:noWrap w:val="0"/>
            <w:vAlign w:val="center"/>
          </w:tcPr>
          <w:p w14:paraId="04CB1A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0E75E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vMerge w:val="continue"/>
            <w:tcBorders>
              <w:top w:val="nil"/>
              <w:left w:val="single" w:color="auto" w:sz="8" w:space="0"/>
              <w:bottom w:val="single" w:color="auto" w:sz="8" w:space="0"/>
              <w:right w:val="single" w:color="auto" w:sz="8" w:space="0"/>
            </w:tcBorders>
            <w:noWrap w:val="0"/>
            <w:vAlign w:val="center"/>
          </w:tcPr>
          <w:p w14:paraId="61817B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47" w:type="pct"/>
            <w:vMerge w:val="continue"/>
            <w:tcBorders>
              <w:top w:val="nil"/>
              <w:left w:val="nil"/>
              <w:bottom w:val="single" w:color="auto" w:sz="8" w:space="0"/>
              <w:right w:val="single" w:color="auto" w:sz="8" w:space="0"/>
            </w:tcBorders>
            <w:noWrap w:val="0"/>
            <w:vAlign w:val="center"/>
          </w:tcPr>
          <w:p w14:paraId="5E3C80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353" w:type="pct"/>
            <w:vMerge w:val="continue"/>
            <w:tcBorders>
              <w:top w:val="nil"/>
              <w:left w:val="nil"/>
              <w:bottom w:val="single" w:color="auto" w:sz="8" w:space="0"/>
              <w:right w:val="single" w:color="auto" w:sz="8" w:space="0"/>
            </w:tcBorders>
            <w:noWrap w:val="0"/>
            <w:vAlign w:val="center"/>
          </w:tcPr>
          <w:p w14:paraId="21721F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vMerge w:val="continue"/>
            <w:tcBorders>
              <w:top w:val="nil"/>
              <w:left w:val="nil"/>
              <w:bottom w:val="single" w:color="auto" w:sz="8" w:space="0"/>
              <w:right w:val="single" w:color="auto" w:sz="8" w:space="0"/>
            </w:tcBorders>
            <w:noWrap w:val="0"/>
            <w:vAlign w:val="center"/>
          </w:tcPr>
          <w:p w14:paraId="031E41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9" w:type="pct"/>
            <w:tcBorders>
              <w:top w:val="nil"/>
              <w:left w:val="nil"/>
              <w:bottom w:val="single" w:color="auto" w:sz="8" w:space="0"/>
              <w:right w:val="nil"/>
            </w:tcBorders>
            <w:noWrap w:val="0"/>
            <w:vAlign w:val="center"/>
          </w:tcPr>
          <w:p w14:paraId="3355A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66" w:type="pct"/>
            <w:tcBorders>
              <w:top w:val="single" w:color="auto" w:sz="4" w:space="0"/>
              <w:left w:val="single" w:color="auto" w:sz="4" w:space="0"/>
              <w:bottom w:val="single" w:color="auto" w:sz="4" w:space="0"/>
              <w:right w:val="single" w:color="auto" w:sz="4" w:space="0"/>
            </w:tcBorders>
            <w:noWrap w:val="0"/>
            <w:vAlign w:val="center"/>
          </w:tcPr>
          <w:p w14:paraId="026309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533" w:type="pct"/>
            <w:tcBorders>
              <w:top w:val="nil"/>
              <w:left w:val="nil"/>
              <w:bottom w:val="single" w:color="auto" w:sz="8" w:space="0"/>
              <w:right w:val="single" w:color="auto" w:sz="8" w:space="0"/>
            </w:tcBorders>
            <w:noWrap w:val="0"/>
            <w:vAlign w:val="center"/>
          </w:tcPr>
          <w:p w14:paraId="177112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受益群众满意度</w:t>
            </w:r>
          </w:p>
        </w:tc>
        <w:tc>
          <w:tcPr>
            <w:tcW w:w="251" w:type="pct"/>
            <w:tcBorders>
              <w:top w:val="nil"/>
              <w:left w:val="nil"/>
              <w:bottom w:val="single" w:color="auto" w:sz="8" w:space="0"/>
              <w:right w:val="single" w:color="auto" w:sz="8" w:space="0"/>
            </w:tcBorders>
            <w:noWrap w:val="0"/>
            <w:vAlign w:val="center"/>
          </w:tcPr>
          <w:p w14:paraId="68B3F9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1611" w:type="pct"/>
            <w:tcBorders>
              <w:top w:val="nil"/>
              <w:left w:val="nil"/>
              <w:bottom w:val="single" w:color="auto" w:sz="8" w:space="0"/>
              <w:right w:val="single" w:color="auto" w:sz="8" w:space="0"/>
            </w:tcBorders>
            <w:noWrap w:val="0"/>
            <w:vAlign w:val="center"/>
          </w:tcPr>
          <w:p w14:paraId="15B0E3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53" w:type="pct"/>
            <w:tcBorders>
              <w:top w:val="nil"/>
              <w:left w:val="nil"/>
              <w:bottom w:val="single" w:color="auto" w:sz="8" w:space="0"/>
              <w:right w:val="single" w:color="auto" w:sz="8" w:space="0"/>
            </w:tcBorders>
            <w:noWrap w:val="0"/>
            <w:vAlign w:val="center"/>
          </w:tcPr>
          <w:p w14:paraId="5BE6E2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387" w:type="pct"/>
            <w:tcBorders>
              <w:top w:val="single" w:color="auto" w:sz="4" w:space="0"/>
              <w:left w:val="single" w:color="auto" w:sz="4" w:space="0"/>
              <w:bottom w:val="single" w:color="auto" w:sz="4" w:space="0"/>
              <w:right w:val="single" w:color="auto" w:sz="4" w:space="0"/>
            </w:tcBorders>
            <w:noWrap w:val="0"/>
            <w:vAlign w:val="center"/>
          </w:tcPr>
          <w:p w14:paraId="65EC5B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52450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7" w:type="pct"/>
            <w:tcBorders>
              <w:top w:val="nil"/>
              <w:left w:val="single" w:color="auto" w:sz="8" w:space="0"/>
              <w:bottom w:val="single" w:color="auto" w:sz="8" w:space="0"/>
              <w:right w:val="single" w:color="auto" w:sz="8" w:space="0"/>
            </w:tcBorders>
            <w:noWrap w:val="0"/>
            <w:vAlign w:val="center"/>
          </w:tcPr>
          <w:p w14:paraId="6D317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总分</w:t>
            </w:r>
          </w:p>
        </w:tc>
        <w:tc>
          <w:tcPr>
            <w:tcW w:w="347" w:type="pct"/>
            <w:tcBorders>
              <w:top w:val="nil"/>
              <w:left w:val="nil"/>
              <w:bottom w:val="single" w:color="auto" w:sz="8" w:space="0"/>
              <w:right w:val="single" w:color="auto" w:sz="8" w:space="0"/>
            </w:tcBorders>
            <w:noWrap w:val="0"/>
            <w:vAlign w:val="center"/>
          </w:tcPr>
          <w:p w14:paraId="06079B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c>
          <w:tcPr>
            <w:tcW w:w="353" w:type="pct"/>
            <w:tcBorders>
              <w:top w:val="nil"/>
              <w:left w:val="nil"/>
              <w:bottom w:val="single" w:color="auto" w:sz="8" w:space="0"/>
              <w:right w:val="single" w:color="auto" w:sz="8" w:space="0"/>
            </w:tcBorders>
            <w:noWrap w:val="0"/>
            <w:vAlign w:val="center"/>
          </w:tcPr>
          <w:p w14:paraId="2F0F2A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4"/>
                <w:szCs w:val="24"/>
                <w:u w:val="none"/>
              </w:rPr>
            </w:pPr>
          </w:p>
        </w:tc>
        <w:tc>
          <w:tcPr>
            <w:tcW w:w="248" w:type="pct"/>
            <w:tcBorders>
              <w:top w:val="nil"/>
              <w:left w:val="nil"/>
              <w:bottom w:val="single" w:color="auto" w:sz="8" w:space="0"/>
              <w:right w:val="single" w:color="auto" w:sz="8" w:space="0"/>
            </w:tcBorders>
            <w:noWrap w:val="0"/>
            <w:vAlign w:val="center"/>
          </w:tcPr>
          <w:p w14:paraId="13AD7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9" w:type="pct"/>
            <w:tcBorders>
              <w:top w:val="nil"/>
              <w:left w:val="nil"/>
              <w:bottom w:val="single" w:color="auto" w:sz="8" w:space="0"/>
              <w:right w:val="single" w:color="auto" w:sz="8" w:space="0"/>
            </w:tcBorders>
            <w:noWrap w:val="0"/>
            <w:vAlign w:val="center"/>
          </w:tcPr>
          <w:p w14:paraId="100EEC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6" w:type="pct"/>
            <w:tcBorders>
              <w:top w:val="nil"/>
              <w:left w:val="nil"/>
              <w:bottom w:val="single" w:color="auto" w:sz="8" w:space="0"/>
              <w:right w:val="single" w:color="auto" w:sz="8" w:space="0"/>
            </w:tcBorders>
            <w:noWrap w:val="0"/>
            <w:vAlign w:val="center"/>
          </w:tcPr>
          <w:p w14:paraId="57998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33" w:type="pct"/>
            <w:tcBorders>
              <w:top w:val="nil"/>
              <w:left w:val="nil"/>
              <w:bottom w:val="single" w:color="auto" w:sz="8" w:space="0"/>
              <w:right w:val="single" w:color="auto" w:sz="8" w:space="0"/>
            </w:tcBorders>
            <w:noWrap w:val="0"/>
            <w:vAlign w:val="center"/>
          </w:tcPr>
          <w:p w14:paraId="41266B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1" w:type="pct"/>
            <w:tcBorders>
              <w:top w:val="nil"/>
              <w:left w:val="nil"/>
              <w:bottom w:val="single" w:color="auto" w:sz="8" w:space="0"/>
              <w:right w:val="single" w:color="auto" w:sz="8" w:space="0"/>
            </w:tcBorders>
            <w:noWrap w:val="0"/>
            <w:vAlign w:val="center"/>
          </w:tcPr>
          <w:p w14:paraId="4D3F9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611" w:type="pct"/>
            <w:tcBorders>
              <w:top w:val="nil"/>
              <w:left w:val="nil"/>
              <w:bottom w:val="single" w:color="auto" w:sz="8" w:space="0"/>
              <w:right w:val="single" w:color="auto" w:sz="8" w:space="0"/>
            </w:tcBorders>
            <w:noWrap w:val="0"/>
            <w:vAlign w:val="center"/>
          </w:tcPr>
          <w:p w14:paraId="43A555E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353" w:type="pct"/>
            <w:tcBorders>
              <w:top w:val="nil"/>
              <w:left w:val="nil"/>
              <w:bottom w:val="single" w:color="auto" w:sz="8" w:space="0"/>
              <w:right w:val="single" w:color="auto" w:sz="8" w:space="0"/>
            </w:tcBorders>
            <w:noWrap w:val="0"/>
            <w:vAlign w:val="center"/>
          </w:tcPr>
          <w:p w14:paraId="3DC6DC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87" w:type="pct"/>
            <w:tcBorders>
              <w:top w:val="nil"/>
              <w:left w:val="nil"/>
              <w:bottom w:val="single" w:color="auto" w:sz="8" w:space="0"/>
              <w:right w:val="single" w:color="auto" w:sz="8" w:space="0"/>
            </w:tcBorders>
            <w:noWrap w:val="0"/>
            <w:vAlign w:val="center"/>
          </w:tcPr>
          <w:p w14:paraId="77A24A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bl>
    <w:p w14:paraId="1ECC634F">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lang w:val="en-US" w:eastAsia="zh-CN"/>
        </w:rPr>
      </w:pPr>
    </w:p>
    <w:p w14:paraId="73298256">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lang w:val="en-US" w:eastAsia="zh-CN"/>
        </w:rPr>
      </w:pPr>
    </w:p>
    <w:p w14:paraId="69DEE570">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lang w:val="en-US" w:eastAsia="zh-CN"/>
        </w:rPr>
      </w:pPr>
    </w:p>
    <w:p w14:paraId="39A33CEB">
      <w:pPr>
        <w:pStyle w:val="10"/>
        <w:pageBreakBefore w:val="0"/>
        <w:kinsoku/>
        <w:wordWrap/>
        <w:topLinePunct w:val="0"/>
        <w:autoSpaceDE/>
        <w:bidi w:val="0"/>
        <w:adjustRightInd/>
        <w:snapToGrid/>
        <w:spacing w:line="360" w:lineRule="auto"/>
        <w:ind w:left="0" w:lef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31291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1159D3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农机购置补贴项目综合得分表</w:t>
            </w:r>
          </w:p>
        </w:tc>
      </w:tr>
      <w:tr w14:paraId="41FD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F0174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D5CF7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82B76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E0ED9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F8B34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21F5C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2AAF8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738C7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428B00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EB25D0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17EA6E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396DDB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E10068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100.00 </w:t>
            </w:r>
          </w:p>
        </w:tc>
      </w:tr>
      <w:tr w14:paraId="117F7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0048A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0F132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19</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7B89A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C328C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C9061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25</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41AA9F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w:t>
            </w:r>
          </w:p>
        </w:tc>
      </w:tr>
      <w:tr w14:paraId="1DC6A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CAAF3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30691E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19%</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F2CF43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47CE71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C7454B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25%</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B64FE0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96%</w:t>
            </w:r>
          </w:p>
        </w:tc>
      </w:tr>
    </w:tbl>
    <w:p w14:paraId="008E473C">
      <w:pPr>
        <w:pStyle w:val="10"/>
        <w:pageBreakBefore w:val="0"/>
        <w:kinsoku/>
        <w:wordWrap/>
        <w:topLinePunct w:val="0"/>
        <w:autoSpaceDE/>
        <w:bidi w:val="0"/>
        <w:adjustRightInd/>
        <w:snapToGrid/>
        <w:spacing w:line="360" w:lineRule="auto"/>
        <w:ind w:left="0" w:leftChars="0" w:firstLine="0" w:firstLineChars="0"/>
        <w:jc w:val="both"/>
        <w:rPr>
          <w:rFonts w:hint="eastAsia" w:ascii="宋体" w:hAnsi="宋体" w:eastAsia="宋体" w:cs="宋体"/>
          <w:color w:val="000000"/>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5A1E5816">
      <w:pPr>
        <w:pStyle w:val="10"/>
        <w:pageBreakBefore w:val="0"/>
        <w:kinsoku/>
        <w:wordWrap/>
        <w:topLinePunct w:val="0"/>
        <w:autoSpaceDE/>
        <w:bidi w:val="0"/>
        <w:adjustRightInd/>
        <w:snapToGrid/>
        <w:spacing w:line="360" w:lineRule="auto"/>
        <w:ind w:left="0" w:leftChars="0" w:firstLine="0" w:firstLineChars="0"/>
        <w:jc w:val="both"/>
        <w:rPr>
          <w:rFonts w:hint="eastAsia" w:ascii="宋体" w:hAnsi="宋体" w:eastAsia="宋体" w:cs="宋体"/>
          <w:sz w:val="24"/>
          <w:szCs w:val="24"/>
          <w:lang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36D86">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C3F80">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2A60E">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6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1"/>
      <w:numFmt w:val="decimal"/>
      <w:suff w:val="nothing"/>
      <w:lvlText w:val="（%1）"/>
      <w:lvlJc w:val="left"/>
    </w:lvl>
  </w:abstractNum>
  <w:abstractNum w:abstractNumId="6">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5B01C8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1"/>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4"/>
    <w:unhideWhenUsed/>
    <w:uiPriority w:val="0"/>
    <w:pPr>
      <w:ind w:firstLine="420"/>
    </w:pPr>
  </w:style>
  <w:style w:type="paragraph" w:styleId="5">
    <w:name w:val="Body Text Indent"/>
    <w:basedOn w:val="1"/>
    <w:link w:val="33"/>
    <w:unhideWhenUsed/>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标题 3 Char"/>
    <w:link w:val="2"/>
    <w:uiPriority w:val="9"/>
    <w:rPr>
      <w:rFonts w:ascii="Calibri" w:hAnsi="Calibri" w:eastAsia="仿宋_GB2312" w:cs="黑体"/>
      <w:bCs/>
      <w:sz w:val="28"/>
      <w:szCs w:val="32"/>
    </w:rPr>
  </w:style>
  <w:style w:type="character" w:customStyle="1" w:styleId="32">
    <w:name w:val="标题 1 Char"/>
    <w:link w:val="3"/>
    <w:uiPriority w:val="9"/>
    <w:rPr>
      <w:rFonts w:ascii="Times New Roman" w:hAnsi="Times New Roman" w:eastAsia="仿宋_GB2312" w:cs="Times New Roman"/>
      <w:b/>
      <w:bCs/>
      <w:kern w:val="44"/>
      <w:sz w:val="32"/>
      <w:szCs w:val="44"/>
    </w:rPr>
  </w:style>
  <w:style w:type="character" w:customStyle="1" w:styleId="33">
    <w:name w:val="正文文本缩进 Char"/>
    <w:link w:val="5"/>
    <w:semiHidden/>
    <w:uiPriority w:val="99"/>
    <w:rPr>
      <w:rFonts w:ascii="Calibri" w:hAnsi="Calibri" w:eastAsia="仿宋_GB2312" w:cs="黑体"/>
      <w:sz w:val="28"/>
    </w:rPr>
  </w:style>
  <w:style w:type="character" w:customStyle="1" w:styleId="34">
    <w:name w:val="正文首行缩进 2 Char"/>
    <w:link w:val="4"/>
    <w:uiPriority w:val="0"/>
    <w:rPr>
      <w:rFonts w:ascii="Calibri" w:hAnsi="Calibri" w:eastAsia="仿宋_GB2312" w:cs="黑体"/>
      <w:sz w:val="28"/>
    </w:rPr>
  </w:style>
  <w:style w:type="character" w:customStyle="1" w:styleId="35">
    <w:name w:val="标题 2 Char"/>
    <w:link w:val="6"/>
    <w:uiPriority w:val="0"/>
    <w:rPr>
      <w:rFonts w:ascii="Cambria" w:hAnsi="Cambria" w:eastAsia="仿宋_GB2312" w:cs="Times New Roman"/>
      <w:b/>
      <w:bCs/>
      <w:kern w:val="0"/>
      <w:sz w:val="30"/>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2"/>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2"/>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6"/>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uiPriority w:val="0"/>
    <w:rPr>
      <w:rFonts w:hint="eastAsia" w:ascii="微软雅黑" w:hAnsi="微软雅黑" w:eastAsia="微软雅黑" w:cs="微软雅黑"/>
      <w:b/>
      <w:bCs/>
      <w:color w:val="000000"/>
      <w:sz w:val="32"/>
      <w:szCs w:val="32"/>
      <w:u w:val="none"/>
    </w:rPr>
  </w:style>
  <w:style w:type="paragraph" w:customStyle="1" w:styleId="60">
    <w:name w:val="Body text|1"/>
    <w:basedOn w:val="1"/>
    <w:qFormat/>
    <w:uiPriority w:val="0"/>
    <w:pPr>
      <w:spacing w:line="420" w:lineRule="auto"/>
      <w:ind w:firstLine="400"/>
    </w:pPr>
    <w:rPr>
      <w:rFonts w:ascii="宋体" w:hAnsi="宋体" w:eastAsia="宋体" w:cs="宋体"/>
      <w:szCs w:val="30"/>
      <w:lang w:val="zh-TW" w:eastAsia="zh-TW" w:bidi="zh-TW"/>
    </w:rPr>
  </w:style>
  <w:style w:type="paragraph" w:customStyle="1" w:styleId="6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62">
    <w:name w:val="标题2"/>
    <w:basedOn w:val="6"/>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3F53EE9448274863AE91CE1CF3060942_13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43c85dd1-095a-4ad7-9693-e876009e9bd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10787</Words>
  <Characters>11367</Characters>
  <Lines>44</Lines>
  <Paragraphs>12</Paragraphs>
  <TotalTime>38</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2025-10-10T10:48:50Z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3F53EE9448274863AE91CE1CF3060942_13</vt:lpwstr>
  </property>
  <property fmtid="{D5CDD505-2E9C-101B-9397-08002B2CF9AE}" pid="4" name="KSOTemplateDocerSaveRecord">
    <vt:lpwstr>eyJoZGlkIjoiZDE5MGZhMTJhZDM2OTQwYzkzYWVjM2FhZDUxN2Q0M2IiLCJ1c2VySWQiOiI2NTE5NDIwMjYifQ_x003D__x003D_</vt:lpwstr>
  </property>
</Properties>
</file>