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E6C1C">
      <w:bookmarkStart w:id="22" w:name="_GoBack"/>
      <w:bookmarkEnd w:id="22"/>
    </w:p>
    <w:p w14:paraId="2F1B4E67">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695F9EFC">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rPr>
      </w:pPr>
      <w:r>
        <w:rPr>
          <w:rFonts w:hint="eastAsia" w:ascii="黑体" w:hAnsi="黑体" w:eastAsia="黑体" w:cs="黑体"/>
          <w:b/>
          <w:color w:val="auto"/>
          <w:sz w:val="36"/>
          <w:szCs w:val="36"/>
          <w:lang w:val="en-US" w:eastAsia="zh-CN"/>
        </w:rPr>
        <w:t>洛浦县（山普鲁镇）2024年水土保持重点治理工程</w:t>
      </w:r>
      <w:r>
        <w:rPr>
          <w:rFonts w:hint="eastAsia" w:ascii="黑体" w:hAnsi="黑体" w:eastAsia="黑体" w:cs="黑体"/>
          <w:b/>
          <w:color w:val="auto"/>
          <w:sz w:val="36"/>
          <w:szCs w:val="36"/>
        </w:rPr>
        <w:t>支出绩效评价报告</w:t>
      </w:r>
    </w:p>
    <w:p w14:paraId="0C9B0A9A">
      <w:pPr>
        <w:pStyle w:val="6"/>
        <w:jc w:val="center"/>
        <w:rPr>
          <w:rFonts w:hint="eastAsia" w:eastAsia="仿宋_GB2312"/>
          <w:color w:val="auto"/>
          <w:lang w:eastAsia="zh-CN"/>
        </w:rPr>
      </w:pPr>
      <w:r>
        <w:rPr>
          <w:rFonts w:hint="eastAsia"/>
          <w:color w:val="auto"/>
          <w:lang w:eastAsia="zh-CN"/>
        </w:rPr>
        <w:t>（</w:t>
      </w:r>
      <w:r>
        <w:rPr>
          <w:rFonts w:hint="eastAsia"/>
          <w:color w:val="auto"/>
          <w:lang w:val="en-US" w:eastAsia="zh-CN"/>
        </w:rPr>
        <w:t>2024年度</w:t>
      </w:r>
      <w:r>
        <w:rPr>
          <w:rFonts w:hint="eastAsia"/>
          <w:color w:val="auto"/>
          <w:lang w:eastAsia="zh-CN"/>
        </w:rPr>
        <w:t>）</w:t>
      </w:r>
    </w:p>
    <w:p w14:paraId="0A3FBD90">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757AA5B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07CBAECB">
      <w:pPr>
        <w:pStyle w:val="6"/>
        <w:rPr>
          <w:rFonts w:hint="eastAsia" w:eastAsia="方正仿宋_GBK" w:cs="方正仿宋_GBK"/>
          <w:b/>
          <w:color w:val="auto"/>
          <w:kern w:val="0"/>
          <w:sz w:val="32"/>
          <w:szCs w:val="32"/>
          <w:lang w:bidi="en-US"/>
        </w:rPr>
      </w:pPr>
    </w:p>
    <w:p w14:paraId="4718CC61">
      <w:pPr>
        <w:rPr>
          <w:rFonts w:hint="eastAsia" w:eastAsia="方正仿宋_GBK" w:cs="方正仿宋_GBK"/>
          <w:b/>
          <w:color w:val="auto"/>
          <w:kern w:val="0"/>
          <w:sz w:val="32"/>
          <w:szCs w:val="32"/>
          <w:lang w:bidi="en-US"/>
        </w:rPr>
      </w:pPr>
    </w:p>
    <w:p w14:paraId="28F9F3E2">
      <w:pPr>
        <w:pStyle w:val="6"/>
        <w:rPr>
          <w:rFonts w:hint="eastAsia"/>
          <w:color w:val="auto"/>
        </w:rPr>
      </w:pPr>
    </w:p>
    <w:p w14:paraId="340BB6A1">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35F133BB">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309CA3E8">
      <w:pPr>
        <w:pageBreakBefore w:val="0"/>
        <w:widowControl w:val="0"/>
        <w:kinsoku/>
        <w:wordWrap/>
        <w:topLinePunct w:val="0"/>
        <w:autoSpaceDE/>
        <w:autoSpaceDN/>
        <w:bidi w:val="0"/>
        <w:spacing w:line="560" w:lineRule="exact"/>
        <w:ind w:left="0" w:leftChars="0" w:firstLine="0" w:firstLineChars="0"/>
        <w:jc w:val="left"/>
        <w:textAlignment w:val="auto"/>
        <w:rPr>
          <w:rFonts w:hint="eastAsia" w:ascii="宋体" w:hAnsi="宋体" w:eastAsia="宋体" w:cs="宋体"/>
          <w:color w:val="auto"/>
          <w:kern w:val="0"/>
          <w:sz w:val="28"/>
          <w:szCs w:val="28"/>
          <w:lang w:bidi="en-US"/>
        </w:rPr>
      </w:pPr>
    </w:p>
    <w:p w14:paraId="2FFF1783">
      <w:pPr>
        <w:pageBreakBefore w:val="0"/>
        <w:widowControl w:val="0"/>
        <w:kinsoku/>
        <w:wordWrap/>
        <w:topLinePunct w:val="0"/>
        <w:autoSpaceDE/>
        <w:autoSpaceDN/>
        <w:bidi w:val="0"/>
        <w:spacing w:line="560" w:lineRule="exact"/>
        <w:ind w:left="0" w:leftChars="0" w:firstLine="560" w:firstLineChars="200"/>
        <w:jc w:val="left"/>
        <w:textAlignment w:val="auto"/>
        <w:rPr>
          <w:rFonts w:hint="eastAsia" w:ascii="宋体" w:hAnsi="宋体" w:eastAsia="宋体" w:cs="宋体"/>
          <w:color w:val="auto"/>
          <w:kern w:val="0"/>
          <w:sz w:val="28"/>
          <w:szCs w:val="28"/>
          <w:lang w:eastAsia="zh-CN" w:bidi="en-US"/>
        </w:rPr>
      </w:pPr>
      <w:r>
        <w:rPr>
          <w:rFonts w:hint="eastAsia" w:ascii="宋体" w:hAnsi="宋体" w:eastAsia="宋体" w:cs="宋体"/>
          <w:color w:val="auto"/>
          <w:kern w:val="0"/>
          <w:sz w:val="28"/>
          <w:szCs w:val="28"/>
          <w:lang w:bidi="en-US"/>
        </w:rPr>
        <w:t>项目名称：</w:t>
      </w:r>
      <w:r>
        <w:rPr>
          <w:rFonts w:hint="eastAsia" w:ascii="宋体" w:hAnsi="宋体" w:eastAsia="宋体" w:cs="宋体"/>
          <w:color w:val="auto"/>
          <w:kern w:val="0"/>
          <w:sz w:val="28"/>
          <w:szCs w:val="28"/>
          <w:lang w:eastAsia="zh-CN" w:bidi="en-US"/>
        </w:rPr>
        <w:t>洛浦县（山普鲁镇）2024年水土保持重点治理工程</w:t>
      </w:r>
    </w:p>
    <w:p w14:paraId="61275A25">
      <w:pPr>
        <w:pageBreakBefore w:val="0"/>
        <w:widowControl w:val="0"/>
        <w:kinsoku/>
        <w:wordWrap/>
        <w:topLinePunct w:val="0"/>
        <w:autoSpaceDE/>
        <w:autoSpaceDN/>
        <w:bidi w:val="0"/>
        <w:spacing w:line="560" w:lineRule="exact"/>
        <w:jc w:val="left"/>
        <w:textAlignment w:val="auto"/>
        <w:rPr>
          <w:rFonts w:hint="default"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项目单位：</w:t>
      </w:r>
      <w:r>
        <w:rPr>
          <w:rFonts w:hint="eastAsia" w:ascii="宋体" w:hAnsi="宋体" w:eastAsia="宋体" w:cs="宋体"/>
          <w:color w:val="auto"/>
          <w:kern w:val="0"/>
          <w:sz w:val="28"/>
          <w:szCs w:val="28"/>
          <w:lang w:val="en-US" w:eastAsia="zh-CN" w:bidi="en-US"/>
        </w:rPr>
        <w:t>洛浦县灌溉用水服务中心</w:t>
      </w:r>
    </w:p>
    <w:p w14:paraId="2EEC755D">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主管部门：</w:t>
      </w:r>
      <w:r>
        <w:rPr>
          <w:rFonts w:hint="eastAsia" w:ascii="宋体" w:hAnsi="宋体" w:eastAsia="宋体" w:cs="宋体"/>
          <w:color w:val="auto"/>
          <w:kern w:val="0"/>
          <w:sz w:val="28"/>
          <w:szCs w:val="28"/>
          <w:lang w:val="en-US" w:eastAsia="zh-CN" w:bidi="en-US"/>
        </w:rPr>
        <w:t>洛浦县水利</w:t>
      </w:r>
      <w:r>
        <w:rPr>
          <w:rFonts w:hint="eastAsia" w:ascii="宋体" w:hAnsi="宋体" w:eastAsia="宋体" w:cs="宋体"/>
          <w:color w:val="auto"/>
          <w:kern w:val="0"/>
          <w:sz w:val="28"/>
          <w:szCs w:val="28"/>
          <w:lang w:bidi="en-US"/>
        </w:rPr>
        <w:t>局</w:t>
      </w:r>
    </w:p>
    <w:p w14:paraId="77760C7E">
      <w:pPr>
        <w:pageBreakBefore w:val="0"/>
        <w:widowControl w:val="0"/>
        <w:kinsoku/>
        <w:wordWrap/>
        <w:topLinePunct w:val="0"/>
        <w:autoSpaceDE/>
        <w:autoSpaceDN/>
        <w:bidi w:val="0"/>
        <w:spacing w:line="560" w:lineRule="exact"/>
        <w:jc w:val="left"/>
        <w:textAlignment w:val="auto"/>
        <w:rPr>
          <w:rFonts w:hint="default"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项目负责人：</w:t>
      </w:r>
      <w:r>
        <w:rPr>
          <w:rFonts w:hint="eastAsia" w:ascii="宋体" w:hAnsi="宋体" w:eastAsia="宋体" w:cs="宋体"/>
          <w:color w:val="auto"/>
          <w:kern w:val="0"/>
          <w:sz w:val="28"/>
          <w:szCs w:val="28"/>
          <w:lang w:val="en-US" w:eastAsia="zh-CN" w:bidi="en-US"/>
        </w:rPr>
        <w:t>麦麦提敏·麦提图尔荪</w:t>
      </w:r>
    </w:p>
    <w:p w14:paraId="60867526">
      <w:pPr>
        <w:pageBreakBefore w:val="0"/>
        <w:widowControl w:val="0"/>
        <w:kinsoku/>
        <w:wordWrap/>
        <w:topLinePunct w:val="0"/>
        <w:autoSpaceDE/>
        <w:autoSpaceDN/>
        <w:bidi w:val="0"/>
        <w:spacing w:line="560" w:lineRule="exact"/>
        <w:jc w:val="left"/>
        <w:textAlignment w:val="auto"/>
        <w:rPr>
          <w:rFonts w:hint="default" w:ascii="宋体" w:hAnsi="宋体" w:eastAsia="宋体" w:cs="宋体"/>
          <w:color w:val="auto"/>
          <w:kern w:val="0"/>
          <w:sz w:val="28"/>
          <w:szCs w:val="28"/>
          <w:lang w:val="en-US" w:bidi="en-US"/>
        </w:rPr>
      </w:pPr>
      <w:r>
        <w:rPr>
          <w:rFonts w:hint="eastAsia" w:ascii="宋体" w:hAnsi="宋体" w:eastAsia="宋体" w:cs="宋体"/>
          <w:color w:val="auto"/>
          <w:kern w:val="0"/>
          <w:sz w:val="28"/>
          <w:szCs w:val="28"/>
          <w:lang w:bidi="en-US"/>
        </w:rPr>
        <w:t>填报时间：</w:t>
      </w:r>
      <w:r>
        <w:rPr>
          <w:rFonts w:hint="eastAsia" w:ascii="宋体" w:hAnsi="宋体" w:eastAsia="宋体" w:cs="宋体"/>
          <w:color w:val="auto"/>
          <w:kern w:val="0"/>
          <w:sz w:val="28"/>
          <w:szCs w:val="28"/>
          <w:lang w:val="en-US" w:eastAsia="zh-CN" w:bidi="en-US"/>
        </w:rPr>
        <w:t>2025年2</w:t>
      </w:r>
      <w:r>
        <w:rPr>
          <w:rFonts w:hint="eastAsia" w:ascii="宋体" w:hAnsi="宋体" w:eastAsia="宋体" w:cs="宋体"/>
          <w:color w:val="auto"/>
          <w:kern w:val="0"/>
          <w:sz w:val="28"/>
          <w:szCs w:val="28"/>
          <w:lang w:bidi="en-US"/>
        </w:rPr>
        <w:t>月</w:t>
      </w:r>
      <w:r>
        <w:rPr>
          <w:rFonts w:hint="eastAsia" w:ascii="宋体" w:hAnsi="宋体" w:eastAsia="宋体" w:cs="宋体"/>
          <w:color w:val="auto"/>
          <w:kern w:val="0"/>
          <w:sz w:val="28"/>
          <w:szCs w:val="28"/>
          <w:lang w:val="en-US" w:eastAsia="zh-CN" w:bidi="en-US"/>
        </w:rPr>
        <w:t>20日</w:t>
      </w:r>
    </w:p>
    <w:p w14:paraId="0274BB04">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lang w:val="en-US" w:eastAsia="zh-CN"/>
        </w:rPr>
        <w:sectPr>
          <w:headerReference r:id="rId5" w:type="default"/>
          <w:footerReference r:id="rId6" w:type="default"/>
          <w:pgSz w:w="11906" w:h="16838"/>
          <w:pgMar w:top="1984" w:right="1531" w:bottom="1814" w:left="1531" w:header="851" w:footer="992" w:gutter="0"/>
          <w:pgNumType w:start="1"/>
          <w:cols w:space="720" w:num="1"/>
          <w:docGrid w:type="linesAndChars" w:linePitch="386" w:charSpace="0"/>
        </w:sectPr>
      </w:pPr>
      <w:bookmarkStart w:id="0" w:name="_Toc68364657"/>
    </w:p>
    <w:p w14:paraId="221E8B25">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lang w:eastAsia="zh-CN"/>
        </w:rPr>
      </w:pPr>
      <w:r>
        <w:rPr>
          <w:rFonts w:hint="eastAsia" w:ascii="黑体" w:hAnsi="黑体" w:eastAsia="黑体" w:cs="黑体"/>
          <w:b/>
          <w:bCs/>
          <w:color w:val="auto"/>
          <w:sz w:val="24"/>
          <w:szCs w:val="24"/>
          <w:highlight w:val="none"/>
          <w:lang w:val="en-US" w:eastAsia="zh-CN"/>
        </w:rPr>
        <w:t>一、</w:t>
      </w:r>
      <w:r>
        <w:rPr>
          <w:rFonts w:hint="eastAsia" w:ascii="黑体" w:hAnsi="黑体" w:eastAsia="黑体" w:cs="黑体"/>
          <w:b/>
          <w:bCs/>
          <w:color w:val="auto"/>
          <w:sz w:val="24"/>
          <w:szCs w:val="24"/>
          <w:highlight w:val="none"/>
          <w:lang w:eastAsia="zh-CN"/>
        </w:rPr>
        <w:t>基本情况</w:t>
      </w:r>
      <w:bookmarkEnd w:id="0"/>
    </w:p>
    <w:p w14:paraId="57234FBC">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bookmarkStart w:id="1" w:name="_Toc68364658"/>
      <w:r>
        <w:rPr>
          <w:rFonts w:hint="eastAsia" w:ascii="宋体"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rPr>
        <w:t>项目概况</w:t>
      </w:r>
      <w:bookmarkEnd w:id="1"/>
    </w:p>
    <w:p w14:paraId="7B0DB0C7">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项目背景</w:t>
      </w:r>
    </w:p>
    <w:p w14:paraId="1F89DE0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习近平新时代中国特色社会主义思想为指导，全面贯彻党的二十大及十九届历次全会精神，贯彻落实中央经济工作会议、中央农村工作会议和第三次中央新疆工作座谈会精神，坚持农业农村优先发展，坚持农业现代化与农村现代化一体设计、一并推进，促进农业高质高效、乡村宜居宜业、农民富裕富足，按照农业高质量发展要求，推动藏粮于地、藏粮于技，以提升粮食产能为首要目标，聚焦重点区域，统筹整合资金，加大投入力度，完善建设内容，加强建设管理，突出抓好耕地保护、地力提升和节水灌溉，大力推进节水建设，加快补齐农业基础设施短板，提高水土资源利用效率，切实增强农田防灾、抗灾、减灾能力，为保障国家粮食安全提供坚实基础。</w:t>
      </w:r>
    </w:p>
    <w:p w14:paraId="7F0EC79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2024 年 7 月东莞市水利勘测设计院有限公司新疆一分公司接到《洛浦县（山普鲁乡）2024 年水土保持重点治理工程》的设 计任务后，进行现场调查和资料收集工作，根据流域内社会经济发展方向，结合国家及 自治区颁布水土保持法律、法规及有关条例，并按照国家颁布水土保持行业标准，绘制 了相关图件，编制了完成了《洛浦县（山普鲁乡）2024 年水土保持重点治理工程实施方案》</w:t>
      </w:r>
    </w:p>
    <w:p w14:paraId="5FDAEA36">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05655159">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08D395D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关于提前下达2024年中央水利发展资金预算的通知》（新财农〔2023〕85号）、《关于和田地区洛浦县（山普鲁镇）2024年水土保持重点治理工程实施方案的批复》（和地水利审〔2022〕117号）文件，项目内容为：治理面积2650.73hm</w:t>
      </w:r>
      <w:r>
        <w:rPr>
          <w:rFonts w:hint="eastAsia" w:ascii="宋体" w:hAnsi="宋体" w:eastAsia="宋体" w:cs="宋体"/>
          <w:color w:val="auto"/>
          <w:kern w:val="2"/>
          <w:sz w:val="24"/>
          <w:szCs w:val="24"/>
          <w:highlight w:val="none"/>
          <w:vertAlign w:val="superscript"/>
          <w:lang w:val="en-US" w:eastAsia="zh-CN" w:bidi="ar-SA"/>
        </w:rPr>
        <w:t>2</w:t>
      </w:r>
      <w:r>
        <w:rPr>
          <w:rFonts w:hint="eastAsia" w:ascii="宋体" w:hAnsi="宋体" w:eastAsia="宋体" w:cs="宋体"/>
          <w:color w:val="auto"/>
          <w:kern w:val="2"/>
          <w:sz w:val="24"/>
          <w:szCs w:val="24"/>
          <w:highlight w:val="none"/>
          <w:lang w:val="en-US" w:eastAsia="zh-CN" w:bidi="ar-SA"/>
        </w:rPr>
        <w:t>（3.98万亩）；其中封育治理面积为2320.59hm</w:t>
      </w:r>
      <w:r>
        <w:rPr>
          <w:rFonts w:hint="eastAsia" w:ascii="宋体" w:hAnsi="宋体" w:eastAsia="宋体" w:cs="宋体"/>
          <w:color w:val="auto"/>
          <w:kern w:val="2"/>
          <w:sz w:val="24"/>
          <w:szCs w:val="24"/>
          <w:highlight w:val="none"/>
          <w:vertAlign w:val="superscript"/>
          <w:lang w:val="en-US" w:eastAsia="zh-CN" w:bidi="ar-SA"/>
        </w:rPr>
        <w:t>2</w:t>
      </w:r>
      <w:r>
        <w:rPr>
          <w:rFonts w:hint="eastAsia" w:ascii="宋体" w:hAnsi="宋体" w:eastAsia="宋体" w:cs="宋体"/>
          <w:color w:val="auto"/>
          <w:kern w:val="2"/>
          <w:sz w:val="24"/>
          <w:szCs w:val="24"/>
          <w:highlight w:val="none"/>
          <w:lang w:val="en-US" w:eastAsia="zh-CN" w:bidi="ar-SA"/>
        </w:rPr>
        <w:t>、配套滴灌工程330.14hm</w:t>
      </w:r>
      <w:r>
        <w:rPr>
          <w:rFonts w:hint="eastAsia" w:ascii="宋体" w:hAnsi="宋体" w:eastAsia="宋体" w:cs="宋体"/>
          <w:color w:val="auto"/>
          <w:kern w:val="2"/>
          <w:sz w:val="24"/>
          <w:szCs w:val="24"/>
          <w:highlight w:val="none"/>
          <w:vertAlign w:val="superscript"/>
          <w:lang w:val="en-US" w:eastAsia="zh-CN" w:bidi="ar-SA"/>
        </w:rPr>
        <w:t>2</w:t>
      </w:r>
      <w:r>
        <w:rPr>
          <w:rFonts w:hint="eastAsia" w:ascii="宋体" w:hAnsi="宋体" w:eastAsia="宋体" w:cs="宋体"/>
          <w:color w:val="auto"/>
          <w:kern w:val="2"/>
          <w:sz w:val="24"/>
          <w:szCs w:val="24"/>
          <w:highlight w:val="none"/>
          <w:lang w:val="en-US" w:eastAsia="zh-CN" w:bidi="ar-SA"/>
        </w:rPr>
        <w:t>；宣传牌16块。</w:t>
      </w:r>
    </w:p>
    <w:p w14:paraId="1A556AC8">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2.实施情况</w:t>
      </w:r>
    </w:p>
    <w:p w14:paraId="59743737">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1）项目实施主体</w:t>
      </w:r>
    </w:p>
    <w:p w14:paraId="559912BE">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本项目主管部门为洛浦县水利局，实施单位为洛浦县灌溉用水服务中心。</w:t>
      </w:r>
    </w:p>
    <w:p w14:paraId="6C8E1A3E">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2024年4月1日-2024年11月30日</w:t>
      </w:r>
    </w:p>
    <w:p w14:paraId="4DE36587">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（3）项目实施情况</w:t>
      </w:r>
    </w:p>
    <w:p w14:paraId="42970FA9">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本项目于2024年12月25日前全部完工。</w:t>
      </w:r>
    </w:p>
    <w:p w14:paraId="49867F07">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本项目2022年4月18日经地区水利局下达《关于和田地区洛浦县（山普鲁镇）2024年水土保持重点治理工程实施方案的批复》（和地水利审〔2022〕117号）文件，由东莞市水利勘测设计院有限公司新疆一分公司</w:t>
      </w:r>
    </w:p>
    <w:p w14:paraId="3C3B6E3D">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val="0"/>
          <w:bCs w:val="0"/>
          <w:color w:val="auto"/>
          <w:sz w:val="24"/>
          <w:szCs w:val="24"/>
          <w:highlight w:val="none"/>
          <w:lang w:val="en-US" w:eastAsia="zh-CN"/>
        </w:rPr>
        <w:t>编制实施方案，项目采用公开招标方式确定施工单位为新疆塔建三五九建工有限责任公司，并签订了施工合同，确定监理单位为中瑞建园工程管理有限公司，签订监理合同。项目未进行验收，未进行决算审计。</w:t>
      </w:r>
    </w:p>
    <w:p w14:paraId="65901D7D">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75BA593C">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5FC8EB0B">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万元，资金来源为部门预算（中央</w:t>
      </w:r>
      <w:r>
        <w:rPr>
          <w:rFonts w:hint="eastAsia" w:ascii="宋体" w:hAnsi="宋体" w:eastAsia="宋体" w:cs="宋体"/>
          <w:color w:val="auto"/>
          <w:sz w:val="24"/>
          <w:szCs w:val="24"/>
          <w:highlight w:val="none"/>
          <w:lang w:eastAsia="zh-CN"/>
        </w:rPr>
        <w:t>水利发展</w:t>
      </w:r>
      <w:r>
        <w:rPr>
          <w:rFonts w:hint="eastAsia" w:ascii="宋体" w:hAnsi="宋体" w:eastAsia="宋体" w:cs="宋体"/>
          <w:color w:val="auto"/>
          <w:sz w:val="24"/>
          <w:szCs w:val="24"/>
          <w:highlight w:val="none"/>
        </w:rPr>
        <w:t>资金），其中：财政资金</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C8D218B">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4E9EC8F2">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1003.42</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87.25</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961.4</w:t>
      </w:r>
      <w:r>
        <w:rPr>
          <w:rFonts w:hint="eastAsia" w:ascii="宋体" w:hAnsi="宋体" w:eastAsia="宋体" w:cs="宋体"/>
          <w:color w:val="auto"/>
          <w:sz w:val="24"/>
          <w:szCs w:val="24"/>
          <w:highlight w:val="none"/>
        </w:rPr>
        <w:t>万元。</w:t>
      </w:r>
    </w:p>
    <w:p w14:paraId="344874B2">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0931E213">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43D5461B">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650C21C4">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根据《关于提前下达2024年中央水利发展资金预算的通知》（新财农〔2023〕85号）文件实施此项目，项目主要内容为：工程治理面积26.50km2，措施有封禁治理23.20km2，配套滴灌工程3.30km2，宣传牌16块。工程建设后，实现项目区内农牧民生活环境质量明显改善，使项目区水土流失得到有效治理</w:t>
      </w:r>
      <w:r>
        <w:rPr>
          <w:rFonts w:hint="eastAsia" w:ascii="宋体" w:hAnsi="宋体" w:eastAsia="宋体" w:cs="宋体"/>
          <w:color w:val="auto"/>
          <w:sz w:val="24"/>
          <w:szCs w:val="24"/>
          <w:highlight w:val="none"/>
        </w:rPr>
        <w:t>。</w:t>
      </w:r>
    </w:p>
    <w:p w14:paraId="6E305063">
      <w:pPr>
        <w:pStyle w:val="16"/>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阶段性目标</w:t>
      </w:r>
    </w:p>
    <w:p w14:paraId="2B8D9BD2">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bookmarkStart w:id="3"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80C6539">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（1）产出指标</w:t>
      </w:r>
    </w:p>
    <w:p w14:paraId="39998A76">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1）数量指标:</w:t>
      </w:r>
    </w:p>
    <w:p w14:paraId="53181973">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指标1：工程治理面积，预期指标值≥2650.73hm2；</w:t>
      </w:r>
    </w:p>
    <w:p w14:paraId="4ABECC4D">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指标2：封禁治理面积，预期指标值≥2320.59hm2；</w:t>
      </w:r>
    </w:p>
    <w:p w14:paraId="5B3906BE">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指标3：指标1：配套滴灌工程，预期指标值≥330.14hm2；</w:t>
      </w:r>
    </w:p>
    <w:p w14:paraId="7DCBD5A9">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none"/>
          <w:lang w:val="en-US" w:eastAsia="zh-CN"/>
        </w:rPr>
        <w:t>指标4：宣传牌，预期指标值16块；</w:t>
      </w:r>
    </w:p>
    <w:p w14:paraId="2C42BA57">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2）质量指标：</w:t>
      </w:r>
    </w:p>
    <w:p w14:paraId="61D9A27E">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w:t>
      </w:r>
      <w:bookmarkStart w:id="4" w:name="OLE_LINK3"/>
      <w:r>
        <w:rPr>
          <w:rFonts w:hint="eastAsia" w:ascii="宋体" w:hAnsi="宋体" w:eastAsia="宋体" w:cs="宋体"/>
          <w:color w:val="auto"/>
          <w:sz w:val="24"/>
          <w:szCs w:val="24"/>
          <w:highlight w:val="none"/>
          <w:lang w:val="en-US" w:eastAsia="zh-CN"/>
        </w:rPr>
        <w:t>工程验收合格率，预期指标值100%</w:t>
      </w:r>
      <w:bookmarkEnd w:id="4"/>
      <w:r>
        <w:rPr>
          <w:rFonts w:hint="eastAsia" w:ascii="宋体" w:hAnsi="宋体" w:eastAsia="宋体" w:cs="宋体"/>
          <w:color w:val="auto"/>
          <w:sz w:val="24"/>
          <w:szCs w:val="24"/>
          <w:highlight w:val="none"/>
          <w:lang w:val="en-US" w:eastAsia="zh-CN"/>
        </w:rPr>
        <w:t>；</w:t>
      </w:r>
    </w:p>
    <w:p w14:paraId="78C5FBF5">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3）时效目标：</w:t>
      </w:r>
    </w:p>
    <w:p w14:paraId="6FF00694">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指标1：项目开工时间，预期指标值2024年4月；</w:t>
      </w:r>
    </w:p>
    <w:p w14:paraId="7EEA5AF0">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指标2：项目完工时间，预期指标值2024年11月；</w:t>
      </w:r>
    </w:p>
    <w:p w14:paraId="69B51458">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指标3：资金支付及时率，预期指标值100%；</w:t>
      </w:r>
    </w:p>
    <w:p w14:paraId="14791A0A">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（2）成本指标： </w:t>
      </w:r>
    </w:p>
    <w:p w14:paraId="1700D142">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1）社会成本指标</w:t>
      </w:r>
    </w:p>
    <w:p w14:paraId="6FC06C6C">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bookmarkStart w:id="5" w:name="OLE_LINK5"/>
      <w:r>
        <w:rPr>
          <w:rFonts w:hint="eastAsia" w:ascii="宋体" w:hAnsi="宋体" w:eastAsia="宋体" w:cs="宋体"/>
          <w:color w:val="auto"/>
          <w:sz w:val="24"/>
          <w:szCs w:val="24"/>
          <w:highlight w:val="none"/>
          <w:lang w:val="en-US" w:eastAsia="zh-CN"/>
        </w:rPr>
        <w:t>指标1：工程措施，预期指标值小于等于989.34万元；</w:t>
      </w:r>
    </w:p>
    <w:p w14:paraId="49466D83">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指标2：封育治理措施，预期指标值小于等于9.61万元；</w:t>
      </w:r>
    </w:p>
    <w:p w14:paraId="1EC51CDE">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指标3：监测措施费，预期指标值小于等于23.68万元；</w:t>
      </w:r>
    </w:p>
    <w:p w14:paraId="73E7F961">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指标4：独立费用为，预期指标值小于等于72.61万元；</w:t>
      </w:r>
    </w:p>
    <w:p w14:paraId="4F1C3A53">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指标5：基本预备费，预期指标值小于等于54.76万元；</w:t>
      </w:r>
      <w:bookmarkEnd w:id="5"/>
    </w:p>
    <w:p w14:paraId="2AF560A9">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（3）效益指标：</w:t>
      </w:r>
    </w:p>
    <w:p w14:paraId="1DE93342">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1）社会效益指标：</w:t>
      </w:r>
    </w:p>
    <w:p w14:paraId="37119084">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指标1：改善水土流失指标，预期值为有效改善；</w:t>
      </w:r>
    </w:p>
    <w:p w14:paraId="26A7CF1B">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（4）服务对象满意度指标：</w:t>
      </w:r>
    </w:p>
    <w:p w14:paraId="339F0CCB">
      <w:pPr>
        <w:pStyle w:val="1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指标1：受益低收入人群满意度，预期指标值≥95%。</w:t>
      </w:r>
    </w:p>
    <w:p w14:paraId="557B8D45">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highlight w:val="yellow"/>
        </w:rPr>
      </w:pPr>
    </w:p>
    <w:p w14:paraId="6753C9BB">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二、绩效评价工作开展情况</w:t>
      </w:r>
      <w:bookmarkEnd w:id="3"/>
    </w:p>
    <w:p w14:paraId="4DDD5136">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6" w:name="_Toc68364661"/>
      <w:r>
        <w:rPr>
          <w:rFonts w:hint="eastAsia" w:ascii="宋体" w:hAnsi="宋体" w:eastAsia="宋体" w:cs="宋体"/>
          <w:color w:val="auto"/>
          <w:sz w:val="24"/>
          <w:szCs w:val="24"/>
          <w:highlight w:val="none"/>
        </w:rPr>
        <w:t>（一）绩效评价目的、对象和范围</w:t>
      </w:r>
      <w:bookmarkEnd w:id="6"/>
    </w:p>
    <w:p w14:paraId="7FCF5428">
      <w:pPr>
        <w:pStyle w:val="1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绩效评价目的</w:t>
      </w:r>
    </w:p>
    <w:p w14:paraId="12B58D66">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开展本次部门项目支出绩效评价工作。全面了解</w:t>
      </w:r>
      <w:r>
        <w:rPr>
          <w:rFonts w:hint="eastAsia" w:ascii="宋体" w:hAnsi="宋体" w:eastAsia="宋体" w:cs="宋体"/>
          <w:color w:val="auto"/>
          <w:sz w:val="24"/>
          <w:szCs w:val="24"/>
          <w:highlight w:val="none"/>
          <w:lang w:val="en-US" w:eastAsia="zh-CN"/>
        </w:rPr>
        <w:t>洛浦县（山普鲁镇）2024年水土保持重点治理工程</w:t>
      </w:r>
      <w:r>
        <w:rPr>
          <w:rFonts w:hint="eastAsia" w:ascii="宋体" w:hAnsi="宋体" w:eastAsia="宋体" w:cs="宋体"/>
          <w:color w:val="auto"/>
          <w:sz w:val="24"/>
          <w:szCs w:val="24"/>
          <w:highlight w:val="none"/>
        </w:rPr>
        <w:t>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1334204E">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58BBA1D">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99D862A">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61E02DA5">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7377718F">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洛浦县（山普鲁镇）2024年水土保持重点治理工程</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1226FFB2">
      <w:pPr>
        <w:pStyle w:val="16"/>
        <w:pageBreakBefore w:val="0"/>
        <w:widowControl w:val="0"/>
        <w:kinsoku/>
        <w:wordWrap/>
        <w:topLinePunct w:val="0"/>
        <w:autoSpaceDE/>
        <w:autoSpaceDN/>
        <w:bidi w:val="0"/>
        <w:adjustRightInd/>
        <w:snapToGrid/>
        <w:spacing w:line="360" w:lineRule="auto"/>
        <w:ind w:left="0" w:leftChars="0" w:firstLine="64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绩效评价范围</w:t>
      </w:r>
    </w:p>
    <w:p w14:paraId="79E9A034">
      <w:pPr>
        <w:pStyle w:val="16"/>
        <w:pageBreakBefore w:val="0"/>
        <w:widowControl w:val="0"/>
        <w:kinsoku/>
        <w:wordWrap/>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决策、项目资金管理、项目实施过程管理，以及项目实施所带来的产出和效果等内容，进行综合评价。范围涵盖项目总体绩效目标、各项绩效指标完成情况以及预算执行情况</w:t>
      </w:r>
      <w:bookmarkStart w:id="7"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45783AED">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7"/>
    </w:p>
    <w:p w14:paraId="224DECAB">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绩效评价原则</w:t>
      </w:r>
    </w:p>
    <w:p w14:paraId="53BB313B">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56FF0C85">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164A8DDC">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950BD13">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444A5521">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1A5CEAF0">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根据以上原则，绩效评价应遵循如下要求:</w:t>
      </w:r>
    </w:p>
    <w:p w14:paraId="183EC9D4">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68D74D11">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7223703A">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3C51126">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绩效评价指标体系</w:t>
      </w:r>
    </w:p>
    <w:p w14:paraId="42E1456A">
      <w:pPr>
        <w:pStyle w:val="1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52C6CABC">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绩效评价方法</w:t>
      </w:r>
    </w:p>
    <w:p w14:paraId="33CB64DD">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451C05E">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1720E2EE">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552F60FE">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3BF3652D">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146E70A2">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569DB8D2">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71B0F4A8">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3F6162D6">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1DDF7031">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1E8DE353">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76C47A1A">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39EBBAEC">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0D4F6455">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8F50769">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0C5CB7EC">
      <w:pPr>
        <w:pStyle w:val="1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绩效评价标准</w:t>
      </w:r>
    </w:p>
    <w:p w14:paraId="01EF1626">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bookmarkStart w:id="8" w:name="_Toc430"/>
      <w:bookmarkStart w:id="9" w:name="_Toc16028"/>
      <w:bookmarkStart w:id="10"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绩效评价标准通常包括计划标准、行业标准、历史标准等，用于对绩效指标完成情况进行比较、分析、评价。本次评价主要采用了行业标准</w:t>
      </w:r>
      <w:r>
        <w:rPr>
          <w:rFonts w:hint="eastAsia" w:ascii="宋体" w:hAnsi="宋体" w:eastAsia="宋体" w:cs="宋体"/>
          <w:color w:val="auto"/>
          <w:sz w:val="24"/>
          <w:szCs w:val="24"/>
          <w:highlight w:val="none"/>
          <w:lang w:eastAsia="zh-CN"/>
        </w:rPr>
        <w:t>，</w:t>
      </w:r>
      <w:bookmarkStart w:id="11" w:name="_Toc31464"/>
      <w:bookmarkStart w:id="12" w:name="_Toc17882"/>
      <w:r>
        <w:rPr>
          <w:rFonts w:hint="eastAsia" w:ascii="宋体" w:hAnsi="宋体" w:eastAsia="宋体" w:cs="宋体"/>
          <w:color w:val="auto"/>
          <w:sz w:val="24"/>
          <w:szCs w:val="24"/>
          <w:highlight w:val="none"/>
          <w:lang w:val="en-US" w:eastAsia="zh-CN"/>
        </w:rPr>
        <w:t>指参照国家公布的行业指标数据制定的评价标准。</w:t>
      </w:r>
      <w:bookmarkEnd w:id="8"/>
      <w:bookmarkEnd w:id="9"/>
      <w:bookmarkEnd w:id="11"/>
      <w:bookmarkEnd w:id="12"/>
    </w:p>
    <w:p w14:paraId="2002D5BF">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10"/>
    </w:p>
    <w:p w14:paraId="25CB6061">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bookmarkStart w:id="13" w:name="_Toc68364664"/>
      <w:r>
        <w:rPr>
          <w:rFonts w:hint="eastAsia" w:ascii="宋体" w:hAnsi="宋体" w:eastAsia="宋体" w:cs="宋体"/>
          <w:color w:val="auto"/>
          <w:sz w:val="24"/>
          <w:szCs w:val="24"/>
          <w:highlight w:val="none"/>
        </w:rPr>
        <w:t>1.前期准备</w:t>
      </w:r>
    </w:p>
    <w:p w14:paraId="598EE56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F1D94D7">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麦麦提敏·麦提图尔荪</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val="en-US" w:eastAsia="zh-CN"/>
        </w:rPr>
        <w:t>组织安排绩效评价工作</w:t>
      </w:r>
      <w:r>
        <w:rPr>
          <w:rFonts w:hint="eastAsia" w:ascii="宋体" w:hAnsi="宋体" w:eastAsia="宋体" w:cs="宋体"/>
          <w:color w:val="auto"/>
          <w:sz w:val="24"/>
          <w:szCs w:val="24"/>
          <w:highlight w:val="none"/>
          <w:lang w:eastAsia="zh-CN"/>
        </w:rPr>
        <w:t>；</w:t>
      </w:r>
    </w:p>
    <w:p w14:paraId="71C38C12">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姜鹏</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资料整理及信息汇总工作</w:t>
      </w:r>
      <w:r>
        <w:rPr>
          <w:rFonts w:hint="eastAsia" w:ascii="宋体" w:hAnsi="宋体" w:eastAsia="宋体" w:cs="宋体"/>
          <w:color w:val="auto"/>
          <w:sz w:val="24"/>
          <w:szCs w:val="24"/>
          <w:highlight w:val="none"/>
          <w:lang w:eastAsia="zh-CN"/>
        </w:rPr>
        <w:t>；</w:t>
      </w:r>
    </w:p>
    <w:p w14:paraId="6FFE6728">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王雄科</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出具项目绩效评价报告</w:t>
      </w:r>
      <w:r>
        <w:rPr>
          <w:rFonts w:hint="eastAsia" w:ascii="宋体" w:hAnsi="宋体" w:eastAsia="宋体" w:cs="宋体"/>
          <w:color w:val="auto"/>
          <w:sz w:val="24"/>
          <w:szCs w:val="24"/>
          <w:highlight w:val="none"/>
        </w:rPr>
        <w:t>。</w:t>
      </w:r>
    </w:p>
    <w:p w14:paraId="16276A4D">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2.组织实施</w:t>
      </w:r>
    </w:p>
    <w:p w14:paraId="10FA499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0FC2D62B">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3.分析评价</w:t>
      </w:r>
    </w:p>
    <w:p w14:paraId="13C4BA9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5C2F7250">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4.撰写与提交评价报告</w:t>
      </w:r>
    </w:p>
    <w:p w14:paraId="50318CB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37C252FD">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5.问题整改</w:t>
      </w:r>
    </w:p>
    <w:p w14:paraId="2C0A761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A5F7936">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66BD6CC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223B994B">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p>
    <w:p w14:paraId="30F3BD31">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3"/>
    </w:p>
    <w:p w14:paraId="0CD4F33D">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4" w:name="_Toc68364665"/>
      <w:r>
        <w:rPr>
          <w:rFonts w:hint="eastAsia" w:ascii="宋体" w:hAnsi="宋体" w:eastAsia="宋体" w:cs="宋体"/>
          <w:color w:val="auto"/>
          <w:sz w:val="24"/>
          <w:szCs w:val="24"/>
          <w:highlight w:val="none"/>
        </w:rPr>
        <w:t>（一）综合评价情况</w:t>
      </w:r>
      <w:bookmarkEnd w:id="14"/>
    </w:p>
    <w:p w14:paraId="72F9E981">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15" w:name="_Toc68364666"/>
      <w:r>
        <w:rPr>
          <w:rFonts w:hint="eastAsia" w:ascii="宋体" w:hAnsi="宋体" w:eastAsia="宋体" w:cs="宋体"/>
          <w:color w:val="auto"/>
          <w:sz w:val="24"/>
          <w:szCs w:val="24"/>
          <w:highlight w:val="none"/>
        </w:rPr>
        <w:t>通过实施</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产生</w:t>
      </w:r>
      <w:r>
        <w:rPr>
          <w:rFonts w:hint="eastAsia" w:ascii="宋体" w:hAnsi="宋体" w:eastAsia="宋体" w:cs="宋体"/>
          <w:color w:val="auto"/>
          <w:sz w:val="24"/>
          <w:szCs w:val="24"/>
          <w:highlight w:val="none"/>
          <w:lang w:eastAsia="zh-CN"/>
        </w:rPr>
        <w:t>社会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实现项目区内农牧民生活环境质量明显改善，使项目区水土流失得到有效治理。</w:t>
      </w:r>
      <w:r>
        <w:rPr>
          <w:rFonts w:hint="eastAsia" w:ascii="宋体" w:hAnsi="宋体" w:eastAsia="宋体" w:cs="宋体"/>
          <w:color w:val="auto"/>
          <w:sz w:val="24"/>
          <w:szCs w:val="24"/>
          <w:highlight w:val="none"/>
        </w:rPr>
        <w:t>项目实施主要通过项目决策、项目过程、项目产出以及项目效益等方面进行评价，其中：</w:t>
      </w:r>
    </w:p>
    <w:p w14:paraId="24368714">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文件立项，项目实施符合</w:t>
      </w:r>
      <w:r>
        <w:rPr>
          <w:rFonts w:hint="eastAsia" w:ascii="宋体" w:hAnsi="宋体" w:eastAsia="宋体" w:cs="宋体"/>
          <w:color w:val="auto"/>
          <w:sz w:val="24"/>
          <w:szCs w:val="24"/>
          <w:highlight w:val="none"/>
          <w:lang w:eastAsia="zh-CN"/>
        </w:rPr>
        <w:t>初步设计</w:t>
      </w:r>
      <w:r>
        <w:rPr>
          <w:rFonts w:hint="eastAsia" w:ascii="宋体" w:hAnsi="宋体" w:eastAsia="宋体" w:cs="宋体"/>
          <w:color w:val="auto"/>
          <w:sz w:val="24"/>
          <w:szCs w:val="24"/>
          <w:highlight w:val="none"/>
        </w:rPr>
        <w:t xml:space="preserve">要求，项目立项依据充分，立项程序规范。 </w:t>
      </w:r>
    </w:p>
    <w:p w14:paraId="52C962DE">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预算安排</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1003.42</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87.25</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76D1A8AF">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工程治理面积2650.73hm2；封禁治理面积2320.59hm2；配套滴灌工程330.14hm2；宣传牌16块；工程验收合格率100%</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项目开工时间2024年4月；项目完工时间2024年11月；资金支付及时率100%。</w:t>
      </w:r>
    </w:p>
    <w:p w14:paraId="5C63BA4D">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项目效益：通过本项目的实施，</w:t>
      </w:r>
      <w:r>
        <w:rPr>
          <w:rFonts w:hint="eastAsia" w:ascii="宋体" w:hAnsi="宋体" w:eastAsia="宋体" w:cs="宋体"/>
          <w:color w:val="auto"/>
          <w:sz w:val="24"/>
          <w:szCs w:val="24"/>
          <w:highlight w:val="none"/>
          <w:lang w:eastAsia="zh-CN"/>
        </w:rPr>
        <w:t>实现项目区内农牧民生活环境质量明显改善，使项目区水土流失得到有效治理。</w:t>
      </w:r>
    </w:p>
    <w:p w14:paraId="11B47095">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7CBE64BA">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w:t>
      </w:r>
      <w:r>
        <w:rPr>
          <w:rFonts w:hint="eastAsia" w:ascii="宋体" w:hAnsi="宋体" w:eastAsia="宋体" w:cs="宋体"/>
          <w:color w:val="auto"/>
          <w:sz w:val="24"/>
          <w:szCs w:val="24"/>
          <w:highlight w:val="none"/>
          <w:u w:val="none"/>
        </w:rPr>
        <w:t>70分以下为“差”。经对</w:t>
      </w:r>
      <w:r>
        <w:rPr>
          <w:rFonts w:hint="eastAsia" w:ascii="宋体" w:hAnsi="宋体" w:eastAsia="宋体" w:cs="宋体"/>
          <w:color w:val="auto"/>
          <w:sz w:val="24"/>
          <w:szCs w:val="24"/>
          <w:highlight w:val="none"/>
          <w:u w:val="none"/>
          <w:lang w:eastAsia="zh-CN"/>
        </w:rPr>
        <w:t>洛浦县（山普鲁镇）2024年水土保持重点治理工程</w:t>
      </w:r>
      <w:r>
        <w:rPr>
          <w:rFonts w:hint="eastAsia" w:ascii="宋体" w:hAnsi="宋体" w:eastAsia="宋体" w:cs="宋体"/>
          <w:color w:val="auto"/>
          <w:sz w:val="24"/>
          <w:szCs w:val="24"/>
          <w:highlight w:val="none"/>
          <w:u w:val="none"/>
        </w:rPr>
        <w:t>进行客观评价，最终评分结果：评价总分</w:t>
      </w:r>
      <w:r>
        <w:rPr>
          <w:rFonts w:hint="eastAsia" w:ascii="宋体" w:hAnsi="宋体" w:eastAsia="宋体" w:cs="宋体"/>
          <w:color w:val="auto"/>
          <w:sz w:val="24"/>
          <w:szCs w:val="24"/>
          <w:highlight w:val="none"/>
          <w:u w:val="none"/>
          <w:lang w:val="en-US" w:eastAsia="zh-CN"/>
        </w:rPr>
        <w:t>98.47</w:t>
      </w:r>
      <w:r>
        <w:rPr>
          <w:rFonts w:hint="eastAsia" w:ascii="宋体" w:hAnsi="宋体" w:eastAsia="宋体" w:cs="宋体"/>
          <w:color w:val="auto"/>
          <w:sz w:val="24"/>
          <w:szCs w:val="24"/>
          <w:highlight w:val="none"/>
          <w:u w:val="none"/>
        </w:rPr>
        <w:t>分，绩效等级为“</w:t>
      </w:r>
      <w:r>
        <w:rPr>
          <w:rFonts w:hint="eastAsia" w:ascii="宋体" w:hAnsi="宋体" w:eastAsia="宋体" w:cs="宋体"/>
          <w:color w:val="auto"/>
          <w:sz w:val="24"/>
          <w:szCs w:val="24"/>
          <w:highlight w:val="none"/>
          <w:u w:val="none"/>
          <w:lang w:eastAsia="zh-CN"/>
        </w:rPr>
        <w:t>优</w:t>
      </w:r>
      <w:r>
        <w:rPr>
          <w:rFonts w:hint="eastAsia" w:ascii="宋体" w:hAnsi="宋体" w:eastAsia="宋体" w:cs="宋体"/>
          <w:color w:val="auto"/>
          <w:sz w:val="24"/>
          <w:szCs w:val="24"/>
          <w:highlight w:val="none"/>
          <w:u w:val="none"/>
        </w:rPr>
        <w:t>”。</w:t>
      </w:r>
      <w:bookmarkEnd w:id="15"/>
    </w:p>
    <w:p w14:paraId="36CE5C2A">
      <w:pPr>
        <w:pStyle w:val="2"/>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u w:val="none"/>
        </w:rPr>
      </w:pPr>
      <w:bookmarkStart w:id="16" w:name="_Toc68364667"/>
    </w:p>
    <w:p w14:paraId="5BBDAE30">
      <w:pPr>
        <w:pStyle w:val="2"/>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u w:val="none"/>
        </w:rPr>
      </w:pPr>
      <w:r>
        <w:rPr>
          <w:rFonts w:hint="eastAsia" w:ascii="黑体" w:hAnsi="黑体" w:eastAsia="黑体" w:cs="黑体"/>
          <w:color w:val="auto"/>
          <w:sz w:val="24"/>
          <w:szCs w:val="24"/>
          <w:highlight w:val="none"/>
          <w:u w:val="none"/>
        </w:rPr>
        <w:t>四、绩效评价指标分析</w:t>
      </w:r>
      <w:bookmarkEnd w:id="16"/>
    </w:p>
    <w:p w14:paraId="501B5925">
      <w:pPr>
        <w:pStyle w:val="1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u w:val="none"/>
        </w:rPr>
      </w:pPr>
      <w:bookmarkStart w:id="17" w:name="_Toc68364668"/>
      <w:r>
        <w:rPr>
          <w:rFonts w:hint="eastAsia" w:ascii="宋体" w:hAnsi="宋体" w:eastAsia="宋体" w:cs="宋体"/>
          <w:color w:val="auto"/>
          <w:sz w:val="24"/>
          <w:szCs w:val="24"/>
          <w:highlight w:val="none"/>
          <w:u w:val="none"/>
        </w:rPr>
        <w:t>（一）项目决策情况</w:t>
      </w:r>
    </w:p>
    <w:p w14:paraId="3CCAFBBF">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u w:val="none"/>
          <w:lang w:val="en-US" w:eastAsia="zh-CN"/>
        </w:rPr>
        <w:t>23</w:t>
      </w:r>
      <w:r>
        <w:rPr>
          <w:rFonts w:hint="eastAsia" w:ascii="宋体" w:hAnsi="宋体" w:eastAsia="宋体" w:cs="宋体"/>
          <w:color w:val="auto"/>
          <w:sz w:val="24"/>
          <w:szCs w:val="24"/>
          <w:highlight w:val="none"/>
          <w:u w:val="none"/>
        </w:rPr>
        <w:t>分，实际得分</w:t>
      </w:r>
      <w:r>
        <w:rPr>
          <w:rFonts w:hint="eastAsia" w:ascii="宋体" w:hAnsi="宋体" w:eastAsia="宋体" w:cs="宋体"/>
          <w:color w:val="auto"/>
          <w:sz w:val="24"/>
          <w:szCs w:val="24"/>
          <w:highlight w:val="none"/>
          <w:u w:val="none"/>
          <w:lang w:val="en-US" w:eastAsia="zh-CN"/>
        </w:rPr>
        <w:t>23</w:t>
      </w:r>
      <w:r>
        <w:rPr>
          <w:rFonts w:hint="eastAsia" w:ascii="宋体" w:hAnsi="宋体" w:eastAsia="宋体" w:cs="宋体"/>
          <w:color w:val="auto"/>
          <w:sz w:val="24"/>
          <w:szCs w:val="24"/>
          <w:highlight w:val="none"/>
          <w:u w:val="none"/>
        </w:rPr>
        <w:t>分，得分率为</w:t>
      </w:r>
      <w:r>
        <w:rPr>
          <w:rFonts w:hint="eastAsia" w:ascii="宋体" w:hAnsi="宋体" w:eastAsia="宋体" w:cs="宋体"/>
          <w:color w:val="auto"/>
          <w:sz w:val="24"/>
          <w:szCs w:val="24"/>
          <w:highlight w:val="none"/>
          <w:u w:val="none"/>
          <w:lang w:val="en-US" w:eastAsia="zh-CN"/>
        </w:rPr>
        <w:t>100</w:t>
      </w:r>
      <w:r>
        <w:rPr>
          <w:rFonts w:hint="eastAsia" w:ascii="宋体" w:hAnsi="宋体" w:eastAsia="宋体" w:cs="宋体"/>
          <w:color w:val="auto"/>
          <w:sz w:val="24"/>
          <w:szCs w:val="24"/>
          <w:highlight w:val="none"/>
          <w:u w:val="none"/>
        </w:rPr>
        <w:t>%。</w:t>
      </w:r>
    </w:p>
    <w:p w14:paraId="1D0C8DA4">
      <w:pPr>
        <w:keepNext w:val="0"/>
        <w:keepLines w:val="0"/>
        <w:pageBreakBefore w:val="0"/>
        <w:widowControl w:val="0"/>
        <w:numPr>
          <w:ilvl w:val="0"/>
          <w:numId w:val="2"/>
        </w:numPr>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4536E3A3">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《关于提前下达2024年中央水利发展资金预算的通知》（新财农〔2023〕85号）</w:t>
      </w:r>
      <w:r>
        <w:rPr>
          <w:rFonts w:hint="eastAsia" w:ascii="宋体" w:hAnsi="宋体" w:eastAsia="宋体" w:cs="宋体"/>
          <w:color w:val="auto"/>
          <w:sz w:val="24"/>
          <w:szCs w:val="24"/>
          <w:highlight w:val="none"/>
        </w:rPr>
        <w:t>。</w:t>
      </w:r>
    </w:p>
    <w:p w14:paraId="03513948">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35D6C430">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2183B49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本项目按照规定的程序申请设立，项目立项过程中产生的文件均符合相关要求。本项目为</w:t>
      </w:r>
      <w:r>
        <w:rPr>
          <w:rFonts w:hint="eastAsia" w:ascii="宋体" w:hAnsi="宋体" w:eastAsia="宋体" w:cs="宋体"/>
          <w:color w:val="auto"/>
          <w:sz w:val="24"/>
          <w:szCs w:val="24"/>
          <w:highlight w:val="none"/>
          <w:lang w:val="en-US" w:eastAsia="zh-CN"/>
        </w:rPr>
        <w:t>水利配套基础设施</w:t>
      </w:r>
      <w:r>
        <w:rPr>
          <w:rFonts w:hint="eastAsia" w:ascii="宋体" w:hAnsi="宋体" w:eastAsia="宋体" w:cs="宋体"/>
          <w:color w:val="auto"/>
          <w:sz w:val="24"/>
          <w:szCs w:val="24"/>
          <w:highlight w:val="none"/>
        </w:rPr>
        <w:t>类项目，属于经常性项目，项目预算金额为</w:t>
      </w:r>
      <w:r>
        <w:rPr>
          <w:rStyle w:val="13"/>
          <w:rFonts w:hint="eastAsia" w:ascii="宋体" w:hAnsi="宋体" w:eastAsia="宋体" w:cs="宋体"/>
          <w:b w:val="0"/>
          <w:bCs w:val="0"/>
          <w:color w:val="auto"/>
          <w:spacing w:val="-4"/>
          <w:kern w:val="2"/>
          <w:sz w:val="24"/>
          <w:szCs w:val="24"/>
          <w:highlight w:val="none"/>
          <w:lang w:val="en-US" w:eastAsia="zh-CN" w:bidi="ar-SA"/>
        </w:rPr>
        <w:t>1150</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color w:val="auto"/>
          <w:sz w:val="24"/>
          <w:szCs w:val="24"/>
          <w:highlight w:val="none"/>
          <w:lang w:val="en-US" w:eastAsia="zh-CN"/>
        </w:rPr>
        <w:t>新疆双河勘测设计有限公司</w:t>
      </w:r>
      <w:r>
        <w:rPr>
          <w:rFonts w:hint="eastAsia" w:ascii="宋体" w:hAnsi="宋体" w:eastAsia="宋体" w:cs="宋体"/>
          <w:color w:val="auto"/>
          <w:sz w:val="24"/>
          <w:szCs w:val="24"/>
          <w:highlight w:val="none"/>
        </w:rPr>
        <w:t>完成本项目可行性研究报告的编制，并经过专家论证。</w:t>
      </w:r>
    </w:p>
    <w:p w14:paraId="63B7911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p>
    <w:p w14:paraId="1F029FE3">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（3）绩效目标合理性：</w:t>
      </w:r>
    </w:p>
    <w:p w14:paraId="64D9098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该项目已设置年度绩效目标，具体内容为</w:t>
      </w:r>
    </w:p>
    <w:p w14:paraId="3E6FCE4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关于提前下达2024年中央水利发展资金预算的通知》（新财农〔2023〕85号）文件实施此项目，项目主要内容为：工程治理面积26.50km2，措施有封禁治理23.20km2，配套滴灌工程3.30km2，宣传牌16块。工程建设后，实现项目区内农牧民生活环境质量明显改善，使项目区水土流失得到有效治理。</w:t>
      </w:r>
    </w:p>
    <w:p w14:paraId="4C69CD5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分，本项目</w:t>
      </w:r>
      <w:r>
        <w:rPr>
          <w:rFonts w:hint="eastAsia" w:ascii="宋体" w:hAnsi="宋体" w:eastAsia="宋体" w:cs="宋体"/>
          <w:color w:val="auto"/>
          <w:sz w:val="24"/>
          <w:szCs w:val="24"/>
          <w:highlight w:val="none"/>
          <w:lang w:val="en-US" w:eastAsia="zh-CN"/>
        </w:rPr>
        <w:t>绩效目标合理</w:t>
      </w:r>
      <w:r>
        <w:rPr>
          <w:rFonts w:hint="eastAsia" w:ascii="宋体" w:hAnsi="宋体" w:eastAsia="宋体" w:cs="宋体"/>
          <w:color w:val="auto"/>
          <w:sz w:val="24"/>
          <w:szCs w:val="24"/>
          <w:highlight w:val="none"/>
        </w:rPr>
        <w:t>。</w:t>
      </w:r>
    </w:p>
    <w:p w14:paraId="70214CDF">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6931D53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lang w:val="en-US" w:eastAsia="zh-CN"/>
        </w:rPr>
        <w:t>支出绩效目标表》，得出如下结论：本项目已将年度绩效目标进行细化为绩效指标体系，共设置一级指标4个，二级指标6个，三级指标15，定量指标13个，定性指2个，指标量化率为86.67%，量化率达70.0%以上，将项目绩效目标细化分解为具体的绩效指标。</w:t>
      </w:r>
    </w:p>
    <w:p w14:paraId="09D9F31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绩效目标申报表》中，数量指标值为</w:t>
      </w:r>
      <w:r>
        <w:rPr>
          <w:rFonts w:hint="eastAsia" w:ascii="宋体" w:hAnsi="宋体" w:eastAsia="宋体" w:cs="宋体"/>
          <w:color w:val="auto"/>
          <w:sz w:val="24"/>
          <w:szCs w:val="24"/>
          <w:highlight w:val="none"/>
          <w:lang w:val="en-US" w:eastAsia="zh-CN"/>
        </w:rPr>
        <w:t>工程治理面积2650.73hm2；封禁治理面积2320.59hm2；配套滴灌工程330.14hm2；宣传牌16块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三级指标的年度指标值与年度绩效目标中任务数一致（或不完全一致），项目完成时间2024年1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项目完成及时率100%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资金拨付及时率100%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已设置时效指标“</w:t>
      </w:r>
      <w:r>
        <w:rPr>
          <w:rFonts w:hint="eastAsia" w:ascii="宋体" w:hAnsi="宋体" w:eastAsia="宋体" w:cs="宋体"/>
          <w:color w:val="auto"/>
          <w:sz w:val="24"/>
          <w:szCs w:val="24"/>
          <w:highlight w:val="none"/>
          <w:lang w:val="en-US" w:eastAsia="zh-CN"/>
        </w:rPr>
        <w:t>项目开始时间、项目完工时间、资金支付及时率</w:t>
      </w:r>
      <w:r>
        <w:rPr>
          <w:rFonts w:hint="eastAsia" w:ascii="宋体" w:hAnsi="宋体" w:eastAsia="宋体" w:cs="宋体"/>
          <w:color w:val="auto"/>
          <w:sz w:val="24"/>
          <w:szCs w:val="24"/>
          <w:highlight w:val="none"/>
        </w:rPr>
        <w:t>”。已设置的绩效目标具备明确性、可衡量性、可实现性、相关性、时限性。</w:t>
      </w:r>
    </w:p>
    <w:p w14:paraId="667D4C8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分，本项目</w:t>
      </w:r>
      <w:r>
        <w:rPr>
          <w:rFonts w:hint="eastAsia" w:ascii="宋体" w:hAnsi="宋体" w:eastAsia="宋体" w:cs="宋体"/>
          <w:color w:val="auto"/>
          <w:sz w:val="24"/>
          <w:szCs w:val="24"/>
          <w:highlight w:val="none"/>
          <w:lang w:val="en-US" w:eastAsia="zh-CN"/>
        </w:rPr>
        <w:t>绩效目标明确</w:t>
      </w:r>
      <w:r>
        <w:rPr>
          <w:rFonts w:hint="eastAsia" w:ascii="宋体" w:hAnsi="宋体" w:eastAsia="宋体" w:cs="宋体"/>
          <w:color w:val="auto"/>
          <w:sz w:val="24"/>
          <w:szCs w:val="24"/>
          <w:highlight w:val="none"/>
        </w:rPr>
        <w:t>。</w:t>
      </w:r>
    </w:p>
    <w:p w14:paraId="0A498E3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（5）预算编制科学性：</w:t>
      </w:r>
    </w:p>
    <w:p w14:paraId="3C81FF9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该</w:t>
      </w:r>
      <w:r>
        <w:rPr>
          <w:rFonts w:hint="eastAsia" w:ascii="宋体" w:hAnsi="宋体" w:eastAsia="宋体" w:cs="宋体"/>
          <w:color w:val="auto"/>
          <w:sz w:val="24"/>
          <w:szCs w:val="24"/>
          <w:highlight w:val="none"/>
        </w:rPr>
        <w:t>项目预算编制较科学且经过论证；预算申请内容为</w:t>
      </w:r>
      <w:r>
        <w:rPr>
          <w:rFonts w:hint="eastAsia" w:ascii="宋体" w:hAnsi="宋体" w:eastAsia="宋体" w:cs="宋体"/>
          <w:color w:val="auto"/>
          <w:sz w:val="24"/>
          <w:szCs w:val="24"/>
          <w:highlight w:val="none"/>
          <w:lang w:val="en-US" w:eastAsia="zh-CN"/>
        </w:rPr>
        <w:t>工程治理面积2650.73hm2；封禁治理面积2320.59hm2；配套滴灌工程330.14hm2；宣传牌16块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与</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eastAsia="zh-CN"/>
        </w:rPr>
        <w:t>相符</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实施方案》中涉及的项目内容匹配；</w:t>
      </w:r>
    </w:p>
    <w:p w14:paraId="2BA22D9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eastAsia="zh-CN"/>
        </w:rPr>
        <w:t>工程</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1077.39</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w:t>
      </w:r>
    </w:p>
    <w:p w14:paraId="68FAB22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w:t>
      </w:r>
      <w:r>
        <w:rPr>
          <w:rFonts w:hint="eastAsia" w:ascii="宋体" w:hAnsi="宋体" w:eastAsia="宋体" w:cs="宋体"/>
          <w:color w:val="auto"/>
          <w:sz w:val="24"/>
          <w:szCs w:val="24"/>
          <w:highlight w:val="none"/>
          <w:lang w:val="en-US" w:eastAsia="zh-CN"/>
        </w:rPr>
        <w:t>预算编制科学</w:t>
      </w:r>
      <w:r>
        <w:rPr>
          <w:rFonts w:hint="eastAsia" w:ascii="宋体" w:hAnsi="宋体" w:eastAsia="宋体" w:cs="宋体"/>
          <w:color w:val="auto"/>
          <w:sz w:val="24"/>
          <w:szCs w:val="24"/>
          <w:highlight w:val="none"/>
        </w:rPr>
        <w:t>。</w:t>
      </w:r>
    </w:p>
    <w:p w14:paraId="4BF7946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资金的请示》和《</w:t>
      </w:r>
      <w:r>
        <w:rPr>
          <w:rFonts w:hint="eastAsia" w:ascii="宋体" w:hAnsi="宋体" w:eastAsia="宋体" w:cs="宋体"/>
          <w:color w:val="auto"/>
          <w:sz w:val="24"/>
          <w:szCs w:val="24"/>
          <w:highlight w:val="none"/>
          <w:lang w:eastAsia="zh-CN"/>
        </w:rPr>
        <w:t>洛浦县（山普鲁镇）2024年水土保持重点治理工程</w:t>
      </w:r>
      <w:r>
        <w:rPr>
          <w:rFonts w:hint="eastAsia" w:ascii="宋体" w:hAnsi="宋体" w:eastAsia="宋体" w:cs="宋体"/>
          <w:color w:val="auto"/>
          <w:sz w:val="24"/>
          <w:szCs w:val="24"/>
          <w:highlight w:val="none"/>
        </w:rPr>
        <w:t>实施方案》为依据进行资金分配，预算资金分配依据充分。根据</w:t>
      </w:r>
      <w:r>
        <w:rPr>
          <w:rFonts w:hint="eastAsia" w:ascii="宋体" w:hAnsi="宋体" w:eastAsia="宋体" w:cs="宋体"/>
          <w:color w:val="auto"/>
          <w:sz w:val="24"/>
          <w:szCs w:val="24"/>
          <w:highlight w:val="none"/>
          <w:lang w:val="en-US" w:eastAsia="zh-CN"/>
        </w:rPr>
        <w:t>《关于提前下达2024年中央水利发展资金预算的通知》（新财农〔2023〕85号）</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万元，资金分配额度合理，与我单位实际需求相适应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资金分配与实际相适应</w:t>
      </w:r>
      <w:r>
        <w:rPr>
          <w:rFonts w:hint="eastAsia" w:ascii="宋体" w:hAnsi="宋体" w:eastAsia="宋体" w:cs="宋体"/>
          <w:color w:val="auto"/>
          <w:sz w:val="24"/>
          <w:szCs w:val="24"/>
          <w:highlight w:val="none"/>
          <w:lang w:eastAsia="zh-CN"/>
        </w:rPr>
        <w:t>。</w:t>
      </w:r>
    </w:p>
    <w:p w14:paraId="0317AB5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w:t>
      </w:r>
      <w:r>
        <w:rPr>
          <w:rFonts w:hint="eastAsia" w:ascii="宋体" w:hAnsi="宋体" w:eastAsia="宋体" w:cs="宋体"/>
          <w:color w:val="auto"/>
          <w:sz w:val="24"/>
          <w:szCs w:val="24"/>
          <w:highlight w:val="none"/>
          <w:lang w:val="en-US" w:eastAsia="zh-CN"/>
        </w:rPr>
        <w:t>资金分配合理</w:t>
      </w:r>
      <w:r>
        <w:rPr>
          <w:rFonts w:hint="eastAsia" w:ascii="宋体" w:hAnsi="宋体" w:eastAsia="宋体" w:cs="宋体"/>
          <w:color w:val="auto"/>
          <w:sz w:val="24"/>
          <w:szCs w:val="24"/>
          <w:highlight w:val="none"/>
        </w:rPr>
        <w:t>。</w:t>
      </w:r>
    </w:p>
    <w:p w14:paraId="22AFB218">
      <w:pPr>
        <w:pStyle w:val="1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6D4B6C5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97.88</w:t>
      </w:r>
      <w:r>
        <w:rPr>
          <w:rFonts w:hint="eastAsia" w:ascii="宋体" w:hAnsi="宋体" w:eastAsia="宋体" w:cs="宋体"/>
          <w:color w:val="auto"/>
          <w:sz w:val="24"/>
          <w:szCs w:val="24"/>
          <w:highlight w:val="none"/>
        </w:rPr>
        <w:t>%。</w:t>
      </w:r>
    </w:p>
    <w:p w14:paraId="4DD836C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1150</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1150</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1150</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p>
    <w:p w14:paraId="189DD12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5CE3B52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1003.42</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87.25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预算编制较为详细，项目资金支出总体能够按照预算执行，根据评分标准，得</w:t>
      </w:r>
      <w:r>
        <w:rPr>
          <w:rFonts w:hint="eastAsia" w:ascii="宋体" w:hAnsi="宋体" w:eastAsia="宋体" w:cs="宋体"/>
          <w:color w:val="auto"/>
          <w:sz w:val="24"/>
          <w:szCs w:val="24"/>
          <w:highlight w:val="none"/>
          <w:lang w:val="en-US" w:eastAsia="zh-CN"/>
        </w:rPr>
        <w:t>1.75</w:t>
      </w:r>
      <w:r>
        <w:rPr>
          <w:rFonts w:hint="eastAsia" w:ascii="宋体" w:hAnsi="宋体" w:eastAsia="宋体" w:cs="宋体"/>
          <w:color w:val="auto"/>
          <w:sz w:val="24"/>
          <w:szCs w:val="24"/>
          <w:highlight w:val="none"/>
        </w:rPr>
        <w:t>分。</w:t>
      </w:r>
    </w:p>
    <w:p w14:paraId="778310D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8B3D16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076856B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：该项目的实施符合《</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color w:val="auto"/>
          <w:sz w:val="24"/>
          <w:szCs w:val="24"/>
          <w:highlight w:val="none"/>
        </w:rPr>
        <w:t>办法》《</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eastAsia="zh-CN"/>
        </w:rPr>
        <w:t>洛浦县水利局</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9F545EC">
      <w:pPr>
        <w:pStyle w:val="1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18F9CEB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38.72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96.8%</w:t>
      </w:r>
      <w:r>
        <w:rPr>
          <w:rFonts w:hint="eastAsia" w:ascii="宋体" w:hAnsi="宋体" w:eastAsia="宋体" w:cs="宋体"/>
          <w:color w:val="auto"/>
          <w:sz w:val="24"/>
          <w:szCs w:val="24"/>
          <w:highlight w:val="none"/>
        </w:rPr>
        <w:t>。</w:t>
      </w:r>
    </w:p>
    <w:p w14:paraId="68354FE4">
      <w:pPr>
        <w:pageBreakBefore w:val="0"/>
        <w:widowControl w:val="0"/>
        <w:numPr>
          <w:ilvl w:val="0"/>
          <w:numId w:val="3"/>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69748DFE">
      <w:pPr>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工程治理面积，预期指标值≥2650.73hm²，实际完成值2650.73hm²，指标完成率100%。</w:t>
      </w:r>
      <w:r>
        <w:rPr>
          <w:rFonts w:hint="eastAsia" w:ascii="宋体" w:hAnsi="宋体" w:eastAsia="宋体" w:cs="宋体"/>
          <w:b w:val="0"/>
          <w:bCs w:val="0"/>
          <w:color w:val="auto"/>
          <w:sz w:val="24"/>
          <w:szCs w:val="24"/>
          <w:highlight w:val="none"/>
          <w:lang w:val="en-US"/>
        </w:rPr>
        <w:t>该指标满分</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rPr>
        <w:t>分，</w:t>
      </w:r>
      <w:r>
        <w:rPr>
          <w:rFonts w:hint="eastAsia" w:ascii="宋体" w:hAnsi="宋体" w:eastAsia="宋体" w:cs="宋体"/>
          <w:b w:val="0"/>
          <w:bCs w:val="0"/>
          <w:color w:val="auto"/>
          <w:sz w:val="24"/>
          <w:szCs w:val="24"/>
          <w:highlight w:val="none"/>
          <w:lang w:val="en-US" w:eastAsia="zh-CN"/>
        </w:rPr>
        <w:t>得2分；</w:t>
      </w:r>
    </w:p>
    <w:p w14:paraId="6EEEC38A">
      <w:pPr>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封禁治理面积，预期指标值≥2320.59hm²，实际完成值2320.59hm²，指标完成率100%。</w:t>
      </w:r>
      <w:r>
        <w:rPr>
          <w:rFonts w:hint="eastAsia" w:ascii="宋体" w:hAnsi="宋体" w:eastAsia="宋体" w:cs="宋体"/>
          <w:b w:val="0"/>
          <w:bCs w:val="0"/>
          <w:color w:val="auto"/>
          <w:sz w:val="24"/>
          <w:szCs w:val="24"/>
          <w:highlight w:val="none"/>
          <w:lang w:val="en-US"/>
        </w:rPr>
        <w:t>该指标满分</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rPr>
        <w:t>分，</w:t>
      </w:r>
      <w:r>
        <w:rPr>
          <w:rFonts w:hint="eastAsia" w:ascii="宋体" w:hAnsi="宋体" w:eastAsia="宋体" w:cs="宋体"/>
          <w:b w:val="0"/>
          <w:bCs w:val="0"/>
          <w:color w:val="auto"/>
          <w:sz w:val="24"/>
          <w:szCs w:val="24"/>
          <w:highlight w:val="none"/>
          <w:lang w:val="en-US" w:eastAsia="zh-CN"/>
        </w:rPr>
        <w:t>得2分；</w:t>
      </w:r>
    </w:p>
    <w:p w14:paraId="458CA41B">
      <w:pPr>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配套滴灌工程，预期指标值≥330.14hm²，实际完成值330.14hm²，指标完成率100%。</w:t>
      </w:r>
      <w:r>
        <w:rPr>
          <w:rFonts w:hint="eastAsia" w:ascii="宋体" w:hAnsi="宋体" w:eastAsia="宋体" w:cs="宋体"/>
          <w:b w:val="0"/>
          <w:bCs w:val="0"/>
          <w:color w:val="auto"/>
          <w:sz w:val="24"/>
          <w:szCs w:val="24"/>
          <w:highlight w:val="none"/>
          <w:lang w:val="en-US"/>
        </w:rPr>
        <w:t>该指标满分</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rPr>
        <w:t>分，</w:t>
      </w:r>
      <w:r>
        <w:rPr>
          <w:rFonts w:hint="eastAsia" w:ascii="宋体" w:hAnsi="宋体" w:eastAsia="宋体" w:cs="宋体"/>
          <w:b w:val="0"/>
          <w:bCs w:val="0"/>
          <w:color w:val="auto"/>
          <w:sz w:val="24"/>
          <w:szCs w:val="24"/>
          <w:highlight w:val="none"/>
          <w:lang w:val="en-US" w:eastAsia="zh-CN"/>
        </w:rPr>
        <w:t>得2分；</w:t>
      </w:r>
    </w:p>
    <w:p w14:paraId="54D0F75C">
      <w:pPr>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宣传牌，预期指标值16块，实际完成值16块，指标完成率100%。</w:t>
      </w:r>
      <w:r>
        <w:rPr>
          <w:rFonts w:hint="eastAsia" w:ascii="宋体" w:hAnsi="宋体" w:eastAsia="宋体" w:cs="宋体"/>
          <w:b w:val="0"/>
          <w:bCs w:val="0"/>
          <w:color w:val="auto"/>
          <w:sz w:val="24"/>
          <w:szCs w:val="24"/>
          <w:highlight w:val="none"/>
          <w:lang w:val="en-US"/>
        </w:rPr>
        <w:t>该指标满分</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rPr>
        <w:t>分，</w:t>
      </w:r>
      <w:r>
        <w:rPr>
          <w:rFonts w:hint="eastAsia" w:ascii="宋体" w:hAnsi="宋体" w:eastAsia="宋体" w:cs="宋体"/>
          <w:b w:val="0"/>
          <w:bCs w:val="0"/>
          <w:color w:val="auto"/>
          <w:sz w:val="24"/>
          <w:szCs w:val="24"/>
          <w:highlight w:val="none"/>
          <w:lang w:val="en-US" w:eastAsia="zh-CN"/>
        </w:rPr>
        <w:t>得4分；</w:t>
      </w:r>
    </w:p>
    <w:p w14:paraId="2185074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2D3DB006">
      <w:pPr>
        <w:pageBreakBefore w:val="0"/>
        <w:widowControl w:val="0"/>
        <w:numPr>
          <w:ilvl w:val="0"/>
          <w:numId w:val="3"/>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031AC32C">
      <w:pPr>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工程验收合格率，预期指标值100%，实际完成值100%，指标完成率100%。</w:t>
      </w:r>
      <w:r>
        <w:rPr>
          <w:rFonts w:hint="eastAsia" w:ascii="宋体" w:hAnsi="宋体" w:eastAsia="宋体" w:cs="宋体"/>
          <w:b w:val="0"/>
          <w:bCs w:val="0"/>
          <w:color w:val="auto"/>
          <w:sz w:val="24"/>
          <w:szCs w:val="24"/>
          <w:highlight w:val="none"/>
          <w:lang w:val="en-US"/>
        </w:rPr>
        <w:t>该指标满分</w:t>
      </w: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en-US"/>
        </w:rPr>
        <w:t>分，</w:t>
      </w:r>
      <w:r>
        <w:rPr>
          <w:rFonts w:hint="eastAsia" w:ascii="宋体" w:hAnsi="宋体" w:eastAsia="宋体" w:cs="宋体"/>
          <w:b w:val="0"/>
          <w:bCs w:val="0"/>
          <w:color w:val="auto"/>
          <w:sz w:val="24"/>
          <w:szCs w:val="24"/>
          <w:highlight w:val="none"/>
          <w:lang w:val="en-US" w:eastAsia="zh-CN"/>
        </w:rPr>
        <w:t>得10分；</w:t>
      </w:r>
    </w:p>
    <w:p w14:paraId="3F2C472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271E2717">
      <w:pPr>
        <w:pStyle w:val="7"/>
        <w:pageBreakBefore w:val="0"/>
        <w:widowControl w:val="0"/>
        <w:numPr>
          <w:ilvl w:val="0"/>
          <w:numId w:val="3"/>
        </w:numPr>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3859DE7D">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项目开工时间，预期指标值2024年4月，实际完成值2024年4月，指标完成率100%。</w:t>
      </w:r>
      <w:r>
        <w:rPr>
          <w:rFonts w:hint="eastAsia" w:ascii="宋体" w:hAnsi="宋体" w:eastAsia="宋体" w:cs="宋体"/>
          <w:b w:val="0"/>
          <w:color w:val="auto"/>
          <w:sz w:val="24"/>
          <w:szCs w:val="24"/>
          <w:highlight w:val="none"/>
          <w:lang w:val="en-US"/>
        </w:rPr>
        <w:t>该指标满分</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lang w:val="en-US"/>
        </w:rPr>
        <w:t>分，</w:t>
      </w:r>
      <w:r>
        <w:rPr>
          <w:rFonts w:hint="eastAsia" w:ascii="宋体" w:hAnsi="宋体" w:eastAsia="宋体" w:cs="宋体"/>
          <w:b w:val="0"/>
          <w:color w:val="auto"/>
          <w:sz w:val="24"/>
          <w:szCs w:val="24"/>
          <w:highlight w:val="none"/>
          <w:lang w:val="en-US" w:eastAsia="zh-CN"/>
        </w:rPr>
        <w:t>得3分；</w:t>
      </w:r>
    </w:p>
    <w:p w14:paraId="2DDED205">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项目完工时间，预期指标值2024年11月，实际完成值2024年11月，指标完成率100%。</w:t>
      </w:r>
      <w:r>
        <w:rPr>
          <w:rFonts w:hint="eastAsia" w:ascii="宋体" w:hAnsi="宋体" w:eastAsia="宋体" w:cs="宋体"/>
          <w:b w:val="0"/>
          <w:color w:val="auto"/>
          <w:sz w:val="24"/>
          <w:szCs w:val="24"/>
          <w:highlight w:val="none"/>
          <w:lang w:val="en-US"/>
        </w:rPr>
        <w:t>该指标满分</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lang w:val="en-US"/>
        </w:rPr>
        <w:t>分，</w:t>
      </w:r>
      <w:r>
        <w:rPr>
          <w:rFonts w:hint="eastAsia" w:ascii="宋体" w:hAnsi="宋体" w:eastAsia="宋体" w:cs="宋体"/>
          <w:b w:val="0"/>
          <w:color w:val="auto"/>
          <w:sz w:val="24"/>
          <w:szCs w:val="24"/>
          <w:highlight w:val="none"/>
          <w:lang w:val="en-US" w:eastAsia="zh-CN"/>
        </w:rPr>
        <w:t>得3分；</w:t>
      </w:r>
    </w:p>
    <w:p w14:paraId="5DB4DB93">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资金支付及时率，预期指标值100%，实际完成值100%，指标完成率100%。</w:t>
      </w:r>
      <w:r>
        <w:rPr>
          <w:rFonts w:hint="eastAsia" w:ascii="宋体" w:hAnsi="宋体" w:eastAsia="宋体" w:cs="宋体"/>
          <w:b w:val="0"/>
          <w:color w:val="auto"/>
          <w:sz w:val="24"/>
          <w:szCs w:val="24"/>
          <w:highlight w:val="none"/>
          <w:lang w:val="en-US"/>
        </w:rPr>
        <w:t>该指标满分</w:t>
      </w:r>
      <w:r>
        <w:rPr>
          <w:rFonts w:hint="eastAsia" w:ascii="宋体" w:hAnsi="宋体" w:eastAsia="宋体" w:cs="宋体"/>
          <w:b w:val="0"/>
          <w:color w:val="auto"/>
          <w:sz w:val="24"/>
          <w:szCs w:val="24"/>
          <w:highlight w:val="none"/>
          <w:lang w:val="en-US" w:eastAsia="zh-CN"/>
        </w:rPr>
        <w:t>4</w:t>
      </w:r>
      <w:r>
        <w:rPr>
          <w:rFonts w:hint="eastAsia" w:ascii="宋体" w:hAnsi="宋体" w:eastAsia="宋体" w:cs="宋体"/>
          <w:b w:val="0"/>
          <w:color w:val="auto"/>
          <w:sz w:val="24"/>
          <w:szCs w:val="24"/>
          <w:highlight w:val="none"/>
          <w:lang w:val="en-US"/>
        </w:rPr>
        <w:t>分，</w:t>
      </w:r>
      <w:r>
        <w:rPr>
          <w:rFonts w:hint="eastAsia" w:ascii="宋体" w:hAnsi="宋体" w:eastAsia="宋体" w:cs="宋体"/>
          <w:b w:val="0"/>
          <w:color w:val="auto"/>
          <w:sz w:val="24"/>
          <w:szCs w:val="24"/>
          <w:highlight w:val="none"/>
          <w:lang w:val="en-US" w:eastAsia="zh-CN"/>
        </w:rPr>
        <w:t>得4分；</w:t>
      </w:r>
    </w:p>
    <w:p w14:paraId="01BBE1DA">
      <w:pPr>
        <w:pStyle w:val="7"/>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78423277">
      <w:pPr>
        <w:pStyle w:val="16"/>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727DCF3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工程措施，预期指标值小于等于989.34万元，实际完成值863.24万元，指标完成率87%。</w:t>
      </w:r>
      <w:r>
        <w:rPr>
          <w:rFonts w:hint="eastAsia" w:ascii="宋体" w:hAnsi="宋体" w:eastAsia="宋体" w:cs="宋体"/>
          <w:color w:val="auto"/>
          <w:sz w:val="24"/>
          <w:szCs w:val="24"/>
          <w:highlight w:val="none"/>
          <w:lang w:val="en-US"/>
        </w:rPr>
        <w:t>该指标满分</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分，</w:t>
      </w:r>
      <w:r>
        <w:rPr>
          <w:rFonts w:hint="eastAsia" w:ascii="宋体" w:hAnsi="宋体" w:eastAsia="宋体" w:cs="宋体"/>
          <w:color w:val="auto"/>
          <w:sz w:val="24"/>
          <w:szCs w:val="24"/>
          <w:highlight w:val="none"/>
          <w:lang w:val="en-US" w:eastAsia="zh-CN"/>
        </w:rPr>
        <w:t>得1.75分；</w:t>
      </w:r>
    </w:p>
    <w:p w14:paraId="19186D5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封育治理措施，预期指标值小于等于9.61万元，实际完成值8.38万元，指标完成率87%。</w:t>
      </w:r>
      <w:r>
        <w:rPr>
          <w:rFonts w:hint="eastAsia" w:ascii="宋体" w:hAnsi="宋体" w:eastAsia="宋体" w:cs="宋体"/>
          <w:color w:val="auto"/>
          <w:sz w:val="24"/>
          <w:szCs w:val="24"/>
          <w:highlight w:val="none"/>
          <w:lang w:val="en-US"/>
        </w:rPr>
        <w:t>该指标满分</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分，</w:t>
      </w:r>
      <w:r>
        <w:rPr>
          <w:rFonts w:hint="eastAsia" w:ascii="宋体" w:hAnsi="宋体" w:eastAsia="宋体" w:cs="宋体"/>
          <w:color w:val="auto"/>
          <w:sz w:val="24"/>
          <w:szCs w:val="24"/>
          <w:highlight w:val="none"/>
          <w:lang w:val="en-US" w:eastAsia="zh-CN"/>
        </w:rPr>
        <w:t>得1.74分；</w:t>
      </w:r>
    </w:p>
    <w:p w14:paraId="2FB95E1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监测措施费，预期指标值小于等于23.68万元，实际完成值20.66万元，指标完成率87%。</w:t>
      </w:r>
      <w:r>
        <w:rPr>
          <w:rFonts w:hint="eastAsia" w:ascii="宋体" w:hAnsi="宋体" w:eastAsia="宋体" w:cs="宋体"/>
          <w:color w:val="auto"/>
          <w:sz w:val="24"/>
          <w:szCs w:val="24"/>
          <w:highlight w:val="none"/>
          <w:lang w:val="en-US"/>
        </w:rPr>
        <w:t>该指标满分</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分，</w:t>
      </w:r>
      <w:r>
        <w:rPr>
          <w:rFonts w:hint="eastAsia" w:ascii="宋体" w:hAnsi="宋体" w:eastAsia="宋体" w:cs="宋体"/>
          <w:color w:val="auto"/>
          <w:sz w:val="24"/>
          <w:szCs w:val="24"/>
          <w:highlight w:val="none"/>
          <w:lang w:val="en-US" w:eastAsia="zh-CN"/>
        </w:rPr>
        <w:t>得21.74分；</w:t>
      </w:r>
    </w:p>
    <w:p w14:paraId="460839A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独立费用为，预期指标值小于等于72.61万元，实际完成值63.36万元，指标完成率87%。</w:t>
      </w:r>
      <w:r>
        <w:rPr>
          <w:rFonts w:hint="eastAsia" w:ascii="宋体" w:hAnsi="宋体" w:eastAsia="宋体" w:cs="宋体"/>
          <w:color w:val="auto"/>
          <w:sz w:val="24"/>
          <w:szCs w:val="24"/>
          <w:highlight w:val="none"/>
          <w:lang w:val="en-US"/>
        </w:rPr>
        <w:t>该指标满分</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分，</w:t>
      </w:r>
      <w:r>
        <w:rPr>
          <w:rFonts w:hint="eastAsia" w:ascii="宋体" w:hAnsi="宋体" w:eastAsia="宋体" w:cs="宋体"/>
          <w:color w:val="auto"/>
          <w:sz w:val="24"/>
          <w:szCs w:val="24"/>
          <w:highlight w:val="none"/>
          <w:lang w:val="en-US" w:eastAsia="zh-CN"/>
        </w:rPr>
        <w:t>得1.75分；</w:t>
      </w:r>
    </w:p>
    <w:p w14:paraId="03DA964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基本预备费，预期指标值小于等于54.76万元，实际完成值47.78万元，指标完成率87%。</w:t>
      </w:r>
      <w:r>
        <w:rPr>
          <w:rFonts w:hint="eastAsia" w:ascii="宋体" w:hAnsi="宋体" w:eastAsia="宋体" w:cs="宋体"/>
          <w:color w:val="auto"/>
          <w:sz w:val="24"/>
          <w:szCs w:val="24"/>
          <w:highlight w:val="none"/>
          <w:lang w:val="en-US"/>
        </w:rPr>
        <w:t>该指标满分</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分，</w:t>
      </w:r>
      <w:r>
        <w:rPr>
          <w:rFonts w:hint="eastAsia" w:ascii="宋体" w:hAnsi="宋体" w:eastAsia="宋体" w:cs="宋体"/>
          <w:color w:val="auto"/>
          <w:sz w:val="24"/>
          <w:szCs w:val="24"/>
          <w:highlight w:val="none"/>
          <w:lang w:val="en-US" w:eastAsia="zh-CN"/>
        </w:rPr>
        <w:t>得1.75分；</w:t>
      </w:r>
    </w:p>
    <w:p w14:paraId="78D0D795">
      <w:pPr>
        <w:pStyle w:val="7"/>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8.72</w:t>
      </w:r>
      <w:r>
        <w:rPr>
          <w:rFonts w:hint="eastAsia" w:ascii="宋体" w:hAnsi="宋体" w:eastAsia="宋体" w:cs="宋体"/>
          <w:b w:val="0"/>
          <w:bCs/>
          <w:color w:val="auto"/>
          <w:sz w:val="24"/>
          <w:szCs w:val="24"/>
          <w:highlight w:val="none"/>
        </w:rPr>
        <w:t>分。</w:t>
      </w:r>
    </w:p>
    <w:p w14:paraId="6E989AE9">
      <w:pPr>
        <w:pStyle w:val="1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（四）项目效益情况</w:t>
      </w:r>
    </w:p>
    <w:p w14:paraId="7150594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p>
    <w:p w14:paraId="2DF4A920">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1.对于“社会效益指标”</w:t>
      </w:r>
    </w:p>
    <w:p w14:paraId="54442100">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val="0"/>
          <w:color w:val="auto"/>
          <w:sz w:val="24"/>
          <w:szCs w:val="24"/>
          <w:highlight w:val="none"/>
        </w:rPr>
        <w:t>改善水土流失，预期指标值为</w:t>
      </w:r>
      <w:r>
        <w:rPr>
          <w:rFonts w:hint="eastAsia" w:ascii="宋体" w:hAnsi="宋体" w:eastAsia="宋体" w:cs="宋体"/>
          <w:b w:val="0"/>
          <w:bCs w:val="0"/>
          <w:color w:val="auto"/>
          <w:sz w:val="24"/>
          <w:szCs w:val="24"/>
          <w:highlight w:val="none"/>
          <w:lang w:val="en-US" w:eastAsia="zh-CN"/>
        </w:rPr>
        <w:t>有效改善</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有效改善</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，与预期指标一致，根据评分标准，该指标不扣分，得</w:t>
      </w:r>
      <w:r>
        <w:rPr>
          <w:rFonts w:hint="eastAsia" w:ascii="宋体" w:hAnsi="宋体" w:eastAsia="宋体" w:cs="宋体"/>
          <w:b w:val="0"/>
          <w:bCs w:val="0"/>
          <w:color w:val="auto"/>
          <w:sz w:val="24"/>
          <w:szCs w:val="24"/>
          <w:highlight w:val="none"/>
          <w:lang w:val="en-US" w:eastAsia="zh-CN"/>
        </w:rPr>
        <w:t>15</w:t>
      </w:r>
      <w:r>
        <w:rPr>
          <w:rFonts w:hint="eastAsia" w:ascii="宋体" w:hAnsi="宋体" w:eastAsia="宋体" w:cs="宋体"/>
          <w:b w:val="0"/>
          <w:bCs w:val="0"/>
          <w:color w:val="auto"/>
          <w:sz w:val="24"/>
          <w:szCs w:val="24"/>
          <w:highlight w:val="none"/>
        </w:rPr>
        <w:t>分。</w:t>
      </w:r>
    </w:p>
    <w:p w14:paraId="1DF833CF">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2.对于“经济效益指标”</w:t>
      </w:r>
    </w:p>
    <w:p w14:paraId="48E70FDC">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该项目不涉及</w:t>
      </w:r>
      <w:r>
        <w:rPr>
          <w:rFonts w:hint="eastAsia" w:ascii="宋体" w:hAnsi="宋体" w:eastAsia="宋体" w:cs="宋体"/>
          <w:b w:val="0"/>
          <w:bCs w:val="0"/>
          <w:color w:val="auto"/>
          <w:sz w:val="24"/>
          <w:szCs w:val="24"/>
          <w:highlight w:val="none"/>
        </w:rPr>
        <w:t>经济效益指标</w:t>
      </w:r>
      <w:r>
        <w:rPr>
          <w:rFonts w:hint="eastAsia" w:ascii="宋体" w:hAnsi="宋体" w:eastAsia="宋体" w:cs="宋体"/>
          <w:b w:val="0"/>
          <w:bCs w:val="0"/>
          <w:color w:val="auto"/>
          <w:sz w:val="24"/>
          <w:szCs w:val="24"/>
          <w:highlight w:val="none"/>
          <w:lang w:val="en-US" w:eastAsia="zh-CN"/>
        </w:rPr>
        <w:t>。</w:t>
      </w:r>
    </w:p>
    <w:p w14:paraId="4C990E72">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3.对于“生态效益指标”</w:t>
      </w:r>
    </w:p>
    <w:p w14:paraId="5BB27F3C">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该项目不涉及生态效益指标。</w:t>
      </w:r>
    </w:p>
    <w:p w14:paraId="31F0DEB9">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4.满意度指标分析</w:t>
      </w:r>
    </w:p>
    <w:p w14:paraId="26688789">
      <w:pPr>
        <w:pStyle w:val="1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受益低收入人群满意度</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大于等于95%</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p>
    <w:p w14:paraId="0FB80C28">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bookmarkEnd w:id="17"/>
    </w:p>
    <w:p w14:paraId="57596459">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8" w:name="_Toc68364673"/>
    </w:p>
    <w:p w14:paraId="3491A08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1910BE84">
      <w:pPr>
        <w:pStyle w:val="1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1150</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1003.42</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87.25</w:t>
      </w:r>
      <w:r>
        <w:rPr>
          <w:rFonts w:hint="eastAsia" w:ascii="宋体" w:hAnsi="宋体" w:eastAsia="宋体" w:cs="宋体"/>
          <w:color w:val="auto"/>
          <w:sz w:val="24"/>
          <w:szCs w:val="24"/>
          <w:highlight w:val="none"/>
        </w:rPr>
        <w:t>%。</w:t>
      </w:r>
    </w:p>
    <w:p w14:paraId="0D21470B">
      <w:pPr>
        <w:pStyle w:val="1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98.47</w:t>
      </w:r>
      <w:r>
        <w:rPr>
          <w:rFonts w:hint="eastAsia" w:ascii="宋体" w:hAnsi="宋体" w:eastAsia="宋体" w:cs="宋体"/>
          <w:color w:val="auto"/>
          <w:sz w:val="24"/>
          <w:szCs w:val="24"/>
          <w:highlight w:val="none"/>
        </w:rPr>
        <w:t>%。</w:t>
      </w:r>
    </w:p>
    <w:p w14:paraId="1CCEE389">
      <w:pPr>
        <w:pStyle w:val="1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综上所述本项目预算执行率与总体完成率之间的偏差为</w:t>
      </w:r>
      <w:r>
        <w:rPr>
          <w:rFonts w:hint="eastAsia" w:ascii="宋体" w:hAnsi="宋体" w:eastAsia="宋体" w:cs="宋体"/>
          <w:color w:val="auto"/>
          <w:sz w:val="24"/>
          <w:szCs w:val="24"/>
          <w:highlight w:val="none"/>
          <w:lang w:val="en-US" w:eastAsia="zh-CN"/>
        </w:rPr>
        <w:t>1.53</w:t>
      </w:r>
      <w:r>
        <w:rPr>
          <w:rFonts w:hint="eastAsia" w:ascii="宋体" w:hAnsi="宋体" w:eastAsia="宋体" w:cs="宋体"/>
          <w:color w:val="auto"/>
          <w:sz w:val="24"/>
          <w:szCs w:val="24"/>
          <w:highlight w:val="none"/>
        </w:rPr>
        <w:t>%。</w:t>
      </w:r>
    </w:p>
    <w:p w14:paraId="2B3460B6">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六、主要经验及做法、存在的问题及原因分析</w:t>
      </w:r>
    </w:p>
    <w:p w14:paraId="07B8DD9D">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（一）主要经验及做法</w:t>
      </w:r>
      <w:bookmarkEnd w:id="18"/>
    </w:p>
    <w:p w14:paraId="19F61A5F">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bookmarkStart w:id="19" w:name="_Toc68364674"/>
      <w:r>
        <w:rPr>
          <w:rFonts w:hint="eastAsia" w:ascii="宋体" w:hAnsi="宋体" w:eastAsia="宋体" w:cs="宋体"/>
          <w:b w:val="0"/>
          <w:bCs w:val="0"/>
          <w:color w:val="auto"/>
          <w:sz w:val="24"/>
          <w:szCs w:val="24"/>
          <w:highlight w:val="none"/>
          <w:lang w:val="en-US" w:eastAsia="zh-CN"/>
        </w:rPr>
        <w:t>1.项目实施后，将实现项目区内农牧民生活环境质量明显改善，使项目区水土流失得到有效治理。</w:t>
      </w:r>
    </w:p>
    <w:p w14:paraId="3371049E">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2.社会效益、生态效益和环境效益显著，项目在改善农牧民生活环境质量的同时，注重生态保护和环境建设，具有显著的社会、生态和环境效益。</w:t>
      </w:r>
    </w:p>
    <w:p w14:paraId="6B19767A">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精心规划，确保项目布局合理、高效运作；严格选材，确保建设质量；强化监管，确保项目进度与质量；注重技术创新，推动水利事业现代化进程。</w:t>
      </w:r>
    </w:p>
    <w:p w14:paraId="3939CEDF">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通过本项目的实施，为我国水利发展贡献一份力量。</w:t>
      </w:r>
    </w:p>
    <w:p w14:paraId="1F2BDCB3">
      <w:pPr>
        <w:pStyle w:val="1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（二）存在问题及原因分析</w:t>
      </w:r>
      <w:bookmarkEnd w:id="19"/>
    </w:p>
    <w:p w14:paraId="7C12978E">
      <w:pPr>
        <w:pStyle w:val="17"/>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1.在施工过程中，由于高速公路两侧长时间通车，两侧道路崎岖，进场施工困难，为确保项目顺利进行，修建临时道路，导致前期进度缓慢，同时也体现了我们对法律法规的严格遵守。建设项目在数量指标上取得了良好的完成度，尽管存在一定偏差，但整体推进符合项目目标和法律法规要求。</w:t>
      </w:r>
    </w:p>
    <w:p w14:paraId="167E0869">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各项指标和指标值要进一步优化、完善，主要在细化、量化上改进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部门</w:t>
      </w:r>
      <w:r>
        <w:rPr>
          <w:rFonts w:hint="eastAsia" w:ascii="宋体" w:hAnsi="宋体" w:eastAsia="宋体" w:cs="宋体"/>
          <w:color w:val="auto"/>
          <w:sz w:val="24"/>
          <w:szCs w:val="24"/>
          <w:highlight w:val="none"/>
        </w:rPr>
        <w:t>评价工作还存在自我审定的局限性，会影响评价质量，容易造成问题的疏漏，在客观性和公正性上说服力不强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现场评价的工作量少，后续效益评价具体措施和方法较少。</w:t>
      </w:r>
    </w:p>
    <w:p w14:paraId="548C32A3">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bookmarkStart w:id="20" w:name="_Toc68364675"/>
    </w:p>
    <w:p w14:paraId="4A1DC3BD">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val="0"/>
          <w:bCs w:val="0"/>
          <w:color w:val="auto"/>
          <w:sz w:val="24"/>
          <w:szCs w:val="24"/>
          <w:highlight w:val="none"/>
        </w:rPr>
      </w:pPr>
      <w:r>
        <w:rPr>
          <w:rFonts w:hint="eastAsia" w:ascii="黑体" w:hAnsi="黑体" w:eastAsia="黑体" w:cs="黑体"/>
          <w:color w:val="auto"/>
          <w:sz w:val="24"/>
          <w:szCs w:val="24"/>
          <w:highlight w:val="none"/>
        </w:rPr>
        <w:t>七、有关建议</w:t>
      </w:r>
      <w:bookmarkEnd w:id="20"/>
    </w:p>
    <w:p w14:paraId="1ECDFC35">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1" w:name="_Toc68364676"/>
      <w:r>
        <w:rPr>
          <w:rFonts w:hint="eastAsia" w:ascii="宋体" w:hAnsi="宋体" w:eastAsia="宋体" w:cs="宋体"/>
          <w:b w:val="0"/>
          <w:bCs w:val="0"/>
          <w:color w:val="auto"/>
          <w:kern w:val="0"/>
          <w:sz w:val="24"/>
          <w:szCs w:val="24"/>
          <w:highlight w:val="none"/>
          <w:lang w:val="en-US" w:eastAsia="zh-CN" w:bidi="ar-SA"/>
        </w:rPr>
        <w:t>1.项目建设的程序进一步规范。项目前期</w:t>
      </w:r>
      <w:r>
        <w:rPr>
          <w:rFonts w:hint="eastAsia" w:ascii="宋体" w:hAnsi="宋体" w:eastAsia="宋体" w:cs="宋体"/>
          <w:color w:val="auto"/>
          <w:sz w:val="24"/>
          <w:szCs w:val="24"/>
          <w:highlight w:val="none"/>
        </w:rPr>
        <w:t>做好可行性研究报告，更加细化实施方案，严格执行资金管理办法和财政资金管理制度，严格按照项目实施方案、招投标管理办法等稳步推进工作，各部门单位根据自己项目的特点进行总结。</w:t>
      </w:r>
    </w:p>
    <w:p w14:paraId="69BF4B3D">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2.项目评价资料有待进一步完善。项目启动时同步做好档案的归纳与整理，及时整理、收集、汇总，健全档案资料。项目后续管理有待进一步加强和跟踪。</w:t>
      </w:r>
    </w:p>
    <w:p w14:paraId="4A72D2FD">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3.通过绩效管理，发现实施中存在漏洞，以后加强管理，及时掌握与之相关的各类信息，减少成本，使资金效益最大化。</w:t>
      </w:r>
    </w:p>
    <w:p w14:paraId="57595200">
      <w:pPr>
        <w:pStyle w:val="1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4．评价工作应从项目实施方案源头抓起，评价工作和意识应贯穿项目整个过程。</w:t>
      </w:r>
    </w:p>
    <w:p w14:paraId="722E4B04">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p>
    <w:p w14:paraId="01C483C7">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八、其他需要说明的问题</w:t>
      </w:r>
      <w:bookmarkEnd w:id="21"/>
    </w:p>
    <w:p w14:paraId="41762073">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我单位对上述项目支出绩效评价报告内反映内容的真实性、完整性负责，</w:t>
      </w:r>
      <w:r>
        <w:rPr>
          <w:rFonts w:hint="eastAsia" w:ascii="宋体" w:hAnsi="宋体" w:eastAsia="宋体" w:cs="宋体"/>
          <w:color w:val="auto"/>
          <w:sz w:val="24"/>
          <w:szCs w:val="24"/>
          <w:highlight w:val="none"/>
          <w:lang w:val="en-US" w:eastAsia="zh-CN"/>
        </w:rPr>
        <w:t>愿</w:t>
      </w:r>
      <w:r>
        <w:rPr>
          <w:rFonts w:hint="eastAsia" w:ascii="宋体" w:hAnsi="宋体" w:eastAsia="宋体" w:cs="宋体"/>
          <w:color w:val="auto"/>
          <w:sz w:val="24"/>
          <w:szCs w:val="24"/>
          <w:highlight w:val="none"/>
        </w:rPr>
        <w:t>接受上级部门及社会公众监督。</w:t>
      </w:r>
    </w:p>
    <w:p w14:paraId="09C91A8A">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附件1：洛浦县（山普鲁镇）2024年水土保持重点治理工程绩效评价指标体系</w:t>
      </w:r>
    </w:p>
    <w:p w14:paraId="695A1B05">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附件2：洛浦县（山普鲁镇）2024年水土保持重点治理工程综合得分表</w:t>
      </w:r>
    </w:p>
    <w:p w14:paraId="5A01C539">
      <w:pPr>
        <w:pStyle w:val="1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附件3：满意度调查问分析情况</w:t>
      </w:r>
    </w:p>
    <w:p w14:paraId="1E482964">
      <w:pPr>
        <w:pStyle w:val="7"/>
        <w:ind w:left="0" w:leftChars="0" w:firstLine="0" w:firstLineChars="0"/>
        <w:jc w:val="both"/>
        <w:rPr>
          <w:rFonts w:hint="eastAsia" w:ascii="宋体" w:hAnsi="宋体" w:eastAsia="宋体" w:cs="宋体"/>
          <w:color w:val="auto"/>
          <w:sz w:val="24"/>
          <w:szCs w:val="24"/>
          <w:highlight w:val="yellow"/>
        </w:rPr>
      </w:pPr>
    </w:p>
    <w:p w14:paraId="166F410A">
      <w:pPr>
        <w:pStyle w:val="7"/>
        <w:ind w:left="0" w:leftChars="0" w:firstLine="0" w:firstLineChars="0"/>
        <w:jc w:val="both"/>
        <w:rPr>
          <w:rFonts w:hint="eastAsia" w:ascii="宋体" w:hAnsi="宋体" w:eastAsia="宋体" w:cs="宋体"/>
          <w:color w:val="auto"/>
          <w:sz w:val="24"/>
          <w:szCs w:val="24"/>
          <w:highlight w:val="yellow"/>
        </w:rPr>
        <w:sectPr>
          <w:footerReference r:id="rId7" w:type="default"/>
          <w:pgSz w:w="11906" w:h="16838"/>
          <w:pgMar w:top="1984" w:right="1531" w:bottom="1814" w:left="1531" w:header="851" w:footer="992" w:gutter="0"/>
          <w:pgNumType w:fmt="decimal" w:start="1"/>
          <w:cols w:space="720" w:num="1"/>
          <w:docGrid w:type="linesAndChars" w:linePitch="386" w:charSpace="0"/>
        </w:sectPr>
      </w:pPr>
    </w:p>
    <w:tbl>
      <w:tblPr>
        <w:tblStyle w:val="10"/>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8"/>
        <w:gridCol w:w="1229"/>
        <w:gridCol w:w="764"/>
        <w:gridCol w:w="1304"/>
        <w:gridCol w:w="753"/>
        <w:gridCol w:w="664"/>
        <w:gridCol w:w="1607"/>
        <w:gridCol w:w="1286"/>
        <w:gridCol w:w="1313"/>
        <w:gridCol w:w="1816"/>
        <w:gridCol w:w="985"/>
        <w:gridCol w:w="796"/>
      </w:tblGrid>
      <w:tr w14:paraId="4F420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shd w:val="clear" w:color="auto" w:fill="auto"/>
            <w:noWrap/>
            <w:vAlign w:val="center"/>
          </w:tcPr>
          <w:p w14:paraId="77DF65D6">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r>
      <w:tr w14:paraId="24EAA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trPr>
        <w:tc>
          <w:tcPr>
            <w:tcW w:w="5000" w:type="pct"/>
            <w:gridSpan w:val="12"/>
            <w:tcBorders>
              <w:top w:val="nil"/>
              <w:left w:val="nil"/>
              <w:bottom w:val="nil"/>
              <w:right w:val="nil"/>
            </w:tcBorders>
            <w:shd w:val="clear" w:color="auto" w:fill="auto"/>
            <w:vAlign w:val="center"/>
          </w:tcPr>
          <w:p w14:paraId="22D502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洛浦县（山普鲁镇）2024年水土保持重点治理工程</w:t>
            </w:r>
            <w:r>
              <w:rPr>
                <w:rStyle w:val="19"/>
                <w:lang w:val="en-US" w:eastAsia="zh-CN"/>
              </w:rPr>
              <w:t>绩效评价指标体系综合评分表</w:t>
            </w:r>
          </w:p>
        </w:tc>
      </w:tr>
      <w:tr w14:paraId="0CB6D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13" w:type="pct"/>
            <w:tcBorders>
              <w:top w:val="single" w:color="auto" w:sz="8" w:space="0"/>
              <w:left w:val="single" w:color="auto" w:sz="8" w:space="0"/>
              <w:bottom w:val="single" w:color="auto" w:sz="8" w:space="0"/>
              <w:right w:val="nil"/>
            </w:tcBorders>
            <w:shd w:val="clear" w:color="auto" w:fill="auto"/>
            <w:vAlign w:val="center"/>
          </w:tcPr>
          <w:p w14:paraId="30AEC5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460" w:type="pct"/>
            <w:tcBorders>
              <w:top w:val="single" w:color="auto" w:sz="4" w:space="0"/>
              <w:left w:val="single" w:color="auto" w:sz="4" w:space="0"/>
              <w:bottom w:val="single" w:color="auto" w:sz="4" w:space="0"/>
              <w:right w:val="single" w:color="auto" w:sz="4" w:space="0"/>
            </w:tcBorders>
            <w:shd w:val="clear" w:color="auto" w:fill="auto"/>
            <w:vAlign w:val="center"/>
          </w:tcPr>
          <w:p w14:paraId="7165F5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7B8301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14:paraId="4403C8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7507DA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0F5FA0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6DD529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E7371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526D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4F3A14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656CF1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6D657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313" w:type="pct"/>
            <w:vMerge w:val="restart"/>
            <w:tcBorders>
              <w:top w:val="nil"/>
              <w:left w:val="single" w:color="auto" w:sz="8" w:space="0"/>
              <w:bottom w:val="single" w:color="auto" w:sz="8" w:space="0"/>
              <w:right w:val="nil"/>
            </w:tcBorders>
            <w:shd w:val="clear" w:color="auto" w:fill="auto"/>
            <w:vAlign w:val="center"/>
          </w:tcPr>
          <w:p w14:paraId="0DC398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46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46F3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7C33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193B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5E5533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684833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2F7C53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C11C3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4384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以上每条要素占权重分的20%，每有一条不符合，扣除对应权重分，扣完为止。</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269DE5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4B29EF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540D3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313" w:type="pct"/>
            <w:vMerge w:val="continue"/>
            <w:tcBorders>
              <w:top w:val="nil"/>
              <w:left w:val="single" w:color="auto" w:sz="8" w:space="0"/>
              <w:bottom w:val="single" w:color="auto" w:sz="8" w:space="0"/>
              <w:right w:val="nil"/>
            </w:tcBorders>
            <w:shd w:val="clear" w:color="auto" w:fill="auto"/>
            <w:vAlign w:val="center"/>
          </w:tcPr>
          <w:p w14:paraId="3CF954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56D4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1763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1667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2A794C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1F3F87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4E6327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B4CA1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17EF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项目是否按照规定的程序申请设立；②审批文件、材料是否符合相关要求；③事前是否已经过必要的可行性研究、专家论证、风险评估、绩效评估、集体决策。①②③齐全得权重分的100%，缺①扣权重分的40%，缺②扣权重分的30%，缺③扣权重分的30%。</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1CD27F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64443D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7A40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2A4473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B9F7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5B53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1C0B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32B8DE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10AC06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347C5B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8380C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09B1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项目是否有绩效目标；②项目绩效目标与实际工作内容是否具有相关性；③项目预期产出效益和效果是否符合正常的业绩水平；④是否与预算确定的项目投资额或资金量相匹配。以上每条要素各占权重的25%，每有一条不符合，扣除对应的权重分，扣完为止。</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62EC89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69BAEC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04D31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5F44FA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7F29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0CC2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B6F4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1BB108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578921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678AE8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4F6E3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58BD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②是否通过清晰、可衡量的指标值予以体现；③是否与项目目标任务数或计划数相对应。①②③齐全得权重分的100%，缺①扣权重分的20%，缺②扣权重分的50%，缺③扣权重分的30%。</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0E136F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42CB97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A4AA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5" w:hRule="atLeast"/>
        </w:trPr>
        <w:tc>
          <w:tcPr>
            <w:tcW w:w="313" w:type="pct"/>
            <w:vMerge w:val="continue"/>
            <w:tcBorders>
              <w:top w:val="nil"/>
              <w:left w:val="single" w:color="auto" w:sz="8" w:space="0"/>
              <w:bottom w:val="single" w:color="auto" w:sz="8" w:space="0"/>
              <w:right w:val="nil"/>
            </w:tcBorders>
            <w:shd w:val="clear" w:color="auto" w:fill="auto"/>
            <w:vAlign w:val="center"/>
          </w:tcPr>
          <w:p w14:paraId="1AFB97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7E6A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48E0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24D0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6C152D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6F7284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021566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28244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E971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预算编制是否经过科学论证；②预算内容与项目内容是否匹配；③预算额度测算依据是否充分，是否按照标准编制；④预算确定的项目投资额或资金量是否与工作任务相匹配。以上每条要素各占权重的25%，每有一条不符合，扣除对应的权重分，扣完为止。</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2FDA6D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2AF79D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1C5A6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2" w:hRule="atLeast"/>
        </w:trPr>
        <w:tc>
          <w:tcPr>
            <w:tcW w:w="313" w:type="pct"/>
            <w:vMerge w:val="continue"/>
            <w:tcBorders>
              <w:top w:val="nil"/>
              <w:left w:val="single" w:color="auto" w:sz="8" w:space="0"/>
              <w:bottom w:val="single" w:color="auto" w:sz="8" w:space="0"/>
              <w:right w:val="nil"/>
            </w:tcBorders>
            <w:shd w:val="clear" w:color="auto" w:fill="auto"/>
            <w:vAlign w:val="center"/>
          </w:tcPr>
          <w:p w14:paraId="58D0B7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D259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FC5C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AD8D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4EF123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02E14B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0BB40C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8E12B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E0F0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①预算资金分配依据是否充分；②资金分配额度是否合理，与项目单位或地方实际是否相适应。以上每条要素各占权重的50%，每有一条不符合，扣除对应的权重分，扣完为止。</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5775D9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1E8C86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65946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2" w:hRule="atLeast"/>
        </w:trPr>
        <w:tc>
          <w:tcPr>
            <w:tcW w:w="313" w:type="pct"/>
            <w:vMerge w:val="restart"/>
            <w:tcBorders>
              <w:top w:val="nil"/>
              <w:left w:val="single" w:color="auto" w:sz="8" w:space="0"/>
              <w:bottom w:val="single" w:color="auto" w:sz="8" w:space="0"/>
              <w:right w:val="nil"/>
            </w:tcBorders>
            <w:shd w:val="clear" w:color="auto" w:fill="auto"/>
            <w:vAlign w:val="center"/>
          </w:tcPr>
          <w:p w14:paraId="7BECBD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46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6C08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E693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870C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266A70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4CA53B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29EFF2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86FDC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F78E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资金到位率=（实际到位资金/预算资金）×100%。资金到位率=100%，得权重分满分，每降低1%，扣除5%权重分，扣完为止。</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799568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46A8A6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r>
      <w:tr w14:paraId="60D2E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6" w:hRule="atLeast"/>
        </w:trPr>
        <w:tc>
          <w:tcPr>
            <w:tcW w:w="313" w:type="pct"/>
            <w:vMerge w:val="continue"/>
            <w:tcBorders>
              <w:top w:val="nil"/>
              <w:left w:val="single" w:color="auto" w:sz="8" w:space="0"/>
              <w:bottom w:val="single" w:color="auto" w:sz="8" w:space="0"/>
              <w:right w:val="nil"/>
            </w:tcBorders>
            <w:shd w:val="clear" w:color="auto" w:fill="auto"/>
            <w:vAlign w:val="center"/>
          </w:tcPr>
          <w:p w14:paraId="36C6D1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AACB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332A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A504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367EAA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21A395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42C5AA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8E0F8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862B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预算执行率=（实际支出资金/实际到位资金）×100%。预算执行率=100%，得权重分满分；若预算执行率＜100%，得分=预算执行率*分值；若执行率≤60%，则不得分。</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3E0F80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87.25%</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363822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1.75 </w:t>
            </w:r>
          </w:p>
        </w:tc>
      </w:tr>
      <w:tr w14:paraId="43EA5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4BE602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CCE0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6C6E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C2A5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7E6D53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181266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65C083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2F1927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EB1B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②资金的拨付是否有完整的审批程序和手续；③是否符合项目预算批复或合同规定的用途；④是否存在截留、挤占、挪用、虚列支出等情况。以上每条指标各占权重分的25%，要素①②不符合，扣除对应权重分；要素③④不符合属于重大违纪，该指标不得分。</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0C05D3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46E545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1EB1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9" w:hRule="atLeast"/>
        </w:trPr>
        <w:tc>
          <w:tcPr>
            <w:tcW w:w="313" w:type="pct"/>
            <w:vMerge w:val="continue"/>
            <w:tcBorders>
              <w:top w:val="nil"/>
              <w:left w:val="single" w:color="auto" w:sz="8" w:space="0"/>
              <w:bottom w:val="single" w:color="auto" w:sz="8" w:space="0"/>
              <w:right w:val="nil"/>
            </w:tcBorders>
            <w:shd w:val="clear" w:color="auto" w:fill="auto"/>
            <w:vAlign w:val="center"/>
          </w:tcPr>
          <w:p w14:paraId="494499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AB93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8D68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F2DF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7AB870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7FF004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6C9E5F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2173DB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D2B5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①是否已制定或具有相应的财务和业务管理制度；②财务和业务管理制度是否合法、合规、完整。以上每条要素各占权重的50%，每有一条不符合，扣除对应的权重分，扣完为止。</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26CC8A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0E25F6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8D3B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313" w:type="pct"/>
            <w:vMerge w:val="continue"/>
            <w:tcBorders>
              <w:top w:val="nil"/>
              <w:left w:val="single" w:color="auto" w:sz="8" w:space="0"/>
              <w:bottom w:val="single" w:color="auto" w:sz="8" w:space="0"/>
              <w:right w:val="nil"/>
            </w:tcBorders>
            <w:shd w:val="clear" w:color="auto" w:fill="auto"/>
            <w:vAlign w:val="center"/>
          </w:tcPr>
          <w:p w14:paraId="453C62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58F8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4C23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E5BB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4B0A6A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396DD6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424949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B7FDD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B9A4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①否遵守相关法律法规和相关管理规定；②项目调整及支出调整手续是否完备；③项目资料是否齐全并及时归档。①②③齐全得权重分的100%，缺①扣权重分的30%，缺②扣权重分的40%，缺③扣权重分的30%。</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66A5AA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31F3F6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FC69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restart"/>
            <w:tcBorders>
              <w:top w:val="nil"/>
              <w:left w:val="single" w:color="auto" w:sz="8" w:space="0"/>
              <w:bottom w:val="single" w:color="auto" w:sz="8" w:space="0"/>
              <w:right w:val="nil"/>
            </w:tcBorders>
            <w:shd w:val="clear" w:color="auto" w:fill="auto"/>
            <w:vAlign w:val="center"/>
          </w:tcPr>
          <w:p w14:paraId="48A69E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46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1BBC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2C48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A6C7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53CE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02FECF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6F7A10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工程治理面积</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2E1678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≥2650.73hm²</w:t>
            </w:r>
          </w:p>
        </w:tc>
        <w:tc>
          <w:tcPr>
            <w:tcW w:w="117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9A36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①实际完成率≥100%，且偏离程度＜20%，得满分；②实际完成率≥100%，偏离程度≥20%，得0分；③实际完成率×100%＜100%，得分=实际完成率×指标分值。若指标达到标杆值，则得100%权重分；否则，得分=（实际完成/预期完成）×100%×指标分值。若指标完成值达到标杆值，则得100%权重分；否则，不得分。</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7D20B6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≥2650.73hm²</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6FCF95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378DF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091D43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47B0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9BDC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5301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6F94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0B77BC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086DA4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封禁治理面积</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20D55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≥2320.59hm²</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948B5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7651F7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≥2320.59hm²</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554FB1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7FA7B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3C559E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DC81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7AC6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2802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7382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530EFE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15E60B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配套滴灌工程</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1ACC2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≥330.14hm²</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183B6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09129F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≥330.14hm²</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6C1D70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769E8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593DB0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3329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85A7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60F1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1D33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6EF68A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5F9033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宣传牌</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A92AD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16块</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454F6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0338F9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16块</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0024F1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56364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1625FD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83DC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41D71F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14:paraId="33EE58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483851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5E7607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1B4AC1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工程验收合格率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DEC3E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0A16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若指标达到标杆值，则得100%权重分；否则，得分=（实际完成/预期完成）×100%×指标分值。若指标完成值达到标杆值，则得100%权重分；否则，不得分。</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758B9F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2FEB10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45172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6EB5AA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9BBC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CA4E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3AFC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93A9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1B58B8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7569DB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项目开工时间</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7A349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2024年4月</w:t>
            </w:r>
          </w:p>
        </w:tc>
        <w:tc>
          <w:tcPr>
            <w:tcW w:w="117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CFEF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若在规定时间内完成，得100%权重分；若未在规定的时间内完成，得分=（1-未在规定时间内完成工作数/实际完成工作总数）×分值。</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3B6D6A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2024年4月</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426D49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81BE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28F25D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B787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DE1E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7F0B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6B78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248C1C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60F071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项目完工时间</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80340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2024年11月</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4F17B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7A13D2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2024年11月</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28B3CB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3CF82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390592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A6F8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F96E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1FB6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1812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5F2437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3CB321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资金支付及时率</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EBFE8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100.00%</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D96C0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354238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703973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5E04F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059D7C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3183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98D8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BA62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8356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1A6F5C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16A0B8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工程措施</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5CAF7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≤989.34万元</w:t>
            </w:r>
          </w:p>
        </w:tc>
        <w:tc>
          <w:tcPr>
            <w:tcW w:w="117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8433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53E591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=863.24万元</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28E4E8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1.75 </w:t>
            </w:r>
          </w:p>
        </w:tc>
      </w:tr>
      <w:tr w14:paraId="4A324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4F5944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D8D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0433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D460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473D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7DD4D4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71106F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封育治理措施</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1B719C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≤9.61万元</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AE62B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03C0DE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=8.38万元</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10840E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1.74 </w:t>
            </w:r>
          </w:p>
        </w:tc>
      </w:tr>
      <w:tr w14:paraId="4A78B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5E8634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EA33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7BDE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03E3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C074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61F290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70B308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监测措施费</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DDF6B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≤23.68万元</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7CB77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422E2C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=20.66万元</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6D8F5B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1.74 </w:t>
            </w:r>
          </w:p>
        </w:tc>
      </w:tr>
      <w:tr w14:paraId="5BF9E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4028A9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C35E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FB92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7A2B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801D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0254F7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7207C8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独立费用</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3C68D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≤72.61万元</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41DD0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18CFC8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=63.36万元</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5B6BC0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1.75 </w:t>
            </w:r>
          </w:p>
        </w:tc>
      </w:tr>
      <w:tr w14:paraId="2D29A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471656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130D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2A17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B5C0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CB43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4BF044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3B6663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基本预备费</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68E4E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≤54.76万元</w:t>
            </w:r>
          </w:p>
        </w:tc>
        <w:tc>
          <w:tcPr>
            <w:tcW w:w="1171"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E1735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50AD3A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=47.78万元</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4A0DDC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1.75 </w:t>
            </w:r>
          </w:p>
        </w:tc>
      </w:tr>
      <w:tr w14:paraId="2773F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313" w:type="pct"/>
            <w:vMerge w:val="restart"/>
            <w:tcBorders>
              <w:top w:val="nil"/>
              <w:left w:val="single" w:color="auto" w:sz="8" w:space="0"/>
              <w:bottom w:val="single" w:color="auto" w:sz="8" w:space="0"/>
              <w:right w:val="nil"/>
            </w:tcBorders>
            <w:shd w:val="clear" w:color="auto" w:fill="auto"/>
            <w:vAlign w:val="center"/>
          </w:tcPr>
          <w:p w14:paraId="5DB0A8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46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5506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9939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08B0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35A101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3E02FF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066CCF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改善水土流失</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144C3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有效改善</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43DF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3B3A3C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有效改善</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115F06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r>
      <w:tr w14:paraId="41D25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313" w:type="pct"/>
            <w:vMerge w:val="continue"/>
            <w:tcBorders>
              <w:top w:val="nil"/>
              <w:left w:val="single" w:color="auto" w:sz="8" w:space="0"/>
              <w:bottom w:val="single" w:color="auto" w:sz="8" w:space="0"/>
              <w:right w:val="nil"/>
            </w:tcBorders>
            <w:shd w:val="clear" w:color="auto" w:fill="auto"/>
            <w:vAlign w:val="center"/>
          </w:tcPr>
          <w:p w14:paraId="502BD1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9BF6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2773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18F2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71547E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390763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268551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受益低收入人群满意度</w:t>
            </w: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32CE5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r>
              <w:rPr>
                <w:rStyle w:val="20"/>
                <w:lang w:val="en-US" w:eastAsia="zh-CN"/>
              </w:rPr>
              <w:t>95%</w:t>
            </w: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11CD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3AF50C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098370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3DCA5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13" w:type="pct"/>
            <w:tcBorders>
              <w:top w:val="nil"/>
              <w:left w:val="single" w:color="auto" w:sz="8" w:space="0"/>
              <w:bottom w:val="single" w:color="auto" w:sz="8" w:space="0"/>
              <w:right w:val="nil"/>
            </w:tcBorders>
            <w:shd w:val="clear" w:color="auto" w:fill="auto"/>
            <w:vAlign w:val="center"/>
          </w:tcPr>
          <w:p w14:paraId="7DB6A2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460" w:type="pct"/>
            <w:tcBorders>
              <w:top w:val="single" w:color="auto" w:sz="4" w:space="0"/>
              <w:left w:val="single" w:color="auto" w:sz="4" w:space="0"/>
              <w:bottom w:val="single" w:color="auto" w:sz="4" w:space="0"/>
              <w:right w:val="single" w:color="auto" w:sz="4" w:space="0"/>
            </w:tcBorders>
            <w:shd w:val="clear" w:color="auto" w:fill="auto"/>
            <w:vAlign w:val="center"/>
          </w:tcPr>
          <w:p w14:paraId="09C9EC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3A4856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14:paraId="564498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81" w:type="pct"/>
            <w:tcBorders>
              <w:top w:val="single" w:color="auto" w:sz="4" w:space="0"/>
              <w:left w:val="single" w:color="auto" w:sz="4" w:space="0"/>
              <w:bottom w:val="single" w:color="auto" w:sz="4" w:space="0"/>
              <w:right w:val="single" w:color="auto" w:sz="4" w:space="0"/>
            </w:tcBorders>
            <w:shd w:val="clear" w:color="auto" w:fill="auto"/>
            <w:vAlign w:val="center"/>
          </w:tcPr>
          <w:p w14:paraId="5CA3C1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34EF41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01" w:type="pct"/>
            <w:tcBorders>
              <w:top w:val="single" w:color="auto" w:sz="4" w:space="0"/>
              <w:left w:val="single" w:color="auto" w:sz="4" w:space="0"/>
              <w:bottom w:val="single" w:color="auto" w:sz="4" w:space="0"/>
              <w:right w:val="single" w:color="auto" w:sz="4" w:space="0"/>
            </w:tcBorders>
            <w:shd w:val="clear" w:color="auto" w:fill="auto"/>
            <w:vAlign w:val="center"/>
          </w:tcPr>
          <w:p w14:paraId="774934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8A454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1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6AEE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68" w:type="pct"/>
            <w:tcBorders>
              <w:top w:val="single" w:color="auto" w:sz="4" w:space="0"/>
              <w:left w:val="single" w:color="auto" w:sz="4" w:space="0"/>
              <w:bottom w:val="single" w:color="auto" w:sz="4" w:space="0"/>
              <w:right w:val="single" w:color="auto" w:sz="4" w:space="0"/>
            </w:tcBorders>
            <w:shd w:val="clear" w:color="auto" w:fill="auto"/>
            <w:vAlign w:val="center"/>
          </w:tcPr>
          <w:p w14:paraId="7BDF649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98" w:type="pct"/>
            <w:tcBorders>
              <w:top w:val="single" w:color="auto" w:sz="4" w:space="0"/>
              <w:left w:val="single" w:color="auto" w:sz="4" w:space="0"/>
              <w:bottom w:val="single" w:color="auto" w:sz="4" w:space="0"/>
              <w:right w:val="single" w:color="auto" w:sz="4" w:space="0"/>
            </w:tcBorders>
            <w:shd w:val="clear" w:color="auto" w:fill="auto"/>
            <w:vAlign w:val="center"/>
          </w:tcPr>
          <w:p w14:paraId="47DC79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98.47 </w:t>
            </w:r>
          </w:p>
        </w:tc>
      </w:tr>
      <w:tr w14:paraId="5EA3F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3" w:type="pct"/>
            <w:tcBorders>
              <w:top w:val="nil"/>
              <w:left w:val="nil"/>
              <w:bottom w:val="nil"/>
              <w:right w:val="nil"/>
            </w:tcBorders>
            <w:shd w:val="clear" w:color="auto" w:fill="auto"/>
            <w:noWrap/>
            <w:vAlign w:val="center"/>
          </w:tcPr>
          <w:p w14:paraId="2F80033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460" w:type="pct"/>
            <w:tcBorders>
              <w:top w:val="nil"/>
              <w:left w:val="nil"/>
              <w:bottom w:val="nil"/>
              <w:right w:val="nil"/>
            </w:tcBorders>
            <w:shd w:val="clear" w:color="auto" w:fill="auto"/>
            <w:noWrap/>
            <w:vAlign w:val="center"/>
          </w:tcPr>
          <w:p w14:paraId="67456A9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286" w:type="pct"/>
            <w:tcBorders>
              <w:top w:val="nil"/>
              <w:left w:val="nil"/>
              <w:bottom w:val="nil"/>
              <w:right w:val="nil"/>
            </w:tcBorders>
            <w:shd w:val="clear" w:color="auto" w:fill="auto"/>
            <w:noWrap/>
            <w:vAlign w:val="center"/>
          </w:tcPr>
          <w:p w14:paraId="52C2095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488" w:type="pct"/>
            <w:tcBorders>
              <w:top w:val="nil"/>
              <w:left w:val="nil"/>
              <w:bottom w:val="nil"/>
              <w:right w:val="nil"/>
            </w:tcBorders>
            <w:shd w:val="clear" w:color="auto" w:fill="auto"/>
            <w:noWrap/>
            <w:vAlign w:val="center"/>
          </w:tcPr>
          <w:p w14:paraId="3685E60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281" w:type="pct"/>
            <w:tcBorders>
              <w:top w:val="nil"/>
              <w:left w:val="nil"/>
              <w:bottom w:val="nil"/>
              <w:right w:val="nil"/>
            </w:tcBorders>
            <w:shd w:val="clear" w:color="auto" w:fill="auto"/>
            <w:noWrap/>
            <w:vAlign w:val="center"/>
          </w:tcPr>
          <w:p w14:paraId="275E638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248" w:type="pct"/>
            <w:tcBorders>
              <w:top w:val="nil"/>
              <w:left w:val="nil"/>
              <w:bottom w:val="nil"/>
              <w:right w:val="nil"/>
            </w:tcBorders>
            <w:shd w:val="clear" w:color="auto" w:fill="auto"/>
            <w:noWrap/>
            <w:vAlign w:val="center"/>
          </w:tcPr>
          <w:p w14:paraId="676F57B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601" w:type="pct"/>
            <w:tcBorders>
              <w:top w:val="nil"/>
              <w:left w:val="nil"/>
              <w:bottom w:val="nil"/>
              <w:right w:val="nil"/>
            </w:tcBorders>
            <w:shd w:val="clear" w:color="auto" w:fill="auto"/>
            <w:noWrap/>
            <w:vAlign w:val="center"/>
          </w:tcPr>
          <w:p w14:paraId="68066E74">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481" w:type="pct"/>
            <w:tcBorders>
              <w:top w:val="nil"/>
              <w:left w:val="nil"/>
              <w:bottom w:val="nil"/>
              <w:right w:val="nil"/>
            </w:tcBorders>
            <w:shd w:val="clear" w:color="auto" w:fill="auto"/>
            <w:noWrap/>
            <w:vAlign w:val="center"/>
          </w:tcPr>
          <w:p w14:paraId="2E4678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2"/>
                <w:szCs w:val="22"/>
                <w:u w:val="none"/>
              </w:rPr>
            </w:pPr>
          </w:p>
        </w:tc>
        <w:tc>
          <w:tcPr>
            <w:tcW w:w="491" w:type="pct"/>
            <w:tcBorders>
              <w:top w:val="nil"/>
              <w:left w:val="nil"/>
              <w:bottom w:val="nil"/>
              <w:right w:val="nil"/>
            </w:tcBorders>
            <w:shd w:val="clear" w:color="auto" w:fill="auto"/>
            <w:noWrap/>
            <w:vAlign w:val="center"/>
          </w:tcPr>
          <w:p w14:paraId="57765837">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679" w:type="pct"/>
            <w:tcBorders>
              <w:top w:val="nil"/>
              <w:left w:val="nil"/>
              <w:bottom w:val="nil"/>
              <w:right w:val="nil"/>
            </w:tcBorders>
            <w:shd w:val="clear" w:color="auto" w:fill="auto"/>
            <w:noWrap/>
            <w:vAlign w:val="center"/>
          </w:tcPr>
          <w:p w14:paraId="6CE13AF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c>
          <w:tcPr>
            <w:tcW w:w="368" w:type="pct"/>
            <w:tcBorders>
              <w:top w:val="nil"/>
              <w:left w:val="nil"/>
              <w:bottom w:val="nil"/>
              <w:right w:val="nil"/>
            </w:tcBorders>
            <w:shd w:val="clear" w:color="auto" w:fill="auto"/>
            <w:noWrap/>
            <w:vAlign w:val="center"/>
          </w:tcPr>
          <w:p w14:paraId="2E14FE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2"/>
                <w:szCs w:val="22"/>
                <w:u w:val="none"/>
              </w:rPr>
            </w:pPr>
          </w:p>
        </w:tc>
        <w:tc>
          <w:tcPr>
            <w:tcW w:w="298" w:type="pct"/>
            <w:tcBorders>
              <w:top w:val="nil"/>
              <w:left w:val="nil"/>
              <w:bottom w:val="nil"/>
              <w:right w:val="nil"/>
            </w:tcBorders>
            <w:shd w:val="clear" w:color="auto" w:fill="auto"/>
            <w:noWrap/>
            <w:vAlign w:val="center"/>
          </w:tcPr>
          <w:p w14:paraId="0D211BD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2"/>
                <w:szCs w:val="22"/>
                <w:u w:val="none"/>
              </w:rPr>
            </w:pPr>
          </w:p>
        </w:tc>
      </w:tr>
    </w:tbl>
    <w:p w14:paraId="6BA93D2B">
      <w:pPr>
        <w:pStyle w:val="7"/>
        <w:ind w:left="0" w:leftChars="0" w:firstLine="0" w:firstLineChars="0"/>
        <w:jc w:val="both"/>
        <w:rPr>
          <w:rFonts w:hint="eastAsia" w:ascii="宋体" w:hAnsi="宋体" w:eastAsia="宋体" w:cs="宋体"/>
          <w:color w:val="auto"/>
          <w:sz w:val="21"/>
          <w:szCs w:val="21"/>
          <w:highlight w:val="yellow"/>
          <w:lang w:eastAsia="zh-CN"/>
        </w:rPr>
      </w:pPr>
    </w:p>
    <w:p w14:paraId="71C79A9C">
      <w:pPr>
        <w:pStyle w:val="7"/>
        <w:ind w:left="0" w:leftChars="0" w:firstLine="0" w:firstLineChars="0"/>
        <w:jc w:val="both"/>
        <w:rPr>
          <w:rFonts w:hint="eastAsia" w:ascii="宋体" w:hAnsi="宋体" w:eastAsia="宋体" w:cs="宋体"/>
          <w:color w:val="auto"/>
          <w:sz w:val="21"/>
          <w:szCs w:val="21"/>
          <w:highlight w:val="yellow"/>
          <w:lang w:eastAsia="zh-CN"/>
        </w:rPr>
      </w:pPr>
    </w:p>
    <w:p w14:paraId="39668413">
      <w:pPr>
        <w:pStyle w:val="7"/>
        <w:ind w:left="0" w:leftChars="0" w:firstLine="0" w:firstLineChars="0"/>
        <w:jc w:val="both"/>
        <w:rPr>
          <w:rFonts w:hint="eastAsia" w:ascii="宋体" w:hAnsi="宋体" w:eastAsia="宋体" w:cs="宋体"/>
          <w:color w:val="auto"/>
          <w:sz w:val="21"/>
          <w:szCs w:val="21"/>
          <w:highlight w:val="yellow"/>
          <w:lang w:eastAsia="zh-CN"/>
        </w:rPr>
      </w:pPr>
    </w:p>
    <w:p w14:paraId="403F54A6">
      <w:pPr>
        <w:pStyle w:val="7"/>
        <w:ind w:left="0" w:leftChars="0" w:firstLine="0" w:firstLineChars="0"/>
        <w:jc w:val="both"/>
        <w:rPr>
          <w:rFonts w:hint="eastAsia" w:ascii="宋体" w:hAnsi="宋体" w:eastAsia="宋体" w:cs="宋体"/>
          <w:color w:val="auto"/>
          <w:sz w:val="21"/>
          <w:szCs w:val="21"/>
          <w:highlight w:val="yellow"/>
          <w:lang w:eastAsia="zh-CN"/>
        </w:rPr>
      </w:pPr>
    </w:p>
    <w:p w14:paraId="5D6701A5">
      <w:pPr>
        <w:pStyle w:val="7"/>
        <w:ind w:left="0" w:leftChars="0" w:firstLine="0" w:firstLineChars="0"/>
        <w:jc w:val="both"/>
        <w:rPr>
          <w:rFonts w:hint="eastAsia" w:ascii="宋体" w:hAnsi="宋体" w:eastAsia="宋体" w:cs="宋体"/>
          <w:color w:val="auto"/>
          <w:sz w:val="21"/>
          <w:szCs w:val="21"/>
          <w:highlight w:val="yellow"/>
          <w:lang w:eastAsia="zh-CN"/>
        </w:rPr>
      </w:pPr>
    </w:p>
    <w:p w14:paraId="5FA96A5F">
      <w:pPr>
        <w:pStyle w:val="7"/>
        <w:ind w:left="0" w:leftChars="0" w:firstLine="0" w:firstLineChars="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附件2：</w:t>
      </w:r>
    </w:p>
    <w:tbl>
      <w:tblPr>
        <w:tblStyle w:val="10"/>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66B03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326B2AD5">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洛浦县（山普鲁镇）2024年水土保持重点治理工程综合得分表</w:t>
            </w:r>
          </w:p>
        </w:tc>
      </w:tr>
      <w:tr w14:paraId="19E47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E139817">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60F1986">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11A272">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436FD2">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70A49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826A3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合计</w:t>
            </w:r>
          </w:p>
        </w:tc>
      </w:tr>
      <w:tr w14:paraId="471BC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5350D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758592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BF003F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7392BE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188997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12E3D8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100.00</w:t>
            </w:r>
          </w:p>
        </w:tc>
      </w:tr>
      <w:tr w14:paraId="73653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A581CE">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28ECD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5DB672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11.745</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1CE1A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38.72</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E1202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D66BE8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98.47</w:t>
            </w:r>
          </w:p>
        </w:tc>
      </w:tr>
      <w:tr w14:paraId="72729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9ACF568">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53C201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2D16B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97.88%</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2194B0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96.8%</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1D94F1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1A704C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98.47%</w:t>
            </w:r>
          </w:p>
        </w:tc>
      </w:tr>
    </w:tbl>
    <w:p w14:paraId="06CC76B7">
      <w:pPr>
        <w:pStyle w:val="7"/>
        <w:ind w:left="0" w:leftChars="0" w:firstLine="0" w:firstLineChars="0"/>
        <w:jc w:val="both"/>
        <w:rPr>
          <w:rFonts w:hint="default" w:ascii="宋体" w:hAnsi="宋体" w:eastAsia="宋体" w:cs="宋体"/>
          <w:color w:val="auto"/>
          <w:sz w:val="24"/>
          <w:szCs w:val="24"/>
          <w:highlight w:val="yellow"/>
          <w:lang w:val="en-US" w:eastAsia="zh-CN"/>
        </w:rPr>
      </w:pPr>
    </w:p>
    <w:p w14:paraId="48364EBE">
      <w:pPr>
        <w:pStyle w:val="7"/>
        <w:ind w:left="0" w:leftChars="0" w:firstLine="0" w:firstLineChars="0"/>
        <w:jc w:val="both"/>
        <w:rPr>
          <w:rFonts w:hint="eastAsia" w:ascii="宋体" w:hAnsi="宋体" w:eastAsia="宋体" w:cs="宋体"/>
          <w:color w:val="auto"/>
          <w:sz w:val="24"/>
          <w:szCs w:val="24"/>
          <w:highlight w:val="yellow"/>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1D6B28B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附件3：</w:t>
      </w:r>
    </w:p>
    <w:p w14:paraId="415B1EE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u w:val="none"/>
          <w:lang w:val="en-US" w:eastAsia="zh-CN"/>
        </w:rPr>
        <w:t>洛浦县（山普鲁镇）2024年水土保持重点治理工程满意度</w:t>
      </w:r>
      <w:r>
        <w:rPr>
          <w:rFonts w:hint="eastAsia" w:asciiTheme="minorEastAsia" w:hAnsiTheme="minorEastAsia" w:eastAsiaTheme="minorEastAsia" w:cstheme="minorEastAsia"/>
          <w:b/>
          <w:bCs/>
          <w:color w:val="auto"/>
          <w:sz w:val="24"/>
          <w:szCs w:val="24"/>
          <w:highlight w:val="none"/>
          <w:u w:val="none"/>
        </w:rPr>
        <w:t>调查问卷</w:t>
      </w:r>
      <w:r>
        <w:rPr>
          <w:rFonts w:hint="eastAsia" w:asciiTheme="minorEastAsia" w:hAnsiTheme="minorEastAsia" w:eastAsiaTheme="minorEastAsia" w:cstheme="minorEastAsia"/>
          <w:b/>
          <w:bCs/>
          <w:color w:val="auto"/>
          <w:sz w:val="24"/>
          <w:szCs w:val="24"/>
          <w:highlight w:val="none"/>
          <w:u w:val="none"/>
          <w:lang w:val="en-US" w:eastAsia="zh-CN"/>
        </w:rPr>
        <w:t>分析报告</w:t>
      </w:r>
    </w:p>
    <w:p w14:paraId="7BB6471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b w:val="0"/>
          <w:bCs w:val="0"/>
          <w:color w:val="auto"/>
          <w:sz w:val="24"/>
          <w:szCs w:val="24"/>
          <w:highlight w:val="none"/>
          <w:u w:val="none"/>
          <w:lang w:eastAsia="zh-CN"/>
        </w:rPr>
      </w:pPr>
      <w:r>
        <w:rPr>
          <w:rFonts w:hint="eastAsia" w:asciiTheme="minorEastAsia" w:hAnsiTheme="minorEastAsia" w:eastAsiaTheme="minorEastAsia" w:cstheme="minorEastAsia"/>
          <w:color w:val="auto"/>
          <w:sz w:val="24"/>
          <w:szCs w:val="24"/>
          <w:highlight w:val="none"/>
          <w:u w:val="none"/>
        </w:rPr>
        <w:t>为客观评价该项目的社会效果，了解</w:t>
      </w:r>
      <w:r>
        <w:rPr>
          <w:rFonts w:hint="eastAsia" w:asciiTheme="minorEastAsia" w:hAnsiTheme="minorEastAsia" w:eastAsiaTheme="minorEastAsia" w:cstheme="minorEastAsia"/>
          <w:color w:val="auto"/>
          <w:sz w:val="24"/>
          <w:szCs w:val="24"/>
          <w:highlight w:val="none"/>
          <w:u w:val="none"/>
          <w:lang w:val="en-US" w:eastAsia="zh-CN"/>
        </w:rPr>
        <w:t>项目受益群体</w:t>
      </w:r>
      <w:r>
        <w:rPr>
          <w:rFonts w:hint="eastAsia" w:asciiTheme="minorEastAsia" w:hAnsiTheme="minorEastAsia" w:eastAsiaTheme="minorEastAsia" w:cstheme="minorEastAsia"/>
          <w:color w:val="auto"/>
          <w:sz w:val="24"/>
          <w:szCs w:val="24"/>
          <w:highlight w:val="none"/>
          <w:u w:val="none"/>
        </w:rPr>
        <w:t>对项目</w:t>
      </w:r>
      <w:r>
        <w:rPr>
          <w:rFonts w:hint="eastAsia" w:asciiTheme="minorEastAsia" w:hAnsiTheme="minorEastAsia" w:eastAsiaTheme="minorEastAsia" w:cstheme="minorEastAsia"/>
          <w:color w:val="auto"/>
          <w:sz w:val="24"/>
          <w:szCs w:val="24"/>
          <w:highlight w:val="none"/>
          <w:u w:val="none"/>
          <w:lang w:val="en-US" w:eastAsia="zh-CN"/>
        </w:rPr>
        <w:t>实施后</w:t>
      </w:r>
      <w:r>
        <w:rPr>
          <w:rFonts w:hint="eastAsia" w:asciiTheme="minorEastAsia" w:hAnsiTheme="minorEastAsia" w:eastAsiaTheme="minorEastAsia" w:cstheme="minorEastAsia"/>
          <w:color w:val="auto"/>
          <w:sz w:val="24"/>
          <w:szCs w:val="24"/>
          <w:highlight w:val="none"/>
          <w:u w:val="none"/>
        </w:rPr>
        <w:t>的</w:t>
      </w:r>
      <w:r>
        <w:rPr>
          <w:rFonts w:hint="eastAsia" w:asciiTheme="minorEastAsia" w:hAnsiTheme="minorEastAsia" w:eastAsiaTheme="minorEastAsia" w:cstheme="minorEastAsia"/>
          <w:color w:val="auto"/>
          <w:sz w:val="24"/>
          <w:szCs w:val="24"/>
          <w:highlight w:val="none"/>
          <w:u w:val="none"/>
          <w:lang w:val="en-US" w:eastAsia="zh-CN"/>
        </w:rPr>
        <w:t>真实</w:t>
      </w:r>
      <w:r>
        <w:rPr>
          <w:rFonts w:hint="eastAsia" w:asciiTheme="minorEastAsia" w:hAnsiTheme="minorEastAsia" w:eastAsiaTheme="minorEastAsia" w:cstheme="minorEastAsia"/>
          <w:color w:val="auto"/>
          <w:sz w:val="24"/>
          <w:szCs w:val="24"/>
          <w:highlight w:val="none"/>
          <w:u w:val="none"/>
        </w:rPr>
        <w:t>评价情况，对本项目</w:t>
      </w:r>
      <w:r>
        <w:rPr>
          <w:rFonts w:hint="eastAsia" w:asciiTheme="minorEastAsia" w:hAnsiTheme="minorEastAsia" w:eastAsiaTheme="minorEastAsia" w:cstheme="minorEastAsia"/>
          <w:color w:val="auto"/>
          <w:sz w:val="24"/>
          <w:szCs w:val="24"/>
          <w:highlight w:val="none"/>
          <w:u w:val="none"/>
          <w:lang w:eastAsia="zh-CN"/>
        </w:rPr>
        <w:t>开展</w:t>
      </w:r>
      <w:r>
        <w:rPr>
          <w:rFonts w:hint="eastAsia" w:asciiTheme="minorEastAsia" w:hAnsiTheme="minorEastAsia" w:eastAsiaTheme="minorEastAsia" w:cstheme="minorEastAsia"/>
          <w:color w:val="auto"/>
          <w:sz w:val="24"/>
          <w:szCs w:val="24"/>
          <w:highlight w:val="none"/>
          <w:u w:val="none"/>
        </w:rPr>
        <w:t>满意度问卷调查。问卷调查工作情况如下。问卷调查工作情况如下：</w:t>
      </w:r>
    </w:p>
    <w:p w14:paraId="196E88F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b/>
          <w:bCs/>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u w:val="none"/>
          <w:lang w:val="en-US" w:eastAsia="zh-CN"/>
        </w:rPr>
        <w:t>一、</w:t>
      </w:r>
      <w:r>
        <w:rPr>
          <w:rFonts w:hint="eastAsia" w:asciiTheme="minorEastAsia" w:hAnsiTheme="minorEastAsia" w:eastAsiaTheme="minorEastAsia" w:cstheme="minorEastAsia"/>
          <w:b/>
          <w:bCs/>
          <w:color w:val="auto"/>
          <w:sz w:val="24"/>
          <w:szCs w:val="24"/>
          <w:highlight w:val="none"/>
          <w:u w:val="none"/>
        </w:rPr>
        <w:t>该问卷调查从202</w:t>
      </w:r>
      <w:r>
        <w:rPr>
          <w:rFonts w:hint="eastAsia" w:asciiTheme="minorEastAsia" w:hAnsiTheme="minorEastAsia" w:eastAsiaTheme="minorEastAsia" w:cstheme="minorEastAsia"/>
          <w:b/>
          <w:bCs/>
          <w:color w:val="auto"/>
          <w:sz w:val="24"/>
          <w:szCs w:val="24"/>
          <w:highlight w:val="none"/>
          <w:u w:val="none"/>
          <w:lang w:val="en-US" w:eastAsia="zh-CN"/>
        </w:rPr>
        <w:t>5</w:t>
      </w:r>
      <w:r>
        <w:rPr>
          <w:rFonts w:hint="eastAsia" w:asciiTheme="minorEastAsia" w:hAnsiTheme="minorEastAsia" w:eastAsiaTheme="minorEastAsia" w:cstheme="minorEastAsia"/>
          <w:b/>
          <w:bCs/>
          <w:color w:val="auto"/>
          <w:sz w:val="24"/>
          <w:szCs w:val="24"/>
          <w:highlight w:val="none"/>
          <w:u w:val="none"/>
        </w:rPr>
        <w:t>年</w:t>
      </w:r>
      <w:r>
        <w:rPr>
          <w:rFonts w:hint="eastAsia" w:asciiTheme="minorEastAsia" w:hAnsiTheme="minorEastAsia" w:eastAsiaTheme="minorEastAsia" w:cstheme="minorEastAsia"/>
          <w:b/>
          <w:bCs/>
          <w:color w:val="auto"/>
          <w:sz w:val="24"/>
          <w:szCs w:val="24"/>
          <w:highlight w:val="none"/>
          <w:u w:val="none"/>
          <w:lang w:val="en-US" w:eastAsia="zh-CN"/>
        </w:rPr>
        <w:t>3</w:t>
      </w:r>
      <w:r>
        <w:rPr>
          <w:rFonts w:hint="eastAsia" w:asciiTheme="minorEastAsia" w:hAnsiTheme="minorEastAsia" w:eastAsiaTheme="minorEastAsia" w:cstheme="minorEastAsia"/>
          <w:b/>
          <w:bCs/>
          <w:color w:val="auto"/>
          <w:sz w:val="24"/>
          <w:szCs w:val="24"/>
          <w:highlight w:val="none"/>
          <w:u w:val="none"/>
        </w:rPr>
        <w:t>月</w:t>
      </w:r>
      <w:r>
        <w:rPr>
          <w:rFonts w:hint="eastAsia" w:asciiTheme="minorEastAsia" w:hAnsiTheme="minorEastAsia" w:eastAsiaTheme="minorEastAsia" w:cstheme="minorEastAsia"/>
          <w:b/>
          <w:bCs/>
          <w:color w:val="auto"/>
          <w:sz w:val="24"/>
          <w:szCs w:val="24"/>
          <w:highlight w:val="none"/>
          <w:u w:val="none"/>
          <w:lang w:val="en-US" w:eastAsia="zh-CN"/>
        </w:rPr>
        <w:t>1</w:t>
      </w:r>
      <w:r>
        <w:rPr>
          <w:rFonts w:hint="eastAsia" w:asciiTheme="minorEastAsia" w:hAnsiTheme="minorEastAsia" w:eastAsiaTheme="minorEastAsia" w:cstheme="minorEastAsia"/>
          <w:b/>
          <w:bCs/>
          <w:color w:val="auto"/>
          <w:sz w:val="24"/>
          <w:szCs w:val="24"/>
          <w:highlight w:val="none"/>
          <w:u w:val="none"/>
        </w:rPr>
        <w:t>日开始至202</w:t>
      </w:r>
      <w:r>
        <w:rPr>
          <w:rFonts w:hint="eastAsia" w:asciiTheme="minorEastAsia" w:hAnsiTheme="minorEastAsia" w:eastAsiaTheme="minorEastAsia" w:cstheme="minorEastAsia"/>
          <w:b/>
          <w:bCs/>
          <w:color w:val="auto"/>
          <w:sz w:val="24"/>
          <w:szCs w:val="24"/>
          <w:highlight w:val="none"/>
          <w:u w:val="none"/>
          <w:lang w:val="en-US" w:eastAsia="zh-CN"/>
        </w:rPr>
        <w:t>5</w:t>
      </w:r>
      <w:r>
        <w:rPr>
          <w:rFonts w:hint="eastAsia" w:asciiTheme="minorEastAsia" w:hAnsiTheme="minorEastAsia" w:eastAsiaTheme="minorEastAsia" w:cstheme="minorEastAsia"/>
          <w:b/>
          <w:bCs/>
          <w:color w:val="auto"/>
          <w:sz w:val="24"/>
          <w:szCs w:val="24"/>
          <w:highlight w:val="none"/>
          <w:u w:val="none"/>
        </w:rPr>
        <w:t>年</w:t>
      </w:r>
      <w:r>
        <w:rPr>
          <w:rFonts w:hint="eastAsia" w:asciiTheme="minorEastAsia" w:hAnsiTheme="minorEastAsia" w:eastAsiaTheme="minorEastAsia" w:cstheme="minorEastAsia"/>
          <w:b/>
          <w:bCs/>
          <w:color w:val="auto"/>
          <w:sz w:val="24"/>
          <w:szCs w:val="24"/>
          <w:highlight w:val="none"/>
          <w:u w:val="none"/>
          <w:lang w:val="en-US" w:eastAsia="zh-CN"/>
        </w:rPr>
        <w:t>3</w:t>
      </w:r>
      <w:r>
        <w:rPr>
          <w:rFonts w:hint="eastAsia" w:asciiTheme="minorEastAsia" w:hAnsiTheme="minorEastAsia" w:eastAsiaTheme="minorEastAsia" w:cstheme="minorEastAsia"/>
          <w:b/>
          <w:bCs/>
          <w:color w:val="auto"/>
          <w:sz w:val="24"/>
          <w:szCs w:val="24"/>
          <w:highlight w:val="none"/>
          <w:u w:val="none"/>
        </w:rPr>
        <w:t>月</w:t>
      </w:r>
      <w:r>
        <w:rPr>
          <w:rFonts w:hint="eastAsia" w:asciiTheme="minorEastAsia" w:hAnsiTheme="minorEastAsia" w:eastAsiaTheme="minorEastAsia" w:cstheme="minorEastAsia"/>
          <w:b/>
          <w:bCs/>
          <w:color w:val="auto"/>
          <w:sz w:val="24"/>
          <w:szCs w:val="24"/>
          <w:highlight w:val="none"/>
          <w:u w:val="none"/>
          <w:lang w:val="en-US" w:eastAsia="zh-CN"/>
        </w:rPr>
        <w:t>31</w:t>
      </w:r>
      <w:r>
        <w:rPr>
          <w:rFonts w:hint="eastAsia" w:asciiTheme="minorEastAsia" w:hAnsiTheme="minorEastAsia" w:eastAsiaTheme="minorEastAsia" w:cstheme="minorEastAsia"/>
          <w:b/>
          <w:bCs/>
          <w:color w:val="auto"/>
          <w:sz w:val="24"/>
          <w:szCs w:val="24"/>
          <w:highlight w:val="none"/>
          <w:u w:val="none"/>
        </w:rPr>
        <w:t>日结束，调查问卷共设置</w:t>
      </w:r>
      <w:r>
        <w:rPr>
          <w:rFonts w:hint="eastAsia" w:asciiTheme="minorEastAsia" w:hAnsiTheme="minorEastAsia" w:eastAsiaTheme="minorEastAsia" w:cstheme="minorEastAsia"/>
          <w:b/>
          <w:bCs/>
          <w:color w:val="auto"/>
          <w:sz w:val="24"/>
          <w:szCs w:val="24"/>
          <w:highlight w:val="none"/>
          <w:u w:val="none"/>
          <w:lang w:val="en-US" w:eastAsia="zh-CN"/>
        </w:rPr>
        <w:t>3</w:t>
      </w:r>
      <w:r>
        <w:rPr>
          <w:rFonts w:hint="eastAsia" w:asciiTheme="minorEastAsia" w:hAnsiTheme="minorEastAsia" w:eastAsiaTheme="minorEastAsia" w:cstheme="minorEastAsia"/>
          <w:b/>
          <w:bCs/>
          <w:color w:val="auto"/>
          <w:sz w:val="24"/>
          <w:szCs w:val="24"/>
          <w:highlight w:val="none"/>
          <w:u w:val="none"/>
        </w:rPr>
        <w:t>道题目。</w:t>
      </w:r>
    </w:p>
    <w:p w14:paraId="33BF877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1.调查对象</w:t>
      </w:r>
    </w:p>
    <w:p w14:paraId="5A6D87A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本次调查的受益对象为农户。</w:t>
      </w:r>
    </w:p>
    <w:p w14:paraId="3478E40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2.调查内容</w:t>
      </w:r>
    </w:p>
    <w:p w14:paraId="50DCEB1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①您对洛浦县（山普鲁镇）2024年水土保持重点治理工程的实施对改善水土流失能力如何?</w:t>
      </w:r>
    </w:p>
    <w:p w14:paraId="3474572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有效改善             改善一般             无效果</w:t>
      </w:r>
    </w:p>
    <w:p w14:paraId="15857B2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？②您对洛浦县（山普鲁镇）2024年水土保持重点治理工程的实施满意程度如何？</w:t>
      </w:r>
    </w:p>
    <w:p w14:paraId="65D58FA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非常满意          满意        一般        不满意</w:t>
      </w:r>
    </w:p>
    <w:p w14:paraId="66536F5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③总的来说，您对目前洛浦县（山普鲁镇）2024年水土保持重点治理工程实施后的整体满意程度如何？</w:t>
      </w:r>
    </w:p>
    <w:p w14:paraId="07D644F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非常满意          满意        一般        不满意</w:t>
      </w:r>
    </w:p>
    <w:p w14:paraId="7376A53F">
      <w:pPr>
        <w:pStyle w:val="7"/>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Theme="minorEastAsia" w:hAnsiTheme="minorEastAsia" w:eastAsiaTheme="minorEastAsia" w:cstheme="minorEastAsia"/>
          <w:b/>
          <w:bCs/>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u w:val="none"/>
          <w:lang w:val="en-US" w:eastAsia="zh-CN"/>
        </w:rPr>
        <w:t>3.</w:t>
      </w:r>
      <w:r>
        <w:rPr>
          <w:rFonts w:hint="eastAsia" w:asciiTheme="minorEastAsia" w:hAnsiTheme="minorEastAsia" w:eastAsiaTheme="minorEastAsia" w:cstheme="minorEastAsia"/>
          <w:b/>
          <w:bCs/>
          <w:color w:val="auto"/>
          <w:sz w:val="24"/>
          <w:szCs w:val="24"/>
          <w:highlight w:val="none"/>
          <w:u w:val="none"/>
          <w:lang w:eastAsia="zh-CN"/>
        </w:rPr>
        <w:t>调查</w:t>
      </w:r>
      <w:r>
        <w:rPr>
          <w:rFonts w:hint="eastAsia" w:asciiTheme="minorEastAsia" w:hAnsiTheme="minorEastAsia" w:eastAsiaTheme="minorEastAsia" w:cstheme="minorEastAsia"/>
          <w:b/>
          <w:bCs/>
          <w:color w:val="auto"/>
          <w:sz w:val="24"/>
          <w:szCs w:val="24"/>
          <w:highlight w:val="none"/>
          <w:u w:val="none"/>
        </w:rPr>
        <w:t>方法</w:t>
      </w:r>
    </w:p>
    <w:p w14:paraId="61B0AE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rPr>
        <w:t>问卷调查采取</w:t>
      </w:r>
      <w:r>
        <w:rPr>
          <w:rFonts w:hint="eastAsia" w:asciiTheme="minorEastAsia" w:hAnsiTheme="minorEastAsia" w:eastAsiaTheme="minorEastAsia" w:cstheme="minorEastAsia"/>
          <w:color w:val="auto"/>
          <w:sz w:val="24"/>
          <w:szCs w:val="24"/>
          <w:highlight w:val="none"/>
          <w:u w:val="none"/>
          <w:lang w:val="en-US" w:eastAsia="zh-CN"/>
        </w:rPr>
        <w:t>分层</w:t>
      </w:r>
      <w:r>
        <w:rPr>
          <w:rFonts w:hint="eastAsia" w:asciiTheme="minorEastAsia" w:hAnsiTheme="minorEastAsia" w:eastAsiaTheme="minorEastAsia" w:cstheme="minorEastAsia"/>
          <w:color w:val="auto"/>
          <w:sz w:val="24"/>
          <w:szCs w:val="24"/>
          <w:highlight w:val="none"/>
          <w:u w:val="none"/>
        </w:rPr>
        <w:t>抽样和</w:t>
      </w:r>
      <w:r>
        <w:rPr>
          <w:rFonts w:hint="eastAsia" w:asciiTheme="minorEastAsia" w:hAnsiTheme="minorEastAsia" w:eastAsiaTheme="minorEastAsia" w:cstheme="minorEastAsia"/>
          <w:color w:val="auto"/>
          <w:sz w:val="24"/>
          <w:szCs w:val="24"/>
          <w:highlight w:val="none"/>
          <w:u w:val="none"/>
          <w:lang w:val="en-US" w:eastAsia="zh-CN"/>
        </w:rPr>
        <w:t>随机抽样相结合</w:t>
      </w:r>
      <w:r>
        <w:rPr>
          <w:rFonts w:hint="eastAsia" w:asciiTheme="minorEastAsia" w:hAnsiTheme="minorEastAsia" w:eastAsiaTheme="minorEastAsia" w:cstheme="minorEastAsia"/>
          <w:color w:val="auto"/>
          <w:sz w:val="24"/>
          <w:szCs w:val="24"/>
          <w:highlight w:val="none"/>
          <w:u w:val="none"/>
        </w:rPr>
        <w:t>的方式进行。在全面</w:t>
      </w:r>
      <w:r>
        <w:rPr>
          <w:rFonts w:hint="eastAsia" w:asciiTheme="minorEastAsia" w:hAnsiTheme="minorEastAsia" w:eastAsiaTheme="minorEastAsia" w:cstheme="minorEastAsia"/>
          <w:color w:val="auto"/>
          <w:sz w:val="24"/>
          <w:szCs w:val="24"/>
          <w:highlight w:val="none"/>
          <w:u w:val="none"/>
          <w:lang w:eastAsia="zh-CN"/>
        </w:rPr>
        <w:t>调查</w:t>
      </w:r>
      <w:r>
        <w:rPr>
          <w:rFonts w:hint="eastAsia" w:asciiTheme="minorEastAsia" w:hAnsiTheme="minorEastAsia" w:eastAsiaTheme="minorEastAsia" w:cstheme="minorEastAsia"/>
          <w:color w:val="auto"/>
          <w:sz w:val="24"/>
          <w:szCs w:val="24"/>
          <w:highlight w:val="none"/>
          <w:u w:val="none"/>
        </w:rPr>
        <w:t>开展之前会先进行论证，依据论证结果对问卷和抽样方案再进行一次修改和调整</w:t>
      </w:r>
      <w:r>
        <w:rPr>
          <w:rFonts w:hint="eastAsia" w:asciiTheme="minorEastAsia" w:hAnsiTheme="minorEastAsia" w:eastAsiaTheme="minorEastAsia" w:cstheme="minorEastAsia"/>
          <w:color w:val="auto"/>
          <w:sz w:val="24"/>
          <w:szCs w:val="24"/>
          <w:highlight w:val="none"/>
          <w:u w:val="none"/>
          <w:lang w:val="en-US" w:eastAsia="zh-CN"/>
        </w:rPr>
        <w:t>之后再付诸实施</w:t>
      </w:r>
      <w:r>
        <w:rPr>
          <w:rFonts w:hint="eastAsia" w:asciiTheme="minorEastAsia" w:hAnsiTheme="minorEastAsia" w:eastAsiaTheme="minorEastAsia" w:cstheme="minorEastAsia"/>
          <w:color w:val="auto"/>
          <w:sz w:val="24"/>
          <w:szCs w:val="24"/>
          <w:highlight w:val="none"/>
          <w:u w:val="none"/>
        </w:rPr>
        <w:t>。</w:t>
      </w:r>
    </w:p>
    <w:p w14:paraId="45D08C8F">
      <w:pPr>
        <w:pStyle w:val="7"/>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Theme="minorEastAsia" w:hAnsiTheme="minorEastAsia" w:eastAsiaTheme="minorEastAsia" w:cstheme="minorEastAsia"/>
          <w:b/>
          <w:bCs/>
          <w:color w:val="auto"/>
          <w:sz w:val="24"/>
          <w:szCs w:val="24"/>
          <w:highlight w:val="none"/>
          <w:u w:val="none"/>
        </w:rPr>
      </w:pPr>
      <w:r>
        <w:rPr>
          <w:rFonts w:hint="eastAsia" w:asciiTheme="minorEastAsia" w:hAnsiTheme="minorEastAsia" w:eastAsiaTheme="minorEastAsia" w:cstheme="minorEastAsia"/>
          <w:b/>
          <w:bCs/>
          <w:color w:val="auto"/>
          <w:sz w:val="24"/>
          <w:szCs w:val="24"/>
          <w:highlight w:val="none"/>
          <w:u w:val="none"/>
          <w:lang w:val="en-US" w:eastAsia="zh-CN"/>
        </w:rPr>
        <w:t>4.</w:t>
      </w:r>
      <w:r>
        <w:rPr>
          <w:rFonts w:hint="eastAsia" w:asciiTheme="minorEastAsia" w:hAnsiTheme="minorEastAsia" w:eastAsiaTheme="minorEastAsia" w:cstheme="minorEastAsia"/>
          <w:b/>
          <w:bCs/>
          <w:color w:val="auto"/>
          <w:sz w:val="24"/>
          <w:szCs w:val="24"/>
          <w:highlight w:val="none"/>
          <w:u w:val="none"/>
        </w:rPr>
        <w:t>抽样方式</w:t>
      </w:r>
    </w:p>
    <w:p w14:paraId="194471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rPr>
        <w:t>为确保问卷</w:t>
      </w:r>
      <w:r>
        <w:rPr>
          <w:rFonts w:hint="eastAsia" w:asciiTheme="minorEastAsia" w:hAnsiTheme="minorEastAsia" w:eastAsiaTheme="minorEastAsia" w:cstheme="minorEastAsia"/>
          <w:color w:val="auto"/>
          <w:sz w:val="24"/>
          <w:szCs w:val="24"/>
          <w:highlight w:val="none"/>
          <w:u w:val="none"/>
          <w:lang w:eastAsia="zh-CN"/>
        </w:rPr>
        <w:t>调查</w:t>
      </w:r>
      <w:r>
        <w:rPr>
          <w:rFonts w:hint="eastAsia" w:asciiTheme="minorEastAsia" w:hAnsiTheme="minorEastAsia" w:eastAsiaTheme="minorEastAsia" w:cstheme="minorEastAsia"/>
          <w:color w:val="auto"/>
          <w:sz w:val="24"/>
          <w:szCs w:val="24"/>
          <w:highlight w:val="none"/>
          <w:u w:val="none"/>
        </w:rPr>
        <w:t>的全面性和代表性，本次</w:t>
      </w:r>
      <w:r>
        <w:rPr>
          <w:rFonts w:hint="eastAsia" w:asciiTheme="minorEastAsia" w:hAnsiTheme="minorEastAsia" w:eastAsiaTheme="minorEastAsia" w:cstheme="minorEastAsia"/>
          <w:color w:val="auto"/>
          <w:sz w:val="24"/>
          <w:szCs w:val="24"/>
          <w:highlight w:val="none"/>
          <w:u w:val="none"/>
          <w:lang w:eastAsia="zh-CN"/>
        </w:rPr>
        <w:t>调查</w:t>
      </w:r>
      <w:r>
        <w:rPr>
          <w:rFonts w:hint="eastAsia" w:asciiTheme="minorEastAsia" w:hAnsiTheme="minorEastAsia" w:eastAsiaTheme="minorEastAsia" w:cstheme="minorEastAsia"/>
          <w:color w:val="auto"/>
          <w:sz w:val="24"/>
          <w:szCs w:val="24"/>
          <w:highlight w:val="none"/>
          <w:u w:val="none"/>
        </w:rPr>
        <w:t>问卷调查采取</w:t>
      </w:r>
      <w:r>
        <w:rPr>
          <w:rFonts w:hint="eastAsia" w:asciiTheme="minorEastAsia" w:hAnsiTheme="minorEastAsia" w:eastAsiaTheme="minorEastAsia" w:cstheme="minorEastAsia"/>
          <w:color w:val="auto"/>
          <w:sz w:val="24"/>
          <w:szCs w:val="24"/>
          <w:highlight w:val="none"/>
          <w:u w:val="none"/>
          <w:lang w:val="en-US" w:eastAsia="zh-CN"/>
        </w:rPr>
        <w:t>随机</w:t>
      </w:r>
      <w:r>
        <w:rPr>
          <w:rFonts w:hint="eastAsia" w:asciiTheme="minorEastAsia" w:hAnsiTheme="minorEastAsia" w:eastAsiaTheme="minorEastAsia" w:cstheme="minorEastAsia"/>
          <w:color w:val="auto"/>
          <w:sz w:val="24"/>
          <w:szCs w:val="24"/>
          <w:highlight w:val="none"/>
          <w:u w:val="none"/>
        </w:rPr>
        <w:t>抽样和</w:t>
      </w:r>
      <w:r>
        <w:rPr>
          <w:rFonts w:hint="eastAsia" w:asciiTheme="minorEastAsia" w:hAnsiTheme="minorEastAsia" w:eastAsiaTheme="minorEastAsia" w:cstheme="minorEastAsia"/>
          <w:color w:val="auto"/>
          <w:sz w:val="24"/>
          <w:szCs w:val="24"/>
          <w:highlight w:val="none"/>
          <w:u w:val="none"/>
          <w:lang w:val="en-US" w:eastAsia="zh-CN"/>
        </w:rPr>
        <w:t>分层抽样相结合</w:t>
      </w:r>
      <w:r>
        <w:rPr>
          <w:rFonts w:hint="eastAsia" w:asciiTheme="minorEastAsia" w:hAnsiTheme="minorEastAsia" w:eastAsiaTheme="minorEastAsia" w:cstheme="minorEastAsia"/>
          <w:color w:val="auto"/>
          <w:sz w:val="24"/>
          <w:szCs w:val="24"/>
          <w:highlight w:val="none"/>
          <w:u w:val="none"/>
        </w:rPr>
        <w:t>方式进行。</w:t>
      </w:r>
    </w:p>
    <w:p w14:paraId="1954B3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rPr>
        <w:t>5.问卷的发放和回收</w:t>
      </w:r>
    </w:p>
    <w:p w14:paraId="3FE442C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EA5B2B6">
      <w:pPr>
        <w:pStyle w:val="7"/>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6.问卷调查分析结果</w:t>
      </w:r>
    </w:p>
    <w:p w14:paraId="70331F0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本次调查过程中，评价小组实际发放问卷30份，回收问卷30份，问卷回收率为100.00%，有效问卷30份，有效回收率100.00%，本次调查的整体情况如下：</w:t>
      </w:r>
    </w:p>
    <w:p w14:paraId="2C709E8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第一个问题：该项统计有效问卷数量30份，选择非常满意的人数为x人。选择比较满意的人数为0人，选择一般的人数0人，选择不满意的人数0人，选择非常不满意的人数0人。</w:t>
      </w:r>
    </w:p>
    <w:p w14:paraId="1A74CE7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第二个问题：该项统计有效问卷数量30份，选择非常满意的人数为x人。选择比较满意的人数为0人，选择一般的人数0人，选择不满意的人数0人，选择非常不满意的人数0人。</w:t>
      </w:r>
    </w:p>
    <w:p w14:paraId="1DA5ACB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第三个问题：该项统计有效问卷数量30份，选择非常满意的人数为x人。选择比较满意的人数为0人，选择一般的人数0人，选择不满意的人数0人，选择非常不满意的人数0人。</w:t>
      </w:r>
    </w:p>
    <w:p w14:paraId="4D44521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二、调查结果统计</w:t>
      </w:r>
    </w:p>
    <w:p w14:paraId="188BDB3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洛浦县（山普鲁镇）2024年水土保持重点治理工程针对受益人员发放30份调查问卷，最终统计受益人群满意度为100%。</w:t>
      </w:r>
    </w:p>
    <w:p w14:paraId="361A889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u w:val="none"/>
          <w:lang w:val="en-US" w:eastAsia="zh-CN"/>
        </w:rPr>
      </w:pPr>
    </w:p>
    <w:p w14:paraId="71E78E3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Theme="minorEastAsia" w:hAnsiTheme="minorEastAsia" w:eastAsiaTheme="minorEastAsia" w:cstheme="minorEastAsia"/>
          <w:color w:val="auto"/>
          <w:sz w:val="24"/>
          <w:szCs w:val="24"/>
          <w:highlight w:val="none"/>
          <w:u w:val="none"/>
          <w:lang w:val="en-US" w:eastAsia="zh-CN"/>
        </w:rPr>
      </w:pPr>
    </w:p>
    <w:p w14:paraId="4FC965C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洛浦县水利局</w:t>
      </w:r>
    </w:p>
    <w:p w14:paraId="5BFF4A2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2025年2月20日</w:t>
      </w:r>
    </w:p>
    <w:p w14:paraId="7DDF8428">
      <w:pPr>
        <w:pStyle w:val="7"/>
        <w:keepNext w:val="0"/>
        <w:keepLines w:val="0"/>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eastAsia" w:asciiTheme="minorEastAsia" w:hAnsiTheme="minorEastAsia" w:eastAsiaTheme="minorEastAsia" w:cstheme="minorEastAsia"/>
          <w:color w:val="auto"/>
          <w:sz w:val="24"/>
          <w:szCs w:val="24"/>
          <w:highlight w:val="none"/>
          <w:u w:val="none"/>
          <w:lang w:eastAsia="zh-CN"/>
        </w:rPr>
      </w:pPr>
    </w:p>
    <w:p w14:paraId="2DF0C4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u w:val="none"/>
        </w:rPr>
      </w:pP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DA19D">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89FDE">
    <w:pPr>
      <w:pStyle w:val="8"/>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D3358">
                          <w:pPr>
                            <w:pStyle w:val="8"/>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9FD3358">
                    <w:pPr>
                      <w:pStyle w:val="8"/>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9DF58">
    <w:pPr>
      <w:pStyle w:val="9"/>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EA56A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First Indent 2"/>
    <w:basedOn w:val="4"/>
    <w:unhideWhenUsed/>
    <w:qFormat/>
    <w:uiPriority w:val="0"/>
    <w:pPr>
      <w:ind w:firstLine="420"/>
    </w:pPr>
  </w:style>
  <w:style w:type="paragraph" w:styleId="4">
    <w:name w:val="Body Text Indent"/>
    <w:basedOn w:val="1"/>
    <w:unhideWhenUsed/>
    <w:qFormat/>
    <w:uiPriority w:val="99"/>
    <w:pPr>
      <w:spacing w:after="120"/>
      <w:ind w:left="420" w:leftChars="200"/>
    </w:pPr>
    <w:rPr>
      <w:rFonts w:cs="Times New Roman"/>
      <w:kern w:val="0"/>
      <w:szCs w:val="20"/>
    </w:rPr>
  </w:style>
  <w:style w:type="paragraph" w:styleId="7">
    <w:name w:val="Body Text"/>
    <w:basedOn w:val="1"/>
    <w:qFormat/>
    <w:uiPriority w:val="0"/>
    <w:pPr>
      <w:spacing w:before="240" w:after="240" w:line="360" w:lineRule="auto"/>
      <w:jc w:val="center"/>
    </w:pPr>
    <w:rPr>
      <w:b/>
      <w:sz w:val="44"/>
    </w:rPr>
  </w:style>
  <w:style w:type="paragraph" w:styleId="8">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table" w:styleId="11">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0"/>
    <w:rPr>
      <w:b/>
      <w:bCs/>
    </w:rPr>
  </w:style>
  <w:style w:type="paragraph" w:customStyle="1" w:styleId="14">
    <w:name w:val="Comment Text"/>
    <w:basedOn w:val="1"/>
    <w:unhideWhenUsed/>
    <w:qFormat/>
    <w:uiPriority w:val="99"/>
    <w:rPr>
      <w:rFonts w:cs="Times New Roman"/>
      <w:kern w:val="0"/>
      <w:sz w:val="20"/>
      <w:szCs w:val="20"/>
    </w:rPr>
  </w:style>
  <w:style w:type="paragraph" w:customStyle="1" w:styleId="15">
    <w:name w:val="闻政-正文二级标题"/>
    <w:basedOn w:val="5"/>
    <w:next w:val="16"/>
    <w:qFormat/>
    <w:uiPriority w:val="3"/>
    <w:pPr>
      <w:spacing w:before="120" w:after="60" w:line="500" w:lineRule="exact"/>
      <w:ind w:left="200" w:leftChars="200" w:firstLine="0" w:firstLineChars="0"/>
    </w:pPr>
    <w:rPr>
      <w:rFonts w:ascii="Times New Roman" w:hAnsi="Times New Roman"/>
      <w:sz w:val="28"/>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Char"/>
    <w:basedOn w:val="1"/>
    <w:qFormat/>
    <w:uiPriority w:val="0"/>
    <w:rPr>
      <w:rFonts w:ascii="仿宋_GB2312" w:eastAsia="仿宋_GB2312" w:cs="黑体"/>
      <w:b/>
      <w:sz w:val="32"/>
      <w:szCs w:val="32"/>
    </w:rPr>
  </w:style>
  <w:style w:type="character" w:customStyle="1" w:styleId="18">
    <w:name w:val="font71"/>
    <w:basedOn w:val="12"/>
    <w:qFormat/>
    <w:uiPriority w:val="0"/>
    <w:rPr>
      <w:rFonts w:hint="eastAsia" w:ascii="微软雅黑" w:hAnsi="微软雅黑" w:eastAsia="微软雅黑" w:cs="微软雅黑"/>
      <w:b/>
      <w:bCs/>
      <w:color w:val="000000"/>
      <w:sz w:val="32"/>
      <w:szCs w:val="32"/>
      <w:u w:val="none"/>
    </w:rPr>
  </w:style>
  <w:style w:type="character" w:customStyle="1" w:styleId="19">
    <w:name w:val="font41"/>
    <w:basedOn w:val="12"/>
    <w:uiPriority w:val="0"/>
    <w:rPr>
      <w:rFonts w:hint="eastAsia" w:ascii="宋体" w:hAnsi="宋体" w:eastAsia="宋体" w:cs="宋体"/>
      <w:b/>
      <w:bCs/>
      <w:color w:val="000000"/>
      <w:sz w:val="21"/>
      <w:szCs w:val="21"/>
      <w:u w:val="none"/>
    </w:rPr>
  </w:style>
  <w:style w:type="character" w:customStyle="1" w:styleId="20">
    <w:name w:val="font11"/>
    <w:basedOn w:val="12"/>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737DDB00D959429DAE9CFF2FEBD85425_13</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b05ba7-486f-40a1-b33f-562be0ffa8a3}">
  <ds:schemaRefs/>
</ds:datastoreItem>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63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2025-04-22T09:23:00Z</dcterms:created>
  <dc:creator>Administrator</dc:creator>
  <cp:lastModifiedBy>Administrator</cp:lastModifiedBy>
  <dcterms:modified xsi:type="dcterms:W3CDTF">2025-10-10T09:31:59Z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737DDB00D959429DAE9CFF2FEBD85425_13</vt:lpwstr>
  </property>
</Properties>
</file>