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85EEF">
      <w:bookmarkStart w:id="17" w:name="_GoBack"/>
      <w:bookmarkEnd w:id="17"/>
    </w:p>
    <w:p w14:paraId="6081E898">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6B0E743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和田地区洛浦县2024年城乡义务教育补助经费</w:t>
      </w:r>
    </w:p>
    <w:p w14:paraId="402774B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rPr>
        <w:t>项目支出绩效评价报告</w:t>
      </w:r>
    </w:p>
    <w:p w14:paraId="6B0E4DC2">
      <w:pPr>
        <w:pStyle w:val="6"/>
        <w:jc w:val="center"/>
        <w:rPr>
          <w:rFonts w:hint="eastAsia" w:ascii="黑体" w:hAnsi="黑体" w:eastAsia="黑体" w:cs="黑体"/>
          <w:b/>
          <w:bCs w:val="0"/>
          <w:lang w:eastAsia="zh-CN"/>
        </w:rPr>
      </w:pPr>
      <w:r>
        <w:rPr>
          <w:rFonts w:hint="eastAsia" w:ascii="黑体" w:hAnsi="黑体" w:eastAsia="黑体" w:cs="黑体"/>
          <w:b/>
          <w:bCs w:val="0"/>
          <w:lang w:eastAsia="zh-CN"/>
        </w:rPr>
        <w:t>（</w:t>
      </w:r>
      <w:r>
        <w:rPr>
          <w:rFonts w:hint="eastAsia" w:ascii="黑体" w:hAnsi="黑体" w:eastAsia="黑体" w:cs="黑体"/>
          <w:b/>
          <w:bCs w:val="0"/>
          <w:lang w:val="en-US" w:eastAsia="zh-CN"/>
        </w:rPr>
        <w:t>2024年度</w:t>
      </w:r>
      <w:r>
        <w:rPr>
          <w:rFonts w:hint="eastAsia" w:ascii="黑体" w:hAnsi="黑体" w:eastAsia="黑体" w:cs="黑体"/>
          <w:b/>
          <w:bCs w:val="0"/>
          <w:lang w:eastAsia="zh-CN"/>
        </w:rPr>
        <w:t>）</w:t>
      </w:r>
    </w:p>
    <w:p w14:paraId="2D9B0C5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1A5E4E2C">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0A6EF267">
      <w:pPr>
        <w:pStyle w:val="6"/>
        <w:rPr>
          <w:rFonts w:hint="eastAsia" w:eastAsia="方正仿宋_GBK" w:cs="方正仿宋_GBK"/>
          <w:b/>
          <w:kern w:val="0"/>
          <w:sz w:val="32"/>
          <w:szCs w:val="32"/>
          <w:lang w:bidi="en-US"/>
        </w:rPr>
      </w:pPr>
    </w:p>
    <w:p w14:paraId="5577C8F5">
      <w:pPr>
        <w:rPr>
          <w:rFonts w:hint="eastAsia" w:eastAsia="方正仿宋_GBK" w:cs="方正仿宋_GBK"/>
          <w:b/>
          <w:kern w:val="0"/>
          <w:sz w:val="32"/>
          <w:szCs w:val="32"/>
          <w:lang w:bidi="en-US"/>
        </w:rPr>
      </w:pPr>
    </w:p>
    <w:p w14:paraId="60AC4D22">
      <w:pPr>
        <w:pStyle w:val="6"/>
        <w:rPr>
          <w:rFonts w:hint="eastAsia"/>
        </w:rPr>
      </w:pPr>
    </w:p>
    <w:p w14:paraId="44BFA57A">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7C8ECD75">
      <w:pPr>
        <w:pageBreakBefore w:val="0"/>
        <w:widowControl w:val="0"/>
        <w:kinsoku/>
        <w:wordWrap/>
        <w:topLinePunct w:val="0"/>
        <w:autoSpaceDE/>
        <w:autoSpaceDN/>
        <w:bidi w:val="0"/>
        <w:spacing w:line="560" w:lineRule="exact"/>
        <w:ind w:left="0" w:leftChars="0" w:firstLine="560"/>
        <w:textAlignment w:val="auto"/>
        <w:rPr>
          <w:rFonts w:hint="eastAsia"/>
        </w:rPr>
      </w:pPr>
    </w:p>
    <w:p w14:paraId="50176DA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7F4A99DE">
      <w:pPr>
        <w:pageBreakBefore w:val="0"/>
        <w:widowControl w:val="0"/>
        <w:kinsoku/>
        <w:wordWrap/>
        <w:topLinePunct w:val="0"/>
        <w:autoSpaceDE/>
        <w:autoSpaceDN/>
        <w:bidi w:val="0"/>
        <w:spacing w:line="560" w:lineRule="exact"/>
        <w:ind w:left="2685" w:leftChars="500" w:hanging="1285" w:hangingChars="459"/>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项目名称：2024年城乡义务教育补助经费项目</w:t>
      </w:r>
    </w:p>
    <w:p w14:paraId="0D6C733D">
      <w:pPr>
        <w:pageBreakBefore w:val="0"/>
        <w:widowControl w:val="0"/>
        <w:kinsoku/>
        <w:wordWrap/>
        <w:topLinePunct w:val="0"/>
        <w:autoSpaceDE/>
        <w:autoSpaceDN/>
        <w:bidi w:val="0"/>
        <w:spacing w:line="560" w:lineRule="exact"/>
        <w:ind w:left="2685" w:leftChars="500" w:hanging="1285" w:hangingChars="459"/>
        <w:jc w:val="left"/>
        <w:textAlignment w:val="auto"/>
        <w:rPr>
          <w:rFonts w:hint="default"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项目单位：</w:t>
      </w:r>
      <w:r>
        <w:rPr>
          <w:rFonts w:hint="eastAsia" w:ascii="宋体" w:hAnsi="宋体" w:eastAsia="宋体" w:cs="宋体"/>
          <w:color w:val="auto"/>
          <w:kern w:val="0"/>
          <w:sz w:val="28"/>
          <w:szCs w:val="28"/>
          <w:highlight w:val="none"/>
          <w:lang w:val="en-US" w:eastAsia="zh-CN" w:bidi="en-US"/>
        </w:rPr>
        <w:t>洛浦县纳瓦乡中学</w:t>
      </w:r>
    </w:p>
    <w:p w14:paraId="1C20863C">
      <w:pPr>
        <w:pageBreakBefore w:val="0"/>
        <w:widowControl w:val="0"/>
        <w:kinsoku/>
        <w:wordWrap/>
        <w:topLinePunct w:val="0"/>
        <w:autoSpaceDE/>
        <w:autoSpaceDN/>
        <w:bidi w:val="0"/>
        <w:spacing w:line="560" w:lineRule="exact"/>
        <w:ind w:left="2685" w:leftChars="500" w:hanging="1285" w:hangingChars="459"/>
        <w:jc w:val="left"/>
        <w:textAlignment w:val="auto"/>
        <w:rPr>
          <w:rFonts w:hint="eastAsia" w:ascii="宋体" w:hAnsi="宋体" w:eastAsia="宋体" w:cs="宋体"/>
          <w:color w:val="auto"/>
          <w:kern w:val="0"/>
          <w:sz w:val="28"/>
          <w:szCs w:val="28"/>
          <w:highlight w:val="none"/>
          <w:lang w:eastAsia="zh-CN" w:bidi="en-US"/>
        </w:rPr>
      </w:pPr>
      <w:r>
        <w:rPr>
          <w:rFonts w:hint="eastAsia" w:ascii="宋体" w:hAnsi="宋体" w:eastAsia="宋体" w:cs="宋体"/>
          <w:color w:val="auto"/>
          <w:kern w:val="0"/>
          <w:sz w:val="28"/>
          <w:szCs w:val="28"/>
          <w:highlight w:val="none"/>
          <w:lang w:bidi="en-US"/>
        </w:rPr>
        <w:t>主管部门：</w:t>
      </w:r>
      <w:r>
        <w:rPr>
          <w:rFonts w:hint="eastAsia" w:ascii="宋体" w:hAnsi="宋体" w:eastAsia="宋体" w:cs="宋体"/>
          <w:color w:val="auto"/>
          <w:kern w:val="0"/>
          <w:sz w:val="28"/>
          <w:szCs w:val="28"/>
          <w:highlight w:val="none"/>
          <w:lang w:val="en-US" w:eastAsia="zh-CN" w:bidi="en-US"/>
        </w:rPr>
        <w:t>洛浦县教育局</w:t>
      </w:r>
    </w:p>
    <w:p w14:paraId="03A84F6C">
      <w:pPr>
        <w:pageBreakBefore w:val="0"/>
        <w:widowControl w:val="0"/>
        <w:kinsoku/>
        <w:wordWrap/>
        <w:topLinePunct w:val="0"/>
        <w:autoSpaceDE/>
        <w:autoSpaceDN/>
        <w:bidi w:val="0"/>
        <w:spacing w:line="560" w:lineRule="exact"/>
        <w:ind w:left="2685" w:leftChars="500" w:hanging="1285" w:hangingChars="459"/>
        <w:jc w:val="left"/>
        <w:textAlignment w:val="auto"/>
        <w:rPr>
          <w:rFonts w:hint="eastAsia"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项目负责人：</w:t>
      </w:r>
      <w:r>
        <w:rPr>
          <w:rFonts w:hint="eastAsia" w:ascii="宋体" w:hAnsi="宋体" w:eastAsia="宋体" w:cs="宋体"/>
          <w:color w:val="auto"/>
          <w:kern w:val="0"/>
          <w:sz w:val="28"/>
          <w:szCs w:val="28"/>
          <w:highlight w:val="none"/>
          <w:lang w:val="en-US" w:eastAsia="zh-CN" w:bidi="en-US"/>
        </w:rPr>
        <w:t>姚强</w:t>
      </w:r>
    </w:p>
    <w:p w14:paraId="4B88E38A">
      <w:pPr>
        <w:pageBreakBefore w:val="0"/>
        <w:widowControl w:val="0"/>
        <w:kinsoku/>
        <w:wordWrap/>
        <w:topLinePunct w:val="0"/>
        <w:autoSpaceDE/>
        <w:autoSpaceDN/>
        <w:bidi w:val="0"/>
        <w:spacing w:line="560" w:lineRule="exact"/>
        <w:ind w:left="2685" w:leftChars="500" w:hanging="1285" w:hangingChars="459"/>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填报时间：</w:t>
      </w:r>
      <w:r>
        <w:rPr>
          <w:rFonts w:hint="eastAsia" w:ascii="宋体" w:hAnsi="宋体" w:eastAsia="宋体" w:cs="宋体"/>
          <w:color w:val="auto"/>
          <w:kern w:val="0"/>
          <w:sz w:val="28"/>
          <w:szCs w:val="28"/>
          <w:highlight w:val="none"/>
          <w:lang w:val="en-US" w:eastAsia="zh-CN" w:bidi="en-US"/>
        </w:rPr>
        <w:t>2025</w:t>
      </w:r>
      <w:r>
        <w:rPr>
          <w:rFonts w:hint="eastAsia" w:ascii="宋体" w:hAnsi="宋体" w:eastAsia="宋体" w:cs="宋体"/>
          <w:color w:val="auto"/>
          <w:kern w:val="0"/>
          <w:sz w:val="28"/>
          <w:szCs w:val="28"/>
          <w:highlight w:val="none"/>
          <w:lang w:bidi="en-US"/>
        </w:rPr>
        <w:t>年</w:t>
      </w:r>
      <w:r>
        <w:rPr>
          <w:rFonts w:hint="eastAsia" w:ascii="宋体" w:hAnsi="宋体" w:eastAsia="宋体" w:cs="宋体"/>
          <w:color w:val="auto"/>
          <w:kern w:val="0"/>
          <w:sz w:val="28"/>
          <w:szCs w:val="28"/>
          <w:highlight w:val="none"/>
          <w:lang w:val="en-US" w:eastAsia="zh-CN" w:bidi="en-US"/>
        </w:rPr>
        <w:t>3</w:t>
      </w:r>
      <w:r>
        <w:rPr>
          <w:rFonts w:hint="eastAsia" w:ascii="宋体" w:hAnsi="宋体" w:eastAsia="宋体" w:cs="宋体"/>
          <w:color w:val="auto"/>
          <w:kern w:val="0"/>
          <w:sz w:val="28"/>
          <w:szCs w:val="28"/>
          <w:highlight w:val="none"/>
          <w:lang w:bidi="en-US"/>
        </w:rPr>
        <w:t>月</w:t>
      </w:r>
      <w:r>
        <w:rPr>
          <w:rFonts w:hint="eastAsia" w:ascii="宋体" w:hAnsi="宋体" w:eastAsia="宋体" w:cs="宋体"/>
          <w:color w:val="auto"/>
          <w:kern w:val="0"/>
          <w:sz w:val="28"/>
          <w:szCs w:val="28"/>
          <w:highlight w:val="none"/>
          <w:lang w:val="en-US" w:eastAsia="zh-CN" w:bidi="en-US"/>
        </w:rPr>
        <w:t>31</w:t>
      </w:r>
      <w:r>
        <w:rPr>
          <w:rFonts w:hint="eastAsia" w:ascii="宋体" w:hAnsi="宋体" w:eastAsia="宋体" w:cs="宋体"/>
          <w:color w:val="auto"/>
          <w:kern w:val="0"/>
          <w:sz w:val="28"/>
          <w:szCs w:val="28"/>
          <w:highlight w:val="none"/>
          <w:lang w:bidi="en-US"/>
        </w:rPr>
        <w:t>日</w:t>
      </w:r>
    </w:p>
    <w:p w14:paraId="0555BD6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4FE14894">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0CB42569">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3D8CA95B">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1.项目背景</w:t>
      </w:r>
    </w:p>
    <w:p w14:paraId="6C905DD3">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教育，是国家发展的基石，也是民族振兴的希望。在教育体系中，义务教育作为基础阶段，承担着培养未来人才的重任。初中作为义务教育的关键环节，其发展水平直接关系到教育公平与质量的提升。然而，长期以来，我校在教育资源配置、经费投入等方面面临诸多困境，严重制约了其教育质量的提高和学生的全面发展。为了改善这一状况，城乡义务教育补助经费项目应运而生。</w:t>
      </w:r>
    </w:p>
    <w:p w14:paraId="7AE11B69">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为了推动义务教育均衡发展，国家积极出台相关政策，加大对乡镇初中的扶持力度。城乡义务教育补助经费作为一项重要的政策举措，旨在通过资金支持，改善乡镇初中的办学条件，提高教育质量，确保每个孩子都能享受到公平而有质量的教育。 </w:t>
      </w:r>
    </w:p>
    <w:p w14:paraId="04703F60">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这项补助经费具有重大意义，它为我校带来了新的生机与活力。一方面，能够缓解学校的经费压力，使其在教学设施更新、师资队伍建设、贫困学生资助等方面得到有力支持，缩小与城市学校的差距；另一方面，有助于提升乡镇初中的教育质量，为学生创造更好的学习环境，促进教育公平的实现，让更多农村孩子拥有改变命运的机会</w:t>
      </w:r>
      <w:r>
        <w:rPr>
          <w:rFonts w:hint="eastAsia" w:ascii="宋体" w:hAnsi="宋体" w:eastAsia="宋体" w:cs="宋体"/>
          <w:color w:val="auto"/>
          <w:sz w:val="24"/>
          <w:szCs w:val="24"/>
        </w:rPr>
        <w:t>。</w:t>
      </w:r>
    </w:p>
    <w:p w14:paraId="43AE36E8">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主要内容及实施情况</w:t>
      </w:r>
    </w:p>
    <w:p w14:paraId="560E6CD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55E0C22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关于下达2023年城乡义务教育补助自治区直达资金（第二批）的通知》（和地财教﹝2023﹞44号）文件实施该项目。项目主要内容：项目资金主要用于寄宿学生补助、学生伙食费及学校公用经费。通过项目的实施，有效保障学生校园生活。</w:t>
      </w:r>
    </w:p>
    <w:p w14:paraId="3EFA6EED">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13E5F4D1">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60308C46">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本项目主管部门为洛浦县教育局，实施单位为洛浦县纳瓦乡中学。</w:t>
      </w:r>
    </w:p>
    <w:p w14:paraId="2283DAA4">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color w:val="auto"/>
          <w:sz w:val="24"/>
          <w:szCs w:val="24"/>
          <w:lang w:val="en-US" w:eastAsia="zh-CN"/>
        </w:rPr>
        <w:t>2024年1月-2024年12月</w:t>
      </w:r>
    </w:p>
    <w:p w14:paraId="7C0C6B83">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37797390">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highlight w:val="none"/>
          <w:lang w:val="en-US" w:eastAsia="zh-CN"/>
        </w:rPr>
        <w:t>截止到2024年12月31日，本项目已完成3455名学生1-12月份城乡义务教育补助经费发放，已形成资金支付810.27万元。通过项目的实施，有效改善教育教学质量，社会效益部分实现目标。</w:t>
      </w:r>
    </w:p>
    <w:p w14:paraId="3D303B6D">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4.资金投入和使用情况</w:t>
      </w:r>
    </w:p>
    <w:p w14:paraId="0594B2E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5C2E294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810.27</w:t>
      </w:r>
      <w:r>
        <w:rPr>
          <w:rFonts w:hint="eastAsia" w:ascii="宋体" w:hAnsi="宋体" w:eastAsia="宋体" w:cs="宋体"/>
          <w:color w:val="auto"/>
          <w:sz w:val="24"/>
          <w:szCs w:val="24"/>
          <w:highlight w:val="none"/>
        </w:rPr>
        <w:t>万元，资金来源为部门预算</w:t>
      </w:r>
      <w:r>
        <w:rPr>
          <w:rFonts w:hint="eastAsia" w:ascii="宋体" w:hAnsi="宋体" w:eastAsia="宋体" w:cs="宋体"/>
          <w:color w:val="auto"/>
          <w:sz w:val="24"/>
          <w:szCs w:val="24"/>
          <w:highlight w:val="none"/>
          <w:lang w:val="en-US" w:eastAsia="zh-CN"/>
        </w:rPr>
        <w:t>资金</w:t>
      </w:r>
      <w:r>
        <w:rPr>
          <w:rFonts w:hint="eastAsia" w:ascii="宋体" w:hAnsi="宋体" w:eastAsia="宋体" w:cs="宋体"/>
          <w:color w:val="auto"/>
          <w:sz w:val="24"/>
          <w:szCs w:val="24"/>
          <w:highlight w:val="none"/>
        </w:rPr>
        <w:t>，其中：财政资金810.27万元，其他资金</w:t>
      </w:r>
      <w:r>
        <w:rPr>
          <w:rFonts w:hint="eastAsia" w:ascii="宋体" w:hAnsi="宋体" w:eastAsia="宋体" w:cs="宋体"/>
          <w:color w:val="auto"/>
          <w:sz w:val="24"/>
          <w:szCs w:val="24"/>
          <w:highlight w:val="none"/>
          <w:lang w:val="en-US" w:eastAsia="zh-CN"/>
        </w:rPr>
        <w:t>0.00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810.27</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394F70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64AB86F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810.27</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本项目资金主要用</w:t>
      </w:r>
      <w:r>
        <w:rPr>
          <w:rFonts w:hint="eastAsia" w:ascii="宋体" w:hAnsi="宋体" w:eastAsia="宋体" w:cs="宋体"/>
          <w:color w:val="auto"/>
          <w:sz w:val="24"/>
          <w:szCs w:val="24"/>
          <w:highlight w:val="none"/>
          <w:lang w:val="en-US" w:eastAsia="zh-CN"/>
        </w:rPr>
        <w:t>于</w:t>
      </w:r>
      <w:r>
        <w:rPr>
          <w:rFonts w:hint="eastAsia" w:ascii="宋体" w:hAnsi="宋体" w:eastAsia="宋体" w:cs="宋体"/>
          <w:color w:val="auto"/>
          <w:sz w:val="24"/>
          <w:szCs w:val="24"/>
          <w:highlight w:val="none"/>
          <w:shd w:val="clear" w:color="auto" w:fill="auto"/>
          <w:lang w:val="en-US" w:eastAsia="zh-CN"/>
        </w:rPr>
        <w:t>学校正常运转、完成教育教学活动和其他日常工作任务等方面，支付</w:t>
      </w:r>
      <w:r>
        <w:rPr>
          <w:rFonts w:hint="eastAsia" w:ascii="宋体" w:hAnsi="宋体" w:eastAsia="宋体" w:cs="宋体"/>
          <w:color w:val="auto"/>
          <w:sz w:val="24"/>
          <w:szCs w:val="24"/>
          <w:highlight w:val="none"/>
          <w:lang w:val="en-US" w:eastAsia="zh-CN"/>
        </w:rPr>
        <w:t>810.27</w:t>
      </w:r>
      <w:r>
        <w:rPr>
          <w:rFonts w:hint="eastAsia" w:ascii="宋体" w:hAnsi="宋体" w:eastAsia="宋体" w:cs="宋体"/>
          <w:color w:val="auto"/>
          <w:sz w:val="24"/>
          <w:szCs w:val="24"/>
          <w:highlight w:val="none"/>
          <w:shd w:val="clear" w:color="auto" w:fill="auto"/>
          <w:lang w:val="en-US" w:eastAsia="zh-CN"/>
        </w:rPr>
        <w:t>万元。</w:t>
      </w:r>
    </w:p>
    <w:p w14:paraId="4E76D51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4C0F8C2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1A2C62C6">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4469C5B5">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FF0000"/>
          <w:sz w:val="24"/>
          <w:szCs w:val="24"/>
        </w:rPr>
      </w:pPr>
      <w:r>
        <w:rPr>
          <w:rFonts w:hint="eastAsia" w:ascii="宋体" w:hAnsi="宋体" w:eastAsia="宋体" w:cs="宋体"/>
          <w:color w:val="auto"/>
          <w:sz w:val="24"/>
          <w:szCs w:val="24"/>
          <w:highlight w:val="none"/>
          <w:lang w:eastAsia="zh-CN"/>
        </w:rPr>
        <w:t>根据《关于下达2023年城乡义务教育补助自治区直达资金（第二批）的通知》（和地财教﹝2023﹞44号）文件要求公用经费是指保障义务教育学校正常运转、完成教育教学活动和其他日常工作任务等方面支出的费用。</w:t>
      </w:r>
    </w:p>
    <w:p w14:paraId="6BEA2423">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32B4D797">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6979E4C1">
      <w:pPr>
        <w:pStyle w:val="45"/>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693FFF4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数量指标:</w:t>
      </w:r>
    </w:p>
    <w:p w14:paraId="2E8EC0B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受益学生数量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=3455人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56397A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7B5973E4">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指标1：资金使用合规率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D17C712">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：资金发放到位率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2987D9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w:t>
      </w:r>
      <w:r>
        <w:rPr>
          <w:rFonts w:hint="eastAsia" w:ascii="宋体" w:hAnsi="宋体" w:eastAsia="宋体" w:cs="宋体"/>
          <w:color w:val="auto"/>
          <w:sz w:val="24"/>
          <w:szCs w:val="24"/>
          <w:highlight w:val="none"/>
          <w:lang w:val="en-US" w:eastAsia="zh-CN"/>
        </w:rPr>
        <w:t>指标</w:t>
      </w:r>
      <w:r>
        <w:rPr>
          <w:rFonts w:hint="eastAsia" w:ascii="宋体" w:hAnsi="宋体" w:eastAsia="宋体" w:cs="宋体"/>
          <w:color w:val="auto"/>
          <w:sz w:val="24"/>
          <w:szCs w:val="24"/>
          <w:highlight w:val="none"/>
        </w:rPr>
        <w:t>：</w:t>
      </w:r>
    </w:p>
    <w:p w14:paraId="1FD92B5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指标1：项目开始时间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2024年1月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5F6108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指标2：项目</w:t>
      </w:r>
      <w:r>
        <w:rPr>
          <w:rFonts w:hint="eastAsia" w:ascii="宋体" w:hAnsi="宋体" w:eastAsia="宋体" w:cs="宋体"/>
          <w:color w:val="auto"/>
          <w:sz w:val="24"/>
          <w:szCs w:val="24"/>
          <w:highlight w:val="none"/>
          <w:lang w:val="en-US" w:eastAsia="zh-CN"/>
        </w:rPr>
        <w:t>结束</w:t>
      </w: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889824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1D3423D8">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0398E43D">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指标1：义务教育公用经费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316.96万元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13462E03">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指标2：寄宿生生活补助，</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194.87万元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44B3B140">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指标3：营养改善，</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298.45万元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24CD4578">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5CCD9373">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w:t>
      </w:r>
    </w:p>
    <w:p w14:paraId="43206C03">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3）生态环境成本指标;</w:t>
      </w:r>
    </w:p>
    <w:p w14:paraId="44021B3B">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w:t>
      </w:r>
    </w:p>
    <w:p w14:paraId="60A9174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（3）效益指标：</w:t>
      </w:r>
    </w:p>
    <w:p w14:paraId="1B169B0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1）经济效益指标：</w:t>
      </w:r>
    </w:p>
    <w:p w14:paraId="213B052A">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w:t>
      </w:r>
    </w:p>
    <w:p w14:paraId="5A029CA6">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2）社会效益指标：</w:t>
      </w:r>
    </w:p>
    <w:p w14:paraId="7972544F">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指标1：改善学生生活质量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64987DD1">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3）生态效益指标：</w:t>
      </w:r>
    </w:p>
    <w:p w14:paraId="225246F3">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w:t>
      </w:r>
    </w:p>
    <w:p w14:paraId="4074FEF9">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7B16054C">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黑体" w:hAnsi="黑体" w:eastAsia="黑体" w:cs="黑体"/>
          <w:color w:val="auto"/>
          <w:sz w:val="24"/>
          <w:szCs w:val="24"/>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val="en-US" w:eastAsia="zh-CN"/>
        </w:rPr>
        <w:t>学生</w:t>
      </w:r>
      <w:r>
        <w:rPr>
          <w:rFonts w:hint="eastAsia" w:ascii="宋体" w:hAnsi="宋体" w:eastAsia="宋体" w:cs="宋体"/>
          <w:color w:val="auto"/>
          <w:sz w:val="24"/>
          <w:szCs w:val="24"/>
          <w:highlight w:val="none"/>
        </w:rPr>
        <w:t>满意度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“≥95%”。</w:t>
      </w:r>
    </w:p>
    <w:p w14:paraId="1BAF5FE7">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6150F30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4BAB603F">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7DAECE4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w:t>
      </w:r>
      <w:r>
        <w:rPr>
          <w:rFonts w:hint="eastAsia" w:ascii="宋体" w:hAnsi="宋体" w:eastAsia="宋体" w:cs="宋体"/>
          <w:color w:val="auto"/>
          <w:sz w:val="24"/>
          <w:szCs w:val="24"/>
        </w:rPr>
        <w:t>对2024年城乡义务教育补助经费</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开展</w:t>
      </w:r>
      <w:r>
        <w:rPr>
          <w:rFonts w:hint="eastAsia" w:ascii="宋体" w:hAnsi="宋体" w:eastAsia="宋体" w:cs="宋体"/>
          <w:sz w:val="24"/>
          <w:szCs w:val="24"/>
        </w:rPr>
        <w:t>本次部门项目支出绩效评价工作。全面</w:t>
      </w:r>
      <w:r>
        <w:rPr>
          <w:rFonts w:hint="eastAsia" w:ascii="宋体" w:hAnsi="宋体" w:eastAsia="宋体" w:cs="宋体"/>
          <w:color w:val="auto"/>
          <w:sz w:val="24"/>
          <w:szCs w:val="24"/>
        </w:rPr>
        <w:t>了解</w:t>
      </w:r>
      <w:r>
        <w:rPr>
          <w:rFonts w:hint="eastAsia" w:ascii="宋体" w:hAnsi="宋体" w:eastAsia="宋体" w:cs="宋体"/>
          <w:color w:val="auto"/>
          <w:sz w:val="24"/>
          <w:szCs w:val="24"/>
          <w:lang w:val="en-US" w:eastAsia="zh-CN"/>
        </w:rPr>
        <w:t>2024年城乡义务教育补助经费</w:t>
      </w:r>
      <w:r>
        <w:rPr>
          <w:rFonts w:hint="eastAsia" w:ascii="宋体" w:hAnsi="宋体" w:eastAsia="宋体" w:cs="宋体"/>
          <w:color w:val="auto"/>
          <w:sz w:val="24"/>
          <w:szCs w:val="24"/>
        </w:rPr>
        <w:t>项</w:t>
      </w:r>
      <w:r>
        <w:rPr>
          <w:rFonts w:hint="eastAsia" w:ascii="宋体" w:hAnsi="宋体" w:eastAsia="宋体" w:cs="宋体"/>
          <w:sz w:val="24"/>
          <w:szCs w:val="24"/>
        </w:rPr>
        <w:t>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0986544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A4946C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C3928E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65B0482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712C866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2024年城乡义务教育补助经费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3BB5B6DE">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23532865">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本次</w:t>
      </w:r>
      <w:r>
        <w:rPr>
          <w:rFonts w:hint="eastAsia" w:ascii="宋体" w:hAnsi="宋体" w:eastAsia="宋体" w:cs="宋体"/>
          <w:color w:val="auto"/>
          <w:sz w:val="24"/>
          <w:szCs w:val="24"/>
        </w:rPr>
        <w:t>绩效评价主要围绕2024年城乡义务教育补助经费项目决策</w:t>
      </w:r>
      <w:r>
        <w:rPr>
          <w:rFonts w:hint="eastAsia" w:ascii="宋体" w:hAnsi="宋体" w:eastAsia="宋体" w:cs="宋体"/>
          <w:sz w:val="24"/>
          <w:szCs w:val="24"/>
        </w:rPr>
        <w:t>、项目资金管理、项目实施过程管理，以及项目实施所带来的产出和效果等内容，进行综合评价。范围涵盖项目总体绩效目标、各项绩效指标完成情况以及预算执行情况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5D0FC12A">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2BC5332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077BED11">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851653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6F4A9D7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55BC78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49A8F1B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44E8962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030E74A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4562A59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7960830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641218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384BDA9D">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7A55FF4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3A0B197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E0E496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5EA2FF9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1A2A9CB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48C314B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4C8D9DC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22D5C95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7788A88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6088516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44FE301B">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225B544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654E45D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5952F40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52BC454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474D67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09ADBB9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2B44E40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bookmarkStart w:id="6" w:name="_Toc68364663"/>
      <w:r>
        <w:rPr>
          <w:rFonts w:hint="eastAsia" w:ascii="宋体" w:hAnsi="宋体" w:eastAsia="宋体" w:cs="宋体"/>
          <w:b w:val="0"/>
          <w:bCs/>
          <w:sz w:val="24"/>
          <w:szCs w:val="24"/>
        </w:rPr>
        <w:t>绩效评价标准通常包括计划标准、行业标准、历史标准等，用于对绩效指标完成情况进行比较、分析、评价。本次评价主要采用了</w:t>
      </w:r>
      <w:r>
        <w:rPr>
          <w:rFonts w:hint="eastAsia" w:ascii="宋体" w:hAnsi="宋体" w:eastAsia="宋体" w:cs="宋体"/>
          <w:b w:val="0"/>
          <w:bCs/>
          <w:sz w:val="24"/>
          <w:szCs w:val="24"/>
          <w:lang w:val="en-US" w:eastAsia="zh-CN"/>
        </w:rPr>
        <w:t>计划</w:t>
      </w:r>
      <w:r>
        <w:rPr>
          <w:rFonts w:hint="eastAsia" w:ascii="宋体" w:hAnsi="宋体" w:eastAsia="宋体" w:cs="宋体"/>
          <w:b w:val="0"/>
          <w:bCs/>
          <w:sz w:val="24"/>
          <w:szCs w:val="24"/>
        </w:rPr>
        <w:t>标准。</w:t>
      </w:r>
    </w:p>
    <w:p w14:paraId="7D7F129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bookmarkStart w:id="7" w:name="_Toc31464"/>
      <w:bookmarkStart w:id="8" w:name="_Toc17882"/>
      <w:r>
        <w:rPr>
          <w:rFonts w:hint="eastAsia" w:ascii="宋体" w:hAnsi="宋体" w:eastAsia="宋体" w:cs="宋体"/>
          <w:b w:val="0"/>
          <w:bCs/>
          <w:sz w:val="24"/>
          <w:szCs w:val="24"/>
        </w:rPr>
        <w:t>计划标准：指以预先制定的目标、计划、预算、定额等作为评价标准。</w:t>
      </w:r>
      <w:bookmarkEnd w:id="7"/>
      <w:bookmarkEnd w:id="8"/>
    </w:p>
    <w:p w14:paraId="00661571">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67EAAAF4">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7135B3C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BB290B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艾孜孜</w:t>
      </w:r>
      <w:r>
        <w:rPr>
          <w:rFonts w:hint="eastAsia" w:ascii="宋体" w:hAnsi="宋体" w:eastAsia="宋体" w:cs="宋体"/>
          <w:color w:val="auto"/>
          <w:sz w:val="24"/>
          <w:szCs w:val="24"/>
          <w:highlight w:val="none"/>
        </w:rPr>
        <w:t>（评价小组组长）：主要负责</w:t>
      </w:r>
      <w:r>
        <w:rPr>
          <w:rFonts w:hint="eastAsia" w:ascii="宋体" w:hAnsi="宋体" w:eastAsia="宋体" w:cs="宋体"/>
          <w:color w:val="auto"/>
          <w:sz w:val="24"/>
          <w:szCs w:val="24"/>
          <w:highlight w:val="none"/>
          <w:lang w:val="en-US" w:eastAsia="zh-CN"/>
        </w:rPr>
        <w:t>绩效评价工作的整体统筹规划、协调小组内外部资源、把控评价工作的进度和质量、对评价结果进行最终审核与决策。</w:t>
      </w:r>
    </w:p>
    <w:p w14:paraId="2BA37E7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祖力皮亚</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收集与评价对象相关项目文档，财务报表，历史数据等各类基础资料</w:t>
      </w:r>
    </w:p>
    <w:p w14:paraId="31716E0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如孜古丽</w:t>
      </w:r>
      <w:r>
        <w:rPr>
          <w:rFonts w:hint="eastAsia" w:ascii="宋体" w:hAnsi="宋体" w:eastAsia="宋体" w:cs="宋体"/>
          <w:color w:val="auto"/>
          <w:sz w:val="24"/>
          <w:szCs w:val="24"/>
          <w:highlight w:val="none"/>
        </w:rPr>
        <w:t>（评价小组组员）：主要负责</w:t>
      </w:r>
      <w:r>
        <w:rPr>
          <w:rFonts w:hint="eastAsia" w:ascii="宋体" w:hAnsi="宋体" w:eastAsia="宋体" w:cs="宋体"/>
          <w:color w:val="auto"/>
          <w:sz w:val="24"/>
          <w:szCs w:val="24"/>
          <w:highlight w:val="none"/>
          <w:lang w:val="en-US" w:eastAsia="zh-CN"/>
        </w:rPr>
        <w:t>数据处理类工作，相关软件和对采集到的数据进行录入、清晰、分析等处理工作。</w:t>
      </w:r>
    </w:p>
    <w:p w14:paraId="3F8635EA">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37628AC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0B135AD6">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21B3995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57A42360">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63A6880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7BBF62A5">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3FE0EBF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9477B25">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092AD80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4FB8753C">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2DD13CD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6552F5B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bookmarkStart w:id="11" w:name="_Toc68364666"/>
      <w:r>
        <w:rPr>
          <w:rFonts w:hint="eastAsia" w:ascii="宋体" w:hAnsi="宋体" w:eastAsia="宋体" w:cs="宋体"/>
          <w:color w:val="auto"/>
          <w:sz w:val="24"/>
          <w:szCs w:val="24"/>
        </w:rPr>
        <w:t>通过实施2024年城乡义务教育补助经费项目有效</w:t>
      </w:r>
      <w:r>
        <w:rPr>
          <w:rFonts w:hint="eastAsia" w:ascii="宋体" w:hAnsi="宋体" w:eastAsia="宋体" w:cs="宋体"/>
          <w:color w:val="auto"/>
          <w:sz w:val="24"/>
          <w:szCs w:val="24"/>
          <w:highlight w:val="none"/>
          <w:lang w:eastAsia="zh-CN"/>
        </w:rPr>
        <w:t>保障义务教育学校正常运转、完成教育教学活动和其他日常工作任务</w:t>
      </w:r>
      <w:r>
        <w:rPr>
          <w:rFonts w:hint="eastAsia" w:ascii="宋体" w:hAnsi="宋体" w:eastAsia="宋体" w:cs="宋体"/>
          <w:color w:val="auto"/>
          <w:sz w:val="24"/>
          <w:szCs w:val="24"/>
        </w:rPr>
        <w:t>。项目实施主要通过项目决策、项目过程、项目产出以及项目效益等方面进行评价，其中：</w:t>
      </w:r>
    </w:p>
    <w:p w14:paraId="2510911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项目决策：该项目主要通过《关于下达2023年城乡义务教育补助自治区直达资金（第二批）的通知》（和地财教﹝2023﹞44号）文件立项，项目实施符合相关政策要求，项目立项依据充分，立项程序规范。</w:t>
      </w:r>
      <w:r>
        <w:rPr>
          <w:rFonts w:hint="eastAsia" w:ascii="宋体" w:hAnsi="宋体" w:eastAsia="宋体" w:cs="宋体"/>
          <w:color w:val="auto"/>
          <w:sz w:val="24"/>
          <w:szCs w:val="24"/>
        </w:rPr>
        <w:t xml:space="preserve"> </w:t>
      </w:r>
    </w:p>
    <w:p w14:paraId="001C8514">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项目过程：2024年城乡义务教育补助经费项目预算安排</w:t>
      </w:r>
      <w:r>
        <w:rPr>
          <w:rFonts w:hint="eastAsia" w:ascii="宋体" w:hAnsi="宋体" w:eastAsia="宋体" w:cs="宋体"/>
          <w:color w:val="auto"/>
          <w:sz w:val="24"/>
          <w:szCs w:val="24"/>
          <w:lang w:val="en-US" w:eastAsia="zh-CN"/>
        </w:rPr>
        <w:t>810.27</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810.27</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2C816B00">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项目产出：受益学生数量</w:t>
      </w:r>
      <w:r>
        <w:rPr>
          <w:rFonts w:hint="eastAsia" w:ascii="宋体" w:hAnsi="宋体" w:eastAsia="宋体" w:cs="宋体"/>
          <w:color w:val="auto"/>
          <w:sz w:val="24"/>
          <w:szCs w:val="24"/>
          <w:lang w:val="en-US" w:eastAsia="zh-CN"/>
        </w:rPr>
        <w:t>3455人，资金使用合规率100%，资金发放及时率100%，项目于2024年12月完成，普查员及普查指导员补助经费支出810.27万元。</w:t>
      </w:r>
    </w:p>
    <w:p w14:paraId="7FB1766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rPr>
        <w:t>项目效益：通过实施2024年城乡义务教育补助经费</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有效</w:t>
      </w:r>
      <w:r>
        <w:rPr>
          <w:rFonts w:hint="eastAsia" w:ascii="宋体" w:hAnsi="宋体" w:eastAsia="宋体" w:cs="宋体"/>
          <w:color w:val="auto"/>
          <w:sz w:val="24"/>
          <w:szCs w:val="24"/>
          <w:highlight w:val="none"/>
          <w:lang w:eastAsia="zh-CN"/>
        </w:rPr>
        <w:t>保障义务教育学校正常运转、完成教育教学活动和其他日常工作任务</w:t>
      </w:r>
      <w:r>
        <w:rPr>
          <w:rFonts w:hint="eastAsia" w:ascii="宋体" w:hAnsi="宋体" w:eastAsia="宋体" w:cs="宋体"/>
          <w:color w:val="auto"/>
          <w:sz w:val="24"/>
          <w:szCs w:val="24"/>
          <w:lang w:eastAsia="zh-CN"/>
        </w:rPr>
        <w:t>。</w:t>
      </w:r>
    </w:p>
    <w:p w14:paraId="591ADBE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7C7E9007">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2024年城乡义务教育补助经费项目进行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val="en-US" w:eastAsia="zh-CN"/>
        </w:rPr>
        <w:t>优</w:t>
      </w:r>
      <w:r>
        <w:rPr>
          <w:rFonts w:hint="eastAsia" w:ascii="宋体" w:hAnsi="宋体" w:eastAsia="宋体" w:cs="宋体"/>
          <w:color w:val="auto"/>
          <w:sz w:val="24"/>
          <w:szCs w:val="24"/>
        </w:rPr>
        <w:t>”。</w:t>
      </w:r>
      <w:bookmarkEnd w:id="11"/>
      <w:bookmarkStart w:id="12" w:name="_Toc68364667"/>
    </w:p>
    <w:p w14:paraId="48BF7A3B">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2"/>
    </w:p>
    <w:p w14:paraId="5CD3D185">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2AEBFF5D">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A2357AB">
      <w:pPr>
        <w:keepNext w:val="0"/>
        <w:keepLines w:val="0"/>
        <w:pageBreakBefore w:val="0"/>
        <w:widowControl w:val="0"/>
        <w:numPr>
          <w:ilvl w:val="0"/>
          <w:numId w:val="3"/>
        </w:numPr>
        <w:kinsoku/>
        <w:wordWrap/>
        <w:topLinePunct w:val="0"/>
        <w:autoSpaceDE/>
        <w:autoSpaceDN/>
        <w:bidi w:val="0"/>
        <w:adjustRightInd/>
        <w:snapToGrid/>
        <w:spacing w:line="360" w:lineRule="auto"/>
        <w:ind w:firstLine="56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24ACFD0E">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本项目立项依据</w:t>
      </w:r>
      <w:r>
        <w:rPr>
          <w:rFonts w:hint="eastAsia" w:ascii="宋体" w:hAnsi="宋体" w:eastAsia="宋体" w:cs="宋体"/>
          <w:color w:val="auto"/>
          <w:sz w:val="24"/>
          <w:szCs w:val="24"/>
          <w:lang w:val="en-US" w:eastAsia="zh-CN"/>
        </w:rPr>
        <w:t>一是</w:t>
      </w:r>
      <w:r>
        <w:rPr>
          <w:rFonts w:hint="eastAsia" w:ascii="宋体" w:hAnsi="宋体" w:eastAsia="宋体" w:cs="宋体"/>
          <w:color w:val="auto"/>
          <w:sz w:val="24"/>
          <w:szCs w:val="24"/>
        </w:rPr>
        <w:t>在于落实教育公平与均衡发展战略。基于《义务教育法》及国家教育发展规划，为保障城乡学生享有同等教育资源，弥补地方财政不足，缩小城乡教育差距，提升义务教育质量，推动教育事业高质量发展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二是履行政府责任，义务教育属于公共服务范畴，政府有义务保障教育经费投入；三是促进教育发展，为义务教育阶段学生提供学杂费减免、免费教科书、营养改善等支持，有助于提升教育质量，推动教育事业均衡发展，为国家培养人才奠定基础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该项目</w:t>
      </w:r>
      <w:r>
        <w:rPr>
          <w:rFonts w:hint="eastAsia" w:ascii="宋体" w:hAnsi="宋体" w:eastAsia="宋体" w:cs="宋体"/>
          <w:color w:val="000000"/>
          <w:sz w:val="24"/>
          <w:szCs w:val="24"/>
          <w:highlight w:val="none"/>
        </w:rPr>
        <w:t>符合中央、地方事权支出责任划分原则；经检查我单位财政应用平台指标，本项目不存在重复。</w:t>
      </w:r>
    </w:p>
    <w:p w14:paraId="70DC0052">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70E4C9BF">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109FE29F">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val="en-US" w:eastAsia="zh-CN"/>
        </w:rPr>
        <w:t>2024年城乡义务教育补助经费项目</w:t>
      </w:r>
      <w:r>
        <w:rPr>
          <w:rFonts w:hint="eastAsia" w:ascii="宋体" w:hAnsi="宋体" w:eastAsia="宋体" w:cs="宋体"/>
          <w:color w:val="auto"/>
          <w:sz w:val="24"/>
          <w:szCs w:val="24"/>
          <w:highlight w:val="none"/>
        </w:rPr>
        <w:t>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810.27</w:t>
      </w:r>
      <w:r>
        <w:rPr>
          <w:rFonts w:hint="eastAsia" w:ascii="宋体" w:hAnsi="宋体" w:eastAsia="宋体" w:cs="宋体"/>
          <w:color w:val="auto"/>
          <w:sz w:val="24"/>
          <w:szCs w:val="24"/>
          <w:highlight w:val="none"/>
        </w:rPr>
        <w:t>万元，不涉及事前绩效评估和风险评估。</w:t>
      </w:r>
    </w:p>
    <w:p w14:paraId="54F62701">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68CCE9A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根据《关于下达2023年城乡义务教育补助自治区直达资金（第二批）的通知》（和地财教﹝2023﹞44号）文件实施该项目。项目主要内容：项目资金主要用于寄宿学生补助、学生伙食费及学校公用经费。通过项目的实施，有效保障学生校园生活</w:t>
      </w:r>
      <w:r>
        <w:rPr>
          <w:rFonts w:hint="eastAsia" w:ascii="宋体" w:hAnsi="宋体" w:eastAsia="宋体" w:cs="宋体"/>
          <w:color w:val="auto"/>
          <w:sz w:val="24"/>
          <w:szCs w:val="24"/>
          <w:highlight w:val="none"/>
        </w:rPr>
        <w:t>。</w:t>
      </w:r>
    </w:p>
    <w:p w14:paraId="31D265A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184757C6">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4</w:t>
      </w:r>
      <w:r>
        <w:rPr>
          <w:rFonts w:hint="eastAsia" w:ascii="宋体" w:hAnsi="宋体" w:eastAsia="宋体" w:cs="宋体"/>
          <w:b/>
          <w:bCs/>
          <w:sz w:val="24"/>
          <w:szCs w:val="24"/>
          <w:lang w:eastAsia="zh-CN"/>
        </w:rPr>
        <w:t>）</w:t>
      </w:r>
      <w:r>
        <w:rPr>
          <w:rFonts w:hint="eastAsia" w:ascii="宋体" w:hAnsi="宋体" w:eastAsia="宋体" w:cs="宋体"/>
          <w:b/>
          <w:bCs/>
          <w:sz w:val="24"/>
          <w:szCs w:val="24"/>
        </w:rPr>
        <w:t>绩效指标明确性</w:t>
      </w:r>
      <w:r>
        <w:rPr>
          <w:rFonts w:hint="eastAsia" w:ascii="宋体" w:hAnsi="宋体" w:eastAsia="宋体" w:cs="宋体"/>
          <w:b/>
          <w:bCs/>
          <w:sz w:val="24"/>
          <w:szCs w:val="24"/>
          <w:lang w:eastAsia="zh-CN"/>
        </w:rPr>
        <w:t>：</w:t>
      </w:r>
    </w:p>
    <w:p w14:paraId="00E04C0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2024年城乡义务教育补助经费项目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w:t>
      </w:r>
    </w:p>
    <w:p w14:paraId="5F07152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2024年城乡义务教育补助经费项目绩效目标申报表》中，数量指标指标值为“受益学生数量3455人”，三级指标的年度指标值与年度绩效目标中任务数一致，已设置时效指标“资金使用合规率、资金发放到位率”。已设置的绩效目标具备明确性、可衡量性、可实现性、相关性、时限性。</w:t>
      </w:r>
    </w:p>
    <w:p w14:paraId="02A1A2A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3A28D088">
      <w:pPr>
        <w:pageBreakBefore w:val="0"/>
        <w:widowControl w:val="0"/>
        <w:numPr>
          <w:ilvl w:val="0"/>
          <w:numId w:val="4"/>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预算编制科学性：</w:t>
      </w:r>
    </w:p>
    <w:p w14:paraId="598C740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关于下达2023年城乡义务教育补助自治区直达资金（第二批）的通知》（和地财教﹝2023﹞44号）文件实施该项目。项目主要内容：项目资金主要用于寄宿学生补助、学生伙食费及学校公用经费。通过项目的实施，有效保障学生校园生活。</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val="en-US" w:eastAsia="zh-CN"/>
        </w:rPr>
        <w:t>2024年城乡义务教育补助经费项目</w:t>
      </w:r>
      <w:r>
        <w:rPr>
          <w:rFonts w:hint="eastAsia" w:ascii="宋体" w:hAnsi="宋体" w:eastAsia="宋体" w:cs="宋体"/>
          <w:color w:val="auto"/>
          <w:sz w:val="24"/>
          <w:szCs w:val="24"/>
          <w:highlight w:val="none"/>
        </w:rPr>
        <w:t>实施方案》中涉及的项目内容匹配</w:t>
      </w:r>
      <w:r>
        <w:rPr>
          <w:rFonts w:hint="eastAsia" w:ascii="宋体" w:hAnsi="宋体" w:eastAsia="宋体" w:cs="宋体"/>
          <w:color w:val="000000"/>
          <w:sz w:val="24"/>
          <w:szCs w:val="24"/>
          <w:highlight w:val="none"/>
        </w:rPr>
        <w:t>。</w:t>
      </w:r>
    </w:p>
    <w:p w14:paraId="51A6CBA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810.27</w:t>
      </w:r>
      <w:r>
        <w:rPr>
          <w:rFonts w:hint="eastAsia" w:ascii="宋体" w:hAnsi="宋体" w:eastAsia="宋体" w:cs="宋体"/>
          <w:color w:val="auto"/>
          <w:sz w:val="24"/>
          <w:szCs w:val="24"/>
          <w:highlight w:val="none"/>
        </w:rPr>
        <w:t>元，我单位在预算申请中严格按照项目实施内容及测算标准进行核算，其中：</w:t>
      </w:r>
      <w:r>
        <w:rPr>
          <w:rFonts w:hint="eastAsia" w:ascii="宋体" w:hAnsi="宋体" w:eastAsia="宋体" w:cs="宋体"/>
          <w:color w:val="auto"/>
          <w:sz w:val="24"/>
          <w:szCs w:val="24"/>
          <w:highlight w:val="none"/>
          <w:lang w:val="en-US" w:eastAsia="zh-CN"/>
        </w:rPr>
        <w:t>义务教育经费316.96万元，寄宿生生活</w:t>
      </w:r>
      <w:r>
        <w:rPr>
          <w:rFonts w:hint="eastAsia" w:ascii="宋体" w:hAnsi="宋体" w:eastAsia="宋体" w:cs="宋体"/>
          <w:color w:val="auto"/>
          <w:sz w:val="24"/>
          <w:szCs w:val="24"/>
          <w:highlight w:val="none"/>
        </w:rPr>
        <w:t>补助</w:t>
      </w:r>
      <w:r>
        <w:rPr>
          <w:rFonts w:hint="eastAsia" w:ascii="宋体" w:hAnsi="宋体" w:eastAsia="宋体" w:cs="宋体"/>
          <w:color w:val="auto"/>
          <w:sz w:val="24"/>
          <w:szCs w:val="24"/>
          <w:highlight w:val="none"/>
          <w:lang w:val="en-US" w:eastAsia="zh-CN"/>
        </w:rPr>
        <w:t>194.87万元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营养改善298.45万元。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auto"/>
          <w:sz w:val="24"/>
          <w:szCs w:val="24"/>
          <w:highlight w:val="none"/>
          <w:lang w:eastAsia="zh-CN"/>
        </w:rPr>
        <w:t>。</w:t>
      </w:r>
    </w:p>
    <w:p w14:paraId="6AEEA33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分，本项目预算编制科学。</w:t>
      </w:r>
    </w:p>
    <w:p w14:paraId="734756D0">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630F01E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分配资金以《关于申请2024年城乡义务教育补助经费项目资金的请示》和《2024年城乡义务教育补助经费项目实施方案》为依据进行资金分配，预算资金分配依据充分。根据《关于下达2023年城乡义务教育补助自治区直达资金（第二批）的通知》（和地财教﹝2023﹞44号）文件，本项目实际到位资金810.27万元，资金分配额度合理，与我单位实际需求相适应。资金分配与实际相适应</w:t>
      </w:r>
      <w:r>
        <w:rPr>
          <w:rFonts w:hint="eastAsia" w:ascii="宋体" w:hAnsi="宋体" w:eastAsia="宋体" w:cs="宋体"/>
          <w:color w:val="auto"/>
          <w:sz w:val="24"/>
          <w:szCs w:val="24"/>
          <w:highlight w:val="none"/>
          <w:lang w:eastAsia="zh-CN"/>
        </w:rPr>
        <w:t>。</w:t>
      </w:r>
    </w:p>
    <w:p w14:paraId="7F1E1A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分，本项目资金分配合理。</w:t>
      </w:r>
    </w:p>
    <w:p w14:paraId="589D3E35">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7C08674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ED7B563">
      <w:pPr>
        <w:pageBreakBefore w:val="0"/>
        <w:widowControl w:val="0"/>
        <w:numPr>
          <w:ilvl w:val="0"/>
          <w:numId w:val="5"/>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7B7779F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本项目预算资金为810.27万元，其中：财政安排资金810.27万元，其他资金</w:t>
      </w:r>
      <w:r>
        <w:rPr>
          <w:rFonts w:hint="eastAsia" w:ascii="宋体" w:hAnsi="宋体" w:eastAsia="宋体" w:cs="宋体"/>
          <w:color w:val="auto"/>
          <w:sz w:val="24"/>
          <w:szCs w:val="24"/>
          <w:highlight w:val="none"/>
          <w:lang w:val="en-US" w:eastAsia="zh-CN"/>
        </w:rPr>
        <w:t>0.00</w:t>
      </w:r>
      <w:r>
        <w:rPr>
          <w:rFonts w:hint="eastAsia" w:ascii="宋体" w:hAnsi="宋体" w:eastAsia="宋体" w:cs="宋体"/>
          <w:color w:val="auto"/>
          <w:sz w:val="24"/>
          <w:szCs w:val="24"/>
          <w:highlight w:val="none"/>
        </w:rPr>
        <w:t>万元，实际到位资金810.27万元，资金到位率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6E778D7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7EDA3D43">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预算执行率：</w:t>
      </w:r>
    </w:p>
    <w:p w14:paraId="045B8DD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本项目实际支出资金810.27万元，预算执行率=（实际支出资金/实际到位资金）×100.0%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w:t>
      </w:r>
    </w:p>
    <w:p w14:paraId="090E721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2142C8A2">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资金使用合规性：</w:t>
      </w:r>
    </w:p>
    <w:p w14:paraId="34FF19A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5620A30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6656D97">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管理制度健全性：</w:t>
      </w:r>
    </w:p>
    <w:p w14:paraId="59EEA0E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2B6A2F5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01F8AEE">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制度执行有效性：</w:t>
      </w:r>
    </w:p>
    <w:p w14:paraId="04D8C29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义务教育法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洛浦县纳瓦乡中学</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1F62B94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2C12AF3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3DB0AAE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2024年城乡义务教育补助经费项目工作领导小组，由</w:t>
      </w:r>
      <w:r>
        <w:rPr>
          <w:rFonts w:hint="eastAsia" w:ascii="宋体" w:hAnsi="宋体" w:eastAsia="宋体" w:cs="宋体"/>
          <w:color w:val="auto"/>
          <w:sz w:val="24"/>
          <w:szCs w:val="24"/>
          <w:highlight w:val="none"/>
          <w:lang w:val="en-US" w:eastAsia="zh-CN"/>
        </w:rPr>
        <w:t>艾孜孜</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祖力皮亚</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如孜古丽</w:t>
      </w:r>
      <w:r>
        <w:rPr>
          <w:rFonts w:hint="eastAsia" w:ascii="宋体" w:hAnsi="宋体" w:eastAsia="宋体" w:cs="宋体"/>
          <w:color w:val="auto"/>
          <w:sz w:val="24"/>
          <w:szCs w:val="24"/>
          <w:highlight w:val="none"/>
        </w:rPr>
        <w:t>，主要负责项目监督管理、验收以及资金核拨等工作。</w:t>
      </w:r>
    </w:p>
    <w:p w14:paraId="1AE33E4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66B9329">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7E35E91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5E06AEF">
      <w:pPr>
        <w:pageBreakBefore w:val="0"/>
        <w:widowControl w:val="0"/>
        <w:numPr>
          <w:ilvl w:val="0"/>
          <w:numId w:val="6"/>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4FB32D1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受益学生数量</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=3455人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3455人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4E4D85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合计得10分。</w:t>
      </w:r>
    </w:p>
    <w:p w14:paraId="6337C91C">
      <w:pPr>
        <w:pageBreakBefore w:val="0"/>
        <w:widowControl w:val="0"/>
        <w:numPr>
          <w:ilvl w:val="0"/>
          <w:numId w:val="6"/>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2E7A54E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803D89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资金发放到位率指标，预期指标值为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058AE7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027BA4C6">
      <w:pPr>
        <w:pStyle w:val="10"/>
        <w:pageBreakBefore w:val="0"/>
        <w:widowControl w:val="0"/>
        <w:numPr>
          <w:ilvl w:val="0"/>
          <w:numId w:val="6"/>
        </w:numPr>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678B34C6">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项目开始时间指标，预期指标值为</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2024年1月</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2024年1月</w:t>
      </w:r>
      <w:r>
        <w:rPr>
          <w:rFonts w:hint="eastAsia" w:ascii="宋体" w:hAnsi="宋体" w:eastAsia="宋体" w:cs="宋体"/>
          <w:b w:val="0"/>
          <w:color w:val="auto"/>
          <w:sz w:val="24"/>
          <w:szCs w:val="24"/>
          <w:highlight w:val="none"/>
        </w:rPr>
        <w:t>，指标完成率为100%，与预期目标一致，根据评分标准，该指标不扣分，得</w:t>
      </w:r>
      <w:r>
        <w:rPr>
          <w:rFonts w:hint="eastAsia" w:ascii="宋体" w:hAnsi="宋体" w:eastAsia="宋体" w:cs="宋体"/>
          <w:b w:val="0"/>
          <w:color w:val="auto"/>
          <w:sz w:val="24"/>
          <w:szCs w:val="24"/>
          <w:highlight w:val="none"/>
          <w:lang w:val="en-US" w:eastAsia="zh-CN"/>
        </w:rPr>
        <w:t>5</w:t>
      </w:r>
      <w:r>
        <w:rPr>
          <w:rFonts w:hint="eastAsia" w:ascii="宋体" w:hAnsi="宋体" w:eastAsia="宋体" w:cs="宋体"/>
          <w:b w:val="0"/>
          <w:color w:val="auto"/>
          <w:sz w:val="24"/>
          <w:szCs w:val="24"/>
          <w:highlight w:val="none"/>
        </w:rPr>
        <w:t>分。</w:t>
      </w:r>
    </w:p>
    <w:p w14:paraId="143FFAA2">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项目</w:t>
      </w:r>
      <w:r>
        <w:rPr>
          <w:rFonts w:hint="eastAsia" w:ascii="宋体" w:hAnsi="宋体" w:eastAsia="宋体" w:cs="宋体"/>
          <w:b w:val="0"/>
          <w:color w:val="auto"/>
          <w:sz w:val="24"/>
          <w:szCs w:val="24"/>
          <w:highlight w:val="none"/>
          <w:lang w:val="en-US" w:eastAsia="zh-CN"/>
        </w:rPr>
        <w:t>结束</w:t>
      </w:r>
      <w:r>
        <w:rPr>
          <w:rFonts w:hint="eastAsia" w:ascii="宋体" w:hAnsi="宋体" w:eastAsia="宋体" w:cs="宋体"/>
          <w:b w:val="0"/>
          <w:color w:val="auto"/>
          <w:sz w:val="24"/>
          <w:szCs w:val="24"/>
          <w:highlight w:val="none"/>
        </w:rPr>
        <w:t>时间指标，预期指标值为“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w:t>
      </w: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，指标完成率为100%，与预期目标一致，根据评分标准，该指标不扣分，得</w:t>
      </w:r>
      <w:r>
        <w:rPr>
          <w:rFonts w:hint="eastAsia" w:ascii="宋体" w:hAnsi="宋体" w:eastAsia="宋体" w:cs="宋体"/>
          <w:b w:val="0"/>
          <w:color w:val="auto"/>
          <w:sz w:val="24"/>
          <w:szCs w:val="24"/>
          <w:highlight w:val="none"/>
          <w:lang w:val="en-US" w:eastAsia="zh-CN"/>
        </w:rPr>
        <w:t>5</w:t>
      </w:r>
      <w:r>
        <w:rPr>
          <w:rFonts w:hint="eastAsia" w:ascii="宋体" w:hAnsi="宋体" w:eastAsia="宋体" w:cs="宋体"/>
          <w:b w:val="0"/>
          <w:color w:val="auto"/>
          <w:sz w:val="24"/>
          <w:szCs w:val="24"/>
          <w:highlight w:val="none"/>
        </w:rPr>
        <w:t>分</w:t>
      </w:r>
      <w:r>
        <w:rPr>
          <w:rFonts w:hint="eastAsia" w:ascii="宋体" w:hAnsi="宋体" w:eastAsia="宋体" w:cs="宋体"/>
          <w:b w:val="0"/>
          <w:color w:val="auto"/>
          <w:sz w:val="24"/>
          <w:szCs w:val="24"/>
          <w:highlight w:val="none"/>
          <w:lang w:eastAsia="zh-CN"/>
        </w:rPr>
        <w:t>。</w:t>
      </w:r>
    </w:p>
    <w:p w14:paraId="5F30FE0D">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4BEE8F7A">
      <w:pPr>
        <w:pStyle w:val="45"/>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441A0EA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义务教育公用经费</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316.96万元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316.96万元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7AA5F2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寄宿生生活补助</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194.87万元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194.87万元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0093A87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营养改善</w:t>
      </w:r>
      <w:r>
        <w:rPr>
          <w:rFonts w:hint="eastAsia" w:ascii="宋体" w:hAnsi="宋体" w:eastAsia="宋体" w:cs="宋体"/>
          <w:color w:val="auto"/>
          <w:sz w:val="24"/>
          <w:szCs w:val="24"/>
          <w:highlight w:val="none"/>
        </w:rPr>
        <w:t>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298.45万元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298.45万元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3DCD586F">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b w:val="0"/>
          <w:bCs/>
          <w:color w:val="auto"/>
          <w:sz w:val="24"/>
          <w:szCs w:val="24"/>
          <w:highlight w:val="none"/>
        </w:rPr>
        <w:t>合计得10分。</w:t>
      </w:r>
    </w:p>
    <w:p w14:paraId="506F76E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5271B41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分，得分率为100%。</w:t>
      </w:r>
      <w:bookmarkEnd w:id="13"/>
    </w:p>
    <w:p w14:paraId="2B77925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47B0FFE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改善学生生活质量指标，该指标预期指标值为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分。</w:t>
      </w:r>
    </w:p>
    <w:p w14:paraId="5E32D73B">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）满意度指标分析</w:t>
      </w:r>
    </w:p>
    <w:p w14:paraId="6B1958F1">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学生满意度</w:t>
      </w:r>
      <w:r>
        <w:rPr>
          <w:rFonts w:hint="eastAsia" w:ascii="宋体" w:hAnsi="宋体" w:eastAsia="宋体" w:cs="宋体"/>
          <w:color w:val="auto"/>
          <w:sz w:val="24"/>
          <w:szCs w:val="24"/>
        </w:rPr>
        <w:t>，该指标预期指标值为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p>
    <w:p w14:paraId="671223AB">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合计得25分。</w:t>
      </w:r>
    </w:p>
    <w:p w14:paraId="5583E3C0">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10AE5D70">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810.27</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810.27</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810.27</w:t>
      </w:r>
      <w:r>
        <w:rPr>
          <w:rFonts w:hint="eastAsia" w:ascii="宋体" w:hAnsi="宋体" w:eastAsia="宋体" w:cs="宋体"/>
          <w:color w:val="auto"/>
          <w:sz w:val="24"/>
          <w:szCs w:val="24"/>
        </w:rPr>
        <w:t>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D0FDD23">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958D1FD">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综上所述本项目预算执行率与总体完成率之间</w:t>
      </w:r>
      <w:r>
        <w:rPr>
          <w:rFonts w:hint="eastAsia" w:ascii="宋体" w:hAnsi="宋体" w:eastAsia="宋体" w:cs="宋体"/>
          <w:color w:val="auto"/>
          <w:sz w:val="24"/>
          <w:szCs w:val="24"/>
          <w:lang w:val="en-US" w:eastAsia="zh-CN"/>
        </w:rPr>
        <w:t>无偏差</w:t>
      </w:r>
      <w:r>
        <w:rPr>
          <w:rFonts w:hint="eastAsia" w:ascii="宋体" w:hAnsi="宋体" w:eastAsia="宋体" w:cs="宋体"/>
          <w:color w:val="auto"/>
          <w:sz w:val="24"/>
          <w:szCs w:val="24"/>
        </w:rPr>
        <w:t>。</w:t>
      </w:r>
    </w:p>
    <w:p w14:paraId="74655755">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color w:val="auto"/>
          <w:sz w:val="24"/>
          <w:szCs w:val="24"/>
        </w:rPr>
      </w:pPr>
      <w:r>
        <w:rPr>
          <w:rFonts w:hint="eastAsia" w:ascii="黑体" w:hAnsi="黑体" w:eastAsia="黑体" w:cs="黑体"/>
          <w:b/>
          <w:bCs/>
          <w:color w:val="auto"/>
          <w:sz w:val="24"/>
          <w:szCs w:val="24"/>
        </w:rPr>
        <w:t>六、主要经验及做法、存在的问题及原因分析</w:t>
      </w:r>
    </w:p>
    <w:p w14:paraId="68C2142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（一）主要经验及做法</w:t>
      </w:r>
    </w:p>
    <w:p w14:paraId="4DC54863">
      <w:pPr>
        <w:pStyle w:val="45"/>
        <w:rPr>
          <w:rFonts w:hint="eastAsia" w:eastAsia="宋体"/>
          <w:lang w:eastAsia="zh-CN"/>
        </w:rPr>
      </w:pPr>
      <w:r>
        <w:rPr>
          <w:rFonts w:hint="eastAsia" w:ascii="宋体" w:hAnsi="宋体" w:eastAsia="宋体" w:cs="宋体"/>
          <w:color w:val="auto"/>
          <w:sz w:val="24"/>
          <w:szCs w:val="24"/>
          <w:lang w:eastAsia="zh-CN"/>
        </w:rPr>
        <w:t>资金使用规范，严格执行财务管理核算制度，加强醒目经费审批和控制，规范支出标准和范围，并严格执行，按质按量完成项目实施工作。</w:t>
      </w:r>
    </w:p>
    <w:p w14:paraId="558A9412">
      <w:pPr>
        <w:pStyle w:val="48"/>
        <w:pageBreakBefore w:val="0"/>
        <w:widowControl w:val="0"/>
        <w:numPr>
          <w:ilvl w:val="0"/>
          <w:numId w:val="7"/>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4" w:name="_Toc68364674"/>
      <w:r>
        <w:rPr>
          <w:rFonts w:hint="eastAsia" w:ascii="宋体" w:hAnsi="宋体" w:eastAsia="宋体" w:cs="宋体"/>
          <w:color w:val="auto"/>
          <w:sz w:val="24"/>
          <w:szCs w:val="24"/>
        </w:rPr>
        <w:t>存在问题及原因分析</w:t>
      </w:r>
      <w:bookmarkEnd w:id="14"/>
    </w:p>
    <w:p w14:paraId="30A7DF9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bookmarkStart w:id="15" w:name="_Toc68364675"/>
      <w:r>
        <w:rPr>
          <w:rFonts w:hint="eastAsia" w:ascii="宋体" w:hAnsi="宋体" w:eastAsia="宋体" w:cs="宋体"/>
          <w:b w:val="0"/>
          <w:bCs w:val="0"/>
          <w:color w:val="auto"/>
          <w:kern w:val="0"/>
          <w:sz w:val="24"/>
          <w:szCs w:val="24"/>
          <w:lang w:val="en-US" w:eastAsia="zh-CN" w:bidi="ar-SA"/>
        </w:rPr>
        <w:t>对项目资金管理我们认为；一是严格按照和执行资金使用的相关规定；二是根据实际情况进行经费使用，保障财政资金使用效率。三是提高工作质量，效益，节约财政资金使用。</w:t>
      </w:r>
    </w:p>
    <w:p w14:paraId="0D70C69F">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auto"/>
          <w:sz w:val="24"/>
          <w:szCs w:val="24"/>
        </w:rPr>
      </w:pPr>
      <w:r>
        <w:rPr>
          <w:rFonts w:hint="eastAsia" w:ascii="黑体" w:hAnsi="黑体" w:eastAsia="黑体" w:cs="黑体"/>
          <w:color w:val="auto"/>
          <w:sz w:val="24"/>
          <w:szCs w:val="24"/>
        </w:rPr>
        <w:t>七、有关建议</w:t>
      </w:r>
      <w:bookmarkEnd w:id="15"/>
    </w:p>
    <w:p w14:paraId="65A717E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1.完善绩效评价工作制度</w:t>
      </w:r>
    </w:p>
    <w:p w14:paraId="6CD4D27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2.加强资金管理：强化资金管理意识，加强与财政局的沟通，确保及时下达资金，合理、科学地使用资金。</w:t>
      </w:r>
    </w:p>
    <w:p w14:paraId="7D329C8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yellow"/>
          <w:lang w:val="en-US" w:eastAsia="zh-CN"/>
        </w:rPr>
      </w:pPr>
      <w:r>
        <w:rPr>
          <w:rFonts w:hint="eastAsia" w:ascii="宋体" w:hAnsi="宋体" w:eastAsia="宋体" w:cs="宋体"/>
          <w:color w:val="auto"/>
          <w:sz w:val="24"/>
          <w:szCs w:val="24"/>
          <w:highlight w:val="none"/>
          <w:lang w:val="en-US" w:eastAsia="zh-CN"/>
        </w:rPr>
        <w:t>3.提升管理队伍素质：加强本单位工作人员的专业知识培训，提升业务能力，合理分配资金使用。</w:t>
      </w:r>
      <w:bookmarkStart w:id="16" w:name="_Toc68364676"/>
    </w:p>
    <w:p w14:paraId="7D2DB20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八、其他需要说明的问题</w:t>
      </w:r>
      <w:bookmarkEnd w:id="16"/>
    </w:p>
    <w:p w14:paraId="1B2B3796">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703E9CEC">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附件1：2024年城乡义务教育补助经费项目绩效评价指标体系</w:t>
      </w:r>
    </w:p>
    <w:p w14:paraId="44C532D1">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附件2：2024年城乡义务教育补助经费项目综合得分表</w:t>
      </w:r>
    </w:p>
    <w:p w14:paraId="5C6343F5">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附件3：满意度调查问分析情况</w:t>
      </w:r>
    </w:p>
    <w:p w14:paraId="5A37CE9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0A9D9599">
      <w:pPr>
        <w:pStyle w:val="10"/>
        <w:ind w:left="0" w:leftChars="0" w:firstLine="0" w:firstLineChars="0"/>
        <w:jc w:val="both"/>
        <w:rPr>
          <w:rFonts w:hint="eastAsia" w:ascii="宋体" w:hAnsi="宋体" w:eastAsia="宋体" w:cs="宋体"/>
          <w:sz w:val="24"/>
          <w:szCs w:val="24"/>
        </w:rPr>
      </w:pPr>
    </w:p>
    <w:p w14:paraId="2AA659DB">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9"/>
        <w:gridCol w:w="590"/>
        <w:gridCol w:w="740"/>
        <w:gridCol w:w="550"/>
        <w:gridCol w:w="666"/>
        <w:gridCol w:w="551"/>
        <w:gridCol w:w="2650"/>
        <w:gridCol w:w="1118"/>
        <w:gridCol w:w="4270"/>
        <w:gridCol w:w="872"/>
        <w:gridCol w:w="602"/>
      </w:tblGrid>
      <w:tr w14:paraId="7E220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84" w:type="pct"/>
            <w:tcBorders>
              <w:top w:val="nil"/>
              <w:left w:val="nil"/>
              <w:bottom w:val="nil"/>
              <w:right w:val="nil"/>
            </w:tcBorders>
            <w:noWrap/>
            <w:vAlign w:val="center"/>
          </w:tcPr>
          <w:p w14:paraId="6F103C1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221" w:type="pct"/>
            <w:tcBorders>
              <w:top w:val="nil"/>
              <w:left w:val="nil"/>
              <w:bottom w:val="nil"/>
              <w:right w:val="nil"/>
            </w:tcBorders>
            <w:noWrap/>
            <w:vAlign w:val="center"/>
          </w:tcPr>
          <w:p w14:paraId="59828242">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77" w:type="pct"/>
            <w:tcBorders>
              <w:top w:val="nil"/>
              <w:left w:val="nil"/>
              <w:bottom w:val="nil"/>
              <w:right w:val="nil"/>
            </w:tcBorders>
            <w:noWrap/>
            <w:vAlign w:val="center"/>
          </w:tcPr>
          <w:p w14:paraId="027B7E6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06" w:type="pct"/>
            <w:tcBorders>
              <w:top w:val="nil"/>
              <w:left w:val="nil"/>
              <w:bottom w:val="nil"/>
              <w:right w:val="nil"/>
            </w:tcBorders>
            <w:noWrap/>
            <w:vAlign w:val="center"/>
          </w:tcPr>
          <w:p w14:paraId="42C23063">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49" w:type="pct"/>
            <w:tcBorders>
              <w:top w:val="nil"/>
              <w:left w:val="nil"/>
              <w:bottom w:val="nil"/>
              <w:right w:val="nil"/>
            </w:tcBorders>
            <w:noWrap/>
            <w:vAlign w:val="center"/>
          </w:tcPr>
          <w:p w14:paraId="7439C3C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06" w:type="pct"/>
            <w:tcBorders>
              <w:top w:val="nil"/>
              <w:left w:val="nil"/>
              <w:bottom w:val="nil"/>
              <w:right w:val="nil"/>
            </w:tcBorders>
            <w:noWrap/>
            <w:vAlign w:val="center"/>
          </w:tcPr>
          <w:p w14:paraId="107B2E5F">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991" w:type="pct"/>
            <w:tcBorders>
              <w:top w:val="nil"/>
              <w:left w:val="nil"/>
              <w:bottom w:val="nil"/>
              <w:right w:val="nil"/>
            </w:tcBorders>
            <w:noWrap/>
            <w:vAlign w:val="center"/>
          </w:tcPr>
          <w:p w14:paraId="0CEBB17C">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418" w:type="pct"/>
            <w:tcBorders>
              <w:top w:val="nil"/>
              <w:left w:val="nil"/>
              <w:bottom w:val="nil"/>
              <w:right w:val="nil"/>
            </w:tcBorders>
            <w:noWrap/>
            <w:vAlign w:val="center"/>
          </w:tcPr>
          <w:p w14:paraId="630716F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597" w:type="pct"/>
            <w:tcBorders>
              <w:top w:val="nil"/>
              <w:left w:val="nil"/>
              <w:bottom w:val="nil"/>
              <w:right w:val="nil"/>
            </w:tcBorders>
            <w:noWrap/>
            <w:vAlign w:val="center"/>
          </w:tcPr>
          <w:p w14:paraId="0A84959D">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326" w:type="pct"/>
            <w:tcBorders>
              <w:top w:val="nil"/>
              <w:left w:val="nil"/>
              <w:bottom w:val="nil"/>
              <w:right w:val="nil"/>
            </w:tcBorders>
            <w:noWrap/>
            <w:vAlign w:val="center"/>
          </w:tcPr>
          <w:p w14:paraId="7D1477C1">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22" w:type="pct"/>
            <w:tcBorders>
              <w:top w:val="nil"/>
              <w:left w:val="nil"/>
              <w:bottom w:val="nil"/>
              <w:right w:val="nil"/>
            </w:tcBorders>
            <w:noWrap/>
            <w:vAlign w:val="center"/>
          </w:tcPr>
          <w:p w14:paraId="476FCAE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r>
      <w:tr w14:paraId="7F2A6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02EDDBC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auto"/>
                <w:kern w:val="0"/>
                <w:sz w:val="21"/>
                <w:szCs w:val="21"/>
                <w:u w:val="none"/>
                <w:lang w:val="en-US" w:eastAsia="zh-CN"/>
              </w:rPr>
              <w:t>2024年城乡义务教育补助经费项目</w:t>
            </w:r>
            <w:r>
              <w:rPr>
                <w:rStyle w:val="58"/>
                <w:rFonts w:hint="eastAsia" w:ascii="宋体" w:hAnsi="宋体" w:eastAsia="宋体" w:cs="宋体"/>
                <w:color w:val="auto"/>
                <w:sz w:val="21"/>
                <w:szCs w:val="21"/>
                <w:lang w:val="en-US" w:eastAsia="zh-CN"/>
              </w:rPr>
              <w:t>绩效评价指标体系综合评分表</w:t>
            </w:r>
          </w:p>
        </w:tc>
      </w:tr>
      <w:tr w14:paraId="13341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84" w:type="pct"/>
            <w:tcBorders>
              <w:top w:val="single" w:color="auto" w:sz="4" w:space="0"/>
              <w:left w:val="single" w:color="auto" w:sz="4" w:space="0"/>
              <w:bottom w:val="single" w:color="auto" w:sz="4" w:space="0"/>
              <w:right w:val="single" w:color="auto" w:sz="4" w:space="0"/>
            </w:tcBorders>
            <w:noWrap w:val="0"/>
            <w:vAlign w:val="center"/>
          </w:tcPr>
          <w:p w14:paraId="3B0D97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一级指标</w:t>
            </w:r>
          </w:p>
        </w:tc>
        <w:tc>
          <w:tcPr>
            <w:tcW w:w="221" w:type="pct"/>
            <w:tcBorders>
              <w:top w:val="single" w:color="auto" w:sz="4" w:space="0"/>
              <w:left w:val="single" w:color="auto" w:sz="4" w:space="0"/>
              <w:bottom w:val="single" w:color="auto" w:sz="4" w:space="0"/>
              <w:right w:val="single" w:color="auto" w:sz="4" w:space="0"/>
            </w:tcBorders>
            <w:noWrap w:val="0"/>
            <w:vAlign w:val="center"/>
          </w:tcPr>
          <w:p w14:paraId="77416D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分值</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37470E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二级指标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0922C6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分值</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728E6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三级指标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4D54C6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分值</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66E42A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88FBE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6EA08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评分标准</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734EBD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完成值</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4E3706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得分</w:t>
            </w:r>
          </w:p>
        </w:tc>
      </w:tr>
      <w:tr w14:paraId="7EF2B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2" w:hRule="atLeast"/>
        </w:trPr>
        <w:tc>
          <w:tcPr>
            <w:tcW w:w="284" w:type="pct"/>
            <w:vMerge w:val="restart"/>
            <w:tcBorders>
              <w:top w:val="single" w:color="auto" w:sz="4" w:space="0"/>
              <w:left w:val="single" w:color="auto" w:sz="4" w:space="0"/>
              <w:bottom w:val="single" w:color="auto" w:sz="4" w:space="0"/>
              <w:right w:val="single" w:color="auto" w:sz="4" w:space="0"/>
            </w:tcBorders>
            <w:noWrap w:val="0"/>
            <w:vAlign w:val="center"/>
          </w:tcPr>
          <w:p w14:paraId="1788DA3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21" w:type="pct"/>
            <w:vMerge w:val="restart"/>
            <w:tcBorders>
              <w:top w:val="single" w:color="auto" w:sz="4" w:space="0"/>
              <w:left w:val="single" w:color="auto" w:sz="4" w:space="0"/>
              <w:bottom w:val="single" w:color="auto" w:sz="4" w:space="0"/>
              <w:right w:val="single" w:color="auto" w:sz="4" w:space="0"/>
            </w:tcBorders>
            <w:noWrap w:val="0"/>
            <w:vAlign w:val="center"/>
          </w:tcPr>
          <w:p w14:paraId="5C8A61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1C7E61E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6B857CF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D2B6E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322461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7E06A46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B19E48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F6BB22F">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0EADD5F9">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14A599F9">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7BFC59C5">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3BE1538A">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366B46DE">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297DBA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0FD438E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13DB4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7F85D3F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449ABE5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2704159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43DAC9D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74F4BFD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3C5CE54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394D49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60CCA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A2AF6B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35ADC79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145F71E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0825381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072391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341C88E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7F73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2A71B86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384A187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6E87B5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0524858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CE1ED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6B70A2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44D14A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2BF6B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BD252B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0503D6A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6D5706A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00F8D04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44020AE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126851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385D0E9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02C5B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0"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1E3C2D5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23FE49E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0EA4CD7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7A291BD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1D00AE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1811A6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6076FE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030BF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5E41C4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199F72B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0B6C616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7FD3485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4422862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31F2011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04F9C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52789FE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211384A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166341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32F7067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77550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2DAAA6E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13B1024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6B807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12F570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0F57BFA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542AC36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4683F8D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7C1FCC1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331CE86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4BE7E51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54E3E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2"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25EF7BD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535EAE6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6076119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5AB75FA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5A9156C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15ECF8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5B51217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B31F6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9ECE7B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73FB45D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3B3CB6D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67AF0FC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77DA6D3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r>
      <w:tr w14:paraId="6D247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84" w:type="pct"/>
            <w:vMerge w:val="restart"/>
            <w:tcBorders>
              <w:top w:val="single" w:color="auto" w:sz="4" w:space="0"/>
              <w:left w:val="single" w:color="auto" w:sz="4" w:space="0"/>
              <w:bottom w:val="single" w:color="auto" w:sz="4" w:space="0"/>
              <w:right w:val="single" w:color="auto" w:sz="4" w:space="0"/>
            </w:tcBorders>
            <w:noWrap w:val="0"/>
            <w:vAlign w:val="center"/>
          </w:tcPr>
          <w:p w14:paraId="6496AB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21" w:type="pct"/>
            <w:vMerge w:val="restart"/>
            <w:tcBorders>
              <w:top w:val="single" w:color="auto" w:sz="4" w:space="0"/>
              <w:left w:val="single" w:color="auto" w:sz="4" w:space="0"/>
              <w:bottom w:val="single" w:color="auto" w:sz="4" w:space="0"/>
              <w:right w:val="single" w:color="auto" w:sz="4" w:space="0"/>
            </w:tcBorders>
            <w:noWrap w:val="0"/>
            <w:vAlign w:val="center"/>
          </w:tcPr>
          <w:p w14:paraId="131566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6300282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5ED0084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818CF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1FA2C56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13A1739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380725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4F40D0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631E9CC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2865CD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7BE732C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r>
      <w:tr w14:paraId="64199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21A65FC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3FEDF3E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5A30A83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4254CDC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13A73C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5E016CA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181419E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20F7B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A4DE59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2C3CD69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36CE429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和预算执行率保持一致</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14DEC0C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763C3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1"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750D8F8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618869C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0A3A9E7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62BE941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7B07B91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6C27249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6149FA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9F1A16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6AD477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718A498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21ECE75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0EBE315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1DA4CEA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784A0BE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59252FA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6D9C6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2"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6149F6D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3E37AE2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73AF44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5954E3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48EB1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1CBA433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0763F67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1B2B2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07FB75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0097F78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29357A7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7A376D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519C180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7176A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759440E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578C361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606473E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76F0528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16712A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75041F2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754352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C9C66A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8FDF2B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6CE7222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3888D9A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7AD7F41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7A0AE7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0537C15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58B73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284" w:type="pct"/>
            <w:vMerge w:val="restart"/>
            <w:tcBorders>
              <w:top w:val="single" w:color="auto" w:sz="4" w:space="0"/>
              <w:left w:val="single" w:color="auto" w:sz="4" w:space="0"/>
              <w:bottom w:val="single" w:color="auto" w:sz="4" w:space="0"/>
              <w:right w:val="single" w:color="auto" w:sz="4" w:space="0"/>
            </w:tcBorders>
            <w:noWrap w:val="0"/>
            <w:vAlign w:val="center"/>
          </w:tcPr>
          <w:p w14:paraId="08D0CC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21" w:type="pct"/>
            <w:vMerge w:val="restart"/>
            <w:tcBorders>
              <w:top w:val="single" w:color="auto" w:sz="4" w:space="0"/>
              <w:left w:val="single" w:color="auto" w:sz="4" w:space="0"/>
              <w:bottom w:val="single" w:color="auto" w:sz="4" w:space="0"/>
              <w:right w:val="single" w:color="auto" w:sz="4" w:space="0"/>
            </w:tcBorders>
            <w:noWrap w:val="0"/>
            <w:vAlign w:val="center"/>
          </w:tcPr>
          <w:p w14:paraId="425E58E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287A65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3D8FE5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7C059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6C9C2B06">
            <w:pPr>
              <w:keepNext w:val="0"/>
              <w:keepLines w:val="0"/>
              <w:pageBreakBefore w:val="0"/>
              <w:widowControl/>
              <w:kinsoku/>
              <w:wordWrap/>
              <w:overflowPunct/>
              <w:topLinePunct w:val="0"/>
              <w:autoSpaceDE/>
              <w:autoSpaceDN/>
              <w:bidi w:val="0"/>
              <w:adjustRightInd/>
              <w:snapToGrid/>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2907E7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受益学生数量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7C22AD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=3455人</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E86BDF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①实际完成率≥100%，且偏离程度＜20%，得满分；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②实际完成率≥100%，偏离程度≥20%，得0分；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③实际完成率×100%＜100%，得分=实际完成率×指标分值。</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7324A1E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3455人</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63810282">
            <w:pPr>
              <w:keepNext w:val="0"/>
              <w:keepLines w:val="0"/>
              <w:pageBreakBefore w:val="0"/>
              <w:widowControl/>
              <w:kinsoku/>
              <w:wordWrap/>
              <w:overflowPunct/>
              <w:topLinePunct w:val="0"/>
              <w:autoSpaceDE/>
              <w:autoSpaceDN/>
              <w:bidi w:val="0"/>
              <w:adjustRightInd/>
              <w:snapToGrid/>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4B56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44B1987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4AE1E76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right w:val="single" w:color="auto" w:sz="4" w:space="0"/>
            </w:tcBorders>
            <w:noWrap w:val="0"/>
            <w:vAlign w:val="center"/>
          </w:tcPr>
          <w:p w14:paraId="65E1F24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206" w:type="pct"/>
            <w:vMerge w:val="restart"/>
            <w:tcBorders>
              <w:top w:val="single" w:color="auto" w:sz="4" w:space="0"/>
              <w:left w:val="single" w:color="auto" w:sz="4" w:space="0"/>
              <w:right w:val="single" w:color="auto" w:sz="4" w:space="0"/>
            </w:tcBorders>
            <w:noWrap w:val="0"/>
            <w:vAlign w:val="center"/>
          </w:tcPr>
          <w:p w14:paraId="75DCBE5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5F3BC2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359AF82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4729A5B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资金使用合规率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2A94F6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597" w:type="pct"/>
            <w:vMerge w:val="restart"/>
            <w:tcBorders>
              <w:top w:val="single" w:color="auto" w:sz="4" w:space="0"/>
              <w:left w:val="single" w:color="auto" w:sz="4" w:space="0"/>
              <w:right w:val="single" w:color="auto" w:sz="4" w:space="0"/>
            </w:tcBorders>
            <w:noWrap w:val="0"/>
            <w:vAlign w:val="center"/>
          </w:tcPr>
          <w:p w14:paraId="6F36531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w:t>
            </w:r>
          </w:p>
          <w:p w14:paraId="50A5597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若指标完成值达到标杆值，则得100%权重分；否则，不得分。</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62FE543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000000"/>
                <w:sz w:val="21"/>
                <w:szCs w:val="21"/>
                <w:u w:val="none"/>
              </w:rPr>
              <w:t>100%</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00BA949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418E4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5" w:hRule="atLeast"/>
        </w:trPr>
        <w:tc>
          <w:tcPr>
            <w:tcW w:w="284" w:type="pct"/>
            <w:vMerge w:val="continue"/>
            <w:tcBorders>
              <w:left w:val="single" w:color="auto" w:sz="4" w:space="0"/>
              <w:bottom w:val="single" w:color="auto" w:sz="4" w:space="0"/>
              <w:right w:val="single" w:color="auto" w:sz="4" w:space="0"/>
            </w:tcBorders>
            <w:noWrap w:val="0"/>
            <w:vAlign w:val="center"/>
          </w:tcPr>
          <w:p w14:paraId="01E153C1">
            <w:pPr>
              <w:keepNext w:val="0"/>
              <w:keepLines w:val="0"/>
              <w:pageBreakBefore w:val="0"/>
              <w:widowControl/>
              <w:kinsoku/>
              <w:wordWrap/>
              <w:overflowPunct/>
              <w:topLinePunct w:val="0"/>
              <w:autoSpaceDE/>
              <w:autoSpaceDN/>
              <w:bidi w:val="0"/>
              <w:adjustRightInd/>
              <w:snapToGrid/>
              <w:ind w:firstLine="0" w:firstLineChars="0"/>
              <w:jc w:val="center"/>
            </w:pPr>
          </w:p>
        </w:tc>
        <w:tc>
          <w:tcPr>
            <w:tcW w:w="221" w:type="pct"/>
            <w:vMerge w:val="continue"/>
            <w:tcBorders>
              <w:left w:val="single" w:color="auto" w:sz="4" w:space="0"/>
              <w:bottom w:val="single" w:color="auto" w:sz="4" w:space="0"/>
              <w:right w:val="single" w:color="auto" w:sz="4" w:space="0"/>
            </w:tcBorders>
            <w:noWrap w:val="0"/>
            <w:vAlign w:val="center"/>
          </w:tcPr>
          <w:p w14:paraId="22531E5D">
            <w:pPr>
              <w:keepNext w:val="0"/>
              <w:keepLines w:val="0"/>
              <w:pageBreakBefore w:val="0"/>
              <w:widowControl/>
              <w:kinsoku/>
              <w:wordWrap/>
              <w:overflowPunct/>
              <w:topLinePunct w:val="0"/>
              <w:autoSpaceDE/>
              <w:autoSpaceDN/>
              <w:bidi w:val="0"/>
              <w:adjustRightInd/>
              <w:snapToGrid/>
              <w:ind w:firstLine="0" w:firstLineChars="0"/>
              <w:jc w:val="center"/>
            </w:pPr>
          </w:p>
        </w:tc>
        <w:tc>
          <w:tcPr>
            <w:tcW w:w="277" w:type="pct"/>
            <w:vMerge w:val="continue"/>
            <w:tcBorders>
              <w:left w:val="single" w:color="auto" w:sz="4" w:space="0"/>
              <w:bottom w:val="single" w:color="auto" w:sz="4" w:space="0"/>
              <w:right w:val="single" w:color="auto" w:sz="4" w:space="0"/>
            </w:tcBorders>
            <w:noWrap w:val="0"/>
            <w:vAlign w:val="center"/>
          </w:tcPr>
          <w:p w14:paraId="2317145C">
            <w:pPr>
              <w:keepNext w:val="0"/>
              <w:keepLines w:val="0"/>
              <w:pageBreakBefore w:val="0"/>
              <w:widowControl/>
              <w:kinsoku/>
              <w:wordWrap/>
              <w:overflowPunct/>
              <w:topLinePunct w:val="0"/>
              <w:autoSpaceDE/>
              <w:autoSpaceDN/>
              <w:bidi w:val="0"/>
              <w:adjustRightInd/>
              <w:snapToGrid/>
              <w:ind w:firstLine="0" w:firstLineChars="0"/>
              <w:jc w:val="center"/>
            </w:pPr>
          </w:p>
        </w:tc>
        <w:tc>
          <w:tcPr>
            <w:tcW w:w="206" w:type="pct"/>
            <w:vMerge w:val="continue"/>
            <w:tcBorders>
              <w:left w:val="single" w:color="auto" w:sz="4" w:space="0"/>
              <w:bottom w:val="single" w:color="auto" w:sz="4" w:space="0"/>
              <w:right w:val="single" w:color="auto" w:sz="4" w:space="0"/>
            </w:tcBorders>
            <w:noWrap w:val="0"/>
            <w:vAlign w:val="center"/>
          </w:tcPr>
          <w:p w14:paraId="5C42AE4E">
            <w:pPr>
              <w:keepNext w:val="0"/>
              <w:keepLines w:val="0"/>
              <w:pageBreakBefore w:val="0"/>
              <w:widowControl/>
              <w:kinsoku/>
              <w:wordWrap/>
              <w:overflowPunct/>
              <w:topLinePunct w:val="0"/>
              <w:autoSpaceDE/>
              <w:autoSpaceDN/>
              <w:bidi w:val="0"/>
              <w:adjustRightInd/>
              <w:snapToGrid/>
              <w:ind w:firstLine="0" w:firstLineChars="0"/>
              <w:jc w:val="center"/>
            </w:pPr>
          </w:p>
        </w:tc>
        <w:tc>
          <w:tcPr>
            <w:tcW w:w="249" w:type="pct"/>
            <w:vMerge w:val="continue"/>
            <w:tcBorders>
              <w:left w:val="single" w:color="auto" w:sz="4" w:space="0"/>
              <w:bottom w:val="single" w:color="auto" w:sz="4" w:space="0"/>
              <w:right w:val="single" w:color="auto" w:sz="4" w:space="0"/>
            </w:tcBorders>
            <w:noWrap w:val="0"/>
            <w:vAlign w:val="center"/>
          </w:tcPr>
          <w:p w14:paraId="34C2812F">
            <w:pPr>
              <w:keepNext w:val="0"/>
              <w:keepLines w:val="0"/>
              <w:pageBreakBefore w:val="0"/>
              <w:widowControl/>
              <w:kinsoku/>
              <w:wordWrap/>
              <w:overflowPunct/>
              <w:topLinePunct w:val="0"/>
              <w:autoSpaceDE/>
              <w:autoSpaceDN/>
              <w:bidi w:val="0"/>
              <w:adjustRightInd/>
              <w:snapToGrid/>
              <w:ind w:firstLine="0" w:firstLineChars="0"/>
              <w:jc w:val="center"/>
            </w:pPr>
          </w:p>
        </w:tc>
        <w:tc>
          <w:tcPr>
            <w:tcW w:w="206" w:type="pct"/>
            <w:tcBorders>
              <w:top w:val="single" w:color="auto" w:sz="4" w:space="0"/>
              <w:left w:val="single" w:color="auto" w:sz="4" w:space="0"/>
              <w:bottom w:val="single" w:color="auto" w:sz="4" w:space="0"/>
              <w:right w:val="single" w:color="auto" w:sz="4" w:space="0"/>
            </w:tcBorders>
            <w:noWrap w:val="0"/>
            <w:vAlign w:val="center"/>
          </w:tcPr>
          <w:p w14:paraId="6007242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21F2949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资金发放到位率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6DB6D4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1597" w:type="pct"/>
            <w:vMerge w:val="continue"/>
            <w:tcBorders>
              <w:left w:val="single" w:color="auto" w:sz="4" w:space="0"/>
              <w:right w:val="single" w:color="auto" w:sz="4" w:space="0"/>
            </w:tcBorders>
            <w:noWrap w:val="0"/>
            <w:vAlign w:val="center"/>
          </w:tcPr>
          <w:p w14:paraId="6314BB3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0F55C0F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100%</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7E0DC36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714B0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1"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2814779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298012F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right w:val="single" w:color="auto" w:sz="4" w:space="0"/>
            </w:tcBorders>
            <w:noWrap w:val="0"/>
            <w:vAlign w:val="center"/>
          </w:tcPr>
          <w:p w14:paraId="586ED0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206" w:type="pct"/>
            <w:vMerge w:val="restart"/>
            <w:tcBorders>
              <w:top w:val="single" w:color="auto" w:sz="4" w:space="0"/>
              <w:left w:val="single" w:color="auto" w:sz="4" w:space="0"/>
              <w:right w:val="single" w:color="auto" w:sz="4" w:space="0"/>
            </w:tcBorders>
            <w:noWrap w:val="0"/>
            <w:vAlign w:val="center"/>
          </w:tcPr>
          <w:p w14:paraId="5B236D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1ADFC7A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670C5DC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50456C7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项目开始时间</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902250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2024年1月</w:t>
            </w:r>
          </w:p>
        </w:tc>
        <w:tc>
          <w:tcPr>
            <w:tcW w:w="1597" w:type="pct"/>
            <w:vMerge w:val="restart"/>
            <w:tcBorders>
              <w:top w:val="single" w:color="auto" w:sz="4" w:space="0"/>
              <w:left w:val="single" w:color="auto" w:sz="4" w:space="0"/>
              <w:right w:val="single" w:color="auto" w:sz="4" w:space="0"/>
            </w:tcBorders>
            <w:noWrap w:val="0"/>
            <w:vAlign w:val="center"/>
          </w:tcPr>
          <w:p w14:paraId="65E9D5E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36D371C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15E3DED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auto"/>
                <w:sz w:val="21"/>
                <w:szCs w:val="21"/>
                <w:u w:val="none"/>
              </w:rPr>
              <w:t>2024年1月</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62EC384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01DB7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1" w:hRule="atLeast"/>
        </w:trPr>
        <w:tc>
          <w:tcPr>
            <w:tcW w:w="284" w:type="pct"/>
            <w:vMerge w:val="continue"/>
            <w:tcBorders>
              <w:left w:val="single" w:color="auto" w:sz="4" w:space="0"/>
              <w:bottom w:val="single" w:color="auto" w:sz="4" w:space="0"/>
              <w:right w:val="single" w:color="auto" w:sz="4" w:space="0"/>
            </w:tcBorders>
            <w:noWrap w:val="0"/>
            <w:vAlign w:val="center"/>
          </w:tcPr>
          <w:p w14:paraId="7E935E61">
            <w:pPr>
              <w:keepNext w:val="0"/>
              <w:keepLines w:val="0"/>
              <w:pageBreakBefore w:val="0"/>
              <w:widowControl/>
              <w:kinsoku/>
              <w:wordWrap/>
              <w:overflowPunct/>
              <w:topLinePunct w:val="0"/>
              <w:autoSpaceDE/>
              <w:autoSpaceDN/>
              <w:bidi w:val="0"/>
              <w:adjustRightInd/>
              <w:snapToGrid/>
              <w:ind w:firstLine="0" w:firstLineChars="0"/>
              <w:jc w:val="center"/>
            </w:pPr>
          </w:p>
        </w:tc>
        <w:tc>
          <w:tcPr>
            <w:tcW w:w="221" w:type="pct"/>
            <w:vMerge w:val="continue"/>
            <w:tcBorders>
              <w:left w:val="single" w:color="auto" w:sz="4" w:space="0"/>
              <w:bottom w:val="single" w:color="auto" w:sz="4" w:space="0"/>
              <w:right w:val="single" w:color="auto" w:sz="4" w:space="0"/>
            </w:tcBorders>
            <w:noWrap w:val="0"/>
            <w:vAlign w:val="center"/>
          </w:tcPr>
          <w:p w14:paraId="12D993F0">
            <w:pPr>
              <w:keepNext w:val="0"/>
              <w:keepLines w:val="0"/>
              <w:pageBreakBefore w:val="0"/>
              <w:widowControl/>
              <w:kinsoku/>
              <w:wordWrap/>
              <w:overflowPunct/>
              <w:topLinePunct w:val="0"/>
              <w:autoSpaceDE/>
              <w:autoSpaceDN/>
              <w:bidi w:val="0"/>
              <w:adjustRightInd/>
              <w:snapToGrid/>
              <w:ind w:firstLine="0" w:firstLineChars="0"/>
              <w:jc w:val="center"/>
            </w:pPr>
          </w:p>
        </w:tc>
        <w:tc>
          <w:tcPr>
            <w:tcW w:w="277" w:type="pct"/>
            <w:vMerge w:val="continue"/>
            <w:tcBorders>
              <w:left w:val="single" w:color="auto" w:sz="4" w:space="0"/>
              <w:bottom w:val="single" w:color="auto" w:sz="4" w:space="0"/>
              <w:right w:val="single" w:color="auto" w:sz="4" w:space="0"/>
            </w:tcBorders>
            <w:noWrap w:val="0"/>
            <w:vAlign w:val="center"/>
          </w:tcPr>
          <w:p w14:paraId="676A86AF">
            <w:pPr>
              <w:keepNext w:val="0"/>
              <w:keepLines w:val="0"/>
              <w:pageBreakBefore w:val="0"/>
              <w:widowControl/>
              <w:kinsoku/>
              <w:wordWrap/>
              <w:overflowPunct/>
              <w:topLinePunct w:val="0"/>
              <w:autoSpaceDE/>
              <w:autoSpaceDN/>
              <w:bidi w:val="0"/>
              <w:adjustRightInd/>
              <w:snapToGrid/>
              <w:ind w:firstLine="0" w:firstLineChars="0"/>
              <w:jc w:val="center"/>
            </w:pPr>
          </w:p>
        </w:tc>
        <w:tc>
          <w:tcPr>
            <w:tcW w:w="206" w:type="pct"/>
            <w:vMerge w:val="continue"/>
            <w:tcBorders>
              <w:left w:val="single" w:color="auto" w:sz="4" w:space="0"/>
              <w:bottom w:val="single" w:color="auto" w:sz="4" w:space="0"/>
              <w:right w:val="single" w:color="auto" w:sz="4" w:space="0"/>
            </w:tcBorders>
            <w:noWrap w:val="0"/>
            <w:vAlign w:val="center"/>
          </w:tcPr>
          <w:p w14:paraId="3BE76991">
            <w:pPr>
              <w:keepNext w:val="0"/>
              <w:keepLines w:val="0"/>
              <w:pageBreakBefore w:val="0"/>
              <w:widowControl/>
              <w:kinsoku/>
              <w:wordWrap/>
              <w:overflowPunct/>
              <w:topLinePunct w:val="0"/>
              <w:autoSpaceDE/>
              <w:autoSpaceDN/>
              <w:bidi w:val="0"/>
              <w:adjustRightInd/>
              <w:snapToGrid/>
              <w:ind w:firstLine="0" w:firstLineChars="0"/>
              <w:jc w:val="center"/>
            </w:pPr>
          </w:p>
        </w:tc>
        <w:tc>
          <w:tcPr>
            <w:tcW w:w="249" w:type="pct"/>
            <w:vMerge w:val="continue"/>
            <w:tcBorders>
              <w:left w:val="single" w:color="auto" w:sz="4" w:space="0"/>
              <w:bottom w:val="single" w:color="auto" w:sz="4" w:space="0"/>
              <w:right w:val="single" w:color="auto" w:sz="4" w:space="0"/>
            </w:tcBorders>
            <w:noWrap w:val="0"/>
            <w:vAlign w:val="center"/>
          </w:tcPr>
          <w:p w14:paraId="19515A28">
            <w:pPr>
              <w:keepNext w:val="0"/>
              <w:keepLines w:val="0"/>
              <w:pageBreakBefore w:val="0"/>
              <w:widowControl/>
              <w:kinsoku/>
              <w:wordWrap/>
              <w:overflowPunct/>
              <w:topLinePunct w:val="0"/>
              <w:autoSpaceDE/>
              <w:autoSpaceDN/>
              <w:bidi w:val="0"/>
              <w:adjustRightInd/>
              <w:snapToGrid/>
              <w:ind w:firstLine="0" w:firstLineChars="0"/>
              <w:jc w:val="center"/>
            </w:pPr>
          </w:p>
        </w:tc>
        <w:tc>
          <w:tcPr>
            <w:tcW w:w="206" w:type="pct"/>
            <w:tcBorders>
              <w:top w:val="single" w:color="auto" w:sz="4" w:space="0"/>
              <w:left w:val="single" w:color="auto" w:sz="4" w:space="0"/>
              <w:bottom w:val="single" w:color="auto" w:sz="4" w:space="0"/>
              <w:right w:val="single" w:color="auto" w:sz="4" w:space="0"/>
            </w:tcBorders>
            <w:noWrap w:val="0"/>
            <w:vAlign w:val="center"/>
          </w:tcPr>
          <w:p w14:paraId="3BD85404">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4E98855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项目结束时间</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DEB913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2024年12月</w:t>
            </w:r>
          </w:p>
        </w:tc>
        <w:tc>
          <w:tcPr>
            <w:tcW w:w="1597" w:type="pct"/>
            <w:vMerge w:val="continue"/>
            <w:tcBorders>
              <w:left w:val="single" w:color="auto" w:sz="4" w:space="0"/>
              <w:bottom w:val="single" w:color="auto" w:sz="4" w:space="0"/>
              <w:right w:val="single" w:color="auto" w:sz="4" w:space="0"/>
            </w:tcBorders>
            <w:noWrap w:val="0"/>
            <w:vAlign w:val="center"/>
          </w:tcPr>
          <w:p w14:paraId="5C04642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15111DB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2024年12月</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3917463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5</w:t>
            </w:r>
          </w:p>
        </w:tc>
      </w:tr>
      <w:tr w14:paraId="4E866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7"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2498053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4B652F4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restart"/>
            <w:tcBorders>
              <w:top w:val="single" w:color="auto" w:sz="4" w:space="0"/>
              <w:left w:val="single" w:color="auto" w:sz="4" w:space="0"/>
              <w:right w:val="single" w:color="auto" w:sz="4" w:space="0"/>
            </w:tcBorders>
            <w:noWrap w:val="0"/>
            <w:vAlign w:val="center"/>
          </w:tcPr>
          <w:p w14:paraId="68F3D7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206" w:type="pct"/>
            <w:vMerge w:val="restart"/>
            <w:tcBorders>
              <w:top w:val="single" w:color="auto" w:sz="4" w:space="0"/>
              <w:left w:val="single" w:color="auto" w:sz="4" w:space="0"/>
              <w:right w:val="single" w:color="auto" w:sz="4" w:space="0"/>
            </w:tcBorders>
            <w:noWrap w:val="0"/>
            <w:vAlign w:val="center"/>
          </w:tcPr>
          <w:p w14:paraId="018AFD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111DC3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70039BC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5A9704D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义务教育公用经费</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CA1EC5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&lt;=316.96万元</w:t>
            </w:r>
          </w:p>
        </w:tc>
        <w:tc>
          <w:tcPr>
            <w:tcW w:w="1597" w:type="pct"/>
            <w:vMerge w:val="restart"/>
            <w:tcBorders>
              <w:top w:val="single" w:color="auto" w:sz="4" w:space="0"/>
              <w:left w:val="single" w:color="auto" w:sz="4" w:space="0"/>
              <w:bottom w:val="single" w:color="auto" w:sz="4" w:space="0"/>
              <w:right w:val="single" w:color="auto" w:sz="4" w:space="0"/>
            </w:tcBorders>
            <w:noWrap w:val="0"/>
            <w:vAlign w:val="center"/>
          </w:tcPr>
          <w:p w14:paraId="4EA5C11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①实际完成率＞年度指标值，得0得分；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②实际完成率≤年度指标值，且偏离程度＜20%，得满分；</w:t>
            </w:r>
            <w:r>
              <w:rPr>
                <w:rFonts w:hint="eastAsia" w:ascii="宋体" w:hAnsi="宋体" w:eastAsia="宋体" w:cs="宋体"/>
                <w:i w:val="0"/>
                <w:iCs w:val="0"/>
                <w:color w:val="000000"/>
                <w:kern w:val="0"/>
                <w:sz w:val="21"/>
                <w:szCs w:val="21"/>
                <w:u w:val="none"/>
                <w:lang w:val="en-US" w:eastAsia="zh-CN"/>
              </w:rPr>
              <w:br w:type="textWrapping"/>
            </w:r>
            <w:r>
              <w:rPr>
                <w:rFonts w:hint="eastAsia" w:ascii="宋体" w:hAnsi="宋体" w:eastAsia="宋体" w:cs="宋体"/>
                <w:i w:val="0"/>
                <w:iCs w:val="0"/>
                <w:color w:val="000000"/>
                <w:kern w:val="0"/>
                <w:sz w:val="21"/>
                <w:szCs w:val="21"/>
                <w:u w:val="none"/>
                <w:lang w:val="en-US" w:eastAsia="zh-CN"/>
              </w:rPr>
              <w:t>③实际完成率＜年度指标值，且偏离程度≥20%，得分=实际完成率×分值。</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46718D1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000000"/>
                <w:sz w:val="21"/>
                <w:szCs w:val="21"/>
                <w:u w:val="none"/>
              </w:rPr>
              <w:t>316.96万元</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19DD1A9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r>
      <w:tr w14:paraId="0AB3E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7"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51D573A9">
            <w:pPr>
              <w:keepNext w:val="0"/>
              <w:keepLines w:val="0"/>
              <w:pageBreakBefore w:val="0"/>
              <w:widowControl/>
              <w:kinsoku/>
              <w:wordWrap/>
              <w:overflowPunct/>
              <w:topLinePunct w:val="0"/>
              <w:autoSpaceDE/>
              <w:autoSpaceDN/>
              <w:bidi w:val="0"/>
              <w:adjustRightInd/>
              <w:snapToGrid/>
              <w:ind w:firstLine="0" w:firstLineChars="0"/>
              <w:jc w:val="cente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38777892">
            <w:pPr>
              <w:keepNext w:val="0"/>
              <w:keepLines w:val="0"/>
              <w:pageBreakBefore w:val="0"/>
              <w:widowControl/>
              <w:kinsoku/>
              <w:wordWrap/>
              <w:overflowPunct/>
              <w:topLinePunct w:val="0"/>
              <w:autoSpaceDE/>
              <w:autoSpaceDN/>
              <w:bidi w:val="0"/>
              <w:adjustRightInd/>
              <w:snapToGrid/>
              <w:ind w:firstLine="0" w:firstLineChars="0"/>
              <w:jc w:val="center"/>
            </w:pPr>
          </w:p>
        </w:tc>
        <w:tc>
          <w:tcPr>
            <w:tcW w:w="277" w:type="pct"/>
            <w:vMerge w:val="continue"/>
            <w:tcBorders>
              <w:left w:val="single" w:color="auto" w:sz="4" w:space="0"/>
              <w:right w:val="single" w:color="auto" w:sz="4" w:space="0"/>
            </w:tcBorders>
            <w:noWrap w:val="0"/>
            <w:vAlign w:val="center"/>
          </w:tcPr>
          <w:p w14:paraId="4B8B407B">
            <w:pPr>
              <w:keepNext w:val="0"/>
              <w:keepLines w:val="0"/>
              <w:pageBreakBefore w:val="0"/>
              <w:widowControl/>
              <w:kinsoku/>
              <w:wordWrap/>
              <w:overflowPunct/>
              <w:topLinePunct w:val="0"/>
              <w:autoSpaceDE/>
              <w:autoSpaceDN/>
              <w:bidi w:val="0"/>
              <w:adjustRightInd/>
              <w:snapToGrid/>
              <w:ind w:firstLine="0" w:firstLineChars="0"/>
              <w:jc w:val="center"/>
            </w:pPr>
          </w:p>
        </w:tc>
        <w:tc>
          <w:tcPr>
            <w:tcW w:w="206" w:type="pct"/>
            <w:vMerge w:val="continue"/>
            <w:tcBorders>
              <w:left w:val="single" w:color="auto" w:sz="4" w:space="0"/>
              <w:right w:val="single" w:color="auto" w:sz="4" w:space="0"/>
            </w:tcBorders>
            <w:noWrap w:val="0"/>
            <w:vAlign w:val="center"/>
          </w:tcPr>
          <w:p w14:paraId="5ADC7065">
            <w:pPr>
              <w:keepNext w:val="0"/>
              <w:keepLines w:val="0"/>
              <w:pageBreakBefore w:val="0"/>
              <w:widowControl/>
              <w:kinsoku/>
              <w:wordWrap/>
              <w:overflowPunct/>
              <w:topLinePunct w:val="0"/>
              <w:autoSpaceDE/>
              <w:autoSpaceDN/>
              <w:bidi w:val="0"/>
              <w:adjustRightInd/>
              <w:snapToGrid/>
              <w:ind w:firstLine="0" w:firstLineChars="0"/>
              <w:jc w:val="center"/>
            </w:pPr>
          </w:p>
        </w:tc>
        <w:tc>
          <w:tcPr>
            <w:tcW w:w="249" w:type="pct"/>
            <w:vMerge w:val="continue"/>
            <w:tcBorders>
              <w:left w:val="single" w:color="auto" w:sz="4" w:space="0"/>
              <w:right w:val="single" w:color="auto" w:sz="4" w:space="0"/>
            </w:tcBorders>
            <w:noWrap w:val="0"/>
            <w:vAlign w:val="center"/>
          </w:tcPr>
          <w:p w14:paraId="07AC17E1">
            <w:pPr>
              <w:keepNext w:val="0"/>
              <w:keepLines w:val="0"/>
              <w:pageBreakBefore w:val="0"/>
              <w:widowControl/>
              <w:kinsoku/>
              <w:wordWrap/>
              <w:overflowPunct/>
              <w:topLinePunct w:val="0"/>
              <w:autoSpaceDE/>
              <w:autoSpaceDN/>
              <w:bidi w:val="0"/>
              <w:adjustRightInd/>
              <w:snapToGrid/>
              <w:ind w:firstLine="0" w:firstLineChars="0"/>
              <w:jc w:val="center"/>
            </w:pPr>
          </w:p>
        </w:tc>
        <w:tc>
          <w:tcPr>
            <w:tcW w:w="206" w:type="pct"/>
            <w:tcBorders>
              <w:top w:val="single" w:color="auto" w:sz="4" w:space="0"/>
              <w:left w:val="single" w:color="auto" w:sz="4" w:space="0"/>
              <w:bottom w:val="single" w:color="auto" w:sz="4" w:space="0"/>
              <w:right w:val="single" w:color="auto" w:sz="4" w:space="0"/>
            </w:tcBorders>
            <w:noWrap w:val="0"/>
            <w:vAlign w:val="center"/>
          </w:tcPr>
          <w:p w14:paraId="2D7FC3C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4917A29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营养改善</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A57399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&lt;=298.45万元</w:t>
            </w:r>
          </w:p>
        </w:tc>
        <w:tc>
          <w:tcPr>
            <w:tcW w:w="1597" w:type="pct"/>
            <w:vMerge w:val="continue"/>
            <w:tcBorders>
              <w:top w:val="single" w:color="auto" w:sz="4" w:space="0"/>
              <w:left w:val="single" w:color="auto" w:sz="4" w:space="0"/>
              <w:bottom w:val="single" w:color="auto" w:sz="4" w:space="0"/>
              <w:right w:val="single" w:color="auto" w:sz="4" w:space="0"/>
            </w:tcBorders>
            <w:noWrap w:val="0"/>
            <w:vAlign w:val="center"/>
          </w:tcPr>
          <w:p w14:paraId="1CFFEC1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7418C93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298.45万元</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7E0E7A0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3</w:t>
            </w:r>
          </w:p>
        </w:tc>
      </w:tr>
      <w:tr w14:paraId="16148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7" w:hRule="atLeast"/>
        </w:trPr>
        <w:tc>
          <w:tcPr>
            <w:tcW w:w="284" w:type="pct"/>
            <w:vMerge w:val="continue"/>
            <w:tcBorders>
              <w:left w:val="single" w:color="auto" w:sz="4" w:space="0"/>
              <w:bottom w:val="single" w:color="auto" w:sz="4" w:space="0"/>
              <w:right w:val="single" w:color="auto" w:sz="4" w:space="0"/>
            </w:tcBorders>
            <w:noWrap w:val="0"/>
            <w:vAlign w:val="center"/>
          </w:tcPr>
          <w:p w14:paraId="79A2816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left w:val="single" w:color="auto" w:sz="4" w:space="0"/>
              <w:bottom w:val="single" w:color="auto" w:sz="4" w:space="0"/>
              <w:right w:val="single" w:color="auto" w:sz="4" w:space="0"/>
            </w:tcBorders>
            <w:noWrap w:val="0"/>
            <w:vAlign w:val="center"/>
          </w:tcPr>
          <w:p w14:paraId="0DD8E60D">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left w:val="single" w:color="auto" w:sz="4" w:space="0"/>
              <w:bottom w:val="single" w:color="auto" w:sz="4" w:space="0"/>
              <w:right w:val="single" w:color="auto" w:sz="4" w:space="0"/>
            </w:tcBorders>
            <w:noWrap w:val="0"/>
            <w:vAlign w:val="center"/>
          </w:tcPr>
          <w:p w14:paraId="709E7FB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left w:val="single" w:color="auto" w:sz="4" w:space="0"/>
              <w:bottom w:val="single" w:color="auto" w:sz="4" w:space="0"/>
              <w:right w:val="single" w:color="auto" w:sz="4" w:space="0"/>
            </w:tcBorders>
            <w:noWrap w:val="0"/>
            <w:vAlign w:val="center"/>
          </w:tcPr>
          <w:p w14:paraId="1FC610B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vMerge w:val="continue"/>
            <w:tcBorders>
              <w:left w:val="single" w:color="auto" w:sz="4" w:space="0"/>
              <w:bottom w:val="single" w:color="auto" w:sz="4" w:space="0"/>
              <w:right w:val="single" w:color="auto" w:sz="4" w:space="0"/>
            </w:tcBorders>
            <w:noWrap w:val="0"/>
            <w:vAlign w:val="center"/>
          </w:tcPr>
          <w:p w14:paraId="020F6D4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tcBorders>
              <w:top w:val="single" w:color="auto" w:sz="4" w:space="0"/>
              <w:left w:val="single" w:color="auto" w:sz="4" w:space="0"/>
              <w:bottom w:val="single" w:color="auto" w:sz="4" w:space="0"/>
              <w:right w:val="single" w:color="auto" w:sz="4" w:space="0"/>
            </w:tcBorders>
            <w:noWrap w:val="0"/>
            <w:vAlign w:val="center"/>
          </w:tcPr>
          <w:p w14:paraId="398688F0">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5A5B4141">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寄宿生生活补助</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4CDF44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&lt;=194.87万元</w:t>
            </w:r>
          </w:p>
        </w:tc>
        <w:tc>
          <w:tcPr>
            <w:tcW w:w="1597" w:type="pct"/>
            <w:vMerge w:val="continue"/>
            <w:tcBorders>
              <w:top w:val="single" w:color="auto" w:sz="4" w:space="0"/>
              <w:left w:val="single" w:color="auto" w:sz="4" w:space="0"/>
              <w:bottom w:val="single" w:color="auto" w:sz="4" w:space="0"/>
              <w:right w:val="single" w:color="auto" w:sz="4" w:space="0"/>
            </w:tcBorders>
            <w:noWrap w:val="0"/>
            <w:vAlign w:val="center"/>
          </w:tcPr>
          <w:p w14:paraId="242215F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5F75CDC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194.87万元</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73374C5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4</w:t>
            </w:r>
          </w:p>
        </w:tc>
      </w:tr>
      <w:tr w14:paraId="2EB36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284" w:type="pct"/>
            <w:vMerge w:val="restart"/>
            <w:tcBorders>
              <w:top w:val="single" w:color="auto" w:sz="4" w:space="0"/>
              <w:left w:val="single" w:color="auto" w:sz="4" w:space="0"/>
              <w:bottom w:val="single" w:color="auto" w:sz="4" w:space="0"/>
              <w:right w:val="single" w:color="auto" w:sz="4" w:space="0"/>
            </w:tcBorders>
            <w:noWrap w:val="0"/>
            <w:vAlign w:val="center"/>
          </w:tcPr>
          <w:p w14:paraId="1577479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21" w:type="pct"/>
            <w:vMerge w:val="restart"/>
            <w:tcBorders>
              <w:top w:val="single" w:color="auto" w:sz="4" w:space="0"/>
              <w:left w:val="single" w:color="auto" w:sz="4" w:space="0"/>
              <w:bottom w:val="single" w:color="auto" w:sz="4" w:space="0"/>
              <w:right w:val="single" w:color="auto" w:sz="4" w:space="0"/>
            </w:tcBorders>
            <w:noWrap w:val="0"/>
            <w:vAlign w:val="center"/>
          </w:tcPr>
          <w:p w14:paraId="25790FB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77" w:type="pct"/>
            <w:vMerge w:val="restart"/>
            <w:tcBorders>
              <w:top w:val="single" w:color="auto" w:sz="4" w:space="0"/>
              <w:left w:val="single" w:color="auto" w:sz="4" w:space="0"/>
              <w:bottom w:val="single" w:color="auto" w:sz="4" w:space="0"/>
              <w:right w:val="single" w:color="auto" w:sz="4" w:space="0"/>
            </w:tcBorders>
            <w:noWrap w:val="0"/>
            <w:vAlign w:val="center"/>
          </w:tcPr>
          <w:p w14:paraId="749FCC5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6" w:type="pct"/>
            <w:vMerge w:val="restart"/>
            <w:tcBorders>
              <w:top w:val="single" w:color="auto" w:sz="4" w:space="0"/>
              <w:left w:val="single" w:color="auto" w:sz="4" w:space="0"/>
              <w:bottom w:val="single" w:color="auto" w:sz="4" w:space="0"/>
              <w:right w:val="single" w:color="auto" w:sz="4" w:space="0"/>
            </w:tcBorders>
            <w:noWrap w:val="0"/>
            <w:vAlign w:val="center"/>
          </w:tcPr>
          <w:p w14:paraId="55D8AB5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62217C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3A9B299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0A1D671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改善学生生活质量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6C0954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有效改善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CD7D4B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758F8E2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有效改善</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615F7AE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15</w:t>
            </w:r>
          </w:p>
        </w:tc>
      </w:tr>
      <w:tr w14:paraId="30A33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4" w:type="pct"/>
            <w:vMerge w:val="continue"/>
            <w:tcBorders>
              <w:top w:val="single" w:color="auto" w:sz="4" w:space="0"/>
              <w:left w:val="single" w:color="auto" w:sz="4" w:space="0"/>
              <w:bottom w:val="single" w:color="auto" w:sz="4" w:space="0"/>
              <w:right w:val="single" w:color="auto" w:sz="4" w:space="0"/>
            </w:tcBorders>
            <w:noWrap w:val="0"/>
            <w:vAlign w:val="center"/>
          </w:tcPr>
          <w:p w14:paraId="49C1A9DB">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1" w:type="pct"/>
            <w:vMerge w:val="continue"/>
            <w:tcBorders>
              <w:top w:val="single" w:color="auto" w:sz="4" w:space="0"/>
              <w:left w:val="single" w:color="auto" w:sz="4" w:space="0"/>
              <w:bottom w:val="single" w:color="auto" w:sz="4" w:space="0"/>
              <w:right w:val="single" w:color="auto" w:sz="4" w:space="0"/>
            </w:tcBorders>
            <w:noWrap w:val="0"/>
            <w:vAlign w:val="center"/>
          </w:tcPr>
          <w:p w14:paraId="52DCA95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77" w:type="pct"/>
            <w:vMerge w:val="continue"/>
            <w:tcBorders>
              <w:top w:val="single" w:color="auto" w:sz="4" w:space="0"/>
              <w:left w:val="single" w:color="auto" w:sz="4" w:space="0"/>
              <w:bottom w:val="single" w:color="auto" w:sz="4" w:space="0"/>
              <w:right w:val="single" w:color="auto" w:sz="4" w:space="0"/>
            </w:tcBorders>
            <w:noWrap w:val="0"/>
            <w:vAlign w:val="center"/>
          </w:tcPr>
          <w:p w14:paraId="6997117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vMerge w:val="continue"/>
            <w:tcBorders>
              <w:top w:val="single" w:color="auto" w:sz="4" w:space="0"/>
              <w:left w:val="single" w:color="auto" w:sz="4" w:space="0"/>
              <w:bottom w:val="single" w:color="auto" w:sz="4" w:space="0"/>
              <w:right w:val="single" w:color="auto" w:sz="4" w:space="0"/>
            </w:tcBorders>
            <w:noWrap w:val="0"/>
            <w:vAlign w:val="center"/>
          </w:tcPr>
          <w:p w14:paraId="2287515F">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3CBE796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06" w:type="pct"/>
            <w:tcBorders>
              <w:top w:val="single" w:color="auto" w:sz="4" w:space="0"/>
              <w:left w:val="single" w:color="auto" w:sz="4" w:space="0"/>
              <w:bottom w:val="single" w:color="auto" w:sz="4" w:space="0"/>
              <w:right w:val="single" w:color="auto" w:sz="4" w:space="0"/>
            </w:tcBorders>
            <w:noWrap w:val="0"/>
            <w:vAlign w:val="center"/>
          </w:tcPr>
          <w:p w14:paraId="302CFC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599112B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学生满意度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DF06FD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&gt;=95%</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771245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326" w:type="pct"/>
            <w:tcBorders>
              <w:top w:val="single" w:color="auto" w:sz="4" w:space="0"/>
              <w:left w:val="single" w:color="auto" w:sz="4" w:space="0"/>
              <w:bottom w:val="single" w:color="auto" w:sz="4" w:space="0"/>
              <w:right w:val="single" w:color="auto" w:sz="4" w:space="0"/>
            </w:tcBorders>
            <w:noWrap w:val="0"/>
            <w:vAlign w:val="center"/>
          </w:tcPr>
          <w:p w14:paraId="0F74C719">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95%</w:t>
            </w:r>
          </w:p>
        </w:tc>
        <w:tc>
          <w:tcPr>
            <w:tcW w:w="222" w:type="pct"/>
            <w:tcBorders>
              <w:top w:val="single" w:color="auto" w:sz="4" w:space="0"/>
              <w:left w:val="single" w:color="auto" w:sz="4" w:space="0"/>
              <w:bottom w:val="single" w:color="auto" w:sz="4" w:space="0"/>
              <w:right w:val="single" w:color="auto" w:sz="4" w:space="0"/>
            </w:tcBorders>
            <w:noWrap w:val="0"/>
            <w:vAlign w:val="center"/>
          </w:tcPr>
          <w:p w14:paraId="5A6ACE00">
            <w:pPr>
              <w:keepNext w:val="0"/>
              <w:keepLines w:val="0"/>
              <w:pageBreakBefore w:val="0"/>
              <w:widowControl/>
              <w:kinsoku/>
              <w:wordWrap/>
              <w:overflowPunct/>
              <w:topLinePunct w:val="0"/>
              <w:autoSpaceDE/>
              <w:autoSpaceDN/>
              <w:bidi w:val="0"/>
              <w:adjustRightInd/>
              <w:snapToGrid/>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14:paraId="47B20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284" w:type="pct"/>
            <w:tcBorders>
              <w:top w:val="single" w:color="auto" w:sz="4" w:space="0"/>
              <w:left w:val="single" w:color="auto" w:sz="4" w:space="0"/>
              <w:bottom w:val="single" w:color="auto" w:sz="4" w:space="0"/>
              <w:right w:val="single" w:color="auto" w:sz="4" w:space="0"/>
            </w:tcBorders>
            <w:noWrap w:val="0"/>
            <w:vAlign w:val="center"/>
          </w:tcPr>
          <w:p w14:paraId="677774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21" w:type="pct"/>
            <w:tcBorders>
              <w:top w:val="single" w:color="auto" w:sz="4" w:space="0"/>
              <w:left w:val="single" w:color="auto" w:sz="4" w:space="0"/>
              <w:bottom w:val="single" w:color="auto" w:sz="4" w:space="0"/>
              <w:right w:val="single" w:color="auto" w:sz="4" w:space="0"/>
            </w:tcBorders>
            <w:noWrap w:val="0"/>
            <w:vAlign w:val="center"/>
          </w:tcPr>
          <w:p w14:paraId="334ADD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77" w:type="pct"/>
            <w:tcBorders>
              <w:top w:val="single" w:color="auto" w:sz="4" w:space="0"/>
              <w:left w:val="single" w:color="auto" w:sz="4" w:space="0"/>
              <w:bottom w:val="single" w:color="auto" w:sz="4" w:space="0"/>
              <w:right w:val="single" w:color="auto" w:sz="4" w:space="0"/>
            </w:tcBorders>
            <w:noWrap w:val="0"/>
            <w:vAlign w:val="center"/>
          </w:tcPr>
          <w:p w14:paraId="2596BCCA">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tcBorders>
              <w:top w:val="single" w:color="auto" w:sz="4" w:space="0"/>
              <w:left w:val="single" w:color="auto" w:sz="4" w:space="0"/>
              <w:bottom w:val="single" w:color="auto" w:sz="4" w:space="0"/>
              <w:right w:val="single" w:color="auto" w:sz="4" w:space="0"/>
            </w:tcBorders>
            <w:noWrap w:val="0"/>
            <w:vAlign w:val="center"/>
          </w:tcPr>
          <w:p w14:paraId="15F13FB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888B0C7">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06" w:type="pct"/>
            <w:tcBorders>
              <w:top w:val="single" w:color="auto" w:sz="4" w:space="0"/>
              <w:left w:val="single" w:color="auto" w:sz="4" w:space="0"/>
              <w:bottom w:val="single" w:color="auto" w:sz="4" w:space="0"/>
              <w:right w:val="single" w:color="auto" w:sz="4" w:space="0"/>
            </w:tcBorders>
            <w:noWrap w:val="0"/>
            <w:vAlign w:val="center"/>
          </w:tcPr>
          <w:p w14:paraId="24FB950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991" w:type="pct"/>
            <w:tcBorders>
              <w:top w:val="single" w:color="auto" w:sz="4" w:space="0"/>
              <w:left w:val="single" w:color="auto" w:sz="4" w:space="0"/>
              <w:bottom w:val="single" w:color="auto" w:sz="4" w:space="0"/>
              <w:right w:val="single" w:color="auto" w:sz="4" w:space="0"/>
            </w:tcBorders>
            <w:noWrap w:val="0"/>
            <w:vAlign w:val="center"/>
          </w:tcPr>
          <w:p w14:paraId="7B444E2C">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418" w:type="pct"/>
            <w:tcBorders>
              <w:top w:val="single" w:color="auto" w:sz="4" w:space="0"/>
              <w:left w:val="single" w:color="auto" w:sz="4" w:space="0"/>
              <w:bottom w:val="single" w:color="auto" w:sz="4" w:space="0"/>
              <w:right w:val="single" w:color="auto" w:sz="4" w:space="0"/>
            </w:tcBorders>
            <w:noWrap w:val="0"/>
            <w:vAlign w:val="center"/>
          </w:tcPr>
          <w:p w14:paraId="4BFA44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691A366">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326" w:type="pct"/>
            <w:tcBorders>
              <w:top w:val="single" w:color="auto" w:sz="4" w:space="0"/>
              <w:left w:val="single" w:color="auto" w:sz="4" w:space="0"/>
              <w:bottom w:val="single" w:color="auto" w:sz="4" w:space="0"/>
              <w:right w:val="single" w:color="auto" w:sz="4" w:space="0"/>
            </w:tcBorders>
            <w:noWrap w:val="0"/>
            <w:vAlign w:val="center"/>
          </w:tcPr>
          <w:p w14:paraId="3FFE29F6">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i w:val="0"/>
                <w:iCs w:val="0"/>
                <w:color w:val="000000"/>
                <w:sz w:val="21"/>
                <w:szCs w:val="21"/>
                <w:u w:val="none"/>
              </w:rPr>
            </w:pPr>
          </w:p>
        </w:tc>
        <w:tc>
          <w:tcPr>
            <w:tcW w:w="222" w:type="pct"/>
            <w:tcBorders>
              <w:top w:val="single" w:color="auto" w:sz="4" w:space="0"/>
              <w:left w:val="single" w:color="auto" w:sz="4" w:space="0"/>
              <w:bottom w:val="single" w:color="auto" w:sz="4" w:space="0"/>
              <w:right w:val="single" w:color="auto" w:sz="4" w:space="0"/>
            </w:tcBorders>
            <w:noWrap w:val="0"/>
            <w:vAlign w:val="center"/>
          </w:tcPr>
          <w:p w14:paraId="6CC1739E">
            <w:pPr>
              <w:keepNext w:val="0"/>
              <w:keepLines w:val="0"/>
              <w:pageBreakBefore w:val="0"/>
              <w:widowControl/>
              <w:kinsoku/>
              <w:wordWrap/>
              <w:overflowPunct/>
              <w:topLinePunct w:val="0"/>
              <w:autoSpaceDE/>
              <w:autoSpaceDN/>
              <w:bidi w:val="0"/>
              <w:adjustRightInd/>
              <w:snapToGrid/>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100</w:t>
            </w:r>
          </w:p>
        </w:tc>
      </w:tr>
    </w:tbl>
    <w:p w14:paraId="022B36A4">
      <w:pPr>
        <w:pStyle w:val="10"/>
        <w:rPr>
          <w:rFonts w:hint="eastAsia" w:ascii="宋体" w:hAnsi="宋体" w:eastAsia="宋体" w:cs="宋体"/>
          <w:sz w:val="24"/>
          <w:szCs w:val="24"/>
          <w:lang w:eastAsia="zh-CN"/>
        </w:rPr>
      </w:pPr>
    </w:p>
    <w:p w14:paraId="166ABC6D">
      <w:pPr>
        <w:pStyle w:val="10"/>
        <w:rPr>
          <w:rFonts w:hint="eastAsia" w:ascii="宋体" w:hAnsi="宋体" w:eastAsia="宋体" w:cs="宋体"/>
          <w:sz w:val="24"/>
          <w:szCs w:val="24"/>
          <w:lang w:eastAsia="zh-CN"/>
        </w:rPr>
      </w:pPr>
    </w:p>
    <w:p w14:paraId="47218444">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624A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3684700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p>
        </w:tc>
        <w:tc>
          <w:tcPr>
            <w:tcW w:w="1778" w:type="dxa"/>
            <w:tcBorders>
              <w:top w:val="nil"/>
              <w:left w:val="nil"/>
              <w:bottom w:val="nil"/>
              <w:right w:val="nil"/>
            </w:tcBorders>
            <w:noWrap/>
            <w:vAlign w:val="center"/>
          </w:tcPr>
          <w:p w14:paraId="76B66792">
            <w:pPr>
              <w:rPr>
                <w:rFonts w:hint="eastAsia" w:ascii="宋体" w:hAnsi="宋体" w:eastAsia="宋体" w:cs="宋体"/>
                <w:i w:val="0"/>
                <w:iCs w:val="0"/>
                <w:color w:val="auto"/>
                <w:sz w:val="22"/>
                <w:szCs w:val="22"/>
                <w:u w:val="none"/>
              </w:rPr>
            </w:pPr>
          </w:p>
        </w:tc>
        <w:tc>
          <w:tcPr>
            <w:tcW w:w="2786" w:type="dxa"/>
            <w:tcBorders>
              <w:top w:val="nil"/>
              <w:left w:val="nil"/>
              <w:bottom w:val="nil"/>
              <w:right w:val="nil"/>
            </w:tcBorders>
            <w:noWrap/>
            <w:vAlign w:val="center"/>
          </w:tcPr>
          <w:p w14:paraId="48685A9A">
            <w:pPr>
              <w:rPr>
                <w:rFonts w:hint="eastAsia" w:ascii="宋体" w:hAnsi="宋体" w:eastAsia="宋体" w:cs="宋体"/>
                <w:i w:val="0"/>
                <w:iCs w:val="0"/>
                <w:color w:val="auto"/>
                <w:sz w:val="22"/>
                <w:szCs w:val="22"/>
                <w:u w:val="none"/>
              </w:rPr>
            </w:pPr>
          </w:p>
        </w:tc>
        <w:tc>
          <w:tcPr>
            <w:tcW w:w="2314" w:type="dxa"/>
            <w:tcBorders>
              <w:top w:val="nil"/>
              <w:left w:val="nil"/>
              <w:bottom w:val="nil"/>
              <w:right w:val="nil"/>
            </w:tcBorders>
            <w:noWrap/>
            <w:vAlign w:val="center"/>
          </w:tcPr>
          <w:p w14:paraId="31A053A5">
            <w:pPr>
              <w:rPr>
                <w:rFonts w:hint="eastAsia" w:ascii="宋体" w:hAnsi="宋体" w:eastAsia="宋体" w:cs="宋体"/>
                <w:i w:val="0"/>
                <w:iCs w:val="0"/>
                <w:color w:val="auto"/>
                <w:sz w:val="22"/>
                <w:szCs w:val="22"/>
                <w:u w:val="none"/>
              </w:rPr>
            </w:pPr>
          </w:p>
        </w:tc>
        <w:tc>
          <w:tcPr>
            <w:tcW w:w="3449" w:type="dxa"/>
            <w:tcBorders>
              <w:top w:val="nil"/>
              <w:left w:val="nil"/>
              <w:bottom w:val="nil"/>
              <w:right w:val="nil"/>
            </w:tcBorders>
            <w:noWrap/>
            <w:vAlign w:val="center"/>
          </w:tcPr>
          <w:p w14:paraId="5B3D3217">
            <w:pPr>
              <w:rPr>
                <w:rFonts w:hint="eastAsia" w:ascii="宋体" w:hAnsi="宋体" w:eastAsia="宋体" w:cs="宋体"/>
                <w:i w:val="0"/>
                <w:iCs w:val="0"/>
                <w:color w:val="auto"/>
                <w:sz w:val="22"/>
                <w:szCs w:val="22"/>
                <w:u w:val="none"/>
              </w:rPr>
            </w:pPr>
          </w:p>
        </w:tc>
        <w:tc>
          <w:tcPr>
            <w:tcW w:w="1331" w:type="dxa"/>
            <w:tcBorders>
              <w:top w:val="nil"/>
              <w:left w:val="nil"/>
              <w:bottom w:val="nil"/>
              <w:right w:val="nil"/>
            </w:tcBorders>
            <w:noWrap/>
            <w:vAlign w:val="center"/>
          </w:tcPr>
          <w:p w14:paraId="0C6E6292">
            <w:pPr>
              <w:rPr>
                <w:rFonts w:hint="eastAsia" w:ascii="宋体" w:hAnsi="宋体" w:eastAsia="宋体" w:cs="宋体"/>
                <w:i w:val="0"/>
                <w:iCs w:val="0"/>
                <w:color w:val="auto"/>
                <w:sz w:val="22"/>
                <w:szCs w:val="22"/>
                <w:u w:val="none"/>
              </w:rPr>
            </w:pPr>
          </w:p>
        </w:tc>
      </w:tr>
      <w:tr w14:paraId="4629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6D802843">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2024年城乡义务教育补助经费项目综合得分表</w:t>
            </w:r>
          </w:p>
        </w:tc>
      </w:tr>
      <w:tr w14:paraId="48677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6C2138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B63F09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C8D7CE">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B87100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276D6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632CB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19EF0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5378AA1">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923F7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28A9EC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C8E76F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FB085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7782F44">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018CF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A1888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65F6D0">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307EB3">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811FD0">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CF08C8F">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C98A786">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49D56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214FE2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48EEEB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8E7F0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59446F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ECA5AA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7653DA0">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bl>
    <w:p w14:paraId="2C3F0C59">
      <w:pPr>
        <w:pStyle w:val="10"/>
        <w:ind w:left="0" w:leftChars="0" w:firstLine="0" w:firstLineChars="0"/>
        <w:jc w:val="both"/>
        <w:rPr>
          <w:rFonts w:hint="default" w:ascii="宋体" w:hAnsi="宋体" w:eastAsia="宋体" w:cs="宋体"/>
          <w:sz w:val="24"/>
          <w:szCs w:val="24"/>
          <w:lang w:val="en-US" w:eastAsia="zh-CN"/>
        </w:rPr>
      </w:pPr>
    </w:p>
    <w:p w14:paraId="3BE81A71">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5E21981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0A3A76A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2024年城乡义务教育补助经费项目</w:t>
      </w:r>
    </w:p>
    <w:p w14:paraId="325F10C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7CD1928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4201E90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为客观评价该项目的社会效果，了解</w:t>
      </w:r>
      <w:r>
        <w:rPr>
          <w:rFonts w:hint="eastAsia" w:ascii="宋体" w:hAnsi="宋体" w:eastAsia="宋体" w:cs="宋体"/>
          <w:sz w:val="24"/>
          <w:szCs w:val="24"/>
          <w:highlight w:val="none"/>
          <w:lang w:val="en-US" w:eastAsia="zh-CN"/>
        </w:rPr>
        <w:t>项目受益群体</w:t>
      </w:r>
      <w:r>
        <w:rPr>
          <w:rFonts w:hint="eastAsia" w:ascii="宋体" w:hAnsi="宋体" w:eastAsia="宋体" w:cs="宋体"/>
          <w:sz w:val="24"/>
          <w:szCs w:val="24"/>
          <w:highlight w:val="none"/>
        </w:rPr>
        <w:t>对项目</w:t>
      </w:r>
      <w:r>
        <w:rPr>
          <w:rFonts w:hint="eastAsia" w:ascii="宋体" w:hAnsi="宋体" w:eastAsia="宋体" w:cs="宋体"/>
          <w:sz w:val="24"/>
          <w:szCs w:val="24"/>
          <w:highlight w:val="none"/>
          <w:lang w:val="en-US" w:eastAsia="zh-CN"/>
        </w:rPr>
        <w:t>实施后</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真实</w:t>
      </w:r>
      <w:r>
        <w:rPr>
          <w:rFonts w:hint="eastAsia" w:ascii="宋体" w:hAnsi="宋体" w:eastAsia="宋体" w:cs="宋体"/>
          <w:sz w:val="24"/>
          <w:szCs w:val="24"/>
          <w:highlight w:val="none"/>
        </w:rPr>
        <w:t>评价情况，对本项目</w:t>
      </w:r>
      <w:r>
        <w:rPr>
          <w:rFonts w:hint="eastAsia" w:ascii="宋体" w:hAnsi="宋体" w:eastAsia="宋体" w:cs="宋体"/>
          <w:sz w:val="24"/>
          <w:szCs w:val="24"/>
          <w:highlight w:val="none"/>
          <w:lang w:eastAsia="zh-CN"/>
        </w:rPr>
        <w:t>开展</w:t>
      </w:r>
      <w:r>
        <w:rPr>
          <w:rFonts w:hint="eastAsia" w:ascii="宋体" w:hAnsi="宋体" w:eastAsia="宋体" w:cs="宋体"/>
          <w:sz w:val="24"/>
          <w:szCs w:val="24"/>
          <w:highlight w:val="none"/>
        </w:rPr>
        <w:t>满意度问卷调查。问卷调查工作情况如下。问卷调查工作情况如下：</w:t>
      </w:r>
    </w:p>
    <w:p w14:paraId="708FD14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一、该问卷调查从2025年2月20日开始至2025年2月25日结束，调查问卷共设置3道题目。</w:t>
      </w:r>
    </w:p>
    <w:p w14:paraId="777CAE7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595C3F1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的受益对象为</w:t>
      </w:r>
      <w:r>
        <w:rPr>
          <w:rFonts w:hint="eastAsia" w:ascii="宋体" w:hAnsi="宋体" w:eastAsia="宋体" w:cs="宋体"/>
          <w:sz w:val="24"/>
          <w:szCs w:val="24"/>
          <w:highlight w:val="none"/>
          <w:lang w:val="en-US" w:eastAsia="zh-CN"/>
        </w:rPr>
        <w:t>学校学生</w:t>
      </w:r>
      <w:r>
        <w:rPr>
          <w:rFonts w:hint="eastAsia" w:ascii="宋体" w:hAnsi="宋体" w:eastAsia="宋体" w:cs="宋体"/>
          <w:sz w:val="24"/>
          <w:szCs w:val="24"/>
          <w:highlight w:val="none"/>
        </w:rPr>
        <w:t>。</w:t>
      </w:r>
    </w:p>
    <w:p w14:paraId="60A2FA37">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7BC326D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①您对2024年城乡义务教育补助经费项目的</w:t>
      </w:r>
      <w:r>
        <w:rPr>
          <w:rFonts w:hint="eastAsia" w:ascii="宋体" w:hAnsi="宋体" w:eastAsia="宋体" w:cs="宋体"/>
          <w:color w:val="auto"/>
          <w:sz w:val="24"/>
          <w:szCs w:val="24"/>
          <w:highlight w:val="none"/>
          <w:lang w:val="en-US" w:eastAsia="zh-CN"/>
        </w:rPr>
        <w:t>实施</w:t>
      </w:r>
      <w:r>
        <w:rPr>
          <w:rFonts w:hint="eastAsia" w:ascii="宋体" w:hAnsi="宋体" w:eastAsia="宋体" w:cs="宋体"/>
          <w:sz w:val="24"/>
          <w:szCs w:val="24"/>
          <w:highlight w:val="none"/>
          <w:lang w:val="en-US" w:eastAsia="zh-CN"/>
        </w:rPr>
        <w:t>是否满意?</w:t>
      </w:r>
    </w:p>
    <w:p w14:paraId="2E1FE96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lang w:val="en-US" w:eastAsia="zh-CN"/>
        </w:rPr>
      </w:pPr>
      <w:r>
        <w:rPr>
          <w:rFonts w:hint="eastAsia" w:ascii="宋体" w:hAnsi="宋体" w:eastAsia="宋体" w:cs="宋体"/>
          <w:color w:val="auto"/>
          <w:sz w:val="24"/>
          <w:szCs w:val="24"/>
          <w:highlight w:val="none"/>
          <w:lang w:val="en-US" w:eastAsia="zh-CN"/>
        </w:rPr>
        <w:t>A.非常满意   B.满意    C.不满意</w:t>
      </w:r>
    </w:p>
    <w:p w14:paraId="746CE7C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②您认为项目的实施对改善学生生活质量的程度如何？</w:t>
      </w:r>
    </w:p>
    <w:p w14:paraId="693B9373">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有效改善  B.改善    C.无效果</w:t>
      </w:r>
    </w:p>
    <w:p w14:paraId="7E51DD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③总的来说，您对完成教育教学活动和其他日常工作任务等方面的整体满意程度如何？</w:t>
      </w:r>
    </w:p>
    <w:p w14:paraId="2F11E52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A.非常满意   B.满意    C.不满意</w:t>
      </w:r>
    </w:p>
    <w:p w14:paraId="5FCB6DE5">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2A5BB07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分层</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随机抽样相结合</w:t>
      </w:r>
      <w:r>
        <w:rPr>
          <w:rFonts w:hint="eastAsia" w:ascii="宋体" w:hAnsi="宋体" w:eastAsia="宋体" w:cs="宋体"/>
          <w:sz w:val="24"/>
          <w:szCs w:val="24"/>
          <w:highlight w:val="none"/>
        </w:rPr>
        <w:t>的方式进行。在全面</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开展之前会先进行论证，依据论证结果对问卷和抽样方案再进行一次修改和调整</w:t>
      </w:r>
      <w:r>
        <w:rPr>
          <w:rFonts w:hint="eastAsia" w:ascii="宋体" w:hAnsi="宋体" w:eastAsia="宋体" w:cs="宋体"/>
          <w:sz w:val="24"/>
          <w:szCs w:val="24"/>
          <w:highlight w:val="none"/>
          <w:lang w:val="en-US" w:eastAsia="zh-CN"/>
        </w:rPr>
        <w:t>之后再付诸实施</w:t>
      </w:r>
      <w:r>
        <w:rPr>
          <w:rFonts w:hint="eastAsia" w:ascii="宋体" w:hAnsi="宋体" w:eastAsia="宋体" w:cs="宋体"/>
          <w:sz w:val="24"/>
          <w:szCs w:val="24"/>
          <w:highlight w:val="none"/>
        </w:rPr>
        <w:t>。</w:t>
      </w:r>
    </w:p>
    <w:p w14:paraId="094079F2">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03708E4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为确保问卷</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的全面性和代表性，本次</w:t>
      </w:r>
      <w:r>
        <w:rPr>
          <w:rFonts w:hint="eastAsia" w:ascii="宋体" w:hAnsi="宋体" w:eastAsia="宋体" w:cs="宋体"/>
          <w:sz w:val="24"/>
          <w:szCs w:val="24"/>
          <w:highlight w:val="none"/>
          <w:lang w:eastAsia="zh-CN"/>
        </w:rPr>
        <w:t>调查</w:t>
      </w:r>
      <w:r>
        <w:rPr>
          <w:rFonts w:hint="eastAsia" w:ascii="宋体" w:hAnsi="宋体" w:eastAsia="宋体" w:cs="宋体"/>
          <w:sz w:val="24"/>
          <w:szCs w:val="24"/>
          <w:highlight w:val="none"/>
        </w:rPr>
        <w:t>问卷调查采取</w:t>
      </w:r>
      <w:r>
        <w:rPr>
          <w:rFonts w:hint="eastAsia" w:ascii="宋体" w:hAnsi="宋体" w:eastAsia="宋体" w:cs="宋体"/>
          <w:sz w:val="24"/>
          <w:szCs w:val="24"/>
          <w:highlight w:val="none"/>
          <w:lang w:val="en-US" w:eastAsia="zh-CN"/>
        </w:rPr>
        <w:t>随机</w:t>
      </w:r>
      <w:r>
        <w:rPr>
          <w:rFonts w:hint="eastAsia" w:ascii="宋体" w:hAnsi="宋体" w:eastAsia="宋体" w:cs="宋体"/>
          <w:sz w:val="24"/>
          <w:szCs w:val="24"/>
          <w:highlight w:val="none"/>
        </w:rPr>
        <w:t>抽样和</w:t>
      </w:r>
      <w:r>
        <w:rPr>
          <w:rFonts w:hint="eastAsia" w:ascii="宋体" w:hAnsi="宋体" w:eastAsia="宋体" w:cs="宋体"/>
          <w:sz w:val="24"/>
          <w:szCs w:val="24"/>
          <w:highlight w:val="none"/>
          <w:lang w:val="en-US" w:eastAsia="zh-CN"/>
        </w:rPr>
        <w:t>分层抽样相结合</w:t>
      </w:r>
      <w:r>
        <w:rPr>
          <w:rFonts w:hint="eastAsia" w:ascii="宋体" w:hAnsi="宋体" w:eastAsia="宋体" w:cs="宋体"/>
          <w:sz w:val="24"/>
          <w:szCs w:val="24"/>
          <w:highlight w:val="none"/>
        </w:rPr>
        <w:t>方式进行。</w:t>
      </w:r>
    </w:p>
    <w:p w14:paraId="7AD6466C">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179A90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5E2D3A48">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46020EF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本次调查过程中，评价小组实际发放问卷30份，回收问卷30份，问卷回收率为100.00%，有效问卷30份，有效回收率100.00%，本次调查的整体情况如下：</w:t>
      </w:r>
    </w:p>
    <w:p w14:paraId="689BC9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682BFCD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2D5626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43C2784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74A8D7F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2024年城乡义务教育补助经费项目针对受益人员发放30份调查问卷，最终统计受益人群满意度为100%。</w:t>
      </w:r>
    </w:p>
    <w:p w14:paraId="7445E6D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6F030AC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洛浦县纳瓦乡中学</w:t>
      </w:r>
    </w:p>
    <w:p w14:paraId="55446B0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2025年2月16日</w:t>
      </w:r>
    </w:p>
    <w:p w14:paraId="2F7FC924">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66E7DA-CD8F-4B6A-B271-0C03C44D2DF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2" w:fontKey="{B742F2F8-F110-431E-80AB-2C6E8608175C}"/>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6799A">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294926D9">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B1143">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5"/>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abstractNum w:abstractNumId="6">
    <w:nsid w:val="59ADCABA"/>
    <w:multiLevelType w:val="singleLevel"/>
    <w:tmpl w:val="59ADCABA"/>
    <w:lvl w:ilvl="0" w:tentative="0">
      <w:start w:val="1"/>
      <w:numFmt w:val="decimal"/>
      <w:suff w:val="nothing"/>
      <w:lvlText w:val="（%1）"/>
      <w:lvlJc w:val="left"/>
    </w:lvl>
  </w:abstractNum>
  <w:abstractNum w:abstractNumId="7">
    <w:nsid w:val="72183CF9"/>
    <w:multiLevelType w:val="singleLevel"/>
    <w:tmpl w:val="72183CF9"/>
    <w:lvl w:ilvl="0" w:tentative="0">
      <w:start w:val="1"/>
      <w:numFmt w:val="upperLetter"/>
      <w:lvlText w:val="%1."/>
      <w:lvlJc w:val="left"/>
      <w:pPr>
        <w:tabs>
          <w:tab w:val="left" w:pos="312"/>
        </w:tabs>
      </w:p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9C90A8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qFormat/>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2ABE599263C24D85AB12571F5FB45268_13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7ae71d-d2b1-46fa-aa87-98118bf656c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10787</Words>
  <Characters>11367</Characters>
  <Lines>44</Lines>
  <Paragraphs>12</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2025-10-10T10:47:46Z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2ABE599263C24D85AB12571F5FB45268_13</vt:lpwstr>
  </property>
  <property fmtid="{D5CDD505-2E9C-101B-9397-08002B2CF9AE}" pid="4" name="KSOTemplateDocerSaveRecord">
    <vt:lpwstr>eyJoZGlkIjoiZDE5MGZhMTJhZDM2OTQwYzkzYWVjM2FhZDUxN2Q0M2IiLCJ1c2VySWQiOiI2NTE5NDIwMjYifQ_x003D__x003D_</vt:lpwstr>
  </property>
</Properties>
</file>