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22E85D">
      <w:bookmarkStart w:id="16" w:name="_GoBack"/>
      <w:bookmarkEnd w:id="16"/>
    </w:p>
    <w:p w14:paraId="2D754B17">
      <w:pPr>
        <w:pStyle w:val="2"/>
        <w:ind w:left="0" w:leftChars="0" w:firstLine="0" w:firstLineChars="0"/>
        <w:rPr>
          <w:rFonts w:hint="eastAsia" w:eastAsia="方正仿宋_GBK" w:cs="方正仿宋_GBK"/>
          <w:b/>
          <w:color w:val="auto"/>
          <w:kern w:val="0"/>
          <w:sz w:val="32"/>
          <w:szCs w:val="32"/>
          <w:lang w:eastAsia="zh-CN" w:bidi="en-US"/>
        </w:rPr>
      </w:pPr>
      <w:r>
        <w:rPr>
          <w:rFonts w:hint="eastAsia" w:eastAsia="方正仿宋_GBK" w:cs="方正仿宋_GBK"/>
          <w:b/>
          <w:color w:val="auto"/>
          <w:kern w:val="0"/>
          <w:sz w:val="32"/>
          <w:szCs w:val="32"/>
          <w:lang w:eastAsia="zh-CN" w:bidi="en-US"/>
        </w:rPr>
        <w:pict>
          <v:shape id="_x0000_s1025" o:spid="_x0000_s1025" o:spt="75" alt="2" type="#_x0000_t75" style="position:absolute;left:0pt;margin-left:-12.85pt;margin-top:-19.8pt;height:532.1pt;width:441.2pt;mso-wrap-distance-bottom:0pt;mso-wrap-distance-left:9pt;mso-wrap-distance-right:9pt;mso-wrap-distance-top:0pt;z-index:251659264;mso-width-relative:page;mso-height-relative:page;" filled="f" o:preferrelative="t" stroked="f" coordsize="21600,21600">
            <v:path/>
            <v:fill on="f" focussize="0,0"/>
            <v:stroke on="f" joinstyle="miter"/>
            <v:imagedata r:id="rId9" croptop="5268f" cropbottom="4930f" o:title="2"/>
            <o:lock v:ext="edit" aspectratio="t"/>
            <w10:wrap type="square"/>
          </v:shape>
        </w:pict>
      </w:r>
    </w:p>
    <w:p w14:paraId="105E53BD">
      <w:pPr>
        <w:pStyle w:val="2"/>
        <w:ind w:left="0" w:leftChars="0" w:firstLine="0" w:firstLineChars="0"/>
        <w:rPr>
          <w:rFonts w:hint="eastAsia" w:eastAsia="方正仿宋_GBK" w:cs="方正仿宋_GBK"/>
          <w:b/>
          <w:color w:val="auto"/>
          <w:kern w:val="0"/>
          <w:sz w:val="28"/>
          <w:szCs w:val="28"/>
          <w:lang w:bidi="en-US"/>
        </w:rPr>
      </w:pPr>
    </w:p>
    <w:p w14:paraId="08AB2FED">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color w:val="auto"/>
          <w:sz w:val="24"/>
          <w:szCs w:val="24"/>
          <w:lang w:val="en-US" w:eastAsia="zh-CN"/>
        </w:rPr>
        <w:sectPr>
          <w:headerReference r:id="rId5" w:type="default"/>
          <w:footerReference r:id="rId6" w:type="default"/>
          <w:pgSz w:w="11906" w:h="16838"/>
          <w:pgMar w:top="1985" w:right="1531" w:bottom="1701" w:left="1531" w:header="851" w:footer="992" w:gutter="0"/>
          <w:pgNumType w:fmt="decimal" w:start="1"/>
          <w:cols w:space="720" w:num="1"/>
          <w:docGrid w:type="linesAndChars" w:linePitch="386" w:charSpace="0"/>
        </w:sectPr>
      </w:pPr>
      <w:bookmarkStart w:id="0" w:name="_Toc68364657"/>
    </w:p>
    <w:bookmarkEnd w:id="0"/>
    <w:p w14:paraId="39102A5B">
      <w:pPr>
        <w:pStyle w:val="3"/>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7AB535C4">
      <w:pPr>
        <w:pStyle w:val="46"/>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1"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1"/>
    </w:p>
    <w:p w14:paraId="6148D9ED">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653E73F7">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为落实国家教育资助政策，减轻家庭经济困难学生的负担，推进教育公平，根据和地财教【2023】59号文件，洛浦县中等职业学校获得中央直达资金共计1232.56万元，专项用于中等职业学校免学费及助学金项目。</w:t>
      </w:r>
    </w:p>
    <w:p w14:paraId="5D22612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5D44BEBE">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50729E09">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关于提前下达2024年学生资助补助经费预算（中央直达资金）通知》--（和地财教〔2023〕59号）实施此项目，主要内容为：保证中等职业学校建档立卡学生人数2526人，为2526位建档学生发放中等职业学校教育补助，补助标准为2000元/年，项目将保证建档学生享受补助覆盖率达到100.00%。通过项目实施，可以有效保障家庭经济困难学生生活水平，同时减轻学校建档立卡学生家庭教育负担，使生活家庭经济困难学生接受公平而有质量的教育。</w:t>
      </w:r>
    </w:p>
    <w:p w14:paraId="0D09C5F3">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家庭经济困难学生减免学费，包括学费、课本费（自治区教育厅规定的中等职业学校必修课教材和规定选修课教材）和住宿费、公用经费；为家庭经济困难学生发放助学金，依据困难程度分档发放，标准为每生每年1000-3000元。</w:t>
      </w:r>
    </w:p>
    <w:p w14:paraId="620E99E1">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30C3926C">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1B123F1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本项目主管部门为洛浦县洛浦县教育局，实施单位为洛浦县中等职业学校。</w:t>
      </w:r>
    </w:p>
    <w:p w14:paraId="2A262D64">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52CC2C2D">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2024年1月-2024年12月</w:t>
      </w:r>
    </w:p>
    <w:p w14:paraId="6F06ABE0">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46714B9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本</w:t>
      </w:r>
      <w:r>
        <w:rPr>
          <w:rFonts w:hint="eastAsia" w:ascii="宋体" w:hAnsi="宋体" w:eastAsia="宋体" w:cs="宋体"/>
          <w:sz w:val="24"/>
          <w:szCs w:val="24"/>
          <w:highlight w:val="none"/>
          <w:lang w:val="en-US" w:eastAsia="zh-CN"/>
        </w:rPr>
        <w:t>项目</w:t>
      </w:r>
      <w:r>
        <w:rPr>
          <w:rFonts w:hint="default" w:ascii="宋体" w:hAnsi="宋体" w:eastAsia="宋体" w:cs="宋体"/>
          <w:sz w:val="24"/>
          <w:szCs w:val="24"/>
          <w:highlight w:val="none"/>
          <w:lang w:val="en-US" w:eastAsia="zh-CN"/>
        </w:rPr>
        <w:t>于202</w:t>
      </w:r>
      <w:r>
        <w:rPr>
          <w:rFonts w:hint="eastAsia" w:ascii="宋体" w:hAnsi="宋体" w:eastAsia="宋体" w:cs="宋体"/>
          <w:sz w:val="24"/>
          <w:szCs w:val="24"/>
          <w:highlight w:val="none"/>
          <w:lang w:val="en-US" w:eastAsia="zh-CN"/>
        </w:rPr>
        <w:t>4</w:t>
      </w:r>
      <w:r>
        <w:rPr>
          <w:rFonts w:hint="default" w:ascii="宋体" w:hAnsi="宋体" w:eastAsia="宋体" w:cs="宋体"/>
          <w:sz w:val="24"/>
          <w:szCs w:val="24"/>
          <w:highlight w:val="none"/>
          <w:lang w:val="en-US" w:eastAsia="zh-CN"/>
        </w:rPr>
        <w:t>年12月25日前全部</w:t>
      </w:r>
      <w:r>
        <w:rPr>
          <w:rFonts w:hint="eastAsia" w:ascii="宋体" w:hAnsi="宋体" w:eastAsia="宋体" w:cs="宋体"/>
          <w:sz w:val="24"/>
          <w:szCs w:val="24"/>
          <w:highlight w:val="none"/>
          <w:lang w:val="en-US" w:eastAsia="zh-CN"/>
        </w:rPr>
        <w:t>完成</w:t>
      </w:r>
      <w:r>
        <w:rPr>
          <w:rFonts w:hint="default" w:ascii="宋体" w:hAnsi="宋体" w:eastAsia="宋体" w:cs="宋体"/>
          <w:sz w:val="24"/>
          <w:szCs w:val="24"/>
          <w:highlight w:val="none"/>
          <w:lang w:val="en-US" w:eastAsia="zh-CN"/>
        </w:rPr>
        <w:t>。</w:t>
      </w:r>
    </w:p>
    <w:p w14:paraId="1BCE0D58">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单位通过落实此项目，保证中等职业学校建档立卡学生人数2526人，为2526位建档学生发放中等职业学校教育补助，按要求发放完成2526学生的中等职业学校助学金，项目将保证建档学生享受补助覆盖率达到100.00%。通过项目实施，有效保障家庭经济困难学生生活水平，同时减轻学校建档立卡学生家庭教育负担，使生活家庭经济困难学生接受公平而有质量的教育。</w:t>
      </w:r>
    </w:p>
    <w:p w14:paraId="6CC665C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6D9B0A33">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2E95064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本项目预算安排总额为1232.56万元，资金来源为部门预算（中央专项资金），其中：财政资金1232.56万元，2024年实际收到预算资金1232.56万元，预算资金到位率为100%。</w:t>
      </w:r>
    </w:p>
    <w:p w14:paraId="4CDAC296">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0ECE062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1232.56</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XX%。本项目资金主要用于支付</w:t>
      </w:r>
      <w:r>
        <w:rPr>
          <w:rFonts w:hint="eastAsia" w:ascii="宋体" w:hAnsi="宋体" w:eastAsia="宋体" w:cs="宋体"/>
          <w:color w:val="auto"/>
          <w:sz w:val="24"/>
          <w:szCs w:val="24"/>
          <w:lang w:val="en-US" w:eastAsia="zh-CN"/>
        </w:rPr>
        <w:t>本单位的办公费，水费，电费，燃气费，临聘人员工资等等支出856.2</w:t>
      </w:r>
      <w:r>
        <w:rPr>
          <w:rFonts w:hint="eastAsia" w:ascii="宋体" w:hAnsi="宋体" w:eastAsia="宋体" w:cs="宋体"/>
          <w:color w:val="auto"/>
          <w:sz w:val="24"/>
          <w:szCs w:val="24"/>
        </w:rPr>
        <w:t>万元、</w:t>
      </w:r>
      <w:r>
        <w:rPr>
          <w:rFonts w:hint="eastAsia" w:ascii="宋体" w:hAnsi="宋体" w:eastAsia="宋体" w:cs="宋体"/>
          <w:color w:val="auto"/>
          <w:sz w:val="24"/>
          <w:szCs w:val="24"/>
          <w:lang w:val="en-US" w:eastAsia="zh-CN"/>
        </w:rPr>
        <w:t>中等职业学校助学金376.36</w:t>
      </w:r>
      <w:r>
        <w:rPr>
          <w:rFonts w:hint="eastAsia" w:ascii="宋体" w:hAnsi="宋体" w:eastAsia="宋体" w:cs="宋体"/>
          <w:color w:val="auto"/>
          <w:sz w:val="24"/>
          <w:szCs w:val="24"/>
        </w:rPr>
        <w:t>万元</w:t>
      </w:r>
      <w:r>
        <w:rPr>
          <w:rFonts w:hint="eastAsia" w:ascii="宋体" w:hAnsi="宋体" w:eastAsia="宋体" w:cs="宋体"/>
          <w:color w:val="auto"/>
          <w:sz w:val="24"/>
          <w:szCs w:val="24"/>
          <w:lang w:val="en-US" w:eastAsia="zh-CN"/>
        </w:rPr>
        <w:t>等</w:t>
      </w:r>
      <w:r>
        <w:rPr>
          <w:rFonts w:hint="eastAsia" w:ascii="宋体" w:hAnsi="宋体" w:eastAsia="宋体" w:cs="宋体"/>
          <w:color w:val="auto"/>
          <w:sz w:val="24"/>
          <w:szCs w:val="24"/>
        </w:rPr>
        <w:t>。</w:t>
      </w:r>
    </w:p>
    <w:p w14:paraId="356AF4A0">
      <w:pPr>
        <w:pStyle w:val="4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2" w:name="_Toc68364659"/>
      <w:r>
        <w:rPr>
          <w:rFonts w:hint="eastAsia" w:ascii="宋体" w:hAnsi="宋体" w:eastAsia="宋体" w:cs="宋体"/>
          <w:color w:val="auto"/>
          <w:sz w:val="24"/>
          <w:szCs w:val="24"/>
        </w:rPr>
        <w:t>（二）项目绩效目标</w:t>
      </w:r>
      <w:bookmarkEnd w:id="2"/>
    </w:p>
    <w:p w14:paraId="539B5DF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项目绩效目标包括项目总</w:t>
      </w:r>
      <w:r>
        <w:rPr>
          <w:rFonts w:hint="eastAsia" w:ascii="宋体" w:hAnsi="宋体" w:eastAsia="宋体" w:cs="宋体"/>
          <w:color w:val="000000"/>
          <w:sz w:val="24"/>
          <w:szCs w:val="24"/>
          <w:highlight w:val="none"/>
          <w:lang w:val="en-US" w:eastAsia="zh-CN"/>
        </w:rPr>
        <w:t>体</w:t>
      </w:r>
      <w:r>
        <w:rPr>
          <w:rFonts w:hint="eastAsia" w:ascii="宋体" w:hAnsi="宋体" w:eastAsia="宋体" w:cs="宋体"/>
          <w:color w:val="000000"/>
          <w:sz w:val="24"/>
          <w:szCs w:val="24"/>
          <w:highlight w:val="none"/>
        </w:rPr>
        <w:t>目标和阶段性目标。</w:t>
      </w:r>
    </w:p>
    <w:p w14:paraId="4B4E2F27">
      <w:pPr>
        <w:pStyle w:val="47"/>
        <w:pageBreakBefore w:val="0"/>
        <w:widowControl w:val="0"/>
        <w:numPr>
          <w:ilvl w:val="0"/>
          <w:numId w:val="2"/>
        </w:numPr>
        <w:kinsoku/>
        <w:wordWrap/>
        <w:overflowPunct/>
        <w:topLinePunct w:val="0"/>
        <w:autoSpaceDE/>
        <w:autoSpaceDN/>
        <w:bidi w:val="0"/>
        <w:adjustRightInd/>
        <w:snapToGrid/>
        <w:spacing w:line="360" w:lineRule="auto"/>
        <w:ind w:left="0" w:leftChars="0" w:firstLine="643"/>
        <w:jc w:val="both"/>
        <w:textAlignment w:val="auto"/>
        <w:outlineLvl w:val="2"/>
        <w:rPr>
          <w:color w:val="auto"/>
        </w:rPr>
      </w:pPr>
      <w:r>
        <w:rPr>
          <w:rFonts w:hint="eastAsia" w:ascii="宋体" w:hAnsi="宋体" w:eastAsia="宋体" w:cs="宋体"/>
          <w:b/>
          <w:bCs/>
          <w:color w:val="auto"/>
          <w:sz w:val="24"/>
          <w:szCs w:val="24"/>
        </w:rPr>
        <w:t>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4F0CD9C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此</w:t>
      </w:r>
      <w:r>
        <w:rPr>
          <w:rFonts w:hint="eastAsia" w:ascii="宋体" w:hAnsi="宋体" w:eastAsia="宋体" w:cs="宋体"/>
          <w:color w:val="000000"/>
          <w:sz w:val="24"/>
          <w:szCs w:val="24"/>
          <w:highlight w:val="none"/>
        </w:rPr>
        <w:t>项根据《关于提前下达2024年学生资助补助经费预算（中央直达资金）通知》--（和地财教〔2023〕59号）实施此项目，主要内容为：保证</w:t>
      </w:r>
      <w:r>
        <w:rPr>
          <w:rFonts w:hint="eastAsia" w:ascii="宋体" w:hAnsi="宋体" w:eastAsia="宋体" w:cs="宋体"/>
          <w:color w:val="000000"/>
          <w:sz w:val="24"/>
          <w:szCs w:val="24"/>
          <w:highlight w:val="none"/>
          <w:lang w:eastAsia="zh-CN"/>
        </w:rPr>
        <w:t>中等职业学校</w:t>
      </w:r>
      <w:r>
        <w:rPr>
          <w:rFonts w:hint="eastAsia" w:ascii="宋体" w:hAnsi="宋体" w:eastAsia="宋体" w:cs="宋体"/>
          <w:color w:val="000000"/>
          <w:sz w:val="24"/>
          <w:szCs w:val="24"/>
          <w:highlight w:val="none"/>
        </w:rPr>
        <w:t>建档立卡学生人数</w:t>
      </w:r>
      <w:r>
        <w:rPr>
          <w:rFonts w:hint="eastAsia" w:ascii="宋体" w:hAnsi="宋体" w:eastAsia="宋体" w:cs="宋体"/>
          <w:color w:val="000000"/>
          <w:sz w:val="24"/>
          <w:szCs w:val="24"/>
          <w:highlight w:val="none"/>
          <w:lang w:eastAsia="zh-CN"/>
        </w:rPr>
        <w:t>2526</w:t>
      </w:r>
      <w:r>
        <w:rPr>
          <w:rFonts w:hint="eastAsia" w:ascii="宋体" w:hAnsi="宋体" w:eastAsia="宋体" w:cs="宋体"/>
          <w:color w:val="000000"/>
          <w:sz w:val="24"/>
          <w:szCs w:val="24"/>
          <w:highlight w:val="none"/>
        </w:rPr>
        <w:t>人，为</w:t>
      </w:r>
      <w:r>
        <w:rPr>
          <w:rFonts w:hint="eastAsia" w:ascii="宋体" w:hAnsi="宋体" w:eastAsia="宋体" w:cs="宋体"/>
          <w:color w:val="000000"/>
          <w:sz w:val="24"/>
          <w:szCs w:val="24"/>
          <w:highlight w:val="none"/>
          <w:lang w:eastAsia="zh-CN"/>
        </w:rPr>
        <w:t>2526</w:t>
      </w:r>
      <w:r>
        <w:rPr>
          <w:rFonts w:hint="eastAsia" w:ascii="宋体" w:hAnsi="宋体" w:eastAsia="宋体" w:cs="宋体"/>
          <w:color w:val="000000"/>
          <w:sz w:val="24"/>
          <w:szCs w:val="24"/>
          <w:highlight w:val="none"/>
        </w:rPr>
        <w:t>位建档学生发放</w:t>
      </w:r>
      <w:r>
        <w:rPr>
          <w:rFonts w:hint="eastAsia" w:ascii="宋体" w:hAnsi="宋体" w:eastAsia="宋体" w:cs="宋体"/>
          <w:color w:val="000000"/>
          <w:sz w:val="24"/>
          <w:szCs w:val="24"/>
          <w:highlight w:val="none"/>
          <w:lang w:eastAsia="zh-CN"/>
        </w:rPr>
        <w:t>中等职业学校</w:t>
      </w:r>
      <w:r>
        <w:rPr>
          <w:rFonts w:hint="eastAsia" w:ascii="宋体" w:hAnsi="宋体" w:eastAsia="宋体" w:cs="宋体"/>
          <w:color w:val="000000"/>
          <w:sz w:val="24"/>
          <w:szCs w:val="24"/>
          <w:highlight w:val="none"/>
        </w:rPr>
        <w:t>教育补助，补助标准为2000元/年，项目将保证建档学生享受补助覆盖率达到100.00%。通过项目实施，可以有效保障家庭经济困难学生生活水平，同时减轻学校建档立卡学生家庭教育负担，使生活家庭经济困难学生接受公平而有质量的教育。</w:t>
      </w:r>
    </w:p>
    <w:p w14:paraId="61557EB1">
      <w:pPr>
        <w:pStyle w:val="47"/>
        <w:pageBreakBefore w:val="0"/>
        <w:widowControl w:val="0"/>
        <w:numPr>
          <w:ilvl w:val="0"/>
          <w:numId w:val="3"/>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阶段性目标</w:t>
      </w:r>
    </w:p>
    <w:p w14:paraId="5182947C">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288F7ED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（1）产出指标</w:t>
      </w:r>
    </w:p>
    <w:p w14:paraId="33F897C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1)数量指标:</w:t>
      </w:r>
    </w:p>
    <w:p w14:paraId="3B033F60">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指标1：接受职业教育补助的建档学生人数，预期指标值&gt;=2000人；</w:t>
      </w:r>
    </w:p>
    <w:p w14:paraId="5067D80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指标2：外聘人员人数，预期指标值&gt;=60人；</w:t>
      </w:r>
    </w:p>
    <w:p w14:paraId="771459D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2）质量指标：</w:t>
      </w:r>
    </w:p>
    <w:p w14:paraId="2C1AD61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指标1：补助发放覆盖率，预期指标值=100%；</w:t>
      </w:r>
    </w:p>
    <w:p w14:paraId="36B9CD0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000000"/>
          <w:sz w:val="24"/>
          <w:szCs w:val="24"/>
          <w:highlight w:val="none"/>
          <w:lang w:val="en-US" w:eastAsia="zh-CN"/>
        </w:rPr>
        <w:t>指标2：资金使用合规率，预期指标值=100%；</w:t>
      </w:r>
    </w:p>
    <w:p w14:paraId="2AAB7D3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3）时效指标：</w:t>
      </w:r>
    </w:p>
    <w:p w14:paraId="206064D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指标1：项目完成时间，预期指标值2024年12月；</w:t>
      </w:r>
    </w:p>
    <w:p w14:paraId="1820FBF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（2）成本指标：</w:t>
      </w:r>
    </w:p>
    <w:p w14:paraId="3F259A0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1）经济成本指标</w:t>
      </w:r>
    </w:p>
    <w:p w14:paraId="498AD05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指标1：助学金费用，预期指标值≤376.36万元；</w:t>
      </w:r>
    </w:p>
    <w:p w14:paraId="0CDBC1A0">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指标2：免学费费用，用预期指标值≤500.88万元；</w:t>
      </w:r>
    </w:p>
    <w:p w14:paraId="64D5827A">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指标3：奖学金费用，用预期指标值≤2.40万元；</w:t>
      </w:r>
    </w:p>
    <w:p w14:paraId="18D6E4C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指标4：教材费用，预期指标值≤67.07万元；</w:t>
      </w:r>
    </w:p>
    <w:p w14:paraId="4213E3E0">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指标5：公用经费，用预期指标值≤159.27万元；</w:t>
      </w:r>
    </w:p>
    <w:p w14:paraId="1DCE812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指标6：住宿费，用预期指标值≤126.58万元；</w:t>
      </w:r>
    </w:p>
    <w:p w14:paraId="74AF1A1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2）社会成本指标：</w:t>
      </w:r>
    </w:p>
    <w:p w14:paraId="40922F3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7466096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3）生态成本指标;</w:t>
      </w:r>
    </w:p>
    <w:p w14:paraId="51F13B73">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1A191DC0">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（3）效益指标</w:t>
      </w:r>
    </w:p>
    <w:p w14:paraId="2AC27BAB">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1）经济效益指标：</w:t>
      </w:r>
    </w:p>
    <w:p w14:paraId="79772DF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7908960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2）社会效益指标：</w:t>
      </w:r>
    </w:p>
    <w:p w14:paraId="540A5EE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指标1：保障学生在校期间的正常学习和生活，预期指标值为有效保障；</w:t>
      </w:r>
    </w:p>
    <w:p w14:paraId="219D591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3）生态效益指标：</w:t>
      </w:r>
    </w:p>
    <w:p w14:paraId="53636064">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5DF3722B">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（4）服务对象满意度指标：</w:t>
      </w:r>
    </w:p>
    <w:p w14:paraId="025DDE4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指标1：受益学生满意度，预期指标值≥95%。</w:t>
      </w:r>
    </w:p>
    <w:p w14:paraId="247B77C1">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bookmarkEnd w:id="3"/>
    </w:p>
    <w:p w14:paraId="1EA99E97">
      <w:pPr>
        <w:pStyle w:val="4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4" w:name="_Toc68364661"/>
      <w:r>
        <w:rPr>
          <w:rFonts w:hint="eastAsia" w:ascii="宋体" w:hAnsi="宋体" w:eastAsia="宋体" w:cs="宋体"/>
          <w:color w:val="auto"/>
          <w:sz w:val="24"/>
          <w:szCs w:val="24"/>
        </w:rPr>
        <w:t>（一）绩效评价目的、对象和范围</w:t>
      </w:r>
      <w:bookmarkEnd w:id="4"/>
    </w:p>
    <w:p w14:paraId="632AC298">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1.绩效评价目的</w:t>
      </w:r>
    </w:p>
    <w:p w14:paraId="7EE5A82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绩效评价遵循财政部《项目支出绩效评价管理办法》（财预〔2020〕10号）《自治区财政支出绩效评价管理暂行办法》（新财预〔2018〕189号）及自治区财政厅《关于印发〈自治区项目支出绩效目标设置指引〉的通知》（新财预〔2022〕42号）等相关政策文件与规定，对中央直达资金和地财教【2023】59号-2024年学生资助补助经费-中等职业学校免学费及助学金项目开展本次部门项目支出绩效评价工作。全面了解中央直达资金和地财教【2023】59号-2024年学生资助补助经费-中等职业学校免学费及助学金项目预算编制合理性、资金使用合规性、项目管理的规范性、项目目标的实现情况、服务对象的满意度等项目实施前期、过程及实施效果情况。</w:t>
      </w:r>
    </w:p>
    <w:p w14:paraId="3176AD93">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58F4C7F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6EBD31D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同时，通过部门项目支出绩效评价，可促进本单位发现预算项目管理中的问题、总结经验、改进工作，以提高财政预算资金使用的效率及效益。</w:t>
      </w:r>
    </w:p>
    <w:p w14:paraId="1305301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35830F04">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此次绩效评价遵循财政部《项目支出绩效评价管理办法》（财预〔2020〕10号）和《自治区财政支出绩效评价管理暂行办法》（新财预〔2018〕189号）等政策文件规定，以中央直达资金和地财教【2023】59号-2024年学生资助补助经费-中等职业学校免学费及助学金项目为评价对象，对该项目决策、项目资金管理、项目实施过程管理，以及项目实施所带来的产出和效果等内容，进行综合评价。</w:t>
      </w:r>
    </w:p>
    <w:p w14:paraId="5B37E2AA">
      <w:pPr>
        <w:pStyle w:val="47"/>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3.绩效评价范围</w:t>
      </w:r>
    </w:p>
    <w:p w14:paraId="6CD5E3C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绩效评价主要围绕中央直达资金和地财教【2023】59号-2024年学生资助补助经费-中等职业学校免学费及助学金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000000"/>
          <w:sz w:val="24"/>
          <w:szCs w:val="24"/>
          <w:highlight w:val="none"/>
          <w:lang w:val="en-US" w:eastAsia="zh-CN"/>
        </w:rPr>
        <w:t>，覆盖预算资金支出项目的所有内容进行评价。</w:t>
      </w:r>
    </w:p>
    <w:p w14:paraId="048AADEE">
      <w:pPr>
        <w:pStyle w:val="46"/>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5"/>
    </w:p>
    <w:p w14:paraId="5F3068F8">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1.绩效评价原则</w:t>
      </w:r>
    </w:p>
    <w:p w14:paraId="45552DA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7DCAE05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（1）科学公正。绩效评价应当运用科学合理的方法，按照规范的程序，对项目绩效进行客观、公正的反映。</w:t>
      </w:r>
    </w:p>
    <w:p w14:paraId="4DE81CA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F8EF5C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（3）激励约束。绩效评价结果应与预算安排、政策调整、改进管理实质性挂钩，体现奖优罚劣和激励相容导向，有效要安排、低效要压减、无效要问责。</w:t>
      </w:r>
    </w:p>
    <w:p w14:paraId="3232295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（4）公开透明。绩效评价结果应依法依规公开，并自觉接受社会监督。</w:t>
      </w:r>
    </w:p>
    <w:p w14:paraId="02EA2A7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根据以上原则，绩效评价应遵循如下要求:</w:t>
      </w:r>
    </w:p>
    <w:p w14:paraId="54138A24">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（1）在数据采集时，采取客观数据，主管部门审查、社会中介组织复查，与问卷调查相结合的形式，以保证各项指标的真实性。</w:t>
      </w:r>
    </w:p>
    <w:p w14:paraId="7CB210E3">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（2）保证评价结果的真实性、公正性，提高评价报告的公信力。</w:t>
      </w:r>
    </w:p>
    <w:p w14:paraId="2AA60666">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1D753D40">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2.绩效评价指标体系</w:t>
      </w:r>
    </w:p>
    <w:p w14:paraId="3E5ABC5B">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个二级指标。项目绩效评价体系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详细指标体系见“附件1：项目支出绩效评价体系”。</w:t>
      </w:r>
    </w:p>
    <w:p w14:paraId="2731920A">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3.绩效评价方法</w:t>
      </w:r>
    </w:p>
    <w:p w14:paraId="06203FB7">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8A8E3BB">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6EFDAFB1">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687B983D">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7D3AE965">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0EBD932E">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771D44C0">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662D7513">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2E14E609">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233D3B5A">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46AD9249">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28E00A90">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0BD7C9C5">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25387332">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73623C6">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6FC9A111">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4.绩效评价标准</w:t>
      </w:r>
    </w:p>
    <w:p w14:paraId="6A1F0530">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lang w:val="en-US" w:eastAsia="zh-CN"/>
        </w:rPr>
        <w:t>行业标准</w:t>
      </w:r>
      <w:r>
        <w:rPr>
          <w:rFonts w:hint="eastAsia" w:ascii="宋体" w:hAnsi="宋体" w:eastAsia="宋体" w:cs="宋体"/>
          <w:color w:val="auto"/>
          <w:sz w:val="24"/>
          <w:szCs w:val="24"/>
        </w:rPr>
        <w:t>。</w:t>
      </w:r>
    </w:p>
    <w:p w14:paraId="10EFDE97">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bookmarkStart w:id="7" w:name="_Toc2318"/>
      <w:bookmarkStart w:id="8" w:name="_Toc5633"/>
      <w:r>
        <w:rPr>
          <w:rFonts w:hint="eastAsia" w:ascii="宋体" w:hAnsi="宋体" w:eastAsia="宋体" w:cs="宋体"/>
          <w:color w:val="auto"/>
          <w:sz w:val="24"/>
          <w:szCs w:val="24"/>
        </w:rPr>
        <w:t>行业标准：指参照国家公布的行业指标数据制定的评价标准。</w:t>
      </w:r>
      <w:bookmarkEnd w:id="7"/>
      <w:bookmarkEnd w:id="8"/>
    </w:p>
    <w:p w14:paraId="0EB2BDFD">
      <w:pPr>
        <w:pStyle w:val="4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6"/>
    </w:p>
    <w:p w14:paraId="6FA0778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9" w:name="_Toc68364664"/>
      <w:r>
        <w:rPr>
          <w:rFonts w:hint="eastAsia" w:ascii="宋体" w:hAnsi="宋体" w:eastAsia="宋体" w:cs="宋体"/>
          <w:b/>
          <w:bCs/>
          <w:color w:val="000000"/>
          <w:sz w:val="24"/>
          <w:szCs w:val="24"/>
          <w:highlight w:val="none"/>
        </w:rPr>
        <w:t>1.前期准备</w:t>
      </w:r>
    </w:p>
    <w:p w14:paraId="05166A04">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3385CB4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阿卜力克木·麦提托合提</w:t>
      </w:r>
      <w:r>
        <w:rPr>
          <w:rFonts w:hint="eastAsia" w:ascii="宋体" w:hAnsi="宋体" w:eastAsia="宋体" w:cs="宋体"/>
          <w:color w:val="auto"/>
          <w:sz w:val="24"/>
          <w:szCs w:val="24"/>
        </w:rPr>
        <w:t>（评价小组组长）：主要负责</w:t>
      </w:r>
      <w:r>
        <w:rPr>
          <w:rFonts w:hint="eastAsia" w:ascii="宋体" w:hAnsi="宋体" w:eastAsia="宋体" w:cs="宋体"/>
          <w:color w:val="auto"/>
          <w:sz w:val="24"/>
          <w:szCs w:val="24"/>
          <w:lang w:val="en-US" w:eastAsia="zh-CN"/>
        </w:rPr>
        <w:t>绩效评价小组全盘工作。</w:t>
      </w:r>
    </w:p>
    <w:p w14:paraId="2273104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张彦虎</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吴淑琴</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丁万淼</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王全宝</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陈娜</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周荣华</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冯蓉蓉</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汇总年度预算数及决算数，年级组，检验组为主组织教职工及学生进行测评满意度，进行汇总对项目落实的全过程存在的问题并经验，做出项目落实过程中存在的问题整改措施</w:t>
      </w:r>
      <w:r>
        <w:rPr>
          <w:rFonts w:hint="eastAsia" w:ascii="宋体" w:hAnsi="宋体" w:eastAsia="宋体" w:cs="宋体"/>
          <w:color w:val="auto"/>
          <w:sz w:val="24"/>
          <w:szCs w:val="24"/>
        </w:rPr>
        <w:t>;</w:t>
      </w:r>
    </w:p>
    <w:p w14:paraId="10EF22C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7E22B80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59C649C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1A51FF0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7D94D65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051FABF3">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3ED058F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7A892A13">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DAB0CE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4C03EEF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041E5F12">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三、综合评价情况及评价结论</w:t>
      </w:r>
      <w:bookmarkEnd w:id="9"/>
    </w:p>
    <w:p w14:paraId="05E18CB5">
      <w:pPr>
        <w:pStyle w:val="4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0" w:name="_Toc68364665"/>
      <w:r>
        <w:rPr>
          <w:rFonts w:hint="eastAsia" w:ascii="宋体" w:hAnsi="宋体" w:eastAsia="宋体" w:cs="宋体"/>
          <w:color w:val="auto"/>
          <w:sz w:val="24"/>
          <w:szCs w:val="24"/>
        </w:rPr>
        <w:t>（一）综合评价情况</w:t>
      </w:r>
      <w:bookmarkEnd w:id="10"/>
    </w:p>
    <w:p w14:paraId="7FF386F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bookmarkStart w:id="11" w:name="_Toc68364666"/>
      <w:r>
        <w:rPr>
          <w:rFonts w:hint="eastAsia" w:ascii="宋体" w:hAnsi="宋体" w:eastAsia="宋体" w:cs="宋体"/>
          <w:color w:val="auto"/>
          <w:sz w:val="24"/>
          <w:szCs w:val="24"/>
        </w:rPr>
        <w:t>通过实施本项目可有效保障学生在校期间的正常学习和生活，有利于提升学校教育教学质量，使所有学生接受公平而有质量的教育，为国家培养遵纪守法具有专业技能的有用人才</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highlight w:val="none"/>
        </w:rPr>
        <w:t>项目实施主要通过项目决策、项目过程、项目产出以及项目效益等方面进行评价，其中：</w:t>
      </w:r>
    </w:p>
    <w:p w14:paraId="6A3DAFEE">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项目决策：该项目主要通过关于中央直达资金-和地财教[2023]59号</w:t>
      </w:r>
      <w:r>
        <w:rPr>
          <w:rFonts w:hint="eastAsia" w:ascii="宋体" w:hAnsi="宋体" w:eastAsia="宋体" w:cs="宋体"/>
          <w:color w:val="auto"/>
          <w:sz w:val="24"/>
          <w:szCs w:val="24"/>
          <w:highlight w:val="none"/>
          <w:lang w:val="en-US" w:eastAsia="zh-CN"/>
        </w:rPr>
        <w:t>-2024年学生资助补助经费-中等职业学校免学费及助学金</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实施方案</w:t>
      </w:r>
      <w:r>
        <w:rPr>
          <w:rFonts w:hint="eastAsia" w:ascii="宋体" w:hAnsi="宋体" w:eastAsia="宋体" w:cs="宋体"/>
          <w:color w:val="auto"/>
          <w:sz w:val="24"/>
          <w:szCs w:val="24"/>
          <w:highlight w:val="none"/>
        </w:rPr>
        <w:t>的批复立项，项目立项依据充分，立项程序规范。</w:t>
      </w:r>
    </w:p>
    <w:p w14:paraId="7B1CE86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w:t>
      </w:r>
      <w:r>
        <w:rPr>
          <w:rFonts w:hint="eastAsia" w:ascii="宋体" w:hAnsi="宋体" w:eastAsia="宋体" w:cs="宋体"/>
          <w:color w:val="auto"/>
          <w:sz w:val="24"/>
          <w:szCs w:val="24"/>
          <w:lang w:val="en-US" w:eastAsia="zh-CN"/>
        </w:rPr>
        <w:t>中央直达资金和地财教【2023】59号-2024年学生资助补助经费-中等职业学校免学费及助学金</w:t>
      </w:r>
      <w:r>
        <w:rPr>
          <w:rFonts w:hint="eastAsia" w:ascii="宋体" w:hAnsi="宋体" w:eastAsia="宋体" w:cs="宋体"/>
          <w:color w:val="auto"/>
          <w:sz w:val="24"/>
          <w:szCs w:val="24"/>
        </w:rPr>
        <w:t>项目预算安排</w:t>
      </w:r>
      <w:r>
        <w:rPr>
          <w:rFonts w:hint="eastAsia" w:ascii="宋体" w:hAnsi="宋体" w:eastAsia="宋体" w:cs="宋体"/>
          <w:color w:val="auto"/>
          <w:sz w:val="24"/>
          <w:szCs w:val="24"/>
          <w:lang w:val="en-US" w:eastAsia="zh-CN"/>
        </w:rPr>
        <w:t>1232.56</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1232.56</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701A6BA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项目产出：</w:t>
      </w:r>
      <w:r>
        <w:rPr>
          <w:rFonts w:hint="eastAsia" w:ascii="宋体" w:hAnsi="宋体" w:eastAsia="宋体" w:cs="宋体"/>
          <w:color w:val="auto"/>
          <w:sz w:val="24"/>
          <w:szCs w:val="24"/>
          <w:highlight w:val="none"/>
          <w:lang w:eastAsia="zh-CN"/>
        </w:rPr>
        <w:t>该项目实际完成保障学校</w:t>
      </w:r>
      <w:r>
        <w:rPr>
          <w:rFonts w:hint="eastAsia" w:ascii="宋体" w:hAnsi="宋体" w:eastAsia="宋体" w:cs="宋体"/>
          <w:color w:val="auto"/>
          <w:sz w:val="24"/>
          <w:szCs w:val="24"/>
          <w:highlight w:val="none"/>
          <w:lang w:val="en-US" w:eastAsia="zh-CN"/>
        </w:rPr>
        <w:t>2948</w:t>
      </w:r>
      <w:r>
        <w:rPr>
          <w:rFonts w:hint="eastAsia" w:ascii="宋体" w:hAnsi="宋体" w:eastAsia="宋体" w:cs="宋体"/>
          <w:color w:val="auto"/>
          <w:sz w:val="24"/>
          <w:szCs w:val="24"/>
          <w:highlight w:val="none"/>
          <w:lang w:eastAsia="zh-CN"/>
        </w:rPr>
        <w:t>名学生的正常学习生活，保障</w:t>
      </w:r>
      <w:r>
        <w:rPr>
          <w:rFonts w:hint="eastAsia" w:ascii="宋体" w:hAnsi="宋体" w:eastAsia="宋体" w:cs="宋体"/>
          <w:color w:val="auto"/>
          <w:sz w:val="24"/>
          <w:szCs w:val="24"/>
          <w:highlight w:val="none"/>
          <w:lang w:val="en-US" w:eastAsia="zh-CN"/>
        </w:rPr>
        <w:t>68名</w:t>
      </w:r>
      <w:r>
        <w:rPr>
          <w:rFonts w:hint="eastAsia" w:ascii="宋体" w:hAnsi="宋体" w:eastAsia="宋体" w:cs="宋体"/>
          <w:color w:val="auto"/>
          <w:sz w:val="24"/>
          <w:szCs w:val="24"/>
          <w:highlight w:val="none"/>
          <w:lang w:eastAsia="zh-CN"/>
        </w:rPr>
        <w:t>外聘人员的工资福利</w:t>
      </w:r>
      <w:r>
        <w:rPr>
          <w:rFonts w:hint="eastAsia" w:ascii="宋体" w:hAnsi="宋体" w:eastAsia="宋体" w:cs="宋体"/>
          <w:color w:val="auto"/>
          <w:sz w:val="24"/>
          <w:szCs w:val="24"/>
          <w:highlight w:val="none"/>
          <w:lang w:val="en-US" w:eastAsia="zh-CN"/>
        </w:rPr>
        <w:t>，指标达到预算目标。</w:t>
      </w:r>
    </w:p>
    <w:p w14:paraId="3451102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auto"/>
          <w:sz w:val="24"/>
          <w:szCs w:val="24"/>
          <w:highlight w:val="none"/>
        </w:rPr>
        <w:t>项目效益：通过</w:t>
      </w:r>
      <w:r>
        <w:rPr>
          <w:rFonts w:hint="eastAsia" w:ascii="宋体" w:hAnsi="宋体" w:eastAsia="宋体" w:cs="宋体"/>
          <w:color w:val="auto"/>
          <w:sz w:val="24"/>
          <w:szCs w:val="24"/>
          <w:highlight w:val="none"/>
          <w:lang w:val="en-US" w:eastAsia="zh-CN"/>
        </w:rPr>
        <w:t>实施此项目，</w:t>
      </w:r>
      <w:r>
        <w:rPr>
          <w:rFonts w:hint="eastAsia" w:ascii="宋体" w:hAnsi="宋体" w:eastAsia="宋体" w:cs="宋体"/>
          <w:color w:val="auto"/>
          <w:sz w:val="24"/>
          <w:szCs w:val="24"/>
          <w:highlight w:val="none"/>
        </w:rPr>
        <w:t>有效保障学生在校期间的正常学习和生活，有利于提升学校教育教学质量，使所有学生接受公平而有质量的教育，为国家培养遵纪守法具有专业技能的有用人才</w:t>
      </w:r>
      <w:r>
        <w:rPr>
          <w:rFonts w:hint="eastAsia" w:ascii="宋体" w:hAnsi="宋体" w:eastAsia="宋体" w:cs="宋体"/>
          <w:color w:val="000000"/>
          <w:sz w:val="24"/>
          <w:szCs w:val="24"/>
          <w:highlight w:val="none"/>
        </w:rPr>
        <w:t>。</w:t>
      </w:r>
    </w:p>
    <w:p w14:paraId="028F307B">
      <w:pPr>
        <w:pStyle w:val="4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（二）综合评价结论</w:t>
      </w:r>
    </w:p>
    <w:p w14:paraId="1944FD8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rPr>
        <w:t>依据《中共中央国务院关于全面实施预算绩效管理的意见》《项目支出绩效评价管理办法》（财预〔2020〕10号）文件，绩效评价总分设置为100分，划分为四档：90（含）-100分为“优”、80（含）-90分为“良”、70（含）-80分为“中”、70分以下为“差”。</w:t>
      </w:r>
      <w:r>
        <w:rPr>
          <w:rFonts w:hint="eastAsia" w:ascii="宋体" w:hAnsi="宋体" w:eastAsia="宋体" w:cs="宋体"/>
          <w:color w:val="000000"/>
          <w:sz w:val="24"/>
          <w:szCs w:val="24"/>
          <w:highlight w:val="none"/>
        </w:rPr>
        <w:t>经对中央直达资金和地财教【2023】59号-2024年学生资助补助经费-中等职业学校免学费及助学金项目进行客观评价，最终评分结果：评价总分</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分，绩效等级为“</w:t>
      </w:r>
      <w:r>
        <w:rPr>
          <w:rFonts w:hint="eastAsia" w:ascii="宋体" w:hAnsi="宋体" w:eastAsia="宋体" w:cs="宋体"/>
          <w:color w:val="000000"/>
          <w:sz w:val="24"/>
          <w:szCs w:val="24"/>
          <w:highlight w:val="none"/>
          <w:lang w:val="en-US" w:eastAsia="zh-CN"/>
        </w:rPr>
        <w:t>优</w:t>
      </w:r>
      <w:r>
        <w:rPr>
          <w:rFonts w:hint="eastAsia" w:ascii="宋体" w:hAnsi="宋体" w:eastAsia="宋体" w:cs="宋体"/>
          <w:color w:val="000000"/>
          <w:sz w:val="24"/>
          <w:szCs w:val="24"/>
          <w:highlight w:val="none"/>
        </w:rPr>
        <w:t>”。</w:t>
      </w:r>
      <w:bookmarkEnd w:id="11"/>
      <w:bookmarkStart w:id="12" w:name="_Toc68364667"/>
    </w:p>
    <w:p w14:paraId="3A251B61">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四、绩效评价指标分析</w:t>
      </w:r>
      <w:bookmarkEnd w:id="12"/>
    </w:p>
    <w:p w14:paraId="613D9C11">
      <w:pPr>
        <w:pStyle w:val="4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3" w:name="_Toc68364668"/>
      <w:r>
        <w:rPr>
          <w:rFonts w:hint="eastAsia" w:ascii="宋体" w:hAnsi="宋体" w:eastAsia="宋体" w:cs="宋体"/>
          <w:color w:val="auto"/>
          <w:sz w:val="24"/>
          <w:szCs w:val="24"/>
        </w:rPr>
        <w:t>（一）项目决策情况</w:t>
      </w:r>
    </w:p>
    <w:p w14:paraId="5EC1769F">
      <w:pPr>
        <w:keepNext w:val="0"/>
        <w:keepLines w:val="0"/>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项目决策类指标包括项目立项、绩效目标和资金投入三方面的内容，由6个三级指标构成，权重分为23分，实际得分23分，得分率为91%。</w:t>
      </w:r>
    </w:p>
    <w:p w14:paraId="2372114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6079A36E">
      <w:pPr>
        <w:keepNext w:val="0"/>
        <w:keepLines w:val="0"/>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本项目立项符合</w:t>
      </w:r>
      <w:r>
        <w:rPr>
          <w:rFonts w:hint="eastAsia" w:ascii="宋体" w:hAnsi="宋体" w:eastAsia="宋体" w:cs="宋体"/>
          <w:color w:val="auto"/>
          <w:sz w:val="24"/>
          <w:szCs w:val="24"/>
          <w:lang w:val="en-US" w:eastAsia="zh-CN"/>
        </w:rPr>
        <w:t>新疆维吾尔自治区财政厅，教育厅，人力资源和社会保障厅</w:t>
      </w:r>
      <w:r>
        <w:rPr>
          <w:rFonts w:hint="eastAsia" w:ascii="宋体" w:hAnsi="宋体" w:eastAsia="宋体" w:cs="宋体"/>
          <w:color w:val="auto"/>
          <w:sz w:val="24"/>
          <w:szCs w:val="24"/>
        </w:rPr>
        <w:t>颁发的关于印发《新疆维吾尔自治区学生资助资金管理办法》的通知-新财规【2021】13号；本项目立项符合《新疆维吾尔自治区学生资助资金管理办法》中：“国家免学杂费。对具有正式学籍的</w:t>
      </w:r>
      <w:r>
        <w:rPr>
          <w:rFonts w:hint="eastAsia" w:ascii="宋体" w:hAnsi="宋体" w:eastAsia="宋体" w:cs="宋体"/>
          <w:color w:val="auto"/>
          <w:sz w:val="24"/>
          <w:szCs w:val="24"/>
          <w:lang w:eastAsia="zh-CN"/>
        </w:rPr>
        <w:t>中等职业学校</w:t>
      </w:r>
      <w:r>
        <w:rPr>
          <w:rFonts w:hint="eastAsia" w:ascii="宋体" w:hAnsi="宋体" w:eastAsia="宋体" w:cs="宋体"/>
          <w:color w:val="auto"/>
          <w:sz w:val="24"/>
          <w:szCs w:val="24"/>
        </w:rPr>
        <w:t>南疆四地州所有学生和其他地州</w:t>
      </w:r>
      <w:r>
        <w:rPr>
          <w:rFonts w:hint="eastAsia" w:ascii="宋体" w:hAnsi="宋体" w:eastAsia="宋体" w:cs="宋体"/>
          <w:color w:val="auto"/>
          <w:sz w:val="24"/>
          <w:szCs w:val="24"/>
          <w:lang w:eastAsia="zh-CN"/>
        </w:rPr>
        <w:t>中等职业学校</w:t>
      </w:r>
      <w:r>
        <w:rPr>
          <w:rFonts w:hint="eastAsia" w:ascii="宋体" w:hAnsi="宋体" w:eastAsia="宋体" w:cs="宋体"/>
          <w:color w:val="auto"/>
          <w:sz w:val="24"/>
          <w:szCs w:val="24"/>
        </w:rPr>
        <w:t>已脱贫户等家庭经济困难学生(含非脱贫户学生、农村低保家庭学生、农村特困救助供养学生、家庭经济困难残疾学生)免除学杂费。南疆四地州免学杂费标准为每生每年</w:t>
      </w:r>
      <w:r>
        <w:rPr>
          <w:rFonts w:hint="eastAsia" w:ascii="宋体" w:hAnsi="宋体" w:eastAsia="宋体" w:cs="宋体"/>
          <w:color w:val="auto"/>
          <w:sz w:val="24"/>
          <w:szCs w:val="24"/>
          <w:lang w:val="en-US" w:eastAsia="zh-CN"/>
        </w:rPr>
        <w:t>2000</w:t>
      </w:r>
      <w:r>
        <w:rPr>
          <w:rFonts w:hint="eastAsia" w:ascii="宋体" w:hAnsi="宋体" w:eastAsia="宋体" w:cs="宋体"/>
          <w:color w:val="auto"/>
          <w:sz w:val="24"/>
          <w:szCs w:val="24"/>
        </w:rPr>
        <w:t>元。</w:t>
      </w:r>
    </w:p>
    <w:p w14:paraId="363A8805">
      <w:pPr>
        <w:keepNext w:val="0"/>
        <w:keepLines w:val="0"/>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lang w:val="en-US"/>
        </w:rPr>
        <w:t>(二)国家助学金。资助具有正式学籍的</w:t>
      </w:r>
      <w:r>
        <w:rPr>
          <w:rFonts w:hint="eastAsia" w:ascii="宋体" w:hAnsi="宋体" w:eastAsia="宋体" w:cs="宋体"/>
          <w:color w:val="auto"/>
          <w:sz w:val="24"/>
          <w:szCs w:val="24"/>
          <w:lang w:val="en-US" w:eastAsia="zh-CN"/>
        </w:rPr>
        <w:t>中等职业学校</w:t>
      </w:r>
      <w:r>
        <w:rPr>
          <w:rFonts w:hint="eastAsia" w:ascii="宋体" w:hAnsi="宋体" w:eastAsia="宋体" w:cs="宋体"/>
          <w:color w:val="auto"/>
          <w:sz w:val="24"/>
          <w:szCs w:val="24"/>
          <w:lang w:val="en-US"/>
        </w:rPr>
        <w:t>在校生中家庭经济困难学生。自治区财政、教育等部门结合各地实际,确定资助面时适当向农村地区、脱贫地区和民族地区倾斜。南疆四地州</w:t>
      </w:r>
      <w:r>
        <w:rPr>
          <w:rFonts w:hint="eastAsia" w:ascii="宋体" w:hAnsi="宋体" w:eastAsia="宋体" w:cs="宋体"/>
          <w:color w:val="auto"/>
          <w:sz w:val="24"/>
          <w:szCs w:val="24"/>
          <w:lang w:val="en-US" w:eastAsia="zh-CN"/>
        </w:rPr>
        <w:t>中等职业学校</w:t>
      </w:r>
      <w:r>
        <w:rPr>
          <w:rFonts w:hint="eastAsia" w:ascii="宋体" w:hAnsi="宋体" w:eastAsia="宋体" w:cs="宋体"/>
          <w:color w:val="auto"/>
          <w:sz w:val="24"/>
          <w:szCs w:val="24"/>
          <w:lang w:val="en-US"/>
        </w:rPr>
        <w:t>在校学生全部纳入享受国家助学金范围,南疆四地州以外其他地(州、市)家庭经济困难学生按照在校生30%确定。国家助学金平均资助标准为每生每年2000元,具体标准由各校结合实际在1000—3000元范围内自主确定,可以分为2—3档”内容</w:t>
      </w:r>
      <w:r>
        <w:rPr>
          <w:rFonts w:hint="eastAsia" w:ascii="宋体" w:hAnsi="宋体" w:eastAsia="宋体" w:cs="宋体"/>
          <w:color w:val="auto"/>
          <w:sz w:val="24"/>
          <w:szCs w:val="24"/>
        </w:rPr>
        <w:t>符合行业发展规划和政策要求；本项目立项符合《</w:t>
      </w:r>
      <w:r>
        <w:rPr>
          <w:rFonts w:hint="eastAsia" w:ascii="宋体" w:hAnsi="宋体" w:eastAsia="宋体" w:cs="宋体"/>
          <w:color w:val="auto"/>
          <w:sz w:val="24"/>
          <w:szCs w:val="24"/>
          <w:lang w:val="en-US" w:eastAsia="zh-CN"/>
        </w:rPr>
        <w:t>洛浦县中等职业学校</w:t>
      </w:r>
      <w:r>
        <w:rPr>
          <w:rFonts w:hint="eastAsia" w:ascii="宋体" w:hAnsi="宋体" w:eastAsia="宋体" w:cs="宋体"/>
          <w:color w:val="auto"/>
          <w:sz w:val="24"/>
          <w:szCs w:val="24"/>
        </w:rPr>
        <w:t>单位配置内设机构和人员编制规定》中职责范围中的“</w:t>
      </w:r>
      <w:r>
        <w:rPr>
          <w:rFonts w:hint="eastAsia" w:ascii="宋体" w:hAnsi="宋体" w:eastAsia="宋体" w:cs="宋体"/>
          <w:color w:val="auto"/>
          <w:sz w:val="24"/>
          <w:szCs w:val="24"/>
          <w:lang w:val="en-US" w:eastAsia="zh-CN"/>
        </w:rPr>
        <w:t>中小学财务管理办法</w:t>
      </w:r>
      <w:r>
        <w:rPr>
          <w:rFonts w:hint="eastAsia" w:ascii="宋体" w:hAnsi="宋体" w:eastAsia="宋体" w:cs="宋体"/>
          <w:color w:val="auto"/>
          <w:sz w:val="24"/>
          <w:szCs w:val="24"/>
        </w:rPr>
        <w:t>”，属于我单位履职所需；根据《财政资金直接支付申请书》，本项目资金性质为“公共财政预算”功能分类为“</w:t>
      </w:r>
      <w:r>
        <w:rPr>
          <w:rFonts w:hint="eastAsia" w:ascii="宋体" w:hAnsi="宋体" w:eastAsia="宋体" w:cs="宋体"/>
          <w:color w:val="auto"/>
          <w:sz w:val="24"/>
          <w:szCs w:val="24"/>
          <w:lang w:val="en-US" w:eastAsia="zh-CN"/>
        </w:rPr>
        <w:t>2050204</w:t>
      </w:r>
      <w:r>
        <w:rPr>
          <w:rFonts w:hint="eastAsia" w:ascii="宋体" w:hAnsi="宋体" w:eastAsia="宋体" w:cs="宋体"/>
          <w:color w:val="auto"/>
          <w:sz w:val="24"/>
          <w:szCs w:val="24"/>
        </w:rPr>
        <w:t>”经济分类为“</w:t>
      </w:r>
      <w:r>
        <w:rPr>
          <w:rFonts w:hint="eastAsia" w:ascii="宋体" w:hAnsi="宋体" w:eastAsia="宋体" w:cs="宋体"/>
          <w:color w:val="auto"/>
          <w:sz w:val="24"/>
          <w:szCs w:val="24"/>
          <w:lang w:val="en-US" w:eastAsia="zh-CN"/>
        </w:rPr>
        <w:t>50502</w:t>
      </w:r>
      <w:r>
        <w:rPr>
          <w:rFonts w:hint="eastAsia" w:ascii="宋体" w:hAnsi="宋体" w:eastAsia="宋体" w:cs="宋体"/>
          <w:color w:val="auto"/>
          <w:sz w:val="24"/>
          <w:szCs w:val="24"/>
        </w:rPr>
        <w:t>”属</w:t>
      </w:r>
      <w:r>
        <w:rPr>
          <w:rFonts w:hint="eastAsia" w:ascii="宋体" w:hAnsi="宋体" w:eastAsia="宋体" w:cs="宋体"/>
          <w:color w:val="auto"/>
          <w:sz w:val="24"/>
          <w:szCs w:val="24"/>
          <w:highlight w:val="none"/>
        </w:rPr>
        <w:t>于公共财政支持范围，符合中央、地方事权支出责任划分原则；经检查我单位财政应用平台指标，本项目不存在重复。</w:t>
      </w:r>
    </w:p>
    <w:p w14:paraId="2DF0FC58">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6058F7B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446DA676">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val="en-US" w:eastAsia="zh-CN"/>
        </w:rPr>
        <w:t>中央直达资金和地财教【2023】59号-2024年学生资助补助经费-中等职业学校免学费及助学金</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val="en-US" w:eastAsia="zh-CN"/>
        </w:rPr>
        <w:t>特定</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1232.56</w:t>
      </w:r>
      <w:r>
        <w:rPr>
          <w:rFonts w:hint="eastAsia" w:ascii="宋体" w:hAnsi="宋体" w:eastAsia="宋体" w:cs="宋体"/>
          <w:color w:val="auto"/>
          <w:sz w:val="24"/>
          <w:szCs w:val="24"/>
          <w:highlight w:val="none"/>
        </w:rPr>
        <w:t>万元，不涉及事前绩效评估和风险评估并经过专家论证。</w:t>
      </w:r>
    </w:p>
    <w:p w14:paraId="410DC2D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p>
    <w:p w14:paraId="55288B7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b/>
          <w:bCs/>
          <w:color w:val="000000"/>
          <w:sz w:val="24"/>
          <w:szCs w:val="24"/>
          <w:highlight w:val="none"/>
          <w:lang w:val="en-US" w:eastAsia="zh-CN"/>
        </w:rPr>
        <w:t>3.绩效目标合理性</w:t>
      </w:r>
    </w:p>
    <w:p w14:paraId="73903BC6">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该项目年初设定绩效目标主要内容为：根据中央直达资金-和地财教[2023]59号，通过项目实施，本项目主要实施内容为：保障学校2000名学生的正常学习生活，保障外聘人员的工资福利。通过实施本项目可有效保障学生在校期间的正常学习和生活，有利于提升学校教育教学质量，使所有学生接受公平而有质量的教育，为国家培养遵纪守法具有专业技能的有用人才</w:t>
      </w:r>
      <w:r>
        <w:rPr>
          <w:rFonts w:hint="eastAsia" w:ascii="宋体" w:hAnsi="宋体" w:eastAsia="宋体" w:cs="宋体"/>
          <w:color w:val="auto"/>
          <w:sz w:val="24"/>
          <w:szCs w:val="24"/>
          <w:highlight w:val="none"/>
          <w:lang w:eastAsia="zh-CN"/>
        </w:rPr>
        <w:t>。</w:t>
      </w:r>
    </w:p>
    <w:p w14:paraId="23104FC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lang w:val="en-US" w:eastAsia="zh-CN"/>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4294C73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51EF34F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经检查我单位年初设置的《中央直达资金和地财教【2023】59号-2024年学生资助补助经费-中等职业学校免学费及助学金项目支出绩效目标表》，得出如下结论：本项目已将年度绩效目标进行细化为绩效指标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13</w:t>
      </w:r>
      <w:r>
        <w:rPr>
          <w:rFonts w:hint="eastAsia" w:ascii="宋体" w:hAnsi="宋体" w:eastAsia="宋体" w:cs="宋体"/>
          <w:color w:val="000000"/>
          <w:sz w:val="24"/>
          <w:szCs w:val="24"/>
          <w:highlight w:val="none"/>
        </w:rPr>
        <w:t>个</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定量指标12个，</w:t>
      </w:r>
      <w:r>
        <w:rPr>
          <w:rFonts w:hint="eastAsia" w:ascii="宋体" w:hAnsi="宋体" w:eastAsia="宋体" w:cs="宋体"/>
          <w:color w:val="000000"/>
          <w:sz w:val="24"/>
          <w:szCs w:val="24"/>
          <w:highlight w:val="none"/>
        </w:rPr>
        <w:t>定性指标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92.31</w:t>
      </w:r>
      <w:r>
        <w:rPr>
          <w:rFonts w:hint="eastAsia" w:ascii="宋体" w:hAnsi="宋体" w:eastAsia="宋体" w:cs="宋体"/>
          <w:color w:val="000000"/>
          <w:sz w:val="24"/>
          <w:szCs w:val="24"/>
          <w:highlight w:val="none"/>
        </w:rPr>
        <w:t>%，量化率达</w:t>
      </w:r>
      <w:r>
        <w:rPr>
          <w:rFonts w:hint="eastAsia" w:ascii="宋体" w:hAnsi="宋体" w:eastAsia="宋体" w:cs="宋体"/>
          <w:color w:val="000000"/>
          <w:sz w:val="24"/>
          <w:szCs w:val="24"/>
          <w:highlight w:val="none"/>
          <w:lang w:val="en-US" w:eastAsia="zh-CN"/>
        </w:rPr>
        <w:t>70%</w:t>
      </w:r>
      <w:r>
        <w:rPr>
          <w:rFonts w:hint="eastAsia" w:ascii="宋体" w:hAnsi="宋体" w:eastAsia="宋体" w:cs="宋体"/>
          <w:color w:val="000000"/>
          <w:sz w:val="24"/>
          <w:szCs w:val="24"/>
          <w:highlight w:val="none"/>
        </w:rPr>
        <w:t>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3CCF3A4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该《中央直达资金和地财教【2023】59号-2024年学生资助补助经费-中等职业学校免学费及助学金项目绩效目标申报表》中，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“接受职业教育补助的建档学生人数、外聘人员人数”</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val="en-US" w:eastAsia="zh-CN"/>
        </w:rPr>
        <w:t>项目完成时间</w:t>
      </w:r>
      <w:r>
        <w:rPr>
          <w:rFonts w:hint="eastAsia" w:ascii="宋体" w:hAnsi="宋体" w:eastAsia="宋体" w:cs="宋体"/>
          <w:color w:val="000000"/>
          <w:sz w:val="24"/>
          <w:szCs w:val="24"/>
          <w:highlight w:val="none"/>
        </w:rPr>
        <w:t>”。已设置的绩效目标具备明确性、可衡量性、可实现性、相关性、时限性。</w:t>
      </w:r>
    </w:p>
    <w:p w14:paraId="65163EA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20B638E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11678D4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：根据中央直达资金-和地财教[2023]59号，通过项目实施，本项目主要实施内容为：保障学校2000名学生的正常学习生活，保障外聘人员的工资福利。</w:t>
      </w:r>
      <w:r>
        <w:rPr>
          <w:rFonts w:hint="eastAsia" w:ascii="宋体" w:hAnsi="宋体" w:eastAsia="宋体" w:cs="宋体"/>
          <w:color w:val="auto"/>
          <w:sz w:val="24"/>
          <w:szCs w:val="24"/>
          <w:highlight w:val="none"/>
        </w:rPr>
        <w:t>预算申请与《</w:t>
      </w:r>
      <w:r>
        <w:rPr>
          <w:rFonts w:hint="eastAsia" w:ascii="宋体" w:hAnsi="宋体" w:eastAsia="宋体" w:cs="宋体"/>
          <w:color w:val="auto"/>
          <w:sz w:val="24"/>
          <w:szCs w:val="24"/>
          <w:highlight w:val="none"/>
          <w:lang w:val="en-US" w:eastAsia="zh-CN"/>
        </w:rPr>
        <w:t>中央直达资金和地财教【2023】59号-2024年学生资助补助经费-中等职业学校免学费及助学金</w:t>
      </w:r>
      <w:r>
        <w:rPr>
          <w:rFonts w:hint="eastAsia" w:ascii="宋体" w:hAnsi="宋体" w:eastAsia="宋体" w:cs="宋体"/>
          <w:color w:val="auto"/>
          <w:sz w:val="24"/>
          <w:szCs w:val="24"/>
          <w:highlight w:val="none"/>
        </w:rPr>
        <w:t>项目实施方案》中涉及的项目内容匹配；</w:t>
      </w:r>
    </w:p>
    <w:p w14:paraId="118CC063">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1232.56</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val="en-US" w:eastAsia="zh-CN"/>
        </w:rPr>
        <w:t>免学费516.00</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助学金916.00万元</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w:t>
      </w:r>
      <w:r>
        <w:rPr>
          <w:rFonts w:hint="eastAsia" w:ascii="宋体" w:hAnsi="宋体" w:eastAsia="宋体" w:cs="宋体"/>
          <w:color w:val="auto"/>
          <w:sz w:val="24"/>
          <w:szCs w:val="24"/>
          <w:highlight w:val="none"/>
          <w:lang w:eastAsia="zh-CN"/>
        </w:rPr>
        <w:t>。</w:t>
      </w:r>
    </w:p>
    <w:p w14:paraId="6A122B2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5B2A483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65873125">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本项目实际分配资金以《关于申请</w:t>
      </w:r>
      <w:r>
        <w:rPr>
          <w:rFonts w:hint="eastAsia" w:ascii="宋体" w:hAnsi="宋体" w:eastAsia="宋体" w:cs="宋体"/>
          <w:color w:val="auto"/>
          <w:sz w:val="24"/>
          <w:szCs w:val="24"/>
          <w:highlight w:val="none"/>
          <w:lang w:val="en-US" w:eastAsia="zh-CN"/>
        </w:rPr>
        <w:t>中央直达资金和地财教【2023】59号-2024年学生资助补助经费-中等职业学校免学费及助学金</w:t>
      </w:r>
      <w:r>
        <w:rPr>
          <w:rFonts w:hint="eastAsia" w:ascii="宋体" w:hAnsi="宋体" w:eastAsia="宋体" w:cs="宋体"/>
          <w:color w:val="auto"/>
          <w:sz w:val="24"/>
          <w:szCs w:val="24"/>
          <w:highlight w:val="none"/>
        </w:rPr>
        <w:t>项目资金的请示》和《</w:t>
      </w:r>
      <w:r>
        <w:rPr>
          <w:rFonts w:hint="eastAsia" w:ascii="宋体" w:hAnsi="宋体" w:eastAsia="宋体" w:cs="宋体"/>
          <w:color w:val="auto"/>
          <w:sz w:val="24"/>
          <w:szCs w:val="24"/>
          <w:highlight w:val="none"/>
          <w:lang w:val="en-US" w:eastAsia="zh-CN"/>
        </w:rPr>
        <w:t>中央直达资金和地财教【2023】59号-2024年学生资助补助经费-中等职业学校免学费及助学金</w:t>
      </w:r>
      <w:r>
        <w:rPr>
          <w:rFonts w:hint="eastAsia" w:ascii="宋体" w:hAnsi="宋体" w:eastAsia="宋体" w:cs="宋体"/>
          <w:color w:val="auto"/>
          <w:sz w:val="24"/>
          <w:szCs w:val="24"/>
          <w:highlight w:val="none"/>
        </w:rPr>
        <w:t>项目实施方案》为依据进行资金分配，预算资金分配依据充分。根据《</w:t>
      </w:r>
      <w:r>
        <w:rPr>
          <w:rFonts w:hint="eastAsia" w:ascii="宋体" w:hAnsi="宋体" w:eastAsia="宋体" w:cs="宋体"/>
          <w:color w:val="auto"/>
          <w:sz w:val="24"/>
          <w:szCs w:val="24"/>
          <w:highlight w:val="none"/>
          <w:lang w:val="en-US" w:eastAsia="zh-CN"/>
        </w:rPr>
        <w:t>新疆维吾尔自治区财政厅，教育厅，人力资源和社会保障厅</w:t>
      </w:r>
      <w:r>
        <w:rPr>
          <w:rFonts w:hint="eastAsia" w:ascii="宋体" w:hAnsi="宋体" w:eastAsia="宋体" w:cs="宋体"/>
          <w:color w:val="auto"/>
          <w:sz w:val="24"/>
          <w:szCs w:val="24"/>
          <w:highlight w:val="none"/>
        </w:rPr>
        <w:t>颁发的关于印发《新疆维吾尔自治区学生资助资金管理办法》的通知》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新财规【2021】13号文件号），本项目实际到位资金</w:t>
      </w:r>
      <w:r>
        <w:rPr>
          <w:rFonts w:hint="eastAsia" w:ascii="宋体" w:hAnsi="宋体" w:eastAsia="宋体" w:cs="宋体"/>
          <w:color w:val="auto"/>
          <w:sz w:val="24"/>
          <w:szCs w:val="24"/>
          <w:highlight w:val="none"/>
          <w:lang w:val="en-US" w:eastAsia="zh-CN"/>
        </w:rPr>
        <w:t>1232.56.00</w:t>
      </w:r>
      <w:r>
        <w:rPr>
          <w:rFonts w:hint="eastAsia" w:ascii="宋体" w:hAnsi="宋体" w:eastAsia="宋体" w:cs="宋体"/>
          <w:color w:val="auto"/>
          <w:sz w:val="24"/>
          <w:szCs w:val="24"/>
          <w:highlight w:val="none"/>
        </w:rPr>
        <w:t>万元，资金分配额度合理，与我单位实际需求相适应。资金分配与实际相适应</w:t>
      </w:r>
      <w:r>
        <w:rPr>
          <w:rFonts w:hint="eastAsia" w:ascii="宋体" w:hAnsi="宋体" w:eastAsia="宋体" w:cs="宋体"/>
          <w:color w:val="auto"/>
          <w:sz w:val="24"/>
          <w:szCs w:val="24"/>
          <w:highlight w:val="none"/>
          <w:lang w:eastAsia="zh-CN"/>
        </w:rPr>
        <w:t>。</w:t>
      </w:r>
    </w:p>
    <w:p w14:paraId="15A23EC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0137D964">
      <w:pPr>
        <w:pStyle w:val="4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75F5BD8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EA4CBB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58C6B87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1232.56</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1232.56</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1232.56</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p>
    <w:p w14:paraId="2CDD6DD2">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分。</w:t>
      </w:r>
    </w:p>
    <w:p w14:paraId="678A3FB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3AF2BA37">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本项目实际支出资金</w:t>
      </w:r>
      <w:r>
        <w:rPr>
          <w:rFonts w:hint="eastAsia" w:ascii="宋体" w:hAnsi="宋体" w:eastAsia="宋体" w:cs="宋体"/>
          <w:b w:val="0"/>
          <w:bCs w:val="0"/>
          <w:color w:val="auto"/>
          <w:sz w:val="24"/>
          <w:szCs w:val="24"/>
          <w:highlight w:val="none"/>
          <w:lang w:val="en-US" w:eastAsia="zh-CN"/>
        </w:rPr>
        <w:t>1232.56</w:t>
      </w:r>
      <w:r>
        <w:rPr>
          <w:rFonts w:hint="eastAsia" w:ascii="宋体" w:hAnsi="宋体" w:eastAsia="宋体" w:cs="宋体"/>
          <w:b w:val="0"/>
          <w:bCs w:val="0"/>
          <w:color w:val="auto"/>
          <w:sz w:val="24"/>
          <w:szCs w:val="24"/>
          <w:highlight w:val="none"/>
        </w:rPr>
        <w:t>万元，预算执行率100.0%</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通过分析可知，该项目</w:t>
      </w:r>
      <w:r>
        <w:rPr>
          <w:rFonts w:hint="eastAsia" w:ascii="宋体" w:hAnsi="宋体" w:eastAsia="宋体" w:cs="宋体"/>
          <w:b w:val="0"/>
          <w:bCs w:val="0"/>
          <w:color w:val="auto"/>
          <w:sz w:val="24"/>
          <w:szCs w:val="24"/>
          <w:highlight w:val="none"/>
        </w:rPr>
        <w:t>预算编制较为详细，项目资金支出总体能够按照预算执行</w:t>
      </w:r>
      <w:r>
        <w:rPr>
          <w:rFonts w:hint="eastAsia" w:ascii="宋体" w:hAnsi="宋体" w:eastAsia="宋体" w:cs="宋体"/>
          <w:b w:val="0"/>
          <w:bCs w:val="0"/>
          <w:color w:val="auto"/>
          <w:sz w:val="24"/>
          <w:szCs w:val="24"/>
          <w:highlight w:val="none"/>
          <w:lang w:eastAsia="zh-CN"/>
        </w:rPr>
        <w:t>。</w:t>
      </w:r>
    </w:p>
    <w:p w14:paraId="4BCF8331">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分。</w:t>
      </w:r>
    </w:p>
    <w:p w14:paraId="5ACFA07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11031F42">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洛浦县中等职业学校</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val="en-US" w:eastAsia="zh-CN"/>
        </w:rPr>
        <w:t>学生资助补助经费</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w:t>
      </w:r>
      <w:r>
        <w:rPr>
          <w:rFonts w:hint="eastAsia" w:ascii="宋体" w:hAnsi="宋体" w:eastAsia="宋体" w:cs="宋体"/>
          <w:color w:val="auto"/>
          <w:sz w:val="24"/>
          <w:szCs w:val="24"/>
          <w:highlight w:val="none"/>
          <w:lang w:eastAsia="zh-CN"/>
        </w:rPr>
        <w:t>。</w:t>
      </w:r>
    </w:p>
    <w:p w14:paraId="1CA40ED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0A1A67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39D0143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我单位已制定《</w:t>
      </w:r>
      <w:r>
        <w:rPr>
          <w:rFonts w:hint="eastAsia" w:ascii="宋体" w:hAnsi="宋体" w:eastAsia="宋体" w:cs="宋体"/>
          <w:b w:val="0"/>
          <w:bCs w:val="0"/>
          <w:color w:val="auto"/>
          <w:sz w:val="24"/>
          <w:szCs w:val="24"/>
          <w:highlight w:val="none"/>
          <w:lang w:val="en-US" w:eastAsia="zh-CN"/>
        </w:rPr>
        <w:t>洛浦县中等职业学校财务管理办法</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洛浦县中等职业学校</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val="en-US" w:eastAsia="zh-CN"/>
        </w:rPr>
        <w:t>洛浦县中等职业学校</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洛浦县中等职业学校</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w:t>
      </w:r>
    </w:p>
    <w:p w14:paraId="433A202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7591CA38">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2A17F60E">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①该项目的实施符</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洛浦县中等职业学校财务管理办法</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洛浦县中等职业学校</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val="en-US" w:eastAsia="zh-CN"/>
        </w:rPr>
        <w:t>洛浦县中等职业学校</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洛浦县中等职业学校</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color w:val="auto"/>
          <w:sz w:val="24"/>
          <w:szCs w:val="24"/>
          <w:highlight w:val="none"/>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04E9A82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3E57F05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7963FC47">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highlight w:val="none"/>
          <w:lang w:val="en-US" w:eastAsia="zh-CN"/>
        </w:rPr>
        <w:t>洛浦县中等职业学校</w:t>
      </w:r>
      <w:r>
        <w:rPr>
          <w:rFonts w:hint="eastAsia" w:ascii="宋体" w:hAnsi="宋体" w:eastAsia="宋体" w:cs="宋体"/>
          <w:color w:val="auto"/>
          <w:sz w:val="24"/>
          <w:szCs w:val="24"/>
          <w:highlight w:val="none"/>
        </w:rPr>
        <w:t>项目工作领导小组，由</w:t>
      </w:r>
      <w:r>
        <w:rPr>
          <w:rFonts w:hint="eastAsia" w:ascii="宋体" w:hAnsi="宋体" w:eastAsia="宋体" w:cs="宋体"/>
          <w:color w:val="auto"/>
          <w:sz w:val="24"/>
          <w:szCs w:val="24"/>
          <w:highlight w:val="none"/>
          <w:lang w:val="en-US" w:eastAsia="zh-CN"/>
        </w:rPr>
        <w:t>麦麦提艾力·沙吾提</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伍莎莎</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阿卜杜萨塔尔·图尔荪托合提</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val="en-US" w:eastAsia="zh-CN"/>
        </w:rPr>
        <w:t>努尔麦麦提·麦麦托合提</w:t>
      </w:r>
      <w:r>
        <w:rPr>
          <w:rFonts w:hint="eastAsia" w:ascii="宋体" w:hAnsi="宋体" w:eastAsia="宋体" w:cs="宋体"/>
          <w:color w:val="auto"/>
          <w:sz w:val="24"/>
          <w:szCs w:val="24"/>
          <w:highlight w:val="none"/>
        </w:rPr>
        <w:t>，主要负责项目监督管理、验收以及资金核拨等工作。</w:t>
      </w:r>
    </w:p>
    <w:p w14:paraId="3AF42E02">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7EE01E34">
      <w:pPr>
        <w:pStyle w:val="4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2C00C35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个三级指标构成，权重分为4</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6392ED0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42FAEF5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接受职业教育补助的建档学生人数，预期指标值</w:t>
      </w:r>
      <w:r>
        <w:rPr>
          <w:rFonts w:hint="eastAsia" w:ascii="宋体" w:hAnsi="宋体" w:eastAsia="宋体" w:cs="宋体"/>
          <w:color w:val="000000"/>
          <w:sz w:val="24"/>
          <w:szCs w:val="24"/>
          <w:highlight w:val="none"/>
          <w:lang w:val="en-US" w:eastAsia="zh-CN"/>
        </w:rPr>
        <w:t>大于等于2000人</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2948人</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540D1D0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外聘人员人数，预期指标值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60人，实际完成值</w:t>
      </w:r>
      <w:r>
        <w:rPr>
          <w:rFonts w:hint="eastAsia" w:ascii="宋体" w:hAnsi="宋体" w:eastAsia="宋体" w:cs="宋体"/>
          <w:color w:val="000000"/>
          <w:sz w:val="24"/>
          <w:szCs w:val="24"/>
          <w:highlight w:val="none"/>
          <w:lang w:val="en-US" w:eastAsia="zh-CN"/>
        </w:rPr>
        <w:t>68人</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18BA1AA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61AA51EB">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3342A27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补助发放覆盖率，预期指标值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5799E92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资金使用合规率，预期指标值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2434E6C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15D5086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1EC4361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项目完成时间，预期指标值202</w:t>
      </w:r>
      <w:r>
        <w:rPr>
          <w:rFonts w:hint="eastAsia" w:ascii="宋体" w:hAnsi="宋体" w:eastAsia="宋体" w:cs="宋体"/>
          <w:b w:val="0"/>
          <w:color w:val="000000"/>
          <w:sz w:val="24"/>
          <w:szCs w:val="24"/>
          <w:highlight w:val="none"/>
          <w:lang w:val="en-US" w:eastAsia="zh-CN"/>
        </w:rPr>
        <w:t>4</w:t>
      </w:r>
      <w:r>
        <w:rPr>
          <w:rFonts w:hint="eastAsia" w:ascii="宋体" w:hAnsi="宋体" w:eastAsia="宋体" w:cs="宋体"/>
          <w:b w:val="0"/>
          <w:color w:val="000000"/>
          <w:sz w:val="24"/>
          <w:szCs w:val="24"/>
          <w:highlight w:val="none"/>
        </w:rPr>
        <w:t>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月，实际完成值202</w:t>
      </w:r>
      <w:r>
        <w:rPr>
          <w:rFonts w:hint="eastAsia" w:ascii="宋体" w:hAnsi="宋体" w:eastAsia="宋体" w:cs="宋体"/>
          <w:b w:val="0"/>
          <w:color w:val="000000"/>
          <w:sz w:val="24"/>
          <w:szCs w:val="24"/>
          <w:highlight w:val="none"/>
          <w:lang w:val="en-US" w:eastAsia="zh-CN"/>
        </w:rPr>
        <w:t>4</w:t>
      </w:r>
      <w:r>
        <w:rPr>
          <w:rFonts w:hint="eastAsia" w:ascii="宋体" w:hAnsi="宋体" w:eastAsia="宋体" w:cs="宋体"/>
          <w:b w:val="0"/>
          <w:color w:val="000000"/>
          <w:sz w:val="24"/>
          <w:szCs w:val="24"/>
          <w:highlight w:val="none"/>
        </w:rPr>
        <w:t>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月，指标完成率为</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10</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19F72B93">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6F0EED6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5F767BF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助学金费用，预期指标值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376.36万元，实际完成值376.36万元，指标完成率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1A04EC4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免学费费用，预期指标值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500.88万元，实际完成值500.88万元，指标完成率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0F1B771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奖学金费用，预期指标值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2.40万元，实际完成值为2.40万元，指标完成率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77EFC54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教材费用，预期指标值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67.07万元，实际完成值67.07万元，指标完成率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6DEE072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公用经费，预期指标值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159.27万元，实际完成值159.27万元，指标完成率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383A0F6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color w:val="000000"/>
          <w:sz w:val="24"/>
          <w:szCs w:val="24"/>
          <w:highlight w:val="none"/>
        </w:rPr>
        <w:t>住宿费，预期指标值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126.58万元，实际完成值为126.58万元，指标完成率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7F50EF5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合计得10分。</w:t>
      </w:r>
    </w:p>
    <w:p w14:paraId="6BBFF781">
      <w:pPr>
        <w:pStyle w:val="4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24CFF16F">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分，得分率为100%。</w:t>
      </w:r>
      <w:bookmarkEnd w:id="13"/>
    </w:p>
    <w:p w14:paraId="59EF903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797E4FB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val="0"/>
          <w:color w:val="000000"/>
          <w:sz w:val="24"/>
          <w:szCs w:val="24"/>
          <w:highlight w:val="none"/>
        </w:rPr>
        <w:t>保障学生在校期间的正常学习和生活，预期指标值为</w:t>
      </w:r>
      <w:r>
        <w:rPr>
          <w:rFonts w:hint="eastAsia" w:ascii="宋体" w:hAnsi="宋体" w:eastAsia="宋体" w:cs="宋体"/>
          <w:b w:val="0"/>
          <w:bCs w:val="0"/>
          <w:color w:val="000000"/>
          <w:sz w:val="24"/>
          <w:szCs w:val="24"/>
          <w:highlight w:val="none"/>
          <w:lang w:val="en-US" w:eastAsia="zh-CN"/>
        </w:rPr>
        <w:t>有效保障</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有效保障</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分。</w:t>
      </w:r>
    </w:p>
    <w:p w14:paraId="6303930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6FB5EA8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0B981319">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3518EA3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p>
    <w:p w14:paraId="1B2C751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02DE8F6E">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受益学生满意度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26A795B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53A07D47">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五、预算执行进度与绩效指标偏差情况</w:t>
      </w:r>
    </w:p>
    <w:p w14:paraId="6B53D471">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本项目年初预算资金总额为</w:t>
      </w:r>
      <w:r>
        <w:rPr>
          <w:rFonts w:hint="eastAsia" w:ascii="宋体" w:hAnsi="宋体" w:eastAsia="宋体" w:cs="宋体"/>
          <w:color w:val="auto"/>
          <w:sz w:val="24"/>
          <w:szCs w:val="24"/>
          <w:highlight w:val="none"/>
          <w:lang w:val="en-US" w:eastAsia="zh-CN"/>
        </w:rPr>
        <w:t>1232.56</w:t>
      </w:r>
      <w:r>
        <w:rPr>
          <w:rFonts w:hint="eastAsia" w:ascii="宋体" w:hAnsi="宋体" w:eastAsia="宋体" w:cs="宋体"/>
          <w:color w:val="auto"/>
          <w:sz w:val="24"/>
          <w:szCs w:val="24"/>
          <w:highlight w:val="none"/>
        </w:rPr>
        <w:t>万元，全年预算数为</w:t>
      </w:r>
      <w:r>
        <w:rPr>
          <w:rFonts w:hint="eastAsia" w:ascii="宋体" w:hAnsi="宋体" w:eastAsia="宋体" w:cs="宋体"/>
          <w:color w:val="auto"/>
          <w:sz w:val="24"/>
          <w:szCs w:val="24"/>
          <w:highlight w:val="none"/>
          <w:lang w:val="en-US" w:eastAsia="zh-CN"/>
        </w:rPr>
        <w:t>1232.56</w:t>
      </w:r>
      <w:r>
        <w:rPr>
          <w:rFonts w:hint="eastAsia" w:ascii="宋体" w:hAnsi="宋体" w:eastAsia="宋体" w:cs="宋体"/>
          <w:color w:val="auto"/>
          <w:sz w:val="24"/>
          <w:szCs w:val="24"/>
          <w:highlight w:val="none"/>
        </w:rPr>
        <w:t>万元，全年执行数为</w:t>
      </w:r>
      <w:r>
        <w:rPr>
          <w:rFonts w:hint="eastAsia" w:ascii="宋体" w:hAnsi="宋体" w:eastAsia="宋体" w:cs="宋体"/>
          <w:color w:val="auto"/>
          <w:sz w:val="24"/>
          <w:szCs w:val="24"/>
          <w:highlight w:val="none"/>
          <w:lang w:val="en-US" w:eastAsia="zh-CN"/>
        </w:rPr>
        <w:t>1232.56</w:t>
      </w:r>
      <w:r>
        <w:rPr>
          <w:rFonts w:hint="eastAsia" w:ascii="宋体" w:hAnsi="宋体" w:eastAsia="宋体" w:cs="宋体"/>
          <w:color w:val="auto"/>
          <w:sz w:val="24"/>
          <w:szCs w:val="24"/>
          <w:highlight w:val="none"/>
        </w:rPr>
        <w:t>万元，预算执行率为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547A57F5">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本项目共设置三级指标数量</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个，满分指标数量</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个，扣分指标数量</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个，经分析计算所有三级指标完成率得出，本项目总体完成率为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4D39EF30">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综上所述本项目预算执行率与总体完成率之间</w:t>
      </w:r>
      <w:r>
        <w:rPr>
          <w:rFonts w:hint="eastAsia" w:ascii="宋体" w:hAnsi="宋体" w:eastAsia="宋体" w:cs="宋体"/>
          <w:color w:val="auto"/>
          <w:sz w:val="24"/>
          <w:szCs w:val="24"/>
          <w:highlight w:val="none"/>
          <w:lang w:val="en-US" w:eastAsia="zh-CN"/>
        </w:rPr>
        <w:t>无偏差</w:t>
      </w:r>
      <w:r>
        <w:rPr>
          <w:rFonts w:hint="eastAsia" w:ascii="宋体" w:hAnsi="宋体" w:eastAsia="宋体" w:cs="宋体"/>
          <w:color w:val="auto"/>
          <w:sz w:val="24"/>
          <w:szCs w:val="24"/>
          <w:highlight w:val="none"/>
        </w:rPr>
        <w:t>。</w:t>
      </w:r>
    </w:p>
    <w:p w14:paraId="3ED7F7A6">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color w:val="auto"/>
          <w:sz w:val="24"/>
          <w:szCs w:val="24"/>
          <w:highlight w:val="none"/>
          <w:lang w:val="en-US" w:eastAsia="zh-CN"/>
        </w:rPr>
      </w:pPr>
      <w:bookmarkStart w:id="14" w:name="_Toc68364673"/>
      <w:r>
        <w:rPr>
          <w:rFonts w:hint="eastAsia" w:ascii="黑体" w:hAnsi="黑体" w:eastAsia="黑体" w:cs="黑体"/>
          <w:b/>
          <w:bCs/>
          <w:color w:val="auto"/>
          <w:sz w:val="24"/>
          <w:szCs w:val="24"/>
          <w:highlight w:val="none"/>
          <w:lang w:val="en-US" w:eastAsia="zh-CN"/>
        </w:rPr>
        <w:t>六、主要经验及做法、存在的问题及原因分析</w:t>
      </w:r>
    </w:p>
    <w:p w14:paraId="1D97A89E">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480" w:firstLineChars="20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（一）主要经验及做法</w:t>
      </w:r>
      <w:bookmarkEnd w:id="14"/>
    </w:p>
    <w:p w14:paraId="77905052">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本项目实施效果较好的原因主要是管理制度完善、责任落实到位，跟踪考核机制完善且运行有效，在项目实施过程中创新管理办法，使项目取得了良好的效果。</w:t>
      </w:r>
    </w:p>
    <w:p w14:paraId="15E795AF">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建立了完善的沟通机制，学校与学生家庭保持密切联系，及时了解学生需求和家庭经济变化情况；积极开展政策宣传活动，通过多种渠道向学生和家长宣传资助政策，提高知晓度。</w:t>
      </w:r>
    </w:p>
    <w:p w14:paraId="47C45681">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加强沟通协调，我单位及时向领导汇报项目建设进度，加强与施工单位的沟通，确保项目按期完工。</w:t>
      </w:r>
      <w:bookmarkStart w:id="15" w:name="_Toc68364676"/>
    </w:p>
    <w:p w14:paraId="13A38B51">
      <w:pPr>
        <w:pStyle w:val="62"/>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七、</w:t>
      </w:r>
      <w:r>
        <w:rPr>
          <w:rFonts w:hint="eastAsia" w:ascii="黑体" w:hAnsi="黑体" w:eastAsia="黑体" w:cs="黑体"/>
          <w:sz w:val="24"/>
          <w:szCs w:val="24"/>
        </w:rPr>
        <w:t>有关建议</w:t>
      </w:r>
    </w:p>
    <w:p w14:paraId="624D0869">
      <w:pPr>
        <w:pStyle w:val="62"/>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b w:val="0"/>
          <w:color w:val="000000"/>
          <w:kern w:val="2"/>
          <w:sz w:val="24"/>
          <w:szCs w:val="24"/>
        </w:rPr>
      </w:pPr>
      <w:r>
        <w:rPr>
          <w:rFonts w:hint="eastAsia" w:ascii="宋体" w:hAnsi="宋体" w:eastAsia="宋体" w:cs="宋体"/>
          <w:b w:val="0"/>
          <w:color w:val="000000"/>
          <w:kern w:val="2"/>
          <w:sz w:val="24"/>
          <w:szCs w:val="24"/>
          <w:lang w:val="en-US" w:eastAsia="zh-CN"/>
        </w:rPr>
        <w:t>1.</w:t>
      </w:r>
      <w:r>
        <w:rPr>
          <w:rFonts w:hint="eastAsia" w:ascii="宋体" w:hAnsi="宋体" w:eastAsia="宋体" w:cs="宋体"/>
          <w:b w:val="0"/>
          <w:color w:val="000000"/>
          <w:kern w:val="2"/>
          <w:sz w:val="24"/>
          <w:szCs w:val="24"/>
        </w:rPr>
        <w:t>预算编制工作，认真做好预算的编制。全面编制预算项目，优先保障固定性的、相对刚性的费用支出项目，尽量压缩变动性的、有控制空间的费用项目，进一步提高预算编制的科学性、严谨性和可控性。</w:t>
      </w:r>
    </w:p>
    <w:p w14:paraId="04AB0A41">
      <w:pPr>
        <w:pStyle w:val="6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2.开展进度的跟踪，确保项目绩效目标的完成。规范程序，严格把关。进一步完善项目申报、审核、公示、审批等程序，严格审核切实做好项目信息公开，公开内容要及时、完整、真实，确保项目公平、公开、公正。</w:t>
      </w:r>
    </w:p>
    <w:p w14:paraId="612E330E">
      <w:pPr>
        <w:pStyle w:val="62"/>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color w:val="000000"/>
          <w:kern w:val="2"/>
          <w:sz w:val="24"/>
          <w:szCs w:val="24"/>
          <w:lang w:val="en-US" w:eastAsia="zh-CN" w:bidi="ar-SA"/>
        </w:rPr>
        <w:t>3.健全制度，加强督促。针对项目实施中存在的问题，进一步完善相关制度，加强督促检查，确保质量安全和建设进度；同时及时完善资料。</w:t>
      </w:r>
    </w:p>
    <w:p w14:paraId="0397A26E">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color w:val="auto"/>
          <w:sz w:val="24"/>
          <w:szCs w:val="24"/>
          <w:highlight w:val="none"/>
          <w:lang w:val="en-US" w:eastAsia="zh-CN"/>
        </w:rPr>
      </w:pPr>
    </w:p>
    <w:p w14:paraId="1C08AD97">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color w:val="auto"/>
          <w:sz w:val="24"/>
          <w:szCs w:val="24"/>
          <w:highlight w:val="none"/>
          <w:lang w:val="en-US" w:eastAsia="zh-CN"/>
        </w:rPr>
      </w:pPr>
      <w:r>
        <w:rPr>
          <w:rFonts w:hint="eastAsia" w:ascii="黑体" w:hAnsi="黑体" w:eastAsia="黑体" w:cs="黑体"/>
          <w:b/>
          <w:bCs/>
          <w:color w:val="auto"/>
          <w:sz w:val="24"/>
          <w:szCs w:val="24"/>
          <w:highlight w:val="none"/>
          <w:lang w:val="en-US" w:eastAsia="zh-CN"/>
        </w:rPr>
        <w:t>八、其他需要说明的问题</w:t>
      </w:r>
      <w:bookmarkEnd w:id="15"/>
    </w:p>
    <w:p w14:paraId="59F9292C">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我单位对上述项目支出绩效评价报告内反映内容的真实性、完整性负责，愿接受上级部门及社会公众监督。</w:t>
      </w:r>
    </w:p>
    <w:p w14:paraId="3F593506">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p>
    <w:p w14:paraId="37F0E0CC">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附件1：中央直达资金和地财教【2023】59号-2024年学生资助补助经费-中等职业学校免学费及助学金项目项目绩效评价指标体系</w:t>
      </w:r>
    </w:p>
    <w:p w14:paraId="19D2407D">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附件2：中央直达资金和地财教【2023】59号-2024年学生资助补助经费-中等职业学校免学费及助学金项目综合得分表</w:t>
      </w:r>
    </w:p>
    <w:p w14:paraId="11A632A2">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附件3：满意度调查问分析情况</w:t>
      </w:r>
    </w:p>
    <w:p w14:paraId="54D5D1D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rPr>
      </w:pPr>
    </w:p>
    <w:p w14:paraId="6D31E8A0">
      <w:pPr>
        <w:pStyle w:val="10"/>
        <w:ind w:left="0" w:leftChars="0" w:firstLine="0" w:firstLineChars="0"/>
        <w:jc w:val="both"/>
        <w:rPr>
          <w:rFonts w:hint="eastAsia" w:ascii="宋体" w:hAnsi="宋体" w:eastAsia="宋体" w:cs="宋体"/>
          <w:color w:val="auto"/>
          <w:sz w:val="24"/>
          <w:szCs w:val="24"/>
        </w:rPr>
      </w:pPr>
    </w:p>
    <w:p w14:paraId="23D7E0DC">
      <w:pPr>
        <w:pStyle w:val="10"/>
        <w:ind w:left="0" w:leftChars="0" w:firstLine="0" w:firstLineChars="0"/>
        <w:jc w:val="both"/>
        <w:rPr>
          <w:rFonts w:hint="eastAsia" w:ascii="宋体" w:hAnsi="宋体" w:eastAsia="宋体" w:cs="宋体"/>
          <w:color w:val="auto"/>
          <w:sz w:val="24"/>
          <w:szCs w:val="24"/>
        </w:rPr>
        <w:sectPr>
          <w:footerReference r:id="rId7" w:type="default"/>
          <w:pgSz w:w="11906" w:h="16838"/>
          <w:pgMar w:top="1985" w:right="1531" w:bottom="1701" w:left="1531" w:header="851" w:footer="992" w:gutter="0"/>
          <w:pgNumType w:fmt="decimal" w:start="1"/>
          <w:cols w:space="720" w:num="1"/>
          <w:docGrid w:type="linesAndChars" w:linePitch="386" w:charSpace="0"/>
        </w:sectPr>
      </w:pPr>
    </w:p>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4"/>
        <w:gridCol w:w="573"/>
        <w:gridCol w:w="641"/>
        <w:gridCol w:w="559"/>
        <w:gridCol w:w="641"/>
        <w:gridCol w:w="545"/>
        <w:gridCol w:w="2277"/>
        <w:gridCol w:w="1363"/>
        <w:gridCol w:w="3737"/>
        <w:gridCol w:w="1739"/>
        <w:gridCol w:w="569"/>
      </w:tblGrid>
      <w:tr w14:paraId="76A1A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24" w:type="dxa"/>
            <w:tcBorders>
              <w:top w:val="nil"/>
              <w:left w:val="nil"/>
              <w:bottom w:val="nil"/>
              <w:right w:val="nil"/>
            </w:tcBorders>
            <w:noWrap/>
            <w:vAlign w:val="center"/>
          </w:tcPr>
          <w:p w14:paraId="0FE366F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附件1：</w:t>
            </w:r>
          </w:p>
        </w:tc>
        <w:tc>
          <w:tcPr>
            <w:tcW w:w="573" w:type="dxa"/>
            <w:tcBorders>
              <w:top w:val="nil"/>
              <w:left w:val="nil"/>
              <w:bottom w:val="nil"/>
              <w:right w:val="nil"/>
            </w:tcBorders>
            <w:noWrap/>
            <w:vAlign w:val="center"/>
          </w:tcPr>
          <w:p w14:paraId="598BF3E6">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641" w:type="dxa"/>
            <w:tcBorders>
              <w:top w:val="nil"/>
              <w:left w:val="nil"/>
              <w:bottom w:val="nil"/>
              <w:right w:val="nil"/>
            </w:tcBorders>
            <w:noWrap/>
            <w:vAlign w:val="center"/>
          </w:tcPr>
          <w:p w14:paraId="67E132AA">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559" w:type="dxa"/>
            <w:tcBorders>
              <w:top w:val="nil"/>
              <w:left w:val="nil"/>
              <w:bottom w:val="nil"/>
              <w:right w:val="nil"/>
            </w:tcBorders>
            <w:noWrap/>
            <w:vAlign w:val="center"/>
          </w:tcPr>
          <w:p w14:paraId="7FB2ABD5">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641" w:type="dxa"/>
            <w:tcBorders>
              <w:top w:val="nil"/>
              <w:left w:val="nil"/>
              <w:bottom w:val="nil"/>
              <w:right w:val="nil"/>
            </w:tcBorders>
            <w:noWrap/>
            <w:vAlign w:val="center"/>
          </w:tcPr>
          <w:p w14:paraId="4FDF2BA4">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545" w:type="dxa"/>
            <w:tcBorders>
              <w:top w:val="nil"/>
              <w:left w:val="nil"/>
              <w:bottom w:val="nil"/>
              <w:right w:val="nil"/>
            </w:tcBorders>
            <w:noWrap/>
            <w:vAlign w:val="center"/>
          </w:tcPr>
          <w:p w14:paraId="042192EE">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2277" w:type="dxa"/>
            <w:tcBorders>
              <w:top w:val="nil"/>
              <w:left w:val="nil"/>
              <w:bottom w:val="nil"/>
              <w:right w:val="nil"/>
            </w:tcBorders>
            <w:noWrap/>
            <w:vAlign w:val="center"/>
          </w:tcPr>
          <w:p w14:paraId="6F224EFD">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1363" w:type="dxa"/>
            <w:tcBorders>
              <w:top w:val="nil"/>
              <w:left w:val="nil"/>
              <w:bottom w:val="nil"/>
              <w:right w:val="nil"/>
            </w:tcBorders>
            <w:noWrap/>
            <w:vAlign w:val="center"/>
          </w:tcPr>
          <w:p w14:paraId="40C21B22">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3737" w:type="dxa"/>
            <w:tcBorders>
              <w:top w:val="nil"/>
              <w:left w:val="nil"/>
              <w:bottom w:val="nil"/>
              <w:right w:val="nil"/>
            </w:tcBorders>
            <w:noWrap/>
            <w:vAlign w:val="center"/>
          </w:tcPr>
          <w:p w14:paraId="7EC5C4B8">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1739" w:type="dxa"/>
            <w:tcBorders>
              <w:top w:val="nil"/>
              <w:left w:val="nil"/>
              <w:bottom w:val="nil"/>
              <w:right w:val="nil"/>
            </w:tcBorders>
            <w:noWrap/>
            <w:vAlign w:val="center"/>
          </w:tcPr>
          <w:p w14:paraId="782C2E75">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569" w:type="dxa"/>
            <w:tcBorders>
              <w:top w:val="nil"/>
              <w:left w:val="nil"/>
              <w:bottom w:val="nil"/>
              <w:right w:val="nil"/>
            </w:tcBorders>
            <w:noWrap/>
            <w:vAlign w:val="center"/>
          </w:tcPr>
          <w:p w14:paraId="689B2726">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r>
      <w:tr w14:paraId="32D26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3368" w:type="dxa"/>
            <w:gridSpan w:val="11"/>
            <w:tcBorders>
              <w:top w:val="nil"/>
              <w:left w:val="nil"/>
              <w:bottom w:val="nil"/>
              <w:right w:val="nil"/>
            </w:tcBorders>
            <w:noWrap w:val="0"/>
            <w:vAlign w:val="center"/>
          </w:tcPr>
          <w:p w14:paraId="1234F5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000000"/>
                <w:kern w:val="0"/>
                <w:sz w:val="24"/>
                <w:szCs w:val="24"/>
                <w:highlight w:val="none"/>
                <w:u w:val="none"/>
                <w:lang w:val="en-US" w:eastAsia="zh-CN"/>
              </w:rPr>
              <w:t>和田地区洛浦县中央直达资金和地财教【2023】59号-2024年学生资助补助经费-中等职业学校免学费及助学金项目绩效评价指标体系综合评分表</w:t>
            </w:r>
          </w:p>
        </w:tc>
      </w:tr>
      <w:tr w14:paraId="4927D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4E1991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573" w:type="dxa"/>
            <w:tcBorders>
              <w:top w:val="single" w:color="auto" w:sz="4" w:space="0"/>
              <w:left w:val="single" w:color="auto" w:sz="4" w:space="0"/>
              <w:bottom w:val="single" w:color="auto" w:sz="4" w:space="0"/>
              <w:right w:val="single" w:color="auto" w:sz="4" w:space="0"/>
            </w:tcBorders>
            <w:noWrap w:val="0"/>
            <w:vAlign w:val="center"/>
          </w:tcPr>
          <w:p w14:paraId="296316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641" w:type="dxa"/>
            <w:tcBorders>
              <w:top w:val="single" w:color="auto" w:sz="4" w:space="0"/>
              <w:left w:val="single" w:color="auto" w:sz="4" w:space="0"/>
              <w:bottom w:val="single" w:color="auto" w:sz="4" w:space="0"/>
              <w:right w:val="single" w:color="auto" w:sz="4" w:space="0"/>
            </w:tcBorders>
            <w:noWrap w:val="0"/>
            <w:vAlign w:val="center"/>
          </w:tcPr>
          <w:p w14:paraId="6B72EB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45F8B1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641" w:type="dxa"/>
            <w:tcBorders>
              <w:top w:val="single" w:color="auto" w:sz="4" w:space="0"/>
              <w:left w:val="single" w:color="auto" w:sz="4" w:space="0"/>
              <w:bottom w:val="single" w:color="auto" w:sz="4" w:space="0"/>
              <w:right w:val="single" w:color="auto" w:sz="4" w:space="0"/>
            </w:tcBorders>
            <w:noWrap w:val="0"/>
            <w:vAlign w:val="center"/>
          </w:tcPr>
          <w:p w14:paraId="3A5362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59FBBC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0E9B7D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21AFB6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30E70D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7498C4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4972F5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得分</w:t>
            </w:r>
          </w:p>
        </w:tc>
      </w:tr>
      <w:tr w14:paraId="4FD5C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7" w:hRule="atLeast"/>
        </w:trPr>
        <w:tc>
          <w:tcPr>
            <w:tcW w:w="724" w:type="dxa"/>
            <w:vMerge w:val="restart"/>
            <w:tcBorders>
              <w:top w:val="single" w:color="auto" w:sz="4" w:space="0"/>
              <w:left w:val="single" w:color="auto" w:sz="4" w:space="0"/>
              <w:bottom w:val="single" w:color="auto" w:sz="4" w:space="0"/>
              <w:right w:val="single" w:color="auto" w:sz="4" w:space="0"/>
            </w:tcBorders>
            <w:noWrap w:val="0"/>
            <w:vAlign w:val="center"/>
          </w:tcPr>
          <w:p w14:paraId="55CD3C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项目决策</w:t>
            </w:r>
          </w:p>
        </w:tc>
        <w:tc>
          <w:tcPr>
            <w:tcW w:w="573" w:type="dxa"/>
            <w:vMerge w:val="restart"/>
            <w:tcBorders>
              <w:top w:val="single" w:color="auto" w:sz="4" w:space="0"/>
              <w:left w:val="single" w:color="auto" w:sz="4" w:space="0"/>
              <w:bottom w:val="single" w:color="auto" w:sz="4" w:space="0"/>
              <w:right w:val="single" w:color="auto" w:sz="4" w:space="0"/>
            </w:tcBorders>
            <w:noWrap w:val="0"/>
            <w:vAlign w:val="center"/>
          </w:tcPr>
          <w:p w14:paraId="6D2027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w:t>
            </w:r>
          </w:p>
        </w:tc>
        <w:tc>
          <w:tcPr>
            <w:tcW w:w="641" w:type="dxa"/>
            <w:vMerge w:val="restart"/>
            <w:tcBorders>
              <w:top w:val="single" w:color="auto" w:sz="4" w:space="0"/>
              <w:left w:val="single" w:color="auto" w:sz="4" w:space="0"/>
              <w:bottom w:val="single" w:color="auto" w:sz="4" w:space="0"/>
              <w:right w:val="single" w:color="auto" w:sz="4" w:space="0"/>
            </w:tcBorders>
            <w:noWrap w:val="0"/>
            <w:vAlign w:val="center"/>
          </w:tcPr>
          <w:p w14:paraId="6E3203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w:t>
            </w:r>
          </w:p>
        </w:tc>
        <w:tc>
          <w:tcPr>
            <w:tcW w:w="559" w:type="dxa"/>
            <w:vMerge w:val="restart"/>
            <w:tcBorders>
              <w:top w:val="single" w:color="auto" w:sz="4" w:space="0"/>
              <w:left w:val="single" w:color="auto" w:sz="4" w:space="0"/>
              <w:bottom w:val="single" w:color="auto" w:sz="4" w:space="0"/>
              <w:right w:val="single" w:color="auto" w:sz="4" w:space="0"/>
            </w:tcBorders>
            <w:noWrap w:val="0"/>
            <w:vAlign w:val="center"/>
          </w:tcPr>
          <w:p w14:paraId="5B8AB1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641" w:type="dxa"/>
            <w:tcBorders>
              <w:top w:val="single" w:color="auto" w:sz="4" w:space="0"/>
              <w:left w:val="single" w:color="auto" w:sz="4" w:space="0"/>
              <w:bottom w:val="single" w:color="auto" w:sz="4" w:space="0"/>
              <w:right w:val="single" w:color="auto" w:sz="4" w:space="0"/>
            </w:tcBorders>
            <w:noWrap w:val="0"/>
            <w:vAlign w:val="center"/>
          </w:tcPr>
          <w:p w14:paraId="11224C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496954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145639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0A3197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11CC32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4606BE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24C9C7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728439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678FE9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6F8F23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4E539B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2AD1CC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4C569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7E3603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43692A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top w:val="single" w:color="auto" w:sz="4" w:space="0"/>
              <w:left w:val="single" w:color="auto" w:sz="4" w:space="0"/>
              <w:bottom w:val="single" w:color="auto" w:sz="4" w:space="0"/>
              <w:right w:val="single" w:color="auto" w:sz="4" w:space="0"/>
            </w:tcBorders>
            <w:noWrap w:val="0"/>
            <w:vAlign w:val="center"/>
          </w:tcPr>
          <w:p w14:paraId="081052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9" w:type="dxa"/>
            <w:vMerge w:val="continue"/>
            <w:tcBorders>
              <w:top w:val="single" w:color="auto" w:sz="4" w:space="0"/>
              <w:left w:val="single" w:color="auto" w:sz="4" w:space="0"/>
              <w:bottom w:val="single" w:color="auto" w:sz="4" w:space="0"/>
              <w:right w:val="single" w:color="auto" w:sz="4" w:space="0"/>
            </w:tcBorders>
            <w:noWrap w:val="0"/>
            <w:vAlign w:val="center"/>
          </w:tcPr>
          <w:p w14:paraId="1B95C2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tcBorders>
              <w:top w:val="single" w:color="auto" w:sz="4" w:space="0"/>
              <w:left w:val="single" w:color="auto" w:sz="4" w:space="0"/>
              <w:bottom w:val="single" w:color="auto" w:sz="4" w:space="0"/>
              <w:right w:val="single" w:color="auto" w:sz="4" w:space="0"/>
            </w:tcBorders>
            <w:noWrap w:val="0"/>
            <w:vAlign w:val="center"/>
          </w:tcPr>
          <w:p w14:paraId="5A9DBC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3C1707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3D11E6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4214E9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0FB514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1C8AC2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35E828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23766F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37A3F6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31168E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21B6A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77DA67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2F82C7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restart"/>
            <w:tcBorders>
              <w:top w:val="single" w:color="auto" w:sz="4" w:space="0"/>
              <w:left w:val="single" w:color="auto" w:sz="4" w:space="0"/>
              <w:bottom w:val="single" w:color="auto" w:sz="4" w:space="0"/>
              <w:right w:val="single" w:color="auto" w:sz="4" w:space="0"/>
            </w:tcBorders>
            <w:noWrap w:val="0"/>
            <w:vAlign w:val="center"/>
          </w:tcPr>
          <w:p w14:paraId="127A38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w:t>
            </w:r>
          </w:p>
        </w:tc>
        <w:tc>
          <w:tcPr>
            <w:tcW w:w="559" w:type="dxa"/>
            <w:vMerge w:val="restart"/>
            <w:tcBorders>
              <w:top w:val="single" w:color="auto" w:sz="4" w:space="0"/>
              <w:left w:val="single" w:color="auto" w:sz="4" w:space="0"/>
              <w:bottom w:val="single" w:color="auto" w:sz="4" w:space="0"/>
              <w:right w:val="single" w:color="auto" w:sz="4" w:space="0"/>
            </w:tcBorders>
            <w:noWrap w:val="0"/>
            <w:vAlign w:val="center"/>
          </w:tcPr>
          <w:p w14:paraId="74DF62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41" w:type="dxa"/>
            <w:tcBorders>
              <w:top w:val="single" w:color="auto" w:sz="4" w:space="0"/>
              <w:left w:val="single" w:color="auto" w:sz="4" w:space="0"/>
              <w:bottom w:val="single" w:color="auto" w:sz="4" w:space="0"/>
              <w:right w:val="single" w:color="auto" w:sz="4" w:space="0"/>
            </w:tcBorders>
            <w:noWrap w:val="0"/>
            <w:vAlign w:val="center"/>
          </w:tcPr>
          <w:p w14:paraId="395EEC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001702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5ED8EE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44C2D7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2BB189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7640BB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22768B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7D8B0C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08D0FB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120FFB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4D1332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5DA46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430F02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66CCEA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top w:val="single" w:color="auto" w:sz="4" w:space="0"/>
              <w:left w:val="single" w:color="auto" w:sz="4" w:space="0"/>
              <w:bottom w:val="single" w:color="auto" w:sz="4" w:space="0"/>
              <w:right w:val="single" w:color="auto" w:sz="4" w:space="0"/>
            </w:tcBorders>
            <w:noWrap w:val="0"/>
            <w:vAlign w:val="center"/>
          </w:tcPr>
          <w:p w14:paraId="245860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9" w:type="dxa"/>
            <w:vMerge w:val="continue"/>
            <w:tcBorders>
              <w:top w:val="single" w:color="auto" w:sz="4" w:space="0"/>
              <w:left w:val="single" w:color="auto" w:sz="4" w:space="0"/>
              <w:bottom w:val="single" w:color="auto" w:sz="4" w:space="0"/>
              <w:right w:val="single" w:color="auto" w:sz="4" w:space="0"/>
            </w:tcBorders>
            <w:noWrap w:val="0"/>
            <w:vAlign w:val="center"/>
          </w:tcPr>
          <w:p w14:paraId="4A0969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tcBorders>
              <w:top w:val="single" w:color="auto" w:sz="4" w:space="0"/>
              <w:left w:val="single" w:color="auto" w:sz="4" w:space="0"/>
              <w:bottom w:val="single" w:color="auto" w:sz="4" w:space="0"/>
              <w:right w:val="single" w:color="auto" w:sz="4" w:space="0"/>
            </w:tcBorders>
            <w:noWrap w:val="0"/>
            <w:vAlign w:val="center"/>
          </w:tcPr>
          <w:p w14:paraId="3AE36A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516AF3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2442B0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7D6A72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273264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3DFDF3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1A9427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358D95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0FDE48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42CAE4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4B143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301B95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0F5DE1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restart"/>
            <w:tcBorders>
              <w:top w:val="single" w:color="auto" w:sz="4" w:space="0"/>
              <w:left w:val="single" w:color="auto" w:sz="4" w:space="0"/>
              <w:bottom w:val="single" w:color="auto" w:sz="4" w:space="0"/>
              <w:right w:val="single" w:color="auto" w:sz="4" w:space="0"/>
            </w:tcBorders>
            <w:noWrap w:val="0"/>
            <w:vAlign w:val="center"/>
          </w:tcPr>
          <w:p w14:paraId="1791A3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资金投入</w:t>
            </w:r>
          </w:p>
        </w:tc>
        <w:tc>
          <w:tcPr>
            <w:tcW w:w="559" w:type="dxa"/>
            <w:vMerge w:val="restart"/>
            <w:tcBorders>
              <w:top w:val="single" w:color="auto" w:sz="4" w:space="0"/>
              <w:left w:val="single" w:color="auto" w:sz="4" w:space="0"/>
              <w:bottom w:val="single" w:color="auto" w:sz="4" w:space="0"/>
              <w:right w:val="single" w:color="auto" w:sz="4" w:space="0"/>
            </w:tcBorders>
            <w:noWrap w:val="0"/>
            <w:vAlign w:val="center"/>
          </w:tcPr>
          <w:p w14:paraId="58E411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641" w:type="dxa"/>
            <w:tcBorders>
              <w:top w:val="single" w:color="auto" w:sz="4" w:space="0"/>
              <w:left w:val="single" w:color="auto" w:sz="4" w:space="0"/>
              <w:bottom w:val="single" w:color="auto" w:sz="4" w:space="0"/>
              <w:right w:val="single" w:color="auto" w:sz="4" w:space="0"/>
            </w:tcBorders>
            <w:noWrap w:val="0"/>
            <w:vAlign w:val="center"/>
          </w:tcPr>
          <w:p w14:paraId="66D75A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633B13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316C7A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7ED8A7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34DE7C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6492B3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1702A4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61A58D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66EFD6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47DED0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555D6C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3EF80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3E3644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321950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top w:val="single" w:color="auto" w:sz="4" w:space="0"/>
              <w:left w:val="single" w:color="auto" w:sz="4" w:space="0"/>
              <w:bottom w:val="single" w:color="auto" w:sz="4" w:space="0"/>
              <w:right w:val="single" w:color="auto" w:sz="4" w:space="0"/>
            </w:tcBorders>
            <w:noWrap w:val="0"/>
            <w:vAlign w:val="center"/>
          </w:tcPr>
          <w:p w14:paraId="70EC2D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9" w:type="dxa"/>
            <w:vMerge w:val="continue"/>
            <w:tcBorders>
              <w:top w:val="single" w:color="auto" w:sz="4" w:space="0"/>
              <w:left w:val="single" w:color="auto" w:sz="4" w:space="0"/>
              <w:bottom w:val="single" w:color="auto" w:sz="4" w:space="0"/>
              <w:right w:val="single" w:color="auto" w:sz="4" w:space="0"/>
            </w:tcBorders>
            <w:noWrap w:val="0"/>
            <w:vAlign w:val="center"/>
          </w:tcPr>
          <w:p w14:paraId="579B0F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tcBorders>
              <w:top w:val="single" w:color="auto" w:sz="4" w:space="0"/>
              <w:left w:val="single" w:color="auto" w:sz="4" w:space="0"/>
              <w:bottom w:val="single" w:color="auto" w:sz="4" w:space="0"/>
              <w:right w:val="single" w:color="auto" w:sz="4" w:space="0"/>
            </w:tcBorders>
            <w:noWrap w:val="0"/>
            <w:vAlign w:val="center"/>
          </w:tcPr>
          <w:p w14:paraId="05006F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2A5B09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774A3A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593DF6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445067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27AF05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70904E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14BA84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205297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781F8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restart"/>
            <w:tcBorders>
              <w:top w:val="single" w:color="auto" w:sz="4" w:space="0"/>
              <w:left w:val="single" w:color="auto" w:sz="4" w:space="0"/>
              <w:bottom w:val="single" w:color="auto" w:sz="4" w:space="0"/>
              <w:right w:val="single" w:color="auto" w:sz="4" w:space="0"/>
            </w:tcBorders>
            <w:noWrap w:val="0"/>
            <w:vAlign w:val="center"/>
          </w:tcPr>
          <w:p w14:paraId="77B15F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项目过程</w:t>
            </w:r>
          </w:p>
        </w:tc>
        <w:tc>
          <w:tcPr>
            <w:tcW w:w="573" w:type="dxa"/>
            <w:vMerge w:val="restart"/>
            <w:tcBorders>
              <w:top w:val="single" w:color="auto" w:sz="4" w:space="0"/>
              <w:left w:val="single" w:color="auto" w:sz="4" w:space="0"/>
              <w:bottom w:val="single" w:color="auto" w:sz="4" w:space="0"/>
              <w:right w:val="single" w:color="auto" w:sz="4" w:space="0"/>
            </w:tcBorders>
            <w:noWrap w:val="0"/>
            <w:vAlign w:val="center"/>
          </w:tcPr>
          <w:p w14:paraId="769BC8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w:t>
            </w:r>
          </w:p>
        </w:tc>
        <w:tc>
          <w:tcPr>
            <w:tcW w:w="641" w:type="dxa"/>
            <w:vMerge w:val="restart"/>
            <w:tcBorders>
              <w:top w:val="single" w:color="auto" w:sz="4" w:space="0"/>
              <w:left w:val="single" w:color="auto" w:sz="4" w:space="0"/>
              <w:bottom w:val="single" w:color="auto" w:sz="4" w:space="0"/>
              <w:right w:val="single" w:color="auto" w:sz="4" w:space="0"/>
            </w:tcBorders>
            <w:noWrap w:val="0"/>
            <w:vAlign w:val="center"/>
          </w:tcPr>
          <w:p w14:paraId="653992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资金管理</w:t>
            </w:r>
          </w:p>
        </w:tc>
        <w:tc>
          <w:tcPr>
            <w:tcW w:w="559" w:type="dxa"/>
            <w:vMerge w:val="restart"/>
            <w:tcBorders>
              <w:top w:val="single" w:color="auto" w:sz="4" w:space="0"/>
              <w:left w:val="single" w:color="auto" w:sz="4" w:space="0"/>
              <w:bottom w:val="single" w:color="auto" w:sz="4" w:space="0"/>
              <w:right w:val="single" w:color="auto" w:sz="4" w:space="0"/>
            </w:tcBorders>
            <w:noWrap w:val="0"/>
            <w:vAlign w:val="center"/>
          </w:tcPr>
          <w:p w14:paraId="0C4CA2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641" w:type="dxa"/>
            <w:tcBorders>
              <w:top w:val="single" w:color="auto" w:sz="4" w:space="0"/>
              <w:left w:val="single" w:color="auto" w:sz="4" w:space="0"/>
              <w:bottom w:val="single" w:color="auto" w:sz="4" w:space="0"/>
              <w:right w:val="single" w:color="auto" w:sz="4" w:space="0"/>
            </w:tcBorders>
            <w:noWrap w:val="0"/>
            <w:vAlign w:val="center"/>
          </w:tcPr>
          <w:p w14:paraId="23DFD5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69CE87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2E9108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193357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5EF853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2C5C23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2B06E6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22AD65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3CECD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4A4639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438B7F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top w:val="single" w:color="auto" w:sz="4" w:space="0"/>
              <w:left w:val="single" w:color="auto" w:sz="4" w:space="0"/>
              <w:bottom w:val="single" w:color="auto" w:sz="4" w:space="0"/>
              <w:right w:val="single" w:color="auto" w:sz="4" w:space="0"/>
            </w:tcBorders>
            <w:noWrap w:val="0"/>
            <w:vAlign w:val="center"/>
          </w:tcPr>
          <w:p w14:paraId="3E71BF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9" w:type="dxa"/>
            <w:vMerge w:val="continue"/>
            <w:tcBorders>
              <w:top w:val="single" w:color="auto" w:sz="4" w:space="0"/>
              <w:left w:val="single" w:color="auto" w:sz="4" w:space="0"/>
              <w:bottom w:val="single" w:color="auto" w:sz="4" w:space="0"/>
              <w:right w:val="single" w:color="auto" w:sz="4" w:space="0"/>
            </w:tcBorders>
            <w:noWrap w:val="0"/>
            <w:vAlign w:val="center"/>
          </w:tcPr>
          <w:p w14:paraId="45770E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tcBorders>
              <w:top w:val="single" w:color="auto" w:sz="4" w:space="0"/>
              <w:left w:val="single" w:color="auto" w:sz="4" w:space="0"/>
              <w:bottom w:val="single" w:color="auto" w:sz="4" w:space="0"/>
              <w:right w:val="single" w:color="auto" w:sz="4" w:space="0"/>
            </w:tcBorders>
            <w:noWrap w:val="0"/>
            <w:vAlign w:val="center"/>
          </w:tcPr>
          <w:p w14:paraId="374A93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732FB5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27DE99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07A296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5F7A1A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001D83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5A2FA1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0D77B3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4D685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7CC0B3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7A3AA0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top w:val="single" w:color="auto" w:sz="4" w:space="0"/>
              <w:left w:val="single" w:color="auto" w:sz="4" w:space="0"/>
              <w:bottom w:val="single" w:color="auto" w:sz="4" w:space="0"/>
              <w:right w:val="single" w:color="auto" w:sz="4" w:space="0"/>
            </w:tcBorders>
            <w:noWrap w:val="0"/>
            <w:vAlign w:val="center"/>
          </w:tcPr>
          <w:p w14:paraId="68750B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9" w:type="dxa"/>
            <w:vMerge w:val="continue"/>
            <w:tcBorders>
              <w:top w:val="single" w:color="auto" w:sz="4" w:space="0"/>
              <w:left w:val="single" w:color="auto" w:sz="4" w:space="0"/>
              <w:bottom w:val="single" w:color="auto" w:sz="4" w:space="0"/>
              <w:right w:val="single" w:color="auto" w:sz="4" w:space="0"/>
            </w:tcBorders>
            <w:noWrap w:val="0"/>
            <w:vAlign w:val="center"/>
          </w:tcPr>
          <w:p w14:paraId="159513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tcBorders>
              <w:top w:val="single" w:color="auto" w:sz="4" w:space="0"/>
              <w:left w:val="single" w:color="auto" w:sz="4" w:space="0"/>
              <w:bottom w:val="single" w:color="auto" w:sz="4" w:space="0"/>
              <w:right w:val="single" w:color="auto" w:sz="4" w:space="0"/>
            </w:tcBorders>
            <w:noWrap w:val="0"/>
            <w:vAlign w:val="center"/>
          </w:tcPr>
          <w:p w14:paraId="1DA8A8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460CD6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0BAFB2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4A2E03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4CFD65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1D0C0D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6AFCC3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135ECA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14E304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2D79D7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646C37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20328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54A877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12167E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restart"/>
            <w:tcBorders>
              <w:top w:val="single" w:color="auto" w:sz="4" w:space="0"/>
              <w:left w:val="single" w:color="auto" w:sz="4" w:space="0"/>
              <w:bottom w:val="single" w:color="auto" w:sz="4" w:space="0"/>
              <w:right w:val="single" w:color="auto" w:sz="4" w:space="0"/>
            </w:tcBorders>
            <w:noWrap w:val="0"/>
            <w:vAlign w:val="center"/>
          </w:tcPr>
          <w:p w14:paraId="166E01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组织实施</w:t>
            </w:r>
          </w:p>
        </w:tc>
        <w:tc>
          <w:tcPr>
            <w:tcW w:w="559" w:type="dxa"/>
            <w:vMerge w:val="restart"/>
            <w:tcBorders>
              <w:top w:val="single" w:color="auto" w:sz="4" w:space="0"/>
              <w:left w:val="single" w:color="auto" w:sz="4" w:space="0"/>
              <w:bottom w:val="single" w:color="auto" w:sz="4" w:space="0"/>
              <w:right w:val="single" w:color="auto" w:sz="4" w:space="0"/>
            </w:tcBorders>
            <w:noWrap w:val="0"/>
            <w:vAlign w:val="center"/>
          </w:tcPr>
          <w:p w14:paraId="1924F1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641" w:type="dxa"/>
            <w:tcBorders>
              <w:top w:val="single" w:color="auto" w:sz="4" w:space="0"/>
              <w:left w:val="single" w:color="auto" w:sz="4" w:space="0"/>
              <w:bottom w:val="single" w:color="auto" w:sz="4" w:space="0"/>
              <w:right w:val="single" w:color="auto" w:sz="4" w:space="0"/>
            </w:tcBorders>
            <w:noWrap w:val="0"/>
            <w:vAlign w:val="center"/>
          </w:tcPr>
          <w:p w14:paraId="7E70D6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33B6E0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46E438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651D54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08B7CF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6BAC77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26D0E0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21797F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58FD12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5BE70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750F54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46E82C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top w:val="single" w:color="auto" w:sz="4" w:space="0"/>
              <w:left w:val="single" w:color="auto" w:sz="4" w:space="0"/>
              <w:bottom w:val="single" w:color="auto" w:sz="4" w:space="0"/>
              <w:right w:val="single" w:color="auto" w:sz="4" w:space="0"/>
            </w:tcBorders>
            <w:noWrap w:val="0"/>
            <w:vAlign w:val="center"/>
          </w:tcPr>
          <w:p w14:paraId="3BF8E3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9" w:type="dxa"/>
            <w:vMerge w:val="continue"/>
            <w:tcBorders>
              <w:top w:val="single" w:color="auto" w:sz="4" w:space="0"/>
              <w:left w:val="single" w:color="auto" w:sz="4" w:space="0"/>
              <w:bottom w:val="single" w:color="auto" w:sz="4" w:space="0"/>
              <w:right w:val="single" w:color="auto" w:sz="4" w:space="0"/>
            </w:tcBorders>
            <w:noWrap w:val="0"/>
            <w:vAlign w:val="center"/>
          </w:tcPr>
          <w:p w14:paraId="42BFA4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tcBorders>
              <w:top w:val="single" w:color="auto" w:sz="4" w:space="0"/>
              <w:left w:val="single" w:color="auto" w:sz="4" w:space="0"/>
              <w:bottom w:val="single" w:color="auto" w:sz="4" w:space="0"/>
              <w:right w:val="single" w:color="auto" w:sz="4" w:space="0"/>
            </w:tcBorders>
            <w:noWrap w:val="0"/>
            <w:vAlign w:val="center"/>
          </w:tcPr>
          <w:p w14:paraId="7A4330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653127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7C4E46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3E1A81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488E80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25E599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0FED8A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424CE0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239986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2C02A0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66E8B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724" w:type="dxa"/>
            <w:vMerge w:val="restart"/>
            <w:tcBorders>
              <w:top w:val="single" w:color="auto" w:sz="4" w:space="0"/>
              <w:left w:val="single" w:color="auto" w:sz="4" w:space="0"/>
              <w:right w:val="single" w:color="auto" w:sz="4" w:space="0"/>
            </w:tcBorders>
            <w:noWrap w:val="0"/>
            <w:vAlign w:val="center"/>
          </w:tcPr>
          <w:p w14:paraId="104082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项目产出</w:t>
            </w:r>
          </w:p>
        </w:tc>
        <w:tc>
          <w:tcPr>
            <w:tcW w:w="573" w:type="dxa"/>
            <w:vMerge w:val="restart"/>
            <w:tcBorders>
              <w:top w:val="single" w:color="auto" w:sz="4" w:space="0"/>
              <w:left w:val="single" w:color="auto" w:sz="4" w:space="0"/>
              <w:right w:val="single" w:color="auto" w:sz="4" w:space="0"/>
            </w:tcBorders>
            <w:noWrap w:val="0"/>
            <w:vAlign w:val="center"/>
          </w:tcPr>
          <w:p w14:paraId="44F231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641" w:type="dxa"/>
            <w:vMerge w:val="restart"/>
            <w:tcBorders>
              <w:top w:val="single" w:color="auto" w:sz="4" w:space="0"/>
              <w:left w:val="single" w:color="auto" w:sz="4" w:space="0"/>
              <w:right w:val="single" w:color="auto" w:sz="4" w:space="0"/>
            </w:tcBorders>
            <w:noWrap w:val="0"/>
            <w:vAlign w:val="center"/>
          </w:tcPr>
          <w:p w14:paraId="0F6EBF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产出数量</w:t>
            </w:r>
          </w:p>
        </w:tc>
        <w:tc>
          <w:tcPr>
            <w:tcW w:w="559" w:type="dxa"/>
            <w:vMerge w:val="restart"/>
            <w:tcBorders>
              <w:top w:val="single" w:color="auto" w:sz="4" w:space="0"/>
              <w:left w:val="single" w:color="auto" w:sz="4" w:space="0"/>
              <w:right w:val="single" w:color="auto" w:sz="4" w:space="0"/>
            </w:tcBorders>
            <w:noWrap w:val="0"/>
            <w:vAlign w:val="center"/>
          </w:tcPr>
          <w:p w14:paraId="5D8C59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41" w:type="dxa"/>
            <w:vMerge w:val="restart"/>
            <w:tcBorders>
              <w:top w:val="single" w:color="auto" w:sz="4" w:space="0"/>
              <w:left w:val="single" w:color="auto" w:sz="4" w:space="0"/>
              <w:right w:val="single" w:color="auto" w:sz="4" w:space="0"/>
            </w:tcBorders>
            <w:noWrap w:val="0"/>
            <w:vAlign w:val="center"/>
          </w:tcPr>
          <w:p w14:paraId="0868BD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476DFC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3E63D6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default" w:ascii="宋体" w:hAnsi="宋体" w:eastAsia="宋体" w:cs="宋体"/>
                <w:i w:val="0"/>
                <w:iCs w:val="0"/>
                <w:color w:val="000000"/>
                <w:kern w:val="0"/>
                <w:sz w:val="18"/>
                <w:szCs w:val="18"/>
                <w:highlight w:val="none"/>
                <w:u w:val="none"/>
                <w:lang w:val="en-US" w:eastAsia="zh-CN"/>
              </w:rPr>
              <w:t>接受职业教育补助的建档学生人数</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34F623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&gt;=2000人</w:t>
            </w:r>
          </w:p>
        </w:tc>
        <w:tc>
          <w:tcPr>
            <w:tcW w:w="3737" w:type="dxa"/>
            <w:vMerge w:val="restart"/>
            <w:tcBorders>
              <w:top w:val="single" w:color="auto" w:sz="4" w:space="0"/>
              <w:left w:val="single" w:color="auto" w:sz="4" w:space="0"/>
              <w:right w:val="single" w:color="auto" w:sz="4" w:space="0"/>
            </w:tcBorders>
            <w:noWrap w:val="0"/>
            <w:vAlign w:val="center"/>
          </w:tcPr>
          <w:p w14:paraId="2CDF46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022DBC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2948人</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49E8E1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3256C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724" w:type="dxa"/>
            <w:vMerge w:val="continue"/>
            <w:tcBorders>
              <w:left w:val="single" w:color="auto" w:sz="4" w:space="0"/>
              <w:bottom w:val="single" w:color="auto" w:sz="4" w:space="0"/>
              <w:right w:val="single" w:color="auto" w:sz="4" w:space="0"/>
            </w:tcBorders>
            <w:noWrap w:val="0"/>
            <w:vAlign w:val="center"/>
          </w:tcPr>
          <w:p w14:paraId="1ACCE1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73" w:type="dxa"/>
            <w:vMerge w:val="continue"/>
            <w:tcBorders>
              <w:left w:val="single" w:color="auto" w:sz="4" w:space="0"/>
              <w:bottom w:val="single" w:color="auto" w:sz="4" w:space="0"/>
              <w:right w:val="single" w:color="auto" w:sz="4" w:space="0"/>
            </w:tcBorders>
            <w:noWrap w:val="0"/>
            <w:vAlign w:val="center"/>
          </w:tcPr>
          <w:p w14:paraId="0F90E6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41" w:type="dxa"/>
            <w:vMerge w:val="continue"/>
            <w:tcBorders>
              <w:left w:val="single" w:color="auto" w:sz="4" w:space="0"/>
              <w:bottom w:val="single" w:color="auto" w:sz="4" w:space="0"/>
              <w:right w:val="single" w:color="auto" w:sz="4" w:space="0"/>
            </w:tcBorders>
            <w:noWrap w:val="0"/>
            <w:vAlign w:val="center"/>
          </w:tcPr>
          <w:p w14:paraId="55C350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59" w:type="dxa"/>
            <w:vMerge w:val="continue"/>
            <w:tcBorders>
              <w:left w:val="single" w:color="auto" w:sz="4" w:space="0"/>
              <w:bottom w:val="single" w:color="auto" w:sz="4" w:space="0"/>
              <w:right w:val="single" w:color="auto" w:sz="4" w:space="0"/>
            </w:tcBorders>
            <w:noWrap w:val="0"/>
            <w:vAlign w:val="center"/>
          </w:tcPr>
          <w:p w14:paraId="41B36C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41" w:type="dxa"/>
            <w:vMerge w:val="continue"/>
            <w:tcBorders>
              <w:left w:val="single" w:color="auto" w:sz="4" w:space="0"/>
              <w:bottom w:val="single" w:color="auto" w:sz="4" w:space="0"/>
              <w:right w:val="single" w:color="auto" w:sz="4" w:space="0"/>
            </w:tcBorders>
            <w:noWrap w:val="0"/>
            <w:vAlign w:val="center"/>
          </w:tcPr>
          <w:p w14:paraId="1E3CA4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45" w:type="dxa"/>
            <w:tcBorders>
              <w:top w:val="single" w:color="auto" w:sz="4" w:space="0"/>
              <w:left w:val="single" w:color="auto" w:sz="4" w:space="0"/>
              <w:bottom w:val="single" w:color="auto" w:sz="4" w:space="0"/>
              <w:right w:val="single" w:color="auto" w:sz="4" w:space="0"/>
            </w:tcBorders>
            <w:noWrap w:val="0"/>
            <w:vAlign w:val="center"/>
          </w:tcPr>
          <w:p w14:paraId="481E94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6D3E40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default" w:ascii="宋体" w:hAnsi="宋体" w:eastAsia="宋体" w:cs="宋体"/>
                <w:i w:val="0"/>
                <w:iCs w:val="0"/>
                <w:color w:val="000000"/>
                <w:kern w:val="0"/>
                <w:sz w:val="18"/>
                <w:szCs w:val="18"/>
                <w:highlight w:val="none"/>
                <w:u w:val="none"/>
                <w:lang w:val="en-US" w:eastAsia="zh-CN"/>
              </w:rPr>
              <w:t>外聘人员人数</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78DEC3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default" w:ascii="宋体" w:hAnsi="宋体" w:eastAsia="宋体" w:cs="宋体"/>
                <w:i w:val="0"/>
                <w:iCs w:val="0"/>
                <w:color w:val="000000"/>
                <w:kern w:val="0"/>
                <w:sz w:val="18"/>
                <w:szCs w:val="18"/>
                <w:highlight w:val="none"/>
                <w:u w:val="none"/>
                <w:lang w:val="en-US" w:eastAsia="zh-CN"/>
              </w:rPr>
              <w:t>&gt;=60人</w:t>
            </w:r>
          </w:p>
        </w:tc>
        <w:tc>
          <w:tcPr>
            <w:tcW w:w="3737" w:type="dxa"/>
            <w:vMerge w:val="continue"/>
            <w:tcBorders>
              <w:left w:val="single" w:color="auto" w:sz="4" w:space="0"/>
              <w:bottom w:val="single" w:color="auto" w:sz="4" w:space="0"/>
              <w:right w:val="single" w:color="auto" w:sz="4" w:space="0"/>
            </w:tcBorders>
            <w:noWrap w:val="0"/>
            <w:vAlign w:val="center"/>
          </w:tcPr>
          <w:p w14:paraId="32006C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p>
        </w:tc>
        <w:tc>
          <w:tcPr>
            <w:tcW w:w="1739" w:type="dxa"/>
            <w:tcBorders>
              <w:top w:val="single" w:color="auto" w:sz="4" w:space="0"/>
              <w:left w:val="single" w:color="auto" w:sz="4" w:space="0"/>
              <w:bottom w:val="single" w:color="auto" w:sz="4" w:space="0"/>
              <w:right w:val="single" w:color="auto" w:sz="4" w:space="0"/>
            </w:tcBorders>
            <w:noWrap w:val="0"/>
            <w:vAlign w:val="center"/>
          </w:tcPr>
          <w:p w14:paraId="7E8269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default" w:ascii="宋体" w:hAnsi="宋体" w:eastAsia="宋体" w:cs="宋体"/>
                <w:i w:val="0"/>
                <w:iCs w:val="0"/>
                <w:color w:val="000000"/>
                <w:kern w:val="0"/>
                <w:sz w:val="18"/>
                <w:szCs w:val="18"/>
                <w:highlight w:val="none"/>
                <w:u w:val="none"/>
                <w:lang w:val="en-US" w:eastAsia="zh-CN"/>
              </w:rPr>
              <w:t>68人</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344AEA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3A797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5F7CBC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06CB8F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restart"/>
            <w:tcBorders>
              <w:top w:val="single" w:color="auto" w:sz="4" w:space="0"/>
              <w:left w:val="single" w:color="auto" w:sz="4" w:space="0"/>
              <w:right w:val="single" w:color="auto" w:sz="4" w:space="0"/>
            </w:tcBorders>
            <w:noWrap w:val="0"/>
            <w:vAlign w:val="center"/>
          </w:tcPr>
          <w:p w14:paraId="22AD76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产出质量</w:t>
            </w:r>
          </w:p>
        </w:tc>
        <w:tc>
          <w:tcPr>
            <w:tcW w:w="559" w:type="dxa"/>
            <w:vMerge w:val="restart"/>
            <w:tcBorders>
              <w:top w:val="single" w:color="auto" w:sz="4" w:space="0"/>
              <w:left w:val="single" w:color="auto" w:sz="4" w:space="0"/>
              <w:right w:val="single" w:color="auto" w:sz="4" w:space="0"/>
            </w:tcBorders>
            <w:noWrap w:val="0"/>
            <w:vAlign w:val="center"/>
          </w:tcPr>
          <w:p w14:paraId="103D21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41" w:type="dxa"/>
            <w:vMerge w:val="restart"/>
            <w:tcBorders>
              <w:top w:val="single" w:color="auto" w:sz="4" w:space="0"/>
              <w:left w:val="single" w:color="auto" w:sz="4" w:space="0"/>
              <w:right w:val="single" w:color="auto" w:sz="4" w:space="0"/>
            </w:tcBorders>
            <w:noWrap w:val="0"/>
            <w:vAlign w:val="center"/>
          </w:tcPr>
          <w:p w14:paraId="4E295E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369ADB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681BC7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default" w:ascii="宋体" w:hAnsi="宋体" w:eastAsia="宋体" w:cs="宋体"/>
                <w:i w:val="0"/>
                <w:iCs w:val="0"/>
                <w:color w:val="000000"/>
                <w:kern w:val="0"/>
                <w:sz w:val="18"/>
                <w:szCs w:val="18"/>
                <w:highlight w:val="none"/>
                <w:u w:val="none"/>
                <w:lang w:val="en-US" w:eastAsia="zh-CN"/>
              </w:rPr>
              <w:t>补助发放覆盖率</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0FD38B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3737" w:type="dxa"/>
            <w:vMerge w:val="restart"/>
            <w:tcBorders>
              <w:top w:val="single" w:color="auto" w:sz="4" w:space="0"/>
              <w:left w:val="single" w:color="auto" w:sz="4" w:space="0"/>
              <w:right w:val="single" w:color="auto" w:sz="4" w:space="0"/>
            </w:tcBorders>
            <w:noWrap w:val="0"/>
            <w:vAlign w:val="center"/>
          </w:tcPr>
          <w:p w14:paraId="34AA31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47349E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74C6AD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31B3F5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10A8B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24" w:type="dxa"/>
            <w:vMerge w:val="continue"/>
            <w:tcBorders>
              <w:left w:val="single" w:color="auto" w:sz="4" w:space="0"/>
              <w:bottom w:val="single" w:color="auto" w:sz="4" w:space="0"/>
              <w:right w:val="single" w:color="auto" w:sz="4" w:space="0"/>
            </w:tcBorders>
            <w:noWrap w:val="0"/>
            <w:vAlign w:val="center"/>
          </w:tcPr>
          <w:p w14:paraId="61CB44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73" w:type="dxa"/>
            <w:vMerge w:val="continue"/>
            <w:tcBorders>
              <w:left w:val="single" w:color="auto" w:sz="4" w:space="0"/>
              <w:bottom w:val="single" w:color="auto" w:sz="4" w:space="0"/>
              <w:right w:val="single" w:color="auto" w:sz="4" w:space="0"/>
            </w:tcBorders>
            <w:noWrap w:val="0"/>
            <w:vAlign w:val="center"/>
          </w:tcPr>
          <w:p w14:paraId="440005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41" w:type="dxa"/>
            <w:vMerge w:val="continue"/>
            <w:tcBorders>
              <w:left w:val="single" w:color="auto" w:sz="4" w:space="0"/>
              <w:bottom w:val="single" w:color="auto" w:sz="4" w:space="0"/>
              <w:right w:val="single" w:color="auto" w:sz="4" w:space="0"/>
            </w:tcBorders>
            <w:noWrap w:val="0"/>
            <w:vAlign w:val="center"/>
          </w:tcPr>
          <w:p w14:paraId="26996C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59" w:type="dxa"/>
            <w:vMerge w:val="continue"/>
            <w:tcBorders>
              <w:left w:val="single" w:color="auto" w:sz="4" w:space="0"/>
              <w:bottom w:val="single" w:color="auto" w:sz="4" w:space="0"/>
              <w:right w:val="single" w:color="auto" w:sz="4" w:space="0"/>
            </w:tcBorders>
            <w:noWrap w:val="0"/>
            <w:vAlign w:val="center"/>
          </w:tcPr>
          <w:p w14:paraId="292240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41" w:type="dxa"/>
            <w:vMerge w:val="continue"/>
            <w:tcBorders>
              <w:left w:val="single" w:color="auto" w:sz="4" w:space="0"/>
              <w:bottom w:val="single" w:color="auto" w:sz="4" w:space="0"/>
              <w:right w:val="single" w:color="auto" w:sz="4" w:space="0"/>
            </w:tcBorders>
            <w:noWrap w:val="0"/>
            <w:vAlign w:val="center"/>
          </w:tcPr>
          <w:p w14:paraId="1754F8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45" w:type="dxa"/>
            <w:tcBorders>
              <w:top w:val="single" w:color="auto" w:sz="4" w:space="0"/>
              <w:left w:val="single" w:color="auto" w:sz="4" w:space="0"/>
              <w:bottom w:val="single" w:color="auto" w:sz="4" w:space="0"/>
              <w:right w:val="single" w:color="auto" w:sz="4" w:space="0"/>
            </w:tcBorders>
            <w:noWrap w:val="0"/>
            <w:vAlign w:val="center"/>
          </w:tcPr>
          <w:p w14:paraId="5E5113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0EDCC9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资金使用合规率</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153922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3737" w:type="dxa"/>
            <w:vMerge w:val="continue"/>
            <w:tcBorders>
              <w:left w:val="single" w:color="auto" w:sz="4" w:space="0"/>
              <w:right w:val="single" w:color="auto" w:sz="4" w:space="0"/>
            </w:tcBorders>
            <w:noWrap w:val="0"/>
            <w:vAlign w:val="center"/>
          </w:tcPr>
          <w:p w14:paraId="30563F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39" w:type="dxa"/>
            <w:tcBorders>
              <w:top w:val="single" w:color="auto" w:sz="4" w:space="0"/>
              <w:left w:val="single" w:color="auto" w:sz="4" w:space="0"/>
              <w:bottom w:val="single" w:color="auto" w:sz="4" w:space="0"/>
              <w:right w:val="single" w:color="auto" w:sz="4" w:space="0"/>
            </w:tcBorders>
            <w:noWrap w:val="0"/>
            <w:vAlign w:val="center"/>
          </w:tcPr>
          <w:p w14:paraId="59669C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40324A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7F230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08856E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0CB4AA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tcBorders>
              <w:top w:val="single" w:color="auto" w:sz="4" w:space="0"/>
              <w:left w:val="single" w:color="auto" w:sz="4" w:space="0"/>
              <w:bottom w:val="single" w:color="auto" w:sz="4" w:space="0"/>
              <w:right w:val="single" w:color="auto" w:sz="4" w:space="0"/>
            </w:tcBorders>
            <w:noWrap w:val="0"/>
            <w:vAlign w:val="center"/>
          </w:tcPr>
          <w:p w14:paraId="05DCFE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产出时效</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789BD2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41" w:type="dxa"/>
            <w:tcBorders>
              <w:top w:val="single" w:color="auto" w:sz="4" w:space="0"/>
              <w:left w:val="single" w:color="auto" w:sz="4" w:space="0"/>
              <w:bottom w:val="single" w:color="auto" w:sz="4" w:space="0"/>
              <w:right w:val="single" w:color="auto" w:sz="4" w:space="0"/>
            </w:tcBorders>
            <w:noWrap w:val="0"/>
            <w:vAlign w:val="center"/>
          </w:tcPr>
          <w:p w14:paraId="0C1F43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5D3208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3EE0C6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项目完成时间</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0F75C5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3737" w:type="dxa"/>
            <w:tcBorders>
              <w:top w:val="single" w:color="auto" w:sz="4" w:space="0"/>
              <w:left w:val="single" w:color="auto" w:sz="4" w:space="0"/>
              <w:right w:val="single" w:color="auto" w:sz="4" w:space="0"/>
            </w:tcBorders>
            <w:noWrap w:val="0"/>
            <w:vAlign w:val="center"/>
          </w:tcPr>
          <w:p w14:paraId="57A5A8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7215CF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590B50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3E6A9C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3E987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19E9BE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60E587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restart"/>
            <w:tcBorders>
              <w:top w:val="single" w:color="auto" w:sz="4" w:space="0"/>
              <w:left w:val="single" w:color="auto" w:sz="4" w:space="0"/>
              <w:right w:val="single" w:color="auto" w:sz="4" w:space="0"/>
            </w:tcBorders>
            <w:noWrap w:val="0"/>
            <w:vAlign w:val="center"/>
          </w:tcPr>
          <w:p w14:paraId="72EF65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产出成本</w:t>
            </w:r>
          </w:p>
        </w:tc>
        <w:tc>
          <w:tcPr>
            <w:tcW w:w="559" w:type="dxa"/>
            <w:vMerge w:val="restart"/>
            <w:tcBorders>
              <w:top w:val="single" w:color="auto" w:sz="4" w:space="0"/>
              <w:left w:val="single" w:color="auto" w:sz="4" w:space="0"/>
              <w:right w:val="single" w:color="auto" w:sz="4" w:space="0"/>
            </w:tcBorders>
            <w:noWrap w:val="0"/>
            <w:vAlign w:val="center"/>
          </w:tcPr>
          <w:p w14:paraId="09ABFD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41" w:type="dxa"/>
            <w:vMerge w:val="restart"/>
            <w:tcBorders>
              <w:top w:val="single" w:color="auto" w:sz="4" w:space="0"/>
              <w:left w:val="single" w:color="auto" w:sz="4" w:space="0"/>
              <w:right w:val="single" w:color="auto" w:sz="4" w:space="0"/>
            </w:tcBorders>
            <w:noWrap w:val="0"/>
            <w:vAlign w:val="center"/>
          </w:tcPr>
          <w:p w14:paraId="631293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0386C1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5E8B8EB9">
            <w:pPr>
              <w:keepNext w:val="0"/>
              <w:keepLines w:val="0"/>
              <w:widowControl/>
              <w:suppressLineNumbers w:val="0"/>
              <w:ind w:firstLine="360" w:firstLineChars="20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助学金费用</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7E80856A">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&lt;=376.万元</w:t>
            </w:r>
          </w:p>
        </w:tc>
        <w:tc>
          <w:tcPr>
            <w:tcW w:w="3737" w:type="dxa"/>
            <w:vMerge w:val="restart"/>
            <w:tcBorders>
              <w:top w:val="single" w:color="auto" w:sz="4" w:space="0"/>
              <w:left w:val="single" w:color="auto" w:sz="4" w:space="0"/>
              <w:right w:val="single" w:color="auto" w:sz="4" w:space="0"/>
            </w:tcBorders>
            <w:noWrap w:val="0"/>
            <w:vAlign w:val="center"/>
          </w:tcPr>
          <w:p w14:paraId="2646A9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003D1B6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376.万元</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6B107B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054E1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7F5CA8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153159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41" w:type="dxa"/>
            <w:vMerge w:val="continue"/>
            <w:tcBorders>
              <w:left w:val="single" w:color="auto" w:sz="4" w:space="0"/>
              <w:right w:val="single" w:color="auto" w:sz="4" w:space="0"/>
            </w:tcBorders>
            <w:noWrap w:val="0"/>
            <w:vAlign w:val="center"/>
          </w:tcPr>
          <w:p w14:paraId="4D7EBC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59" w:type="dxa"/>
            <w:vMerge w:val="continue"/>
            <w:tcBorders>
              <w:left w:val="single" w:color="auto" w:sz="4" w:space="0"/>
              <w:right w:val="single" w:color="auto" w:sz="4" w:space="0"/>
            </w:tcBorders>
            <w:noWrap w:val="0"/>
            <w:vAlign w:val="center"/>
          </w:tcPr>
          <w:p w14:paraId="4A2B85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41" w:type="dxa"/>
            <w:vMerge w:val="continue"/>
            <w:tcBorders>
              <w:left w:val="single" w:color="auto" w:sz="4" w:space="0"/>
              <w:right w:val="single" w:color="auto" w:sz="4" w:space="0"/>
            </w:tcBorders>
            <w:noWrap w:val="0"/>
            <w:vAlign w:val="center"/>
          </w:tcPr>
          <w:p w14:paraId="520814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45" w:type="dxa"/>
            <w:tcBorders>
              <w:top w:val="single" w:color="auto" w:sz="4" w:space="0"/>
              <w:left w:val="single" w:color="auto" w:sz="4" w:space="0"/>
              <w:bottom w:val="single" w:color="auto" w:sz="4" w:space="0"/>
              <w:right w:val="single" w:color="auto" w:sz="4" w:space="0"/>
            </w:tcBorders>
            <w:noWrap w:val="0"/>
            <w:vAlign w:val="center"/>
          </w:tcPr>
          <w:p w14:paraId="112D2C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66B895CC">
            <w:pPr>
              <w:keepNext w:val="0"/>
              <w:keepLines w:val="0"/>
              <w:widowControl/>
              <w:suppressLineNumbers w:val="0"/>
              <w:ind w:firstLine="360" w:firstLineChars="20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免学费费用</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4ECFD6A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&lt;=500.万元</w:t>
            </w:r>
          </w:p>
        </w:tc>
        <w:tc>
          <w:tcPr>
            <w:tcW w:w="3737" w:type="dxa"/>
            <w:vMerge w:val="continue"/>
            <w:tcBorders>
              <w:left w:val="single" w:color="auto" w:sz="4" w:space="0"/>
              <w:right w:val="single" w:color="auto" w:sz="4" w:space="0"/>
            </w:tcBorders>
            <w:noWrap w:val="0"/>
            <w:vAlign w:val="center"/>
          </w:tcPr>
          <w:p w14:paraId="185430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39" w:type="dxa"/>
            <w:tcBorders>
              <w:top w:val="single" w:color="auto" w:sz="4" w:space="0"/>
              <w:left w:val="single" w:color="auto" w:sz="4" w:space="0"/>
              <w:bottom w:val="single" w:color="auto" w:sz="4" w:space="0"/>
              <w:right w:val="single" w:color="auto" w:sz="4" w:space="0"/>
            </w:tcBorders>
            <w:noWrap w:val="0"/>
            <w:vAlign w:val="center"/>
          </w:tcPr>
          <w:p w14:paraId="6EE3163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500.万元</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2924B9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2B057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024A83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0EFD9F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left w:val="single" w:color="auto" w:sz="4" w:space="0"/>
              <w:right w:val="single" w:color="auto" w:sz="4" w:space="0"/>
            </w:tcBorders>
            <w:noWrap w:val="0"/>
            <w:vAlign w:val="center"/>
          </w:tcPr>
          <w:p w14:paraId="006F0E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9" w:type="dxa"/>
            <w:vMerge w:val="continue"/>
            <w:tcBorders>
              <w:left w:val="single" w:color="auto" w:sz="4" w:space="0"/>
              <w:right w:val="single" w:color="auto" w:sz="4" w:space="0"/>
            </w:tcBorders>
            <w:noWrap w:val="0"/>
            <w:vAlign w:val="center"/>
          </w:tcPr>
          <w:p w14:paraId="205ECA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left w:val="single" w:color="auto" w:sz="4" w:space="0"/>
              <w:right w:val="single" w:color="auto" w:sz="4" w:space="0"/>
            </w:tcBorders>
            <w:noWrap w:val="0"/>
            <w:vAlign w:val="center"/>
          </w:tcPr>
          <w:p w14:paraId="5A60D9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5" w:type="dxa"/>
            <w:tcBorders>
              <w:top w:val="single" w:color="auto" w:sz="4" w:space="0"/>
              <w:left w:val="single" w:color="auto" w:sz="4" w:space="0"/>
              <w:bottom w:val="single" w:color="auto" w:sz="4" w:space="0"/>
              <w:right w:val="single" w:color="auto" w:sz="4" w:space="0"/>
            </w:tcBorders>
            <w:noWrap w:val="0"/>
            <w:vAlign w:val="center"/>
          </w:tcPr>
          <w:p w14:paraId="1AF231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3AD49B49">
            <w:pPr>
              <w:keepNext w:val="0"/>
              <w:keepLines w:val="0"/>
              <w:widowControl/>
              <w:suppressLineNumbers w:val="0"/>
              <w:ind w:firstLine="360" w:firstLineChars="20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奖学金费用</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70435AA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&lt;=2.4万元</w:t>
            </w:r>
          </w:p>
        </w:tc>
        <w:tc>
          <w:tcPr>
            <w:tcW w:w="3737" w:type="dxa"/>
            <w:vMerge w:val="continue"/>
            <w:tcBorders>
              <w:left w:val="single" w:color="auto" w:sz="4" w:space="0"/>
              <w:right w:val="single" w:color="auto" w:sz="4" w:space="0"/>
            </w:tcBorders>
            <w:noWrap w:val="0"/>
            <w:vAlign w:val="center"/>
          </w:tcPr>
          <w:p w14:paraId="6E3A87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39" w:type="dxa"/>
            <w:tcBorders>
              <w:top w:val="single" w:color="auto" w:sz="4" w:space="0"/>
              <w:left w:val="single" w:color="auto" w:sz="4" w:space="0"/>
              <w:bottom w:val="single" w:color="auto" w:sz="4" w:space="0"/>
              <w:right w:val="single" w:color="auto" w:sz="4" w:space="0"/>
            </w:tcBorders>
            <w:noWrap w:val="0"/>
            <w:vAlign w:val="center"/>
          </w:tcPr>
          <w:p w14:paraId="4A5B35A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2.4万元</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71B874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5D7F6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2978CD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3C1F9F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left w:val="single" w:color="auto" w:sz="4" w:space="0"/>
              <w:right w:val="single" w:color="auto" w:sz="4" w:space="0"/>
            </w:tcBorders>
            <w:noWrap w:val="0"/>
            <w:vAlign w:val="center"/>
          </w:tcPr>
          <w:p w14:paraId="083E3C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9" w:type="dxa"/>
            <w:vMerge w:val="continue"/>
            <w:tcBorders>
              <w:left w:val="single" w:color="auto" w:sz="4" w:space="0"/>
              <w:right w:val="single" w:color="auto" w:sz="4" w:space="0"/>
            </w:tcBorders>
            <w:noWrap w:val="0"/>
            <w:vAlign w:val="center"/>
          </w:tcPr>
          <w:p w14:paraId="7E0C9A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left w:val="single" w:color="auto" w:sz="4" w:space="0"/>
              <w:right w:val="single" w:color="auto" w:sz="4" w:space="0"/>
            </w:tcBorders>
            <w:noWrap w:val="0"/>
            <w:vAlign w:val="center"/>
          </w:tcPr>
          <w:p w14:paraId="54411A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5" w:type="dxa"/>
            <w:tcBorders>
              <w:top w:val="single" w:color="auto" w:sz="4" w:space="0"/>
              <w:left w:val="single" w:color="auto" w:sz="4" w:space="0"/>
              <w:bottom w:val="single" w:color="auto" w:sz="4" w:space="0"/>
              <w:right w:val="single" w:color="auto" w:sz="4" w:space="0"/>
            </w:tcBorders>
            <w:noWrap w:val="0"/>
            <w:vAlign w:val="center"/>
          </w:tcPr>
          <w:p w14:paraId="15F08E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158AE508">
            <w:pPr>
              <w:keepNext w:val="0"/>
              <w:keepLines w:val="0"/>
              <w:widowControl/>
              <w:suppressLineNumbers w:val="0"/>
              <w:ind w:firstLine="360" w:firstLineChars="20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教材费用</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22A3890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&lt;=67.07万元</w:t>
            </w:r>
          </w:p>
        </w:tc>
        <w:tc>
          <w:tcPr>
            <w:tcW w:w="3737" w:type="dxa"/>
            <w:vMerge w:val="continue"/>
            <w:tcBorders>
              <w:left w:val="single" w:color="auto" w:sz="4" w:space="0"/>
              <w:right w:val="single" w:color="auto" w:sz="4" w:space="0"/>
            </w:tcBorders>
            <w:noWrap w:val="0"/>
            <w:vAlign w:val="center"/>
          </w:tcPr>
          <w:p w14:paraId="1505EB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39" w:type="dxa"/>
            <w:tcBorders>
              <w:top w:val="single" w:color="auto" w:sz="4" w:space="0"/>
              <w:left w:val="single" w:color="auto" w:sz="4" w:space="0"/>
              <w:bottom w:val="single" w:color="auto" w:sz="4" w:space="0"/>
              <w:right w:val="single" w:color="auto" w:sz="4" w:space="0"/>
            </w:tcBorders>
            <w:noWrap w:val="0"/>
            <w:vAlign w:val="center"/>
          </w:tcPr>
          <w:p w14:paraId="1F9E102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67.07万元</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3E3EC3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4BB8E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3E33E9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78DC9F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left w:val="single" w:color="auto" w:sz="4" w:space="0"/>
              <w:right w:val="single" w:color="auto" w:sz="4" w:space="0"/>
            </w:tcBorders>
            <w:noWrap w:val="0"/>
            <w:vAlign w:val="center"/>
          </w:tcPr>
          <w:p w14:paraId="2A480E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9" w:type="dxa"/>
            <w:vMerge w:val="continue"/>
            <w:tcBorders>
              <w:left w:val="single" w:color="auto" w:sz="4" w:space="0"/>
              <w:right w:val="single" w:color="auto" w:sz="4" w:space="0"/>
            </w:tcBorders>
            <w:noWrap w:val="0"/>
            <w:vAlign w:val="center"/>
          </w:tcPr>
          <w:p w14:paraId="75D03F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left w:val="single" w:color="auto" w:sz="4" w:space="0"/>
              <w:right w:val="single" w:color="auto" w:sz="4" w:space="0"/>
            </w:tcBorders>
            <w:noWrap w:val="0"/>
            <w:vAlign w:val="center"/>
          </w:tcPr>
          <w:p w14:paraId="665FF3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5" w:type="dxa"/>
            <w:tcBorders>
              <w:top w:val="single" w:color="auto" w:sz="4" w:space="0"/>
              <w:left w:val="single" w:color="auto" w:sz="4" w:space="0"/>
              <w:bottom w:val="single" w:color="auto" w:sz="4" w:space="0"/>
              <w:right w:val="single" w:color="auto" w:sz="4" w:space="0"/>
            </w:tcBorders>
            <w:noWrap w:val="0"/>
            <w:vAlign w:val="center"/>
          </w:tcPr>
          <w:p w14:paraId="74C8E8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60E5DD85">
            <w:pPr>
              <w:keepNext w:val="0"/>
              <w:keepLines w:val="0"/>
              <w:widowControl/>
              <w:suppressLineNumbers w:val="0"/>
              <w:ind w:firstLine="360" w:firstLineChars="20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公用经费</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40E3AC5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&lt;=159.27万元</w:t>
            </w:r>
          </w:p>
        </w:tc>
        <w:tc>
          <w:tcPr>
            <w:tcW w:w="3737" w:type="dxa"/>
            <w:vMerge w:val="continue"/>
            <w:tcBorders>
              <w:left w:val="single" w:color="auto" w:sz="4" w:space="0"/>
              <w:right w:val="single" w:color="auto" w:sz="4" w:space="0"/>
            </w:tcBorders>
            <w:noWrap w:val="0"/>
            <w:vAlign w:val="center"/>
          </w:tcPr>
          <w:p w14:paraId="105142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39" w:type="dxa"/>
            <w:tcBorders>
              <w:top w:val="single" w:color="auto" w:sz="4" w:space="0"/>
              <w:left w:val="single" w:color="auto" w:sz="4" w:space="0"/>
              <w:bottom w:val="single" w:color="auto" w:sz="4" w:space="0"/>
              <w:right w:val="single" w:color="auto" w:sz="4" w:space="0"/>
            </w:tcBorders>
            <w:noWrap w:val="0"/>
            <w:vAlign w:val="center"/>
          </w:tcPr>
          <w:p w14:paraId="4314BCE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159.27万元</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11D924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7AA86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724" w:type="dxa"/>
            <w:vMerge w:val="continue"/>
            <w:tcBorders>
              <w:left w:val="single" w:color="auto" w:sz="4" w:space="0"/>
              <w:bottom w:val="single" w:color="auto" w:sz="4" w:space="0"/>
              <w:right w:val="single" w:color="auto" w:sz="4" w:space="0"/>
            </w:tcBorders>
            <w:noWrap w:val="0"/>
            <w:vAlign w:val="center"/>
          </w:tcPr>
          <w:p w14:paraId="04491D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left w:val="single" w:color="auto" w:sz="4" w:space="0"/>
              <w:bottom w:val="single" w:color="auto" w:sz="4" w:space="0"/>
              <w:right w:val="single" w:color="auto" w:sz="4" w:space="0"/>
            </w:tcBorders>
            <w:noWrap w:val="0"/>
            <w:vAlign w:val="center"/>
          </w:tcPr>
          <w:p w14:paraId="499A77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left w:val="single" w:color="auto" w:sz="4" w:space="0"/>
              <w:bottom w:val="single" w:color="auto" w:sz="4" w:space="0"/>
              <w:right w:val="single" w:color="auto" w:sz="4" w:space="0"/>
            </w:tcBorders>
            <w:noWrap w:val="0"/>
            <w:vAlign w:val="center"/>
          </w:tcPr>
          <w:p w14:paraId="13A3CD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9" w:type="dxa"/>
            <w:vMerge w:val="continue"/>
            <w:tcBorders>
              <w:left w:val="single" w:color="auto" w:sz="4" w:space="0"/>
              <w:bottom w:val="single" w:color="auto" w:sz="4" w:space="0"/>
              <w:right w:val="single" w:color="auto" w:sz="4" w:space="0"/>
            </w:tcBorders>
            <w:noWrap w:val="0"/>
            <w:vAlign w:val="center"/>
          </w:tcPr>
          <w:p w14:paraId="391015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left w:val="single" w:color="auto" w:sz="4" w:space="0"/>
              <w:bottom w:val="single" w:color="auto" w:sz="4" w:space="0"/>
              <w:right w:val="single" w:color="auto" w:sz="4" w:space="0"/>
            </w:tcBorders>
            <w:noWrap w:val="0"/>
            <w:vAlign w:val="center"/>
          </w:tcPr>
          <w:p w14:paraId="03BFD5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5" w:type="dxa"/>
            <w:tcBorders>
              <w:top w:val="single" w:color="auto" w:sz="4" w:space="0"/>
              <w:left w:val="single" w:color="auto" w:sz="4" w:space="0"/>
              <w:bottom w:val="single" w:color="auto" w:sz="4" w:space="0"/>
              <w:right w:val="single" w:color="auto" w:sz="4" w:space="0"/>
            </w:tcBorders>
            <w:noWrap w:val="0"/>
            <w:vAlign w:val="center"/>
          </w:tcPr>
          <w:p w14:paraId="364225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10D74896">
            <w:pPr>
              <w:keepNext w:val="0"/>
              <w:keepLines w:val="0"/>
              <w:widowControl/>
              <w:suppressLineNumbers w:val="0"/>
              <w:ind w:firstLine="360" w:firstLineChars="20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住宿费</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0708096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&lt;=126.58万元</w:t>
            </w:r>
          </w:p>
        </w:tc>
        <w:tc>
          <w:tcPr>
            <w:tcW w:w="3737" w:type="dxa"/>
            <w:vMerge w:val="continue"/>
            <w:tcBorders>
              <w:left w:val="single" w:color="auto" w:sz="4" w:space="0"/>
              <w:bottom w:val="single" w:color="auto" w:sz="4" w:space="0"/>
              <w:right w:val="single" w:color="auto" w:sz="4" w:space="0"/>
            </w:tcBorders>
            <w:noWrap w:val="0"/>
            <w:vAlign w:val="center"/>
          </w:tcPr>
          <w:p w14:paraId="013F1F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39" w:type="dxa"/>
            <w:tcBorders>
              <w:top w:val="single" w:color="auto" w:sz="4" w:space="0"/>
              <w:left w:val="single" w:color="auto" w:sz="4" w:space="0"/>
              <w:bottom w:val="single" w:color="auto" w:sz="4" w:space="0"/>
              <w:right w:val="single" w:color="auto" w:sz="4" w:space="0"/>
            </w:tcBorders>
            <w:noWrap w:val="0"/>
            <w:vAlign w:val="center"/>
          </w:tcPr>
          <w:p w14:paraId="01A58D2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rPr>
              <w:t>126.58万元</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2D3762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5E129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724" w:type="dxa"/>
            <w:vMerge w:val="restart"/>
            <w:tcBorders>
              <w:top w:val="single" w:color="auto" w:sz="4" w:space="0"/>
              <w:left w:val="single" w:color="auto" w:sz="4" w:space="0"/>
              <w:bottom w:val="single" w:color="auto" w:sz="4" w:space="0"/>
              <w:right w:val="single" w:color="auto" w:sz="4" w:space="0"/>
            </w:tcBorders>
            <w:noWrap w:val="0"/>
            <w:vAlign w:val="center"/>
          </w:tcPr>
          <w:p w14:paraId="5B13E9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573" w:type="dxa"/>
            <w:vMerge w:val="restart"/>
            <w:tcBorders>
              <w:top w:val="single" w:color="auto" w:sz="4" w:space="0"/>
              <w:left w:val="single" w:color="auto" w:sz="4" w:space="0"/>
              <w:bottom w:val="single" w:color="auto" w:sz="4" w:space="0"/>
              <w:right w:val="single" w:color="auto" w:sz="4" w:space="0"/>
            </w:tcBorders>
            <w:noWrap w:val="0"/>
            <w:vAlign w:val="center"/>
          </w:tcPr>
          <w:p w14:paraId="7B26D6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641" w:type="dxa"/>
            <w:vMerge w:val="restart"/>
            <w:tcBorders>
              <w:top w:val="single" w:color="auto" w:sz="4" w:space="0"/>
              <w:left w:val="single" w:color="auto" w:sz="4" w:space="0"/>
              <w:bottom w:val="single" w:color="auto" w:sz="4" w:space="0"/>
              <w:right w:val="single" w:color="auto" w:sz="4" w:space="0"/>
            </w:tcBorders>
            <w:noWrap w:val="0"/>
            <w:vAlign w:val="center"/>
          </w:tcPr>
          <w:p w14:paraId="059F7E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559" w:type="dxa"/>
            <w:vMerge w:val="restart"/>
            <w:tcBorders>
              <w:top w:val="single" w:color="auto" w:sz="4" w:space="0"/>
              <w:left w:val="single" w:color="auto" w:sz="4" w:space="0"/>
              <w:bottom w:val="single" w:color="auto" w:sz="4" w:space="0"/>
              <w:right w:val="single" w:color="auto" w:sz="4" w:space="0"/>
            </w:tcBorders>
            <w:noWrap w:val="0"/>
            <w:vAlign w:val="center"/>
          </w:tcPr>
          <w:p w14:paraId="07935B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641" w:type="dxa"/>
            <w:tcBorders>
              <w:top w:val="single" w:color="auto" w:sz="4" w:space="0"/>
              <w:left w:val="single" w:color="auto" w:sz="4" w:space="0"/>
              <w:bottom w:val="single" w:color="auto" w:sz="4" w:space="0"/>
              <w:right w:val="single" w:color="auto" w:sz="4" w:space="0"/>
            </w:tcBorders>
            <w:noWrap w:val="0"/>
            <w:vAlign w:val="center"/>
          </w:tcPr>
          <w:p w14:paraId="0C0907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社会效益</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24C207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386249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保障学生在校期间的正常学习和生活</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27CC8C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有效保障</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74F2D2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766EE6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有效保障</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3C34F9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r>
      <w:tr w14:paraId="7FDD1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685B42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73" w:type="dxa"/>
            <w:vMerge w:val="continue"/>
            <w:tcBorders>
              <w:top w:val="single" w:color="auto" w:sz="4" w:space="0"/>
              <w:left w:val="single" w:color="auto" w:sz="4" w:space="0"/>
              <w:bottom w:val="single" w:color="auto" w:sz="4" w:space="0"/>
              <w:right w:val="single" w:color="auto" w:sz="4" w:space="0"/>
            </w:tcBorders>
            <w:noWrap w:val="0"/>
            <w:vAlign w:val="center"/>
          </w:tcPr>
          <w:p w14:paraId="5560D9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vMerge w:val="continue"/>
            <w:tcBorders>
              <w:top w:val="single" w:color="auto" w:sz="4" w:space="0"/>
              <w:left w:val="single" w:color="auto" w:sz="4" w:space="0"/>
              <w:bottom w:val="single" w:color="auto" w:sz="4" w:space="0"/>
              <w:right w:val="single" w:color="auto" w:sz="4" w:space="0"/>
            </w:tcBorders>
            <w:noWrap w:val="0"/>
            <w:vAlign w:val="center"/>
          </w:tcPr>
          <w:p w14:paraId="13D159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9" w:type="dxa"/>
            <w:vMerge w:val="continue"/>
            <w:tcBorders>
              <w:top w:val="single" w:color="auto" w:sz="4" w:space="0"/>
              <w:left w:val="single" w:color="auto" w:sz="4" w:space="0"/>
              <w:bottom w:val="single" w:color="auto" w:sz="4" w:space="0"/>
              <w:right w:val="single" w:color="auto" w:sz="4" w:space="0"/>
            </w:tcBorders>
            <w:noWrap w:val="0"/>
            <w:vAlign w:val="center"/>
          </w:tcPr>
          <w:p w14:paraId="69652A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1" w:type="dxa"/>
            <w:tcBorders>
              <w:top w:val="single" w:color="auto" w:sz="4" w:space="0"/>
              <w:left w:val="single" w:color="auto" w:sz="4" w:space="0"/>
              <w:bottom w:val="single" w:color="auto" w:sz="4" w:space="0"/>
              <w:right w:val="single" w:color="auto" w:sz="4" w:space="0"/>
            </w:tcBorders>
            <w:noWrap w:val="0"/>
            <w:vAlign w:val="center"/>
          </w:tcPr>
          <w:p w14:paraId="3AC9A3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545" w:type="dxa"/>
            <w:tcBorders>
              <w:top w:val="single" w:color="auto" w:sz="4" w:space="0"/>
              <w:left w:val="single" w:color="auto" w:sz="4" w:space="0"/>
              <w:bottom w:val="single" w:color="auto" w:sz="4" w:space="0"/>
              <w:right w:val="single" w:color="auto" w:sz="4" w:space="0"/>
            </w:tcBorders>
            <w:noWrap w:val="0"/>
            <w:vAlign w:val="center"/>
          </w:tcPr>
          <w:p w14:paraId="4F6C3C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169F27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受益学生满意度</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5B0349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&gt;=95%</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13819C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5E6015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6FDBCB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25858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04027D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总分</w:t>
            </w:r>
          </w:p>
        </w:tc>
        <w:tc>
          <w:tcPr>
            <w:tcW w:w="573" w:type="dxa"/>
            <w:tcBorders>
              <w:top w:val="single" w:color="auto" w:sz="4" w:space="0"/>
              <w:left w:val="single" w:color="auto" w:sz="4" w:space="0"/>
              <w:bottom w:val="single" w:color="auto" w:sz="4" w:space="0"/>
              <w:right w:val="single" w:color="auto" w:sz="4" w:space="0"/>
            </w:tcBorders>
            <w:noWrap w:val="0"/>
            <w:vAlign w:val="center"/>
          </w:tcPr>
          <w:p w14:paraId="49BFAA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641" w:type="dxa"/>
            <w:tcBorders>
              <w:top w:val="single" w:color="auto" w:sz="4" w:space="0"/>
              <w:left w:val="single" w:color="auto" w:sz="4" w:space="0"/>
              <w:bottom w:val="single" w:color="auto" w:sz="4" w:space="0"/>
              <w:right w:val="single" w:color="auto" w:sz="4" w:space="0"/>
            </w:tcBorders>
            <w:noWrap w:val="0"/>
            <w:vAlign w:val="center"/>
          </w:tcPr>
          <w:p w14:paraId="47CCD5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9" w:type="dxa"/>
            <w:tcBorders>
              <w:top w:val="single" w:color="auto" w:sz="4" w:space="0"/>
              <w:left w:val="single" w:color="auto" w:sz="4" w:space="0"/>
              <w:bottom w:val="single" w:color="auto" w:sz="4" w:space="0"/>
              <w:right w:val="single" w:color="auto" w:sz="4" w:space="0"/>
            </w:tcBorders>
            <w:noWrap w:val="0"/>
            <w:vAlign w:val="center"/>
          </w:tcPr>
          <w:p w14:paraId="209AE1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641" w:type="dxa"/>
            <w:tcBorders>
              <w:top w:val="single" w:color="auto" w:sz="4" w:space="0"/>
              <w:left w:val="single" w:color="auto" w:sz="4" w:space="0"/>
              <w:bottom w:val="single" w:color="auto" w:sz="4" w:space="0"/>
              <w:right w:val="single" w:color="auto" w:sz="4" w:space="0"/>
            </w:tcBorders>
            <w:noWrap w:val="0"/>
            <w:vAlign w:val="center"/>
          </w:tcPr>
          <w:p w14:paraId="747988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5" w:type="dxa"/>
            <w:tcBorders>
              <w:top w:val="single" w:color="auto" w:sz="4" w:space="0"/>
              <w:left w:val="single" w:color="auto" w:sz="4" w:space="0"/>
              <w:bottom w:val="single" w:color="auto" w:sz="4" w:space="0"/>
              <w:right w:val="single" w:color="auto" w:sz="4" w:space="0"/>
            </w:tcBorders>
            <w:noWrap w:val="0"/>
            <w:vAlign w:val="center"/>
          </w:tcPr>
          <w:p w14:paraId="4CA955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7BF10A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363" w:type="dxa"/>
            <w:tcBorders>
              <w:top w:val="single" w:color="auto" w:sz="4" w:space="0"/>
              <w:left w:val="single" w:color="auto" w:sz="4" w:space="0"/>
              <w:bottom w:val="single" w:color="auto" w:sz="4" w:space="0"/>
              <w:right w:val="single" w:color="auto" w:sz="4" w:space="0"/>
            </w:tcBorders>
            <w:noWrap w:val="0"/>
            <w:vAlign w:val="center"/>
          </w:tcPr>
          <w:p w14:paraId="5054E2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w:t>
            </w:r>
          </w:p>
        </w:tc>
        <w:tc>
          <w:tcPr>
            <w:tcW w:w="3737" w:type="dxa"/>
            <w:tcBorders>
              <w:top w:val="single" w:color="auto" w:sz="4" w:space="0"/>
              <w:left w:val="single" w:color="auto" w:sz="4" w:space="0"/>
              <w:bottom w:val="single" w:color="auto" w:sz="4" w:space="0"/>
              <w:right w:val="single" w:color="auto" w:sz="4" w:space="0"/>
            </w:tcBorders>
            <w:noWrap w:val="0"/>
            <w:vAlign w:val="center"/>
          </w:tcPr>
          <w:p w14:paraId="2E2ED4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739" w:type="dxa"/>
            <w:tcBorders>
              <w:top w:val="single" w:color="auto" w:sz="4" w:space="0"/>
              <w:left w:val="single" w:color="auto" w:sz="4" w:space="0"/>
              <w:bottom w:val="single" w:color="auto" w:sz="4" w:space="0"/>
              <w:right w:val="single" w:color="auto" w:sz="4" w:space="0"/>
            </w:tcBorders>
            <w:noWrap w:val="0"/>
            <w:vAlign w:val="center"/>
          </w:tcPr>
          <w:p w14:paraId="4DA452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69" w:type="dxa"/>
            <w:tcBorders>
              <w:top w:val="single" w:color="auto" w:sz="4" w:space="0"/>
              <w:left w:val="single" w:color="auto" w:sz="4" w:space="0"/>
              <w:bottom w:val="single" w:color="auto" w:sz="4" w:space="0"/>
              <w:right w:val="single" w:color="auto" w:sz="4" w:space="0"/>
            </w:tcBorders>
            <w:noWrap w:val="0"/>
            <w:vAlign w:val="center"/>
          </w:tcPr>
          <w:p w14:paraId="7F8893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r>
    </w:tbl>
    <w:p w14:paraId="24A13DCD">
      <w:pPr>
        <w:pStyle w:val="10"/>
        <w:rPr>
          <w:rFonts w:hint="eastAsia" w:ascii="宋体" w:hAnsi="宋体" w:eastAsia="宋体" w:cs="宋体"/>
          <w:color w:val="auto"/>
          <w:sz w:val="24"/>
          <w:szCs w:val="24"/>
          <w:lang w:eastAsia="zh-CN"/>
        </w:rPr>
      </w:pPr>
    </w:p>
    <w:p w14:paraId="1A7F8716">
      <w:pPr>
        <w:pStyle w:val="10"/>
        <w:rPr>
          <w:rFonts w:hint="eastAsia" w:ascii="宋体" w:hAnsi="宋体" w:eastAsia="宋体" w:cs="宋体"/>
          <w:color w:val="auto"/>
          <w:sz w:val="24"/>
          <w:szCs w:val="24"/>
          <w:lang w:eastAsia="zh-CN"/>
        </w:rPr>
      </w:pPr>
    </w:p>
    <w:p w14:paraId="76CB4429">
      <w:pPr>
        <w:pStyle w:val="10"/>
        <w:rPr>
          <w:rFonts w:hint="eastAsia" w:ascii="宋体" w:hAnsi="宋体" w:eastAsia="宋体" w:cs="宋体"/>
          <w:color w:val="auto"/>
          <w:sz w:val="24"/>
          <w:szCs w:val="24"/>
          <w:lang w:eastAsia="zh-CN"/>
        </w:rPr>
      </w:pPr>
    </w:p>
    <w:p w14:paraId="2C072A22">
      <w:pPr>
        <w:pStyle w:val="10"/>
        <w:rPr>
          <w:rFonts w:hint="eastAsia" w:ascii="宋体" w:hAnsi="宋体" w:eastAsia="宋体" w:cs="宋体"/>
          <w:color w:val="auto"/>
          <w:sz w:val="24"/>
          <w:szCs w:val="24"/>
          <w:lang w:eastAsia="zh-CN"/>
        </w:rPr>
      </w:pPr>
    </w:p>
    <w:p w14:paraId="32939A17">
      <w:pPr>
        <w:pStyle w:val="10"/>
        <w:rPr>
          <w:rFonts w:hint="eastAsia" w:ascii="宋体" w:hAnsi="宋体" w:eastAsia="宋体" w:cs="宋体"/>
          <w:color w:val="auto"/>
          <w:sz w:val="24"/>
          <w:szCs w:val="24"/>
          <w:lang w:eastAsia="zh-CN"/>
        </w:rPr>
      </w:pPr>
    </w:p>
    <w:p w14:paraId="2EC20C28">
      <w:pPr>
        <w:pStyle w:val="10"/>
        <w:rPr>
          <w:rFonts w:hint="eastAsia" w:ascii="宋体" w:hAnsi="宋体" w:eastAsia="宋体" w:cs="宋体"/>
          <w:color w:val="auto"/>
          <w:sz w:val="24"/>
          <w:szCs w:val="24"/>
          <w:lang w:eastAsia="zh-CN"/>
        </w:rPr>
      </w:pPr>
    </w:p>
    <w:p w14:paraId="794938A4">
      <w:pPr>
        <w:pStyle w:val="10"/>
        <w:ind w:left="0" w:leftChars="0" w:firstLine="0" w:firstLineChars="0"/>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2451"/>
        <w:gridCol w:w="1596"/>
      </w:tblGrid>
      <w:tr w14:paraId="0912E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10C878F5">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2"/>
                <w:szCs w:val="22"/>
                <w:u w:val="none"/>
              </w:rPr>
            </w:pPr>
          </w:p>
        </w:tc>
        <w:tc>
          <w:tcPr>
            <w:tcW w:w="1778" w:type="dxa"/>
            <w:tcBorders>
              <w:top w:val="nil"/>
              <w:left w:val="nil"/>
              <w:bottom w:val="nil"/>
              <w:right w:val="nil"/>
            </w:tcBorders>
            <w:noWrap/>
            <w:vAlign w:val="center"/>
          </w:tcPr>
          <w:p w14:paraId="64CFBC69">
            <w:pPr>
              <w:rPr>
                <w:rFonts w:hint="eastAsia" w:ascii="宋体" w:hAnsi="宋体" w:eastAsia="宋体" w:cs="宋体"/>
                <w:i w:val="0"/>
                <w:iCs w:val="0"/>
                <w:color w:val="auto"/>
                <w:sz w:val="22"/>
                <w:szCs w:val="22"/>
                <w:u w:val="none"/>
              </w:rPr>
            </w:pPr>
          </w:p>
        </w:tc>
        <w:tc>
          <w:tcPr>
            <w:tcW w:w="2786" w:type="dxa"/>
            <w:tcBorders>
              <w:top w:val="nil"/>
              <w:left w:val="nil"/>
              <w:bottom w:val="nil"/>
              <w:right w:val="nil"/>
            </w:tcBorders>
            <w:noWrap/>
            <w:vAlign w:val="center"/>
          </w:tcPr>
          <w:p w14:paraId="2D44C052">
            <w:pPr>
              <w:rPr>
                <w:rFonts w:hint="eastAsia" w:ascii="宋体" w:hAnsi="宋体" w:eastAsia="宋体" w:cs="宋体"/>
                <w:i w:val="0"/>
                <w:iCs w:val="0"/>
                <w:color w:val="auto"/>
                <w:sz w:val="22"/>
                <w:szCs w:val="22"/>
                <w:u w:val="none"/>
              </w:rPr>
            </w:pPr>
          </w:p>
        </w:tc>
        <w:tc>
          <w:tcPr>
            <w:tcW w:w="2314" w:type="dxa"/>
            <w:tcBorders>
              <w:top w:val="nil"/>
              <w:left w:val="nil"/>
              <w:bottom w:val="nil"/>
              <w:right w:val="nil"/>
            </w:tcBorders>
            <w:noWrap/>
            <w:vAlign w:val="center"/>
          </w:tcPr>
          <w:p w14:paraId="02A26744">
            <w:pPr>
              <w:rPr>
                <w:rFonts w:hint="eastAsia" w:ascii="宋体" w:hAnsi="宋体" w:eastAsia="宋体" w:cs="宋体"/>
                <w:i w:val="0"/>
                <w:iCs w:val="0"/>
                <w:color w:val="auto"/>
                <w:sz w:val="22"/>
                <w:szCs w:val="22"/>
                <w:u w:val="none"/>
              </w:rPr>
            </w:pPr>
          </w:p>
        </w:tc>
        <w:tc>
          <w:tcPr>
            <w:tcW w:w="2451" w:type="dxa"/>
            <w:tcBorders>
              <w:top w:val="nil"/>
              <w:left w:val="nil"/>
              <w:bottom w:val="nil"/>
              <w:right w:val="nil"/>
            </w:tcBorders>
            <w:noWrap/>
            <w:vAlign w:val="center"/>
          </w:tcPr>
          <w:p w14:paraId="7C02A75E">
            <w:pPr>
              <w:rPr>
                <w:rFonts w:hint="eastAsia" w:ascii="宋体" w:hAnsi="宋体" w:eastAsia="宋体" w:cs="宋体"/>
                <w:i w:val="0"/>
                <w:iCs w:val="0"/>
                <w:color w:val="auto"/>
                <w:sz w:val="22"/>
                <w:szCs w:val="22"/>
                <w:u w:val="none"/>
              </w:rPr>
            </w:pPr>
          </w:p>
        </w:tc>
        <w:tc>
          <w:tcPr>
            <w:tcW w:w="1596" w:type="dxa"/>
            <w:tcBorders>
              <w:top w:val="nil"/>
              <w:left w:val="nil"/>
              <w:bottom w:val="nil"/>
              <w:right w:val="nil"/>
            </w:tcBorders>
            <w:noWrap/>
            <w:vAlign w:val="center"/>
          </w:tcPr>
          <w:p w14:paraId="6A42D663">
            <w:pPr>
              <w:rPr>
                <w:rFonts w:hint="eastAsia" w:ascii="宋体" w:hAnsi="宋体" w:eastAsia="宋体" w:cs="宋体"/>
                <w:i w:val="0"/>
                <w:iCs w:val="0"/>
                <w:color w:val="auto"/>
                <w:sz w:val="22"/>
                <w:szCs w:val="22"/>
                <w:u w:val="none"/>
              </w:rPr>
            </w:pPr>
          </w:p>
        </w:tc>
      </w:tr>
      <w:tr w14:paraId="63D0D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2288" w:type="dxa"/>
            <w:gridSpan w:val="6"/>
            <w:tcBorders>
              <w:top w:val="nil"/>
              <w:left w:val="nil"/>
              <w:bottom w:val="nil"/>
              <w:right w:val="nil"/>
            </w:tcBorders>
            <w:noWrap/>
            <w:vAlign w:val="center"/>
          </w:tcPr>
          <w:p w14:paraId="42FA49D8">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000000"/>
                <w:kern w:val="0"/>
                <w:sz w:val="36"/>
                <w:szCs w:val="36"/>
                <w:highlight w:val="none"/>
                <w:u w:val="none"/>
                <w:lang w:val="en-US" w:eastAsia="zh-CN"/>
              </w:rPr>
              <w:t>中央直达资金和地财教【2023】59号-2024年学生资助补助经费-中等职业学校免学费及助学金项目综合得分表</w:t>
            </w:r>
          </w:p>
        </w:tc>
      </w:tr>
      <w:tr w14:paraId="40641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7C02D8A">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4B78E5">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D7FBC4">
            <w:pPr>
              <w:keepNext w:val="0"/>
              <w:keepLines w:val="0"/>
              <w:widowControl/>
              <w:suppressLineNumbers w:val="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CFEA78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245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14A7DCE">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159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DA7B1FE">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1C5F2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24C662">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D0148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F42DA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28EBB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2451" w:type="dxa"/>
            <w:tcBorders>
              <w:top w:val="single" w:color="auto" w:sz="4" w:space="0"/>
              <w:left w:val="single" w:color="auto" w:sz="4" w:space="0"/>
              <w:bottom w:val="single" w:color="auto" w:sz="4" w:space="0"/>
              <w:right w:val="single" w:color="auto" w:sz="4" w:space="0"/>
            </w:tcBorders>
            <w:noWrap w:val="0"/>
            <w:vAlign w:val="center"/>
          </w:tcPr>
          <w:p w14:paraId="6D4EFF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596" w:type="dxa"/>
            <w:tcBorders>
              <w:top w:val="single" w:color="auto" w:sz="4" w:space="0"/>
              <w:left w:val="single" w:color="auto" w:sz="4" w:space="0"/>
              <w:bottom w:val="single" w:color="auto" w:sz="4" w:space="0"/>
              <w:right w:val="single" w:color="auto" w:sz="4" w:space="0"/>
            </w:tcBorders>
            <w:noWrap w:val="0"/>
            <w:vAlign w:val="center"/>
          </w:tcPr>
          <w:p w14:paraId="4FDBE40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33A43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4B3F044">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35BC1D">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0DF2ADC">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11EAD12">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40.00</w:t>
            </w:r>
          </w:p>
        </w:tc>
        <w:tc>
          <w:tcPr>
            <w:tcW w:w="245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3910B1F">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25.00</w:t>
            </w:r>
          </w:p>
        </w:tc>
        <w:tc>
          <w:tcPr>
            <w:tcW w:w="1596" w:type="dxa"/>
            <w:tcBorders>
              <w:top w:val="single" w:color="auto" w:sz="4" w:space="0"/>
              <w:left w:val="single" w:color="auto" w:sz="4" w:space="0"/>
              <w:bottom w:val="single" w:color="auto" w:sz="4" w:space="0"/>
              <w:right w:val="single" w:color="auto" w:sz="4" w:space="0"/>
            </w:tcBorders>
            <w:noWrap w:val="0"/>
            <w:vAlign w:val="center"/>
          </w:tcPr>
          <w:p w14:paraId="6247454F">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100.00</w:t>
            </w:r>
          </w:p>
        </w:tc>
      </w:tr>
      <w:tr w14:paraId="5382E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DB5DEAA">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4D97A38">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B655C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F4CBA3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451" w:type="dxa"/>
            <w:tcBorders>
              <w:top w:val="single" w:color="auto" w:sz="4" w:space="0"/>
              <w:left w:val="single" w:color="auto" w:sz="4" w:space="0"/>
              <w:bottom w:val="single" w:color="auto" w:sz="4" w:space="0"/>
              <w:right w:val="single" w:color="auto" w:sz="4" w:space="0"/>
            </w:tcBorders>
            <w:noWrap w:val="0"/>
            <w:vAlign w:val="center"/>
          </w:tcPr>
          <w:p w14:paraId="289449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1596" w:type="dxa"/>
            <w:tcBorders>
              <w:top w:val="single" w:color="auto" w:sz="4" w:space="0"/>
              <w:left w:val="single" w:color="auto" w:sz="4" w:space="0"/>
              <w:bottom w:val="single" w:color="auto" w:sz="4" w:space="0"/>
              <w:right w:val="single" w:color="auto" w:sz="4" w:space="0"/>
            </w:tcBorders>
            <w:noWrap w:val="0"/>
            <w:vAlign w:val="center"/>
          </w:tcPr>
          <w:p w14:paraId="13F3C1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r>
    </w:tbl>
    <w:p w14:paraId="416FBB57">
      <w:pPr>
        <w:pStyle w:val="10"/>
        <w:ind w:left="0" w:leftChars="0" w:firstLine="0" w:firstLineChars="0"/>
        <w:jc w:val="both"/>
        <w:rPr>
          <w:rFonts w:hint="eastAsia" w:ascii="宋体" w:hAnsi="宋体" w:eastAsia="宋体" w:cs="宋体"/>
          <w:color w:val="auto"/>
          <w:sz w:val="24"/>
          <w:szCs w:val="24"/>
          <w:lang w:eastAsia="zh-CN"/>
        </w:rPr>
        <w:sectPr>
          <w:pgSz w:w="16838" w:h="11906" w:orient="landscape"/>
          <w:pgMar w:top="1531" w:right="1985" w:bottom="1531" w:left="1701" w:header="851" w:footer="992" w:gutter="0"/>
          <w:pgNumType w:fmt="decimal" w:start="1"/>
          <w:cols w:space="720" w:num="1"/>
          <w:docGrid w:type="linesAndChars" w:linePitch="386" w:charSpace="0"/>
        </w:sectPr>
      </w:pPr>
    </w:p>
    <w:p w14:paraId="7F273D29">
      <w:pPr>
        <w:pStyle w:val="10"/>
        <w:ind w:left="0" w:leftChars="0" w:firstLine="0" w:firstLineChars="0"/>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附件3：</w:t>
      </w:r>
    </w:p>
    <w:p w14:paraId="11D30821">
      <w:pPr>
        <w:pStyle w:val="10"/>
        <w:ind w:left="0" w:leftChars="0" w:firstLine="0" w:firstLineChars="0"/>
        <w:jc w:val="both"/>
        <w:rPr>
          <w:rFonts w:hint="eastAsia" w:ascii="宋体" w:hAnsi="宋体" w:eastAsia="宋体" w:cs="宋体"/>
          <w:color w:val="auto"/>
          <w:sz w:val="24"/>
          <w:szCs w:val="24"/>
          <w:lang w:eastAsia="zh-CN"/>
        </w:rPr>
      </w:pPr>
      <w:r>
        <w:pict>
          <v:shape id="_x0000_i1025" o:spt="75" type="#_x0000_t75" style="height:595.7pt;width:460.45pt;" filled="f" o:preferrelative="t" stroked="f" coordsize="21600,21600">
            <v:path/>
            <v:fill on="f" focussize="0,0"/>
            <v:stroke on="f" joinstyle="miter"/>
            <v:imagedata r:id="rId10" o:title=""/>
            <o:lock v:ext="edit" aspectratio="t"/>
            <w10:wrap type="none"/>
            <w10:anchorlock/>
          </v:shape>
        </w:pict>
      </w:r>
      <w:r>
        <w:pict>
          <v:shape id="_x0000_i1026" o:spt="75" type="#_x0000_t75" style="height:643.25pt;width:483.4pt;" filled="f" o:preferrelative="t" stroked="f" coordsize="21600,21600">
            <v:path/>
            <v:fill on="f" focussize="0,0"/>
            <v:stroke on="f" joinstyle="miter"/>
            <v:imagedata r:id="rId11" o:title=""/>
            <o:lock v:ext="edit" aspectratio="t"/>
            <w10:wrap type="none"/>
            <w10:anchorlock/>
          </v:shape>
        </w:pict>
      </w:r>
    </w:p>
    <w:sectPr>
      <w:pgSz w:w="11906" w:h="16838"/>
      <w:pgMar w:top="1985" w:right="1531" w:bottom="1701" w:left="1531" w:header="851" w:footer="992" w:gutter="0"/>
      <w:pgNumType w:fmt="decimal"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B9FC8">
    <w:pPr>
      <w:pStyle w:val="15"/>
      <w:ind w:firstLine="360"/>
    </w:pPr>
  </w:p>
  <w:p w14:paraId="17E51169">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1C3E1">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73587">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lvlText w:val="%1."/>
      <w:lvlJc w:val="left"/>
      <w:pPr>
        <w:tabs>
          <w:tab w:val="left" w:pos="312"/>
        </w:tabs>
      </w:pPr>
    </w:lvl>
  </w:abstractNum>
  <w:abstractNum w:abstractNumId="1">
    <w:nsid w:val="0053208E"/>
    <w:multiLevelType w:val="multilevel"/>
    <w:tmpl w:val="0053208E"/>
    <w:lvl w:ilvl="0" w:tentative="0">
      <w:start w:val="1"/>
      <w:numFmt w:val="chineseCountingThousand"/>
      <w:pStyle w:val="6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ADCABA"/>
    <w:multiLevelType w:val="singleLevel"/>
    <w:tmpl w:val="59ADCABA"/>
    <w:lvl w:ilvl="0" w:tentative="0">
      <w:start w:val="2"/>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5507565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30"/>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4">
    <w:name w:val="Body Text First Indent 2"/>
    <w:basedOn w:val="5"/>
    <w:link w:val="33"/>
    <w:unhideWhenUsed/>
    <w:uiPriority w:val="0"/>
    <w:pPr>
      <w:ind w:firstLine="420"/>
    </w:pPr>
  </w:style>
  <w:style w:type="paragraph" w:styleId="5">
    <w:name w:val="Body Text Indent"/>
    <w:basedOn w:val="1"/>
    <w:link w:val="32"/>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标题 3 Char"/>
    <w:link w:val="2"/>
    <w:uiPriority w:val="9"/>
    <w:rPr>
      <w:rFonts w:ascii="Calibri" w:hAnsi="Calibri" w:eastAsia="仿宋_GB2312" w:cs="黑体"/>
      <w:bCs/>
      <w:sz w:val="28"/>
      <w:szCs w:val="32"/>
    </w:rPr>
  </w:style>
  <w:style w:type="character" w:customStyle="1" w:styleId="31">
    <w:name w:val="标题 1 Char"/>
    <w:link w:val="3"/>
    <w:uiPriority w:val="9"/>
    <w:rPr>
      <w:rFonts w:ascii="Times New Roman" w:hAnsi="Times New Roman" w:eastAsia="仿宋_GB2312" w:cs="Times New Roman"/>
      <w:b/>
      <w:bCs/>
      <w:kern w:val="44"/>
      <w:sz w:val="32"/>
      <w:szCs w:val="44"/>
    </w:rPr>
  </w:style>
  <w:style w:type="character" w:customStyle="1" w:styleId="32">
    <w:name w:val="正文文本缩进 Char"/>
    <w:link w:val="5"/>
    <w:semiHidden/>
    <w:uiPriority w:val="99"/>
    <w:rPr>
      <w:rFonts w:ascii="Calibri" w:hAnsi="Calibri" w:eastAsia="仿宋_GB2312" w:cs="黑体"/>
      <w:sz w:val="28"/>
    </w:rPr>
  </w:style>
  <w:style w:type="character" w:customStyle="1" w:styleId="33">
    <w:name w:val="正文首行缩进 2 Char"/>
    <w:link w:val="4"/>
    <w:uiPriority w:val="0"/>
    <w:rPr>
      <w:rFonts w:ascii="Calibri" w:hAnsi="Calibri" w:eastAsia="仿宋_GB2312" w:cs="黑体"/>
      <w:sz w:val="28"/>
    </w:rPr>
  </w:style>
  <w:style w:type="character" w:customStyle="1" w:styleId="34">
    <w:name w:val="标题 2 Char"/>
    <w:link w:val="6"/>
    <w:uiPriority w:val="0"/>
    <w:rPr>
      <w:rFonts w:ascii="Cambria" w:hAnsi="Cambria" w:eastAsia="仿宋_GB2312" w:cs="Times New Roman"/>
      <w:b/>
      <w:bCs/>
      <w:kern w:val="0"/>
      <w:sz w:val="30"/>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无间隔 Char"/>
    <w:link w:val="44"/>
    <w:uiPriority w:val="1"/>
    <w:rPr>
      <w:rFonts w:eastAsia="仿宋_GB2312" w:cs="黑体"/>
      <w:kern w:val="2"/>
      <w:sz w:val="28"/>
      <w:szCs w:val="22"/>
      <w:lang w:val="en-US" w:eastAsia="zh-CN" w:bidi="ar-SA"/>
    </w:rPr>
  </w:style>
  <w:style w:type="paragraph" w:styleId="44">
    <w:name w:val="No Spacing"/>
    <w:link w:val="43"/>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45">
    <w:name w:val="闻政-正文二级标题 Char"/>
    <w:link w:val="46"/>
    <w:uiPriority w:val="3"/>
    <w:rPr>
      <w:rFonts w:ascii="Times New Roman" w:hAnsi="Times New Roman" w:eastAsia="仿宋_GB2312"/>
      <w:b/>
      <w:bCs/>
      <w:sz w:val="28"/>
      <w:szCs w:val="32"/>
    </w:rPr>
  </w:style>
  <w:style w:type="paragraph" w:customStyle="1" w:styleId="46">
    <w:name w:val="闻政-正文二级标题"/>
    <w:basedOn w:val="6"/>
    <w:next w:val="47"/>
    <w:link w:val="45"/>
    <w:qFormat/>
    <w:uiPriority w:val="3"/>
    <w:pPr>
      <w:spacing w:before="120" w:after="60" w:line="500" w:lineRule="exact"/>
      <w:ind w:left="200" w:leftChars="200" w:firstLine="0" w:firstLineChars="0"/>
    </w:pPr>
    <w:rPr>
      <w:rFonts w:ascii="Times New Roman" w:hAnsi="Times New Roman"/>
      <w:sz w:val="28"/>
    </w:rPr>
  </w:style>
  <w:style w:type="paragraph" w:customStyle="1" w:styleId="47">
    <w:name w:val="闻政-正文段落文字"/>
    <w:basedOn w:val="1"/>
    <w:link w:val="48"/>
    <w:qFormat/>
    <w:uiPriority w:val="3"/>
    <w:pPr>
      <w:spacing w:line="500" w:lineRule="exact"/>
      <w:ind w:firstLine="200"/>
    </w:pPr>
    <w:rPr>
      <w:rFonts w:ascii="Times New Roman" w:hAnsi="Times New Roman" w:cs="Times New Roman"/>
      <w:kern w:val="0"/>
      <w:szCs w:val="28"/>
    </w:rPr>
  </w:style>
  <w:style w:type="character" w:customStyle="1" w:styleId="48">
    <w:name w:val="闻政-正文段落文字 Char"/>
    <w:link w:val="47"/>
    <w:qFormat/>
    <w:uiPriority w:val="3"/>
    <w:rPr>
      <w:rFonts w:ascii="Times New Roman" w:hAnsi="Times New Roman" w:eastAsia="仿宋_GB2312"/>
      <w:sz w:val="28"/>
      <w:szCs w:val="28"/>
    </w:rPr>
  </w:style>
  <w:style w:type="character" w:customStyle="1" w:styleId="49">
    <w:name w:val="闻政-正文三级标题 Char"/>
    <w:link w:val="50"/>
    <w:qFormat/>
    <w:uiPriority w:val="3"/>
    <w:rPr>
      <w:rFonts w:ascii="Times New Roman" w:hAnsi="Times New Roman" w:eastAsia="仿宋_GB2312"/>
      <w:b/>
      <w:snapToGrid w:val="0"/>
      <w:sz w:val="28"/>
      <w:szCs w:val="28"/>
    </w:rPr>
  </w:style>
  <w:style w:type="paragraph" w:customStyle="1" w:styleId="50">
    <w:name w:val="闻政-正文三级标题"/>
    <w:basedOn w:val="1"/>
    <w:next w:val="47"/>
    <w:link w:val="49"/>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1">
    <w:name w:val="font21"/>
    <w:qFormat/>
    <w:uiPriority w:val="0"/>
    <w:rPr>
      <w:rFonts w:hint="default" w:ascii="Times New Roman" w:hAnsi="Times New Roman" w:cs="Times New Roman"/>
      <w:color w:val="000000"/>
      <w:sz w:val="24"/>
      <w:szCs w:val="24"/>
      <w:u w:val="none"/>
    </w:rPr>
  </w:style>
  <w:style w:type="character" w:customStyle="1" w:styleId="52">
    <w:name w:val="font71"/>
    <w:basedOn w:val="25"/>
    <w:qFormat/>
    <w:uiPriority w:val="0"/>
    <w:rPr>
      <w:rFonts w:hint="eastAsia" w:ascii="微软雅黑" w:hAnsi="微软雅黑" w:eastAsia="微软雅黑" w:cs="微软雅黑"/>
      <w:b/>
      <w:bCs/>
      <w:color w:val="000000"/>
      <w:sz w:val="32"/>
      <w:szCs w:val="32"/>
      <w:u w:val="none"/>
    </w:rPr>
  </w:style>
  <w:style w:type="character" w:customStyle="1" w:styleId="53">
    <w:name w:val="闻政-正文一级标题 Char"/>
    <w:link w:val="54"/>
    <w:uiPriority w:val="3"/>
    <w:rPr>
      <w:rFonts w:ascii="黑体" w:hAnsi="黑体" w:eastAsia="黑体"/>
      <w:bCs/>
      <w:sz w:val="32"/>
      <w:szCs w:val="32"/>
    </w:rPr>
  </w:style>
  <w:style w:type="paragraph" w:customStyle="1" w:styleId="54">
    <w:name w:val="闻政-正文一级标题"/>
    <w:basedOn w:val="2"/>
    <w:next w:val="47"/>
    <w:link w:val="53"/>
    <w:qFormat/>
    <w:uiPriority w:val="3"/>
    <w:pPr>
      <w:spacing w:before="120" w:after="60" w:line="500" w:lineRule="exact"/>
      <w:ind w:firstLine="0" w:firstLineChars="0"/>
      <w:outlineLvl w:val="0"/>
    </w:pPr>
    <w:rPr>
      <w:rFonts w:ascii="黑体" w:hAnsi="黑体" w:eastAsia="黑体"/>
      <w:sz w:val="32"/>
    </w:rPr>
  </w:style>
  <w:style w:type="character" w:customStyle="1" w:styleId="55">
    <w:name w:val="55"/>
    <w:qFormat/>
    <w:uiPriority w:val="0"/>
    <w:rPr>
      <w:b/>
      <w:bCs/>
      <w:smallCaps/>
      <w:color w:val="C0504D"/>
      <w:spacing w:val="5"/>
      <w:u w:val="single"/>
    </w:rPr>
  </w:style>
  <w:style w:type="character" w:customStyle="1" w:styleId="56">
    <w:name w:val="font11"/>
    <w:uiPriority w:val="0"/>
    <w:rPr>
      <w:rFonts w:hint="eastAsia" w:ascii="方正仿宋_GBK" w:hAnsi="方正仿宋_GBK" w:eastAsia="方正仿宋_GBK" w:cs="方正仿宋_GBK"/>
      <w:color w:val="000000"/>
      <w:sz w:val="24"/>
      <w:szCs w:val="24"/>
      <w:u w:val="none"/>
    </w:rPr>
  </w:style>
  <w:style w:type="paragraph" w:styleId="57">
    <w:name w:val="List Paragraph"/>
    <w:basedOn w:val="1"/>
    <w:qFormat/>
    <w:uiPriority w:val="34"/>
    <w:pPr>
      <w:ind w:firstLine="420"/>
    </w:pPr>
  </w:style>
  <w:style w:type="paragraph" w:customStyle="1" w:styleId="58">
    <w:name w:val="_Style 13"/>
    <w:qFormat/>
    <w:uiPriority w:val="0"/>
    <w:pPr>
      <w:spacing w:before="120" w:after="120" w:line="288" w:lineRule="auto"/>
      <w:ind w:left="0"/>
      <w:jc w:val="left"/>
    </w:pPr>
    <w:rPr>
      <w:rFonts w:ascii="Arial" w:hAnsi="Arial" w:eastAsia="等线" w:cs="Arial"/>
      <w:sz w:val="22"/>
      <w:szCs w:val="22"/>
    </w:rPr>
  </w:style>
  <w:style w:type="paragraph" w:customStyle="1" w:styleId="59">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60">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customStyle="1" w:styleId="61">
    <w:name w:val="Body text|1"/>
    <w:basedOn w:val="1"/>
    <w:uiPriority w:val="0"/>
    <w:pPr>
      <w:spacing w:line="420" w:lineRule="auto"/>
      <w:ind w:firstLine="400"/>
    </w:pPr>
    <w:rPr>
      <w:rFonts w:ascii="宋体" w:hAnsi="宋体" w:eastAsia="宋体" w:cs="宋体"/>
      <w:szCs w:val="30"/>
      <w:lang w:val="zh-TW" w:eastAsia="zh-TW" w:bidi="zh-TW"/>
    </w:rPr>
  </w:style>
  <w:style w:type="paragraph" w:customStyle="1" w:styleId="62">
    <w:name w:val="标题2"/>
    <w:basedOn w:val="6"/>
    <w:qFormat/>
    <w:uiPriority w:val="0"/>
    <w:pPr>
      <w:numPr>
        <w:ilvl w:val="0"/>
        <w:numId w:val="1"/>
      </w:numPr>
      <w:spacing w:before="120" w:after="120" w:line="500" w:lineRule="exact"/>
    </w:pPr>
    <w:rPr>
      <w:rFonts w:ascii="仿宋_GB2312" w:eastAsia="仿宋_GB2312" w:cs="Times New Roman"/>
    </w:rPr>
  </w:style>
  <w:style w:type="paragraph" w:customStyle="1" w:styleId="63">
    <w:name w:val="Char"/>
    <w:basedOn w:val="1"/>
    <w:qFormat/>
    <w:uiPriority w:val="0"/>
    <w:rPr>
      <w:rFonts w:ascii="仿宋_GB2312" w:eastAsia="仿宋_GB2312" w:cs="黑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5"/>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7602E5EA4D1F4328943EC388BC0DBC30_13</vt:lpwstr>
  </property>
  <property fmtid="{D5CDD505-2E9C-101B-9397-08002B2CF9AE}" pid="4" name="KSOTemplateDocerSaveRecord">
    <vt:lpwstr>eyJoZGlkIjoiNTJkYTY5NDVjNjU5NDA2YjkxODBmMjVmNzkwYjg0ZDciLCJ1c2VySWQiOiIxNDM1NjQyMDA4In0=</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79d283-4d85-4872-9398-423c7e295e2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13563</Words>
  <Characters>14673</Characters>
  <Lines>44</Lines>
  <Paragraphs>12</Paragraphs>
  <TotalTime>0</TotalTime>
  <ScaleCrop>false</ScaleCrop>
  <LinksUpToDate>false</LinksUpToDate>
  <CharactersWithSpaces>14673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2025-10-10T10:11:36Z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7602E5EA4D1F4328943EC388BC0DBC30_13</vt:lpwstr>
  </property>
  <property fmtid="{D5CDD505-2E9C-101B-9397-08002B2CF9AE}" pid="4" name="KSOTemplateDocerSaveRecord">
    <vt:lpwstr>eyJoZGlkIjoiNTJkYTY5NDVjNjU5NDA2YjkxODBmMjVmNzkwYjg0ZDciLCJ1c2VySWQiOiIxNDM1NjQyMDA4In0_x003D_</vt:lpwstr>
  </property>
</Properties>
</file>